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2B1B1" w14:textId="7332C1A4" w:rsidR="00C94BC7" w:rsidRDefault="00C94BC7" w:rsidP="00A54AF1">
      <w:pPr>
        <w:rPr>
          <w:rFonts w:eastAsiaTheme="majorEastAsia" w:cstheme="majorBidi"/>
          <w:b/>
          <w:bCs/>
          <w:i/>
          <w:color w:val="3F4A75"/>
          <w:spacing w:val="15"/>
          <w:sz w:val="40"/>
          <w:szCs w:val="40"/>
        </w:rPr>
      </w:pPr>
    </w:p>
    <w:p w14:paraId="600B7698" w14:textId="46EC52D6" w:rsidR="005B7C7F" w:rsidRPr="007C1A3A" w:rsidRDefault="00FD6FE1" w:rsidP="00A54AF1">
      <w:pPr>
        <w:rPr>
          <w:rFonts w:eastAsiaTheme="majorEastAsia" w:cstheme="majorBidi"/>
          <w:b/>
          <w:bCs/>
          <w:iCs/>
          <w:color w:val="3F4A75"/>
          <w:spacing w:val="15"/>
          <w:sz w:val="40"/>
          <w:szCs w:val="40"/>
        </w:rPr>
      </w:pPr>
      <w:r w:rsidRPr="000E0C71">
        <w:rPr>
          <w:i/>
          <w:noProof/>
          <w:lang w:eastAsia="en-AU"/>
        </w:rPr>
        <w:drawing>
          <wp:anchor distT="0" distB="0" distL="114300" distR="114300" simplePos="0" relativeHeight="251658242" behindDoc="1" locked="0" layoutInCell="1" allowOverlap="1" wp14:anchorId="167B4139" wp14:editId="7627B855">
            <wp:simplePos x="0" y="0"/>
            <wp:positionH relativeFrom="page">
              <wp:posOffset>24130</wp:posOffset>
            </wp:positionH>
            <wp:positionV relativeFrom="page">
              <wp:posOffset>3810</wp:posOffset>
            </wp:positionV>
            <wp:extent cx="7558405" cy="10691495"/>
            <wp:effectExtent l="0" t="0" r="4445" b="0"/>
            <wp:wrapNone/>
            <wp:docPr id="918757271" name="Picture 9187572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r w:rsidR="000E0C71" w:rsidRPr="000E0C71">
        <w:rPr>
          <w:rFonts w:eastAsiaTheme="majorEastAsia" w:cstheme="majorBidi"/>
          <w:b/>
          <w:bCs/>
          <w:i/>
          <w:color w:val="3F4A75"/>
          <w:spacing w:val="15"/>
          <w:sz w:val="40"/>
          <w:szCs w:val="40"/>
        </w:rPr>
        <w:t>Aged Care Act 2024</w:t>
      </w:r>
      <w:r w:rsidR="000E0C71">
        <w:rPr>
          <w:rFonts w:eastAsiaTheme="majorEastAsia" w:cstheme="majorBidi"/>
          <w:b/>
          <w:bCs/>
          <w:iCs/>
          <w:color w:val="3F4A75"/>
          <w:spacing w:val="15"/>
          <w:sz w:val="40"/>
          <w:szCs w:val="40"/>
        </w:rPr>
        <w:t xml:space="preserve"> Wait</w:t>
      </w:r>
      <w:r w:rsidR="002B67D5">
        <w:rPr>
          <w:rFonts w:eastAsiaTheme="majorEastAsia" w:cstheme="majorBidi"/>
          <w:b/>
          <w:bCs/>
          <w:iCs/>
          <w:color w:val="3F4A75"/>
          <w:spacing w:val="15"/>
          <w:sz w:val="40"/>
          <w:szCs w:val="40"/>
        </w:rPr>
        <w:t xml:space="preserve"> </w:t>
      </w:r>
      <w:r w:rsidR="000E0C71">
        <w:rPr>
          <w:rFonts w:eastAsiaTheme="majorEastAsia" w:cstheme="majorBidi"/>
          <w:b/>
          <w:bCs/>
          <w:iCs/>
          <w:color w:val="3F4A75"/>
          <w:spacing w:val="15"/>
          <w:sz w:val="40"/>
          <w:szCs w:val="40"/>
        </w:rPr>
        <w:t>Times Report</w:t>
      </w:r>
      <w:r w:rsidR="007C1A3A" w:rsidRPr="007C1A3A">
        <w:rPr>
          <w:rFonts w:eastAsiaTheme="majorEastAsia" w:cstheme="majorBidi"/>
          <w:b/>
          <w:bCs/>
          <w:iCs/>
          <w:color w:val="3F4A75"/>
          <w:spacing w:val="15"/>
          <w:sz w:val="40"/>
          <w:szCs w:val="40"/>
        </w:rPr>
        <w:t xml:space="preserve">: </w:t>
      </w:r>
      <w:r w:rsidR="005B7C7F" w:rsidRPr="007C1A3A">
        <w:rPr>
          <w:rFonts w:eastAsiaTheme="majorEastAsia" w:cstheme="majorBidi"/>
          <w:b/>
          <w:bCs/>
          <w:iCs/>
          <w:color w:val="3F4A75"/>
          <w:spacing w:val="15"/>
          <w:sz w:val="40"/>
          <w:szCs w:val="40"/>
        </w:rPr>
        <w:t>Residential care and Support at Home</w:t>
      </w:r>
    </w:p>
    <w:p w14:paraId="68C5BE66" w14:textId="35F992A4" w:rsidR="00A54AF1" w:rsidRPr="00BB07E8" w:rsidRDefault="000E0C71" w:rsidP="00BA26B2">
      <w:pPr>
        <w:pStyle w:val="Subtitle"/>
      </w:pPr>
      <w:r>
        <w:t>First</w:t>
      </w:r>
      <w:r w:rsidR="2F3F83E1" w:rsidRPr="00BB07E8">
        <w:t xml:space="preserve"> report </w:t>
      </w:r>
    </w:p>
    <w:p w14:paraId="05264C30" w14:textId="2626BAA4" w:rsidR="00A54AF1" w:rsidRPr="00BB07E8" w:rsidRDefault="00A54AF1" w:rsidP="00A54AF1">
      <w:pPr>
        <w:rPr>
          <w:rFonts w:eastAsiaTheme="majorEastAsia" w:cstheme="majorBidi"/>
          <w:iCs/>
          <w:color w:val="3F4A75"/>
          <w:spacing w:val="15"/>
          <w:sz w:val="40"/>
        </w:rPr>
      </w:pPr>
      <w:r w:rsidRPr="00BB07E8">
        <w:rPr>
          <w:rFonts w:eastAsiaTheme="majorEastAsia" w:cstheme="majorBidi"/>
          <w:iCs/>
          <w:color w:val="3F4A75"/>
          <w:spacing w:val="15"/>
          <w:sz w:val="40"/>
        </w:rPr>
        <w:t xml:space="preserve">1 </w:t>
      </w:r>
      <w:r w:rsidR="00B97675" w:rsidRPr="00BB07E8">
        <w:rPr>
          <w:rFonts w:eastAsiaTheme="majorEastAsia" w:cstheme="majorBidi"/>
          <w:iCs/>
          <w:color w:val="3F4A75"/>
          <w:spacing w:val="15"/>
          <w:sz w:val="40"/>
        </w:rPr>
        <w:t>November 2025</w:t>
      </w:r>
      <w:r w:rsidRPr="00BB07E8">
        <w:rPr>
          <w:rFonts w:eastAsiaTheme="majorEastAsia" w:cstheme="majorBidi"/>
          <w:iCs/>
          <w:color w:val="3F4A75"/>
          <w:spacing w:val="15"/>
          <w:sz w:val="40"/>
        </w:rPr>
        <w:t xml:space="preserve"> – 31 </w:t>
      </w:r>
      <w:r w:rsidR="000E0C71">
        <w:rPr>
          <w:rFonts w:eastAsiaTheme="majorEastAsia" w:cstheme="majorBidi"/>
          <w:iCs/>
          <w:color w:val="3F4A75"/>
          <w:spacing w:val="15"/>
          <w:sz w:val="40"/>
        </w:rPr>
        <w:t>March 2026</w:t>
      </w:r>
    </w:p>
    <w:p w14:paraId="2DE14696" w14:textId="18B68ECA" w:rsidR="00FD6FE1" w:rsidRDefault="00F363A9" w:rsidP="00FD6FE1">
      <w:pPr>
        <w:tabs>
          <w:tab w:val="left" w:pos="7410"/>
        </w:tabs>
        <w:rPr>
          <w:color w:val="auto"/>
          <w:sz w:val="28"/>
          <w:szCs w:val="28"/>
        </w:rPr>
      </w:pPr>
      <w:r w:rsidRPr="00F363A9">
        <w:rPr>
          <w:color w:val="auto"/>
          <w:sz w:val="28"/>
          <w:szCs w:val="28"/>
        </w:rPr>
        <w:t xml:space="preserve">Published: </w:t>
      </w:r>
      <w:r w:rsidR="0031040B">
        <w:rPr>
          <w:color w:val="auto"/>
          <w:sz w:val="28"/>
          <w:szCs w:val="28"/>
        </w:rPr>
        <w:t>12 May</w:t>
      </w:r>
      <w:r w:rsidR="00DB5BEE" w:rsidRPr="00F363A9">
        <w:rPr>
          <w:color w:val="auto"/>
          <w:sz w:val="28"/>
          <w:szCs w:val="28"/>
        </w:rPr>
        <w:t xml:space="preserve"> </w:t>
      </w:r>
      <w:r w:rsidRPr="00F363A9">
        <w:rPr>
          <w:color w:val="auto"/>
          <w:sz w:val="28"/>
          <w:szCs w:val="28"/>
        </w:rPr>
        <w:t>202</w:t>
      </w:r>
      <w:r>
        <w:rPr>
          <w:color w:val="auto"/>
          <w:sz w:val="28"/>
          <w:szCs w:val="28"/>
        </w:rPr>
        <w:t>6</w:t>
      </w:r>
      <w:r w:rsidR="00FD6FE1">
        <w:rPr>
          <w:color w:val="auto"/>
          <w:sz w:val="28"/>
          <w:szCs w:val="28"/>
        </w:rPr>
        <w:t xml:space="preserve"> </w:t>
      </w:r>
    </w:p>
    <w:p w14:paraId="3C0A9CDC" w14:textId="594C968A" w:rsidR="00D222B0" w:rsidRDefault="00C94BC7" w:rsidP="00FD6FE1">
      <w:pPr>
        <w:tabs>
          <w:tab w:val="left" w:pos="7410"/>
        </w:tabs>
      </w:pPr>
      <w:r>
        <w:rPr>
          <w:b/>
          <w:bCs/>
        </w:rPr>
        <w:br/>
      </w:r>
    </w:p>
    <w:p w14:paraId="468C4988" w14:textId="77777777" w:rsidR="00C81C8B" w:rsidRDefault="00C81C8B" w:rsidP="00FE1135"/>
    <w:p w14:paraId="3A98B50A" w14:textId="77777777" w:rsidR="00FE1135" w:rsidRDefault="00FE1135" w:rsidP="00FE1135"/>
    <w:p w14:paraId="033C6CDF" w14:textId="77777777" w:rsidR="001F756A" w:rsidRDefault="001F756A" w:rsidP="00FE1135"/>
    <w:p w14:paraId="0C450D50" w14:textId="77777777" w:rsidR="001F756A" w:rsidRDefault="001F756A" w:rsidP="00FE1135"/>
    <w:p w14:paraId="6F5CAA08" w14:textId="77777777" w:rsidR="001F756A" w:rsidRDefault="001F756A" w:rsidP="00FE1135"/>
    <w:p w14:paraId="38A1F545" w14:textId="77777777" w:rsidR="001F756A" w:rsidRDefault="001F756A" w:rsidP="00FE1135"/>
    <w:p w14:paraId="35A71B66" w14:textId="77777777" w:rsidR="001F756A" w:rsidRDefault="001F756A" w:rsidP="00FE1135"/>
    <w:p w14:paraId="41833ECF" w14:textId="77777777" w:rsidR="001F756A" w:rsidRDefault="001F756A" w:rsidP="007010E4">
      <w:pPr>
        <w:jc w:val="center"/>
      </w:pPr>
    </w:p>
    <w:p w14:paraId="13D02379" w14:textId="77777777" w:rsidR="001F756A" w:rsidRDefault="001F756A" w:rsidP="00FE1135"/>
    <w:p w14:paraId="5DEF32F8" w14:textId="77777777" w:rsidR="001F756A" w:rsidRDefault="001F756A" w:rsidP="00FE1135"/>
    <w:p w14:paraId="12297D1C" w14:textId="77777777" w:rsidR="001F756A" w:rsidRDefault="001F756A" w:rsidP="00FE1135"/>
    <w:p w14:paraId="17AA78EC" w14:textId="77777777" w:rsidR="001F756A" w:rsidRDefault="001F756A" w:rsidP="00FE1135"/>
    <w:p w14:paraId="15DA6A48" w14:textId="77777777" w:rsidR="001F756A" w:rsidRDefault="001F756A" w:rsidP="00FE1135"/>
    <w:p w14:paraId="71C386F1" w14:textId="77777777" w:rsidR="001F756A" w:rsidRDefault="001F756A" w:rsidP="00FE1135"/>
    <w:p w14:paraId="6A321A58" w14:textId="77777777" w:rsidR="001F756A" w:rsidRDefault="001F756A" w:rsidP="00FE1135"/>
    <w:p w14:paraId="1950D9E7" w14:textId="77777777" w:rsidR="001F756A" w:rsidRDefault="001F756A" w:rsidP="00FE1135"/>
    <w:p w14:paraId="7BADE395" w14:textId="77777777" w:rsidR="001F756A" w:rsidRDefault="001F756A" w:rsidP="00FE1135"/>
    <w:p w14:paraId="0B3273E9" w14:textId="77777777" w:rsidR="001F756A" w:rsidRDefault="001F756A" w:rsidP="00FE1135"/>
    <w:p w14:paraId="63244A21" w14:textId="77777777" w:rsidR="001F756A" w:rsidRDefault="001F756A" w:rsidP="00FE1135"/>
    <w:p w14:paraId="719419C2" w14:textId="77777777" w:rsidR="001F756A" w:rsidRDefault="001F756A" w:rsidP="00FE1135"/>
    <w:p w14:paraId="3F784641" w14:textId="77777777" w:rsidR="00D317D0" w:rsidRDefault="00D317D0" w:rsidP="00FE1135"/>
    <w:p w14:paraId="5E34FC5F" w14:textId="77777777" w:rsidR="001F756A" w:rsidRPr="00FE1135" w:rsidRDefault="001F756A" w:rsidP="00FE1135"/>
    <w:sdt>
      <w:sdtPr>
        <w:rPr>
          <w:noProof w:val="0"/>
          <w:lang w:val="en-GB"/>
        </w:rPr>
        <w:id w:val="509499952"/>
        <w:docPartObj>
          <w:docPartGallery w:val="Table of Contents"/>
          <w:docPartUnique/>
        </w:docPartObj>
      </w:sdtPr>
      <w:sdtEndPr>
        <w:rPr>
          <w:b/>
          <w:bCs/>
        </w:rPr>
      </w:sdtEndPr>
      <w:sdtContent>
        <w:p w14:paraId="78413B01" w14:textId="77777777" w:rsidR="00EB292F" w:rsidRDefault="00EB292F" w:rsidP="3DDF1042">
          <w:pPr>
            <w:pStyle w:val="TOC1"/>
            <w:tabs>
              <w:tab w:val="clear" w:pos="9060"/>
            </w:tabs>
            <w:rPr>
              <w:noProof w:val="0"/>
              <w:lang w:val="en-GB"/>
            </w:rPr>
          </w:pPr>
        </w:p>
        <w:p w14:paraId="59BB811A" w14:textId="77777777" w:rsidR="00A93B31" w:rsidRDefault="00A93B31" w:rsidP="3DDF1042">
          <w:pPr>
            <w:pStyle w:val="TOC1"/>
            <w:tabs>
              <w:tab w:val="clear" w:pos="9060"/>
            </w:tabs>
            <w:rPr>
              <w:noProof w:val="0"/>
              <w:lang w:val="en-GB"/>
            </w:rPr>
          </w:pPr>
        </w:p>
        <w:p w14:paraId="11830596" w14:textId="0E038C0C" w:rsidR="00A93B31" w:rsidRPr="0031040B" w:rsidRDefault="00DE6A3A" w:rsidP="00DE6A3A">
          <w:pPr>
            <w:pStyle w:val="TOCHeading"/>
            <w:rPr>
              <w:rFonts w:ascii="Arial" w:hAnsi="Arial" w:cs="Arial"/>
              <w:b/>
              <w:bCs/>
              <w:lang w:val="en-GB"/>
            </w:rPr>
          </w:pPr>
          <w:r w:rsidRPr="0031040B">
            <w:rPr>
              <w:rFonts w:ascii="Arial" w:hAnsi="Arial" w:cs="Arial"/>
              <w:b/>
              <w:bCs/>
              <w:lang w:val="en-GB"/>
            </w:rPr>
            <w:lastRenderedPageBreak/>
            <w:t>Table of Contents</w:t>
          </w:r>
        </w:p>
        <w:p w14:paraId="73F962A5" w14:textId="0EEBD7D1" w:rsidR="00CF7850" w:rsidRDefault="00026256">
          <w:pPr>
            <w:pStyle w:val="TOC1"/>
            <w:rPr>
              <w:rFonts w:asciiTheme="minorHAnsi" w:eastAsiaTheme="minorEastAsia" w:hAnsiTheme="minorHAnsi" w:cstheme="minorBidi"/>
              <w:color w:val="auto"/>
              <w:kern w:val="2"/>
              <w:sz w:val="24"/>
              <w:lang w:eastAsia="en-AU"/>
              <w14:ligatures w14:val="standardContextual"/>
            </w:rPr>
          </w:pPr>
          <w:r>
            <w:fldChar w:fldCharType="begin"/>
          </w:r>
          <w:r>
            <w:instrText xml:space="preserve"> TOC \o "1-3" \h \z \t "Heading 4,4,Style2,5" </w:instrText>
          </w:r>
          <w:r>
            <w:fldChar w:fldCharType="separate"/>
          </w:r>
          <w:hyperlink w:anchor="_Toc229480638" w:history="1">
            <w:r w:rsidR="00CF7850" w:rsidRPr="00773EBF">
              <w:rPr>
                <w:rStyle w:val="Hyperlink"/>
              </w:rPr>
              <w:t>1.</w:t>
            </w:r>
            <w:r w:rsidR="00CF7850">
              <w:rPr>
                <w:rFonts w:asciiTheme="minorHAnsi" w:eastAsiaTheme="minorEastAsia" w:hAnsiTheme="minorHAnsi" w:cstheme="minorBidi"/>
                <w:color w:val="auto"/>
                <w:kern w:val="2"/>
                <w:sz w:val="24"/>
                <w:lang w:eastAsia="en-AU"/>
                <w14:ligatures w14:val="standardContextual"/>
              </w:rPr>
              <w:tab/>
            </w:r>
            <w:r w:rsidR="00CF7850" w:rsidRPr="00773EBF">
              <w:rPr>
                <w:rStyle w:val="Hyperlink"/>
              </w:rPr>
              <w:t>Introduction</w:t>
            </w:r>
            <w:r w:rsidR="00CF7850">
              <w:rPr>
                <w:webHidden/>
              </w:rPr>
              <w:tab/>
            </w:r>
            <w:r w:rsidR="00CF7850">
              <w:rPr>
                <w:webHidden/>
              </w:rPr>
              <w:fldChar w:fldCharType="begin"/>
            </w:r>
            <w:r w:rsidR="00CF7850">
              <w:rPr>
                <w:webHidden/>
              </w:rPr>
              <w:instrText xml:space="preserve"> PAGEREF _Toc229480638 \h </w:instrText>
            </w:r>
            <w:r w:rsidR="00CF7850">
              <w:rPr>
                <w:webHidden/>
              </w:rPr>
            </w:r>
            <w:r w:rsidR="00CF7850">
              <w:rPr>
                <w:webHidden/>
              </w:rPr>
              <w:fldChar w:fldCharType="separate"/>
            </w:r>
            <w:r w:rsidR="008D06C9">
              <w:rPr>
                <w:webHidden/>
              </w:rPr>
              <w:t>4</w:t>
            </w:r>
            <w:r w:rsidR="00CF7850">
              <w:rPr>
                <w:webHidden/>
              </w:rPr>
              <w:fldChar w:fldCharType="end"/>
            </w:r>
          </w:hyperlink>
        </w:p>
        <w:p w14:paraId="414A44A2" w14:textId="41BBD5B6" w:rsidR="00CF7850" w:rsidRDefault="00CF7850">
          <w:pPr>
            <w:pStyle w:val="TOC1"/>
            <w:rPr>
              <w:rFonts w:asciiTheme="minorHAnsi" w:eastAsiaTheme="minorEastAsia" w:hAnsiTheme="minorHAnsi" w:cstheme="minorBidi"/>
              <w:color w:val="auto"/>
              <w:kern w:val="2"/>
              <w:sz w:val="24"/>
              <w:lang w:eastAsia="en-AU"/>
              <w14:ligatures w14:val="standardContextual"/>
            </w:rPr>
          </w:pPr>
          <w:hyperlink w:anchor="_Toc229480639" w:history="1">
            <w:r w:rsidRPr="00773EBF">
              <w:rPr>
                <w:rStyle w:val="Hyperlink"/>
              </w:rPr>
              <w:t>2.</w:t>
            </w:r>
            <w:r>
              <w:rPr>
                <w:rFonts w:asciiTheme="minorHAnsi" w:eastAsiaTheme="minorEastAsia" w:hAnsiTheme="minorHAnsi" w:cstheme="minorBidi"/>
                <w:color w:val="auto"/>
                <w:kern w:val="2"/>
                <w:sz w:val="24"/>
                <w:lang w:eastAsia="en-AU"/>
                <w14:ligatures w14:val="standardContextual"/>
              </w:rPr>
              <w:tab/>
            </w:r>
            <w:r w:rsidRPr="00773EBF">
              <w:rPr>
                <w:rStyle w:val="Hyperlink"/>
              </w:rPr>
              <w:t>Executive summary</w:t>
            </w:r>
            <w:r>
              <w:rPr>
                <w:webHidden/>
              </w:rPr>
              <w:tab/>
            </w:r>
            <w:r>
              <w:rPr>
                <w:webHidden/>
              </w:rPr>
              <w:fldChar w:fldCharType="begin"/>
            </w:r>
            <w:r>
              <w:rPr>
                <w:webHidden/>
              </w:rPr>
              <w:instrText xml:space="preserve"> PAGEREF _Toc229480639 \h </w:instrText>
            </w:r>
            <w:r>
              <w:rPr>
                <w:webHidden/>
              </w:rPr>
            </w:r>
            <w:r>
              <w:rPr>
                <w:webHidden/>
              </w:rPr>
              <w:fldChar w:fldCharType="separate"/>
            </w:r>
            <w:r w:rsidR="008D06C9">
              <w:rPr>
                <w:webHidden/>
              </w:rPr>
              <w:t>5</w:t>
            </w:r>
            <w:r>
              <w:rPr>
                <w:webHidden/>
              </w:rPr>
              <w:fldChar w:fldCharType="end"/>
            </w:r>
          </w:hyperlink>
        </w:p>
        <w:p w14:paraId="5937DBE2" w14:textId="1E6DE775" w:rsidR="00CF7850" w:rsidRDefault="00CF7850">
          <w:pPr>
            <w:pStyle w:val="TOC1"/>
            <w:rPr>
              <w:rFonts w:asciiTheme="minorHAnsi" w:eastAsiaTheme="minorEastAsia" w:hAnsiTheme="minorHAnsi" w:cstheme="minorBidi"/>
              <w:color w:val="auto"/>
              <w:kern w:val="2"/>
              <w:sz w:val="24"/>
              <w:lang w:eastAsia="en-AU"/>
              <w14:ligatures w14:val="standardContextual"/>
            </w:rPr>
          </w:pPr>
          <w:hyperlink w:anchor="_Toc229480640" w:history="1">
            <w:r w:rsidRPr="00773EBF">
              <w:rPr>
                <w:rStyle w:val="Hyperlink"/>
              </w:rPr>
              <w:t>3.</w:t>
            </w:r>
            <w:r>
              <w:rPr>
                <w:rFonts w:asciiTheme="minorHAnsi" w:eastAsiaTheme="minorEastAsia" w:hAnsiTheme="minorHAnsi" w:cstheme="minorBidi"/>
                <w:color w:val="auto"/>
                <w:kern w:val="2"/>
                <w:sz w:val="24"/>
                <w:lang w:eastAsia="en-AU"/>
                <w14:ligatures w14:val="standardContextual"/>
              </w:rPr>
              <w:tab/>
            </w:r>
            <w:r w:rsidRPr="00773EBF">
              <w:rPr>
                <w:rStyle w:val="Hyperlink"/>
              </w:rPr>
              <w:t>Reporting Requirements</w:t>
            </w:r>
            <w:r>
              <w:rPr>
                <w:webHidden/>
              </w:rPr>
              <w:tab/>
            </w:r>
            <w:r>
              <w:rPr>
                <w:webHidden/>
              </w:rPr>
              <w:fldChar w:fldCharType="begin"/>
            </w:r>
            <w:r>
              <w:rPr>
                <w:webHidden/>
              </w:rPr>
              <w:instrText xml:space="preserve"> PAGEREF _Toc229480640 \h </w:instrText>
            </w:r>
            <w:r>
              <w:rPr>
                <w:webHidden/>
              </w:rPr>
            </w:r>
            <w:r>
              <w:rPr>
                <w:webHidden/>
              </w:rPr>
              <w:fldChar w:fldCharType="separate"/>
            </w:r>
            <w:r w:rsidR="008D06C9">
              <w:rPr>
                <w:webHidden/>
              </w:rPr>
              <w:t>6</w:t>
            </w:r>
            <w:r>
              <w:rPr>
                <w:webHidden/>
              </w:rPr>
              <w:fldChar w:fldCharType="end"/>
            </w:r>
          </w:hyperlink>
        </w:p>
        <w:p w14:paraId="4EFB4F8F" w14:textId="55F59820" w:rsidR="00CF7850" w:rsidRDefault="00CF7850">
          <w:pPr>
            <w:pStyle w:val="TOC1"/>
            <w:rPr>
              <w:rFonts w:asciiTheme="minorHAnsi" w:eastAsiaTheme="minorEastAsia" w:hAnsiTheme="minorHAnsi" w:cstheme="minorBidi"/>
              <w:color w:val="auto"/>
              <w:kern w:val="2"/>
              <w:sz w:val="24"/>
              <w:lang w:eastAsia="en-AU"/>
              <w14:ligatures w14:val="standardContextual"/>
            </w:rPr>
          </w:pPr>
          <w:hyperlink w:anchor="_Toc229480641" w:history="1">
            <w:r w:rsidRPr="00773EBF">
              <w:rPr>
                <w:rStyle w:val="Hyperlink"/>
              </w:rPr>
              <w:t>4.</w:t>
            </w:r>
            <w:r>
              <w:rPr>
                <w:rFonts w:asciiTheme="minorHAnsi" w:eastAsiaTheme="minorEastAsia" w:hAnsiTheme="minorHAnsi" w:cstheme="minorBidi"/>
                <w:color w:val="auto"/>
                <w:kern w:val="2"/>
                <w:sz w:val="24"/>
                <w:lang w:eastAsia="en-AU"/>
                <w14:ligatures w14:val="standardContextual"/>
              </w:rPr>
              <w:tab/>
            </w:r>
            <w:r w:rsidRPr="00773EBF">
              <w:rPr>
                <w:rStyle w:val="Hyperlink"/>
              </w:rPr>
              <w:t>Methodology</w:t>
            </w:r>
            <w:r>
              <w:rPr>
                <w:webHidden/>
              </w:rPr>
              <w:tab/>
            </w:r>
            <w:r>
              <w:rPr>
                <w:webHidden/>
              </w:rPr>
              <w:fldChar w:fldCharType="begin"/>
            </w:r>
            <w:r>
              <w:rPr>
                <w:webHidden/>
              </w:rPr>
              <w:instrText xml:space="preserve"> PAGEREF _Toc229480641 \h </w:instrText>
            </w:r>
            <w:r>
              <w:rPr>
                <w:webHidden/>
              </w:rPr>
            </w:r>
            <w:r>
              <w:rPr>
                <w:webHidden/>
              </w:rPr>
              <w:fldChar w:fldCharType="separate"/>
            </w:r>
            <w:r w:rsidR="008D06C9">
              <w:rPr>
                <w:webHidden/>
              </w:rPr>
              <w:t>8</w:t>
            </w:r>
            <w:r>
              <w:rPr>
                <w:webHidden/>
              </w:rPr>
              <w:fldChar w:fldCharType="end"/>
            </w:r>
          </w:hyperlink>
        </w:p>
        <w:p w14:paraId="1A27EE5A" w14:textId="48DACFD4"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42" w:history="1">
            <w:r w:rsidRPr="00773EBF">
              <w:rPr>
                <w:rStyle w:val="Hyperlink"/>
                <w:noProof/>
              </w:rPr>
              <w:t>Reporting period</w:t>
            </w:r>
            <w:r>
              <w:rPr>
                <w:noProof/>
                <w:webHidden/>
              </w:rPr>
              <w:tab/>
            </w:r>
            <w:r>
              <w:rPr>
                <w:noProof/>
                <w:webHidden/>
              </w:rPr>
              <w:fldChar w:fldCharType="begin"/>
            </w:r>
            <w:r>
              <w:rPr>
                <w:noProof/>
                <w:webHidden/>
              </w:rPr>
              <w:instrText xml:space="preserve"> PAGEREF _Toc229480642 \h </w:instrText>
            </w:r>
            <w:r>
              <w:rPr>
                <w:noProof/>
                <w:webHidden/>
              </w:rPr>
            </w:r>
            <w:r>
              <w:rPr>
                <w:noProof/>
                <w:webHidden/>
              </w:rPr>
              <w:fldChar w:fldCharType="separate"/>
            </w:r>
            <w:r w:rsidR="008D06C9">
              <w:rPr>
                <w:noProof/>
                <w:webHidden/>
              </w:rPr>
              <w:t>8</w:t>
            </w:r>
            <w:r>
              <w:rPr>
                <w:noProof/>
                <w:webHidden/>
              </w:rPr>
              <w:fldChar w:fldCharType="end"/>
            </w:r>
          </w:hyperlink>
        </w:p>
        <w:p w14:paraId="08EFBE87" w14:textId="4B763936"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43" w:history="1">
            <w:r w:rsidRPr="00773EBF">
              <w:rPr>
                <w:rStyle w:val="Hyperlink"/>
                <w:noProof/>
              </w:rPr>
              <w:t>Scope</w:t>
            </w:r>
            <w:r>
              <w:rPr>
                <w:noProof/>
                <w:webHidden/>
              </w:rPr>
              <w:tab/>
            </w:r>
            <w:r>
              <w:rPr>
                <w:noProof/>
                <w:webHidden/>
              </w:rPr>
              <w:fldChar w:fldCharType="begin"/>
            </w:r>
            <w:r>
              <w:rPr>
                <w:noProof/>
                <w:webHidden/>
              </w:rPr>
              <w:instrText xml:space="preserve"> PAGEREF _Toc229480643 \h </w:instrText>
            </w:r>
            <w:r>
              <w:rPr>
                <w:noProof/>
                <w:webHidden/>
              </w:rPr>
            </w:r>
            <w:r>
              <w:rPr>
                <w:noProof/>
                <w:webHidden/>
              </w:rPr>
              <w:fldChar w:fldCharType="separate"/>
            </w:r>
            <w:r w:rsidR="008D06C9">
              <w:rPr>
                <w:noProof/>
                <w:webHidden/>
              </w:rPr>
              <w:t>8</w:t>
            </w:r>
            <w:r>
              <w:rPr>
                <w:noProof/>
                <w:webHidden/>
              </w:rPr>
              <w:fldChar w:fldCharType="end"/>
            </w:r>
          </w:hyperlink>
        </w:p>
        <w:p w14:paraId="706CED9F" w14:textId="1BA430F9"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44" w:history="1">
            <w:r w:rsidRPr="00773EBF">
              <w:rPr>
                <w:rStyle w:val="Hyperlink"/>
                <w:noProof/>
              </w:rPr>
              <w:t>Wait time measure</w:t>
            </w:r>
            <w:r>
              <w:rPr>
                <w:noProof/>
                <w:webHidden/>
              </w:rPr>
              <w:tab/>
            </w:r>
            <w:r>
              <w:rPr>
                <w:noProof/>
                <w:webHidden/>
              </w:rPr>
              <w:fldChar w:fldCharType="begin"/>
            </w:r>
            <w:r>
              <w:rPr>
                <w:noProof/>
                <w:webHidden/>
              </w:rPr>
              <w:instrText xml:space="preserve"> PAGEREF _Toc229480644 \h </w:instrText>
            </w:r>
            <w:r>
              <w:rPr>
                <w:noProof/>
                <w:webHidden/>
              </w:rPr>
            </w:r>
            <w:r>
              <w:rPr>
                <w:noProof/>
                <w:webHidden/>
              </w:rPr>
              <w:fldChar w:fldCharType="separate"/>
            </w:r>
            <w:r w:rsidR="008D06C9">
              <w:rPr>
                <w:noProof/>
                <w:webHidden/>
              </w:rPr>
              <w:t>8</w:t>
            </w:r>
            <w:r>
              <w:rPr>
                <w:noProof/>
                <w:webHidden/>
              </w:rPr>
              <w:fldChar w:fldCharType="end"/>
            </w:r>
          </w:hyperlink>
        </w:p>
        <w:p w14:paraId="1DE4EFE3" w14:textId="25D69619"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45" w:history="1">
            <w:r w:rsidRPr="00773EBF">
              <w:rPr>
                <w:rStyle w:val="Hyperlink"/>
                <w:noProof/>
              </w:rPr>
              <w:t>Key dates</w:t>
            </w:r>
            <w:r>
              <w:rPr>
                <w:noProof/>
                <w:webHidden/>
              </w:rPr>
              <w:tab/>
            </w:r>
            <w:r>
              <w:rPr>
                <w:noProof/>
                <w:webHidden/>
              </w:rPr>
              <w:fldChar w:fldCharType="begin"/>
            </w:r>
            <w:r>
              <w:rPr>
                <w:noProof/>
                <w:webHidden/>
              </w:rPr>
              <w:instrText xml:space="preserve"> PAGEREF _Toc229480645 \h </w:instrText>
            </w:r>
            <w:r>
              <w:rPr>
                <w:noProof/>
                <w:webHidden/>
              </w:rPr>
            </w:r>
            <w:r>
              <w:rPr>
                <w:noProof/>
                <w:webHidden/>
              </w:rPr>
              <w:fldChar w:fldCharType="separate"/>
            </w:r>
            <w:r w:rsidR="008D06C9">
              <w:rPr>
                <w:noProof/>
                <w:webHidden/>
              </w:rPr>
              <w:t>8</w:t>
            </w:r>
            <w:r>
              <w:rPr>
                <w:noProof/>
                <w:webHidden/>
              </w:rPr>
              <w:fldChar w:fldCharType="end"/>
            </w:r>
          </w:hyperlink>
        </w:p>
        <w:p w14:paraId="72D3AC81" w14:textId="724935AE"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46" w:history="1">
            <w:r w:rsidRPr="00773EBF">
              <w:rPr>
                <w:rStyle w:val="Hyperlink"/>
                <w:noProof/>
              </w:rPr>
              <w:t>Counting rules</w:t>
            </w:r>
            <w:r>
              <w:rPr>
                <w:noProof/>
                <w:webHidden/>
              </w:rPr>
              <w:tab/>
            </w:r>
            <w:r>
              <w:rPr>
                <w:noProof/>
                <w:webHidden/>
              </w:rPr>
              <w:fldChar w:fldCharType="begin"/>
            </w:r>
            <w:r>
              <w:rPr>
                <w:noProof/>
                <w:webHidden/>
              </w:rPr>
              <w:instrText xml:space="preserve"> PAGEREF _Toc229480646 \h </w:instrText>
            </w:r>
            <w:r>
              <w:rPr>
                <w:noProof/>
                <w:webHidden/>
              </w:rPr>
            </w:r>
            <w:r>
              <w:rPr>
                <w:noProof/>
                <w:webHidden/>
              </w:rPr>
              <w:fldChar w:fldCharType="separate"/>
            </w:r>
            <w:r w:rsidR="008D06C9">
              <w:rPr>
                <w:noProof/>
                <w:webHidden/>
              </w:rPr>
              <w:t>9</w:t>
            </w:r>
            <w:r>
              <w:rPr>
                <w:noProof/>
                <w:webHidden/>
              </w:rPr>
              <w:fldChar w:fldCharType="end"/>
            </w:r>
          </w:hyperlink>
        </w:p>
        <w:p w14:paraId="3D8DD749" w14:textId="16F3014F"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47" w:history="1">
            <w:r w:rsidRPr="00773EBF">
              <w:rPr>
                <w:rStyle w:val="Hyperlink"/>
                <w:noProof/>
              </w:rPr>
              <w:t>Outlier exclusions</w:t>
            </w:r>
            <w:r>
              <w:rPr>
                <w:noProof/>
                <w:webHidden/>
              </w:rPr>
              <w:tab/>
            </w:r>
            <w:r>
              <w:rPr>
                <w:noProof/>
                <w:webHidden/>
              </w:rPr>
              <w:fldChar w:fldCharType="begin"/>
            </w:r>
            <w:r>
              <w:rPr>
                <w:noProof/>
                <w:webHidden/>
              </w:rPr>
              <w:instrText xml:space="preserve"> PAGEREF _Toc229480647 \h </w:instrText>
            </w:r>
            <w:r>
              <w:rPr>
                <w:noProof/>
                <w:webHidden/>
              </w:rPr>
            </w:r>
            <w:r>
              <w:rPr>
                <w:noProof/>
                <w:webHidden/>
              </w:rPr>
              <w:fldChar w:fldCharType="separate"/>
            </w:r>
            <w:r w:rsidR="008D06C9">
              <w:rPr>
                <w:noProof/>
                <w:webHidden/>
              </w:rPr>
              <w:t>9</w:t>
            </w:r>
            <w:r>
              <w:rPr>
                <w:noProof/>
                <w:webHidden/>
              </w:rPr>
              <w:fldChar w:fldCharType="end"/>
            </w:r>
          </w:hyperlink>
        </w:p>
        <w:p w14:paraId="0588E044" w14:textId="46FC0D3D"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48" w:history="1">
            <w:r w:rsidRPr="00773EBF">
              <w:rPr>
                <w:rStyle w:val="Hyperlink"/>
                <w:noProof/>
              </w:rPr>
              <w:t>Summary statistics</w:t>
            </w:r>
            <w:r>
              <w:rPr>
                <w:noProof/>
                <w:webHidden/>
              </w:rPr>
              <w:tab/>
            </w:r>
            <w:r>
              <w:rPr>
                <w:noProof/>
                <w:webHidden/>
              </w:rPr>
              <w:fldChar w:fldCharType="begin"/>
            </w:r>
            <w:r>
              <w:rPr>
                <w:noProof/>
                <w:webHidden/>
              </w:rPr>
              <w:instrText xml:space="preserve"> PAGEREF _Toc229480648 \h </w:instrText>
            </w:r>
            <w:r>
              <w:rPr>
                <w:noProof/>
                <w:webHidden/>
              </w:rPr>
            </w:r>
            <w:r>
              <w:rPr>
                <w:noProof/>
                <w:webHidden/>
              </w:rPr>
              <w:fldChar w:fldCharType="separate"/>
            </w:r>
            <w:r w:rsidR="008D06C9">
              <w:rPr>
                <w:noProof/>
                <w:webHidden/>
              </w:rPr>
              <w:t>9</w:t>
            </w:r>
            <w:r>
              <w:rPr>
                <w:noProof/>
                <w:webHidden/>
              </w:rPr>
              <w:fldChar w:fldCharType="end"/>
            </w:r>
          </w:hyperlink>
        </w:p>
        <w:p w14:paraId="6F1054E3" w14:textId="3A03CF42"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49" w:history="1">
            <w:r w:rsidRPr="00773EBF">
              <w:rPr>
                <w:rStyle w:val="Hyperlink"/>
                <w:noProof/>
              </w:rPr>
              <w:t>Location data</w:t>
            </w:r>
            <w:r>
              <w:rPr>
                <w:noProof/>
                <w:webHidden/>
              </w:rPr>
              <w:tab/>
            </w:r>
            <w:r>
              <w:rPr>
                <w:noProof/>
                <w:webHidden/>
              </w:rPr>
              <w:fldChar w:fldCharType="begin"/>
            </w:r>
            <w:r>
              <w:rPr>
                <w:noProof/>
                <w:webHidden/>
              </w:rPr>
              <w:instrText xml:space="preserve"> PAGEREF _Toc229480649 \h </w:instrText>
            </w:r>
            <w:r>
              <w:rPr>
                <w:noProof/>
                <w:webHidden/>
              </w:rPr>
            </w:r>
            <w:r>
              <w:rPr>
                <w:noProof/>
                <w:webHidden/>
              </w:rPr>
              <w:fldChar w:fldCharType="separate"/>
            </w:r>
            <w:r w:rsidR="008D06C9">
              <w:rPr>
                <w:noProof/>
                <w:webHidden/>
              </w:rPr>
              <w:t>9</w:t>
            </w:r>
            <w:r>
              <w:rPr>
                <w:noProof/>
                <w:webHidden/>
              </w:rPr>
              <w:fldChar w:fldCharType="end"/>
            </w:r>
          </w:hyperlink>
        </w:p>
        <w:p w14:paraId="60956D8B" w14:textId="21168A8C"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50" w:history="1">
            <w:r w:rsidRPr="00773EBF">
              <w:rPr>
                <w:rStyle w:val="Hyperlink"/>
                <w:noProof/>
              </w:rPr>
              <w:t>Interpretation</w:t>
            </w:r>
            <w:r>
              <w:rPr>
                <w:noProof/>
                <w:webHidden/>
              </w:rPr>
              <w:tab/>
            </w:r>
            <w:r>
              <w:rPr>
                <w:noProof/>
                <w:webHidden/>
              </w:rPr>
              <w:fldChar w:fldCharType="begin"/>
            </w:r>
            <w:r>
              <w:rPr>
                <w:noProof/>
                <w:webHidden/>
              </w:rPr>
              <w:instrText xml:space="preserve"> PAGEREF _Toc229480650 \h </w:instrText>
            </w:r>
            <w:r>
              <w:rPr>
                <w:noProof/>
                <w:webHidden/>
              </w:rPr>
            </w:r>
            <w:r>
              <w:rPr>
                <w:noProof/>
                <w:webHidden/>
              </w:rPr>
              <w:fldChar w:fldCharType="separate"/>
            </w:r>
            <w:r w:rsidR="008D06C9">
              <w:rPr>
                <w:noProof/>
                <w:webHidden/>
              </w:rPr>
              <w:t>9</w:t>
            </w:r>
            <w:r>
              <w:rPr>
                <w:noProof/>
                <w:webHidden/>
              </w:rPr>
              <w:fldChar w:fldCharType="end"/>
            </w:r>
          </w:hyperlink>
        </w:p>
        <w:p w14:paraId="5F9848AF" w14:textId="0D7025E1"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51" w:history="1">
            <w:r w:rsidRPr="00773EBF">
              <w:rPr>
                <w:rStyle w:val="Hyperlink"/>
                <w:noProof/>
              </w:rPr>
              <w:t>Disclaimer</w:t>
            </w:r>
            <w:r>
              <w:rPr>
                <w:noProof/>
                <w:webHidden/>
              </w:rPr>
              <w:tab/>
            </w:r>
            <w:r>
              <w:rPr>
                <w:noProof/>
                <w:webHidden/>
              </w:rPr>
              <w:fldChar w:fldCharType="begin"/>
            </w:r>
            <w:r>
              <w:rPr>
                <w:noProof/>
                <w:webHidden/>
              </w:rPr>
              <w:instrText xml:space="preserve"> PAGEREF _Toc229480651 \h </w:instrText>
            </w:r>
            <w:r>
              <w:rPr>
                <w:noProof/>
                <w:webHidden/>
              </w:rPr>
            </w:r>
            <w:r>
              <w:rPr>
                <w:noProof/>
                <w:webHidden/>
              </w:rPr>
              <w:fldChar w:fldCharType="separate"/>
            </w:r>
            <w:r w:rsidR="008D06C9">
              <w:rPr>
                <w:noProof/>
                <w:webHidden/>
              </w:rPr>
              <w:t>9</w:t>
            </w:r>
            <w:r>
              <w:rPr>
                <w:noProof/>
                <w:webHidden/>
              </w:rPr>
              <w:fldChar w:fldCharType="end"/>
            </w:r>
          </w:hyperlink>
        </w:p>
        <w:p w14:paraId="70293D95" w14:textId="53686DAF" w:rsidR="00CF7850" w:rsidRDefault="00CF7850">
          <w:pPr>
            <w:pStyle w:val="TOC1"/>
            <w:rPr>
              <w:rFonts w:asciiTheme="minorHAnsi" w:eastAsiaTheme="minorEastAsia" w:hAnsiTheme="minorHAnsi" w:cstheme="minorBidi"/>
              <w:color w:val="auto"/>
              <w:kern w:val="2"/>
              <w:sz w:val="24"/>
              <w:lang w:eastAsia="en-AU"/>
              <w14:ligatures w14:val="standardContextual"/>
            </w:rPr>
          </w:pPr>
          <w:hyperlink w:anchor="_Toc229480652" w:history="1">
            <w:r w:rsidRPr="00773EBF">
              <w:rPr>
                <w:rStyle w:val="Hyperlink"/>
              </w:rPr>
              <w:t>5.</w:t>
            </w:r>
            <w:r>
              <w:rPr>
                <w:rFonts w:asciiTheme="minorHAnsi" w:eastAsiaTheme="minorEastAsia" w:hAnsiTheme="minorHAnsi" w:cstheme="minorBidi"/>
                <w:color w:val="auto"/>
                <w:kern w:val="2"/>
                <w:sz w:val="24"/>
                <w:lang w:eastAsia="en-AU"/>
                <w14:ligatures w14:val="standardContextual"/>
              </w:rPr>
              <w:tab/>
            </w:r>
            <w:r w:rsidRPr="00773EBF">
              <w:rPr>
                <w:rStyle w:val="Hyperlink"/>
              </w:rPr>
              <w:t>The aged care access pathway</w:t>
            </w:r>
            <w:r>
              <w:rPr>
                <w:webHidden/>
              </w:rPr>
              <w:tab/>
            </w:r>
            <w:r>
              <w:rPr>
                <w:webHidden/>
              </w:rPr>
              <w:fldChar w:fldCharType="begin"/>
            </w:r>
            <w:r>
              <w:rPr>
                <w:webHidden/>
              </w:rPr>
              <w:instrText xml:space="preserve"> PAGEREF _Toc229480652 \h </w:instrText>
            </w:r>
            <w:r>
              <w:rPr>
                <w:webHidden/>
              </w:rPr>
            </w:r>
            <w:r>
              <w:rPr>
                <w:webHidden/>
              </w:rPr>
              <w:fldChar w:fldCharType="separate"/>
            </w:r>
            <w:r w:rsidR="008D06C9">
              <w:rPr>
                <w:webHidden/>
              </w:rPr>
              <w:t>11</w:t>
            </w:r>
            <w:r>
              <w:rPr>
                <w:webHidden/>
              </w:rPr>
              <w:fldChar w:fldCharType="end"/>
            </w:r>
          </w:hyperlink>
        </w:p>
        <w:p w14:paraId="792C7F6D" w14:textId="2FD05693" w:rsidR="00CF7850" w:rsidRDefault="00CF7850">
          <w:pPr>
            <w:pStyle w:val="TOC1"/>
            <w:rPr>
              <w:rFonts w:asciiTheme="minorHAnsi" w:eastAsiaTheme="minorEastAsia" w:hAnsiTheme="minorHAnsi" w:cstheme="minorBidi"/>
              <w:color w:val="auto"/>
              <w:kern w:val="2"/>
              <w:sz w:val="24"/>
              <w:lang w:eastAsia="en-AU"/>
              <w14:ligatures w14:val="standardContextual"/>
            </w:rPr>
          </w:pPr>
          <w:hyperlink w:anchor="_Toc229480653" w:history="1">
            <w:r w:rsidRPr="00773EBF">
              <w:rPr>
                <w:rStyle w:val="Hyperlink"/>
              </w:rPr>
              <w:t>6.</w:t>
            </w:r>
            <w:r>
              <w:rPr>
                <w:rFonts w:asciiTheme="minorHAnsi" w:eastAsiaTheme="minorEastAsia" w:hAnsiTheme="minorHAnsi" w:cstheme="minorBidi"/>
                <w:color w:val="auto"/>
                <w:kern w:val="2"/>
                <w:sz w:val="24"/>
                <w:lang w:eastAsia="en-AU"/>
                <w14:ligatures w14:val="standardContextual"/>
              </w:rPr>
              <w:tab/>
            </w:r>
            <w:r w:rsidRPr="00773EBF">
              <w:rPr>
                <w:rStyle w:val="Hyperlink"/>
              </w:rPr>
              <w:t>Applications awaiting a decision</w:t>
            </w:r>
            <w:r>
              <w:rPr>
                <w:webHidden/>
              </w:rPr>
              <w:tab/>
            </w:r>
            <w:r>
              <w:rPr>
                <w:webHidden/>
              </w:rPr>
              <w:fldChar w:fldCharType="begin"/>
            </w:r>
            <w:r>
              <w:rPr>
                <w:webHidden/>
              </w:rPr>
              <w:instrText xml:space="preserve"> PAGEREF _Toc229480653 \h </w:instrText>
            </w:r>
            <w:r>
              <w:rPr>
                <w:webHidden/>
              </w:rPr>
            </w:r>
            <w:r>
              <w:rPr>
                <w:webHidden/>
              </w:rPr>
              <w:fldChar w:fldCharType="separate"/>
            </w:r>
            <w:r w:rsidR="008D06C9">
              <w:rPr>
                <w:webHidden/>
              </w:rPr>
              <w:t>13</w:t>
            </w:r>
            <w:r>
              <w:rPr>
                <w:webHidden/>
              </w:rPr>
              <w:fldChar w:fldCharType="end"/>
            </w:r>
          </w:hyperlink>
        </w:p>
        <w:p w14:paraId="3B217401" w14:textId="269B71D2" w:rsidR="00CF7850" w:rsidRDefault="00CF7850">
          <w:pPr>
            <w:pStyle w:val="TOC2"/>
            <w:rPr>
              <w:rFonts w:asciiTheme="minorHAnsi" w:eastAsiaTheme="minorEastAsia" w:hAnsiTheme="minorHAnsi" w:cstheme="minorBidi"/>
              <w:color w:val="auto"/>
              <w:kern w:val="2"/>
              <w:sz w:val="24"/>
              <w:lang w:eastAsia="en-AU"/>
              <w14:ligatures w14:val="standardContextual"/>
            </w:rPr>
          </w:pPr>
          <w:hyperlink w:anchor="_Toc229480654" w:history="1">
            <w:r w:rsidRPr="00773EBF">
              <w:rPr>
                <w:rStyle w:val="Hyperlink"/>
              </w:rPr>
              <w:t>6.1</w:t>
            </w:r>
            <w:r>
              <w:rPr>
                <w:rFonts w:asciiTheme="minorHAnsi" w:eastAsiaTheme="minorEastAsia" w:hAnsiTheme="minorHAnsi" w:cstheme="minorBidi"/>
                <w:color w:val="auto"/>
                <w:kern w:val="2"/>
                <w:sz w:val="24"/>
                <w:lang w:eastAsia="en-AU"/>
                <w14:ligatures w14:val="standardContextual"/>
              </w:rPr>
              <w:tab/>
            </w:r>
            <w:r w:rsidRPr="00773EBF">
              <w:rPr>
                <w:rStyle w:val="Hyperlink"/>
              </w:rPr>
              <w:t>Number of undecided applications (342A(2)(a))</w:t>
            </w:r>
            <w:r>
              <w:rPr>
                <w:webHidden/>
              </w:rPr>
              <w:tab/>
            </w:r>
            <w:r>
              <w:rPr>
                <w:webHidden/>
              </w:rPr>
              <w:fldChar w:fldCharType="begin"/>
            </w:r>
            <w:r>
              <w:rPr>
                <w:webHidden/>
              </w:rPr>
              <w:instrText xml:space="preserve"> PAGEREF _Toc229480654 \h </w:instrText>
            </w:r>
            <w:r>
              <w:rPr>
                <w:webHidden/>
              </w:rPr>
            </w:r>
            <w:r>
              <w:rPr>
                <w:webHidden/>
              </w:rPr>
              <w:fldChar w:fldCharType="separate"/>
            </w:r>
            <w:r w:rsidR="008D06C9">
              <w:rPr>
                <w:webHidden/>
              </w:rPr>
              <w:t>13</w:t>
            </w:r>
            <w:r>
              <w:rPr>
                <w:webHidden/>
              </w:rPr>
              <w:fldChar w:fldCharType="end"/>
            </w:r>
          </w:hyperlink>
        </w:p>
        <w:p w14:paraId="0D6C2A80" w14:textId="6CB12A9C"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55" w:history="1">
            <w:r w:rsidRPr="00773EBF">
              <w:rPr>
                <w:rStyle w:val="Hyperlink"/>
                <w:noProof/>
              </w:rPr>
              <w:t>Table 1: Triage count at end of the reporting period</w:t>
            </w:r>
            <w:r>
              <w:rPr>
                <w:noProof/>
                <w:webHidden/>
              </w:rPr>
              <w:tab/>
            </w:r>
            <w:r>
              <w:rPr>
                <w:noProof/>
                <w:webHidden/>
              </w:rPr>
              <w:fldChar w:fldCharType="begin"/>
            </w:r>
            <w:r>
              <w:rPr>
                <w:noProof/>
                <w:webHidden/>
              </w:rPr>
              <w:instrText xml:space="preserve"> PAGEREF _Toc229480655 \h </w:instrText>
            </w:r>
            <w:r>
              <w:rPr>
                <w:noProof/>
                <w:webHidden/>
              </w:rPr>
            </w:r>
            <w:r>
              <w:rPr>
                <w:noProof/>
                <w:webHidden/>
              </w:rPr>
              <w:fldChar w:fldCharType="separate"/>
            </w:r>
            <w:r w:rsidR="008D06C9">
              <w:rPr>
                <w:noProof/>
                <w:webHidden/>
              </w:rPr>
              <w:t>13</w:t>
            </w:r>
            <w:r>
              <w:rPr>
                <w:noProof/>
                <w:webHidden/>
              </w:rPr>
              <w:fldChar w:fldCharType="end"/>
            </w:r>
          </w:hyperlink>
        </w:p>
        <w:p w14:paraId="09A725B4" w14:textId="55E6C6F3" w:rsidR="00CF7850" w:rsidRDefault="00CF7850">
          <w:pPr>
            <w:pStyle w:val="TOC1"/>
            <w:rPr>
              <w:rFonts w:asciiTheme="minorHAnsi" w:eastAsiaTheme="minorEastAsia" w:hAnsiTheme="minorHAnsi" w:cstheme="minorBidi"/>
              <w:color w:val="auto"/>
              <w:kern w:val="2"/>
              <w:sz w:val="24"/>
              <w:lang w:eastAsia="en-AU"/>
              <w14:ligatures w14:val="standardContextual"/>
            </w:rPr>
          </w:pPr>
          <w:hyperlink w:anchor="_Toc229480656" w:history="1">
            <w:r w:rsidRPr="00773EBF">
              <w:rPr>
                <w:rStyle w:val="Hyperlink"/>
              </w:rPr>
              <w:t>7.</w:t>
            </w:r>
            <w:r>
              <w:rPr>
                <w:rFonts w:asciiTheme="minorHAnsi" w:eastAsiaTheme="minorEastAsia" w:hAnsiTheme="minorHAnsi" w:cstheme="minorBidi"/>
                <w:color w:val="auto"/>
                <w:kern w:val="2"/>
                <w:sz w:val="24"/>
                <w:lang w:eastAsia="en-AU"/>
                <w14:ligatures w14:val="standardContextual"/>
              </w:rPr>
              <w:tab/>
            </w:r>
            <w:r w:rsidRPr="00773EBF">
              <w:rPr>
                <w:rStyle w:val="Hyperlink"/>
              </w:rPr>
              <w:t>Waiting periods for services commencing during the quarter</w:t>
            </w:r>
            <w:r>
              <w:rPr>
                <w:webHidden/>
              </w:rPr>
              <w:tab/>
            </w:r>
            <w:r>
              <w:rPr>
                <w:webHidden/>
              </w:rPr>
              <w:fldChar w:fldCharType="begin"/>
            </w:r>
            <w:r>
              <w:rPr>
                <w:webHidden/>
              </w:rPr>
              <w:instrText xml:space="preserve"> PAGEREF _Toc229480656 \h </w:instrText>
            </w:r>
            <w:r>
              <w:rPr>
                <w:webHidden/>
              </w:rPr>
            </w:r>
            <w:r>
              <w:rPr>
                <w:webHidden/>
              </w:rPr>
              <w:fldChar w:fldCharType="separate"/>
            </w:r>
            <w:r w:rsidR="008D06C9">
              <w:rPr>
                <w:webHidden/>
              </w:rPr>
              <w:t>14</w:t>
            </w:r>
            <w:r>
              <w:rPr>
                <w:webHidden/>
              </w:rPr>
              <w:fldChar w:fldCharType="end"/>
            </w:r>
          </w:hyperlink>
        </w:p>
        <w:p w14:paraId="6C5E1C84" w14:textId="5A5A0474" w:rsidR="00CF7850" w:rsidRDefault="00CF7850">
          <w:pPr>
            <w:pStyle w:val="TOC2"/>
            <w:rPr>
              <w:rFonts w:asciiTheme="minorHAnsi" w:eastAsiaTheme="minorEastAsia" w:hAnsiTheme="minorHAnsi" w:cstheme="minorBidi"/>
              <w:color w:val="auto"/>
              <w:kern w:val="2"/>
              <w:sz w:val="24"/>
              <w:lang w:eastAsia="en-AU"/>
              <w14:ligatures w14:val="standardContextual"/>
            </w:rPr>
          </w:pPr>
          <w:hyperlink w:anchor="_Toc229480657" w:history="1">
            <w:r w:rsidRPr="00773EBF">
              <w:rPr>
                <w:rStyle w:val="Hyperlink"/>
              </w:rPr>
              <w:t>7.1</w:t>
            </w:r>
            <w:r>
              <w:rPr>
                <w:rFonts w:asciiTheme="minorHAnsi" w:eastAsiaTheme="minorEastAsia" w:hAnsiTheme="minorHAnsi" w:cstheme="minorBidi"/>
                <w:color w:val="auto"/>
                <w:kern w:val="2"/>
                <w:sz w:val="24"/>
                <w:lang w:eastAsia="en-AU"/>
                <w14:ligatures w14:val="standardContextual"/>
              </w:rPr>
              <w:tab/>
            </w:r>
            <w:r w:rsidRPr="00773EBF">
              <w:rPr>
                <w:rStyle w:val="Hyperlink"/>
              </w:rPr>
              <w:t>Average and median waiting period  (342A(2)(b) and (c))</w:t>
            </w:r>
            <w:r>
              <w:rPr>
                <w:webHidden/>
              </w:rPr>
              <w:tab/>
            </w:r>
            <w:r>
              <w:rPr>
                <w:webHidden/>
              </w:rPr>
              <w:fldChar w:fldCharType="begin"/>
            </w:r>
            <w:r>
              <w:rPr>
                <w:webHidden/>
              </w:rPr>
              <w:instrText xml:space="preserve"> PAGEREF _Toc229480657 \h </w:instrText>
            </w:r>
            <w:r>
              <w:rPr>
                <w:webHidden/>
              </w:rPr>
            </w:r>
            <w:r>
              <w:rPr>
                <w:webHidden/>
              </w:rPr>
              <w:fldChar w:fldCharType="separate"/>
            </w:r>
            <w:r w:rsidR="008D06C9">
              <w:rPr>
                <w:webHidden/>
              </w:rPr>
              <w:t>14</w:t>
            </w:r>
            <w:r>
              <w:rPr>
                <w:webHidden/>
              </w:rPr>
              <w:fldChar w:fldCharType="end"/>
            </w:r>
          </w:hyperlink>
        </w:p>
        <w:p w14:paraId="7178E1A5" w14:textId="572038DC"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58" w:history="1">
            <w:r w:rsidRPr="00773EBF">
              <w:rPr>
                <w:rStyle w:val="Hyperlink"/>
                <w:noProof/>
              </w:rPr>
              <w:t>Table 2: Average and median number of days/months between application and commencement of all non-specialist services</w:t>
            </w:r>
            <w:r>
              <w:rPr>
                <w:noProof/>
                <w:webHidden/>
              </w:rPr>
              <w:tab/>
            </w:r>
            <w:r>
              <w:rPr>
                <w:noProof/>
                <w:webHidden/>
              </w:rPr>
              <w:fldChar w:fldCharType="begin"/>
            </w:r>
            <w:r>
              <w:rPr>
                <w:noProof/>
                <w:webHidden/>
              </w:rPr>
              <w:instrText xml:space="preserve"> PAGEREF _Toc229480658 \h </w:instrText>
            </w:r>
            <w:r>
              <w:rPr>
                <w:noProof/>
                <w:webHidden/>
              </w:rPr>
            </w:r>
            <w:r>
              <w:rPr>
                <w:noProof/>
                <w:webHidden/>
              </w:rPr>
              <w:fldChar w:fldCharType="separate"/>
            </w:r>
            <w:r w:rsidR="008D06C9">
              <w:rPr>
                <w:noProof/>
                <w:webHidden/>
              </w:rPr>
              <w:t>14</w:t>
            </w:r>
            <w:r>
              <w:rPr>
                <w:noProof/>
                <w:webHidden/>
              </w:rPr>
              <w:fldChar w:fldCharType="end"/>
            </w:r>
          </w:hyperlink>
        </w:p>
        <w:p w14:paraId="45757426" w14:textId="411A13C8" w:rsidR="00CF7850" w:rsidRDefault="00CF7850">
          <w:pPr>
            <w:pStyle w:val="TOC1"/>
            <w:rPr>
              <w:rFonts w:asciiTheme="minorHAnsi" w:eastAsiaTheme="minorEastAsia" w:hAnsiTheme="minorHAnsi" w:cstheme="minorBidi"/>
              <w:color w:val="auto"/>
              <w:kern w:val="2"/>
              <w:sz w:val="24"/>
              <w:lang w:eastAsia="en-AU"/>
              <w14:ligatures w14:val="standardContextual"/>
            </w:rPr>
          </w:pPr>
          <w:hyperlink w:anchor="_Toc229480659" w:history="1">
            <w:r w:rsidRPr="00773EBF">
              <w:rPr>
                <w:rStyle w:val="Hyperlink"/>
              </w:rPr>
              <w:t>8.</w:t>
            </w:r>
            <w:r>
              <w:rPr>
                <w:rFonts w:asciiTheme="minorHAnsi" w:eastAsiaTheme="minorEastAsia" w:hAnsiTheme="minorHAnsi" w:cstheme="minorBidi"/>
                <w:color w:val="auto"/>
                <w:kern w:val="2"/>
                <w:sz w:val="24"/>
                <w:lang w:eastAsia="en-AU"/>
                <w14:ligatures w14:val="standardContextual"/>
              </w:rPr>
              <w:tab/>
            </w:r>
            <w:r w:rsidRPr="00773EBF">
              <w:rPr>
                <w:rStyle w:val="Hyperlink"/>
              </w:rPr>
              <w:t>Assessment of differences by service setting</w:t>
            </w:r>
            <w:r>
              <w:rPr>
                <w:webHidden/>
              </w:rPr>
              <w:tab/>
            </w:r>
            <w:r>
              <w:rPr>
                <w:webHidden/>
              </w:rPr>
              <w:fldChar w:fldCharType="begin"/>
            </w:r>
            <w:r>
              <w:rPr>
                <w:webHidden/>
              </w:rPr>
              <w:instrText xml:space="preserve"> PAGEREF _Toc229480659 \h </w:instrText>
            </w:r>
            <w:r>
              <w:rPr>
                <w:webHidden/>
              </w:rPr>
            </w:r>
            <w:r>
              <w:rPr>
                <w:webHidden/>
              </w:rPr>
              <w:fldChar w:fldCharType="separate"/>
            </w:r>
            <w:r w:rsidR="008D06C9">
              <w:rPr>
                <w:webHidden/>
              </w:rPr>
              <w:t>15</w:t>
            </w:r>
            <w:r>
              <w:rPr>
                <w:webHidden/>
              </w:rPr>
              <w:fldChar w:fldCharType="end"/>
            </w:r>
          </w:hyperlink>
        </w:p>
        <w:p w14:paraId="45F59D5C" w14:textId="5CAB0DB7" w:rsidR="00CF7850" w:rsidRDefault="00CF7850">
          <w:pPr>
            <w:pStyle w:val="TOC2"/>
            <w:rPr>
              <w:rFonts w:asciiTheme="minorHAnsi" w:eastAsiaTheme="minorEastAsia" w:hAnsiTheme="minorHAnsi" w:cstheme="minorBidi"/>
              <w:color w:val="auto"/>
              <w:kern w:val="2"/>
              <w:sz w:val="24"/>
              <w:lang w:eastAsia="en-AU"/>
              <w14:ligatures w14:val="standardContextual"/>
            </w:rPr>
          </w:pPr>
          <w:hyperlink w:anchor="_Toc229480660" w:history="1">
            <w:r w:rsidRPr="00773EBF">
              <w:rPr>
                <w:rStyle w:val="Hyperlink"/>
              </w:rPr>
              <w:t>8.1</w:t>
            </w:r>
            <w:r>
              <w:rPr>
                <w:rFonts w:asciiTheme="minorHAnsi" w:eastAsiaTheme="minorEastAsia" w:hAnsiTheme="minorHAnsi" w:cstheme="minorBidi"/>
                <w:color w:val="auto"/>
                <w:kern w:val="2"/>
                <w:sz w:val="24"/>
                <w:lang w:eastAsia="en-AU"/>
                <w14:ligatures w14:val="standardContextual"/>
              </w:rPr>
              <w:tab/>
            </w:r>
            <w:r w:rsidRPr="00773EBF">
              <w:rPr>
                <w:rStyle w:val="Hyperlink"/>
              </w:rPr>
              <w:t>Residential care compared with home and community settings (342A(2)(d))</w:t>
            </w:r>
            <w:r>
              <w:rPr>
                <w:webHidden/>
              </w:rPr>
              <w:tab/>
            </w:r>
            <w:r>
              <w:rPr>
                <w:webHidden/>
              </w:rPr>
              <w:fldChar w:fldCharType="begin"/>
            </w:r>
            <w:r>
              <w:rPr>
                <w:webHidden/>
              </w:rPr>
              <w:instrText xml:space="preserve"> PAGEREF _Toc229480660 \h </w:instrText>
            </w:r>
            <w:r>
              <w:rPr>
                <w:webHidden/>
              </w:rPr>
            </w:r>
            <w:r>
              <w:rPr>
                <w:webHidden/>
              </w:rPr>
              <w:fldChar w:fldCharType="separate"/>
            </w:r>
            <w:r w:rsidR="008D06C9">
              <w:rPr>
                <w:webHidden/>
              </w:rPr>
              <w:t>15</w:t>
            </w:r>
            <w:r>
              <w:rPr>
                <w:webHidden/>
              </w:rPr>
              <w:fldChar w:fldCharType="end"/>
            </w:r>
          </w:hyperlink>
        </w:p>
        <w:p w14:paraId="7AA2BE2A" w14:textId="34D3329F"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61" w:history="1">
            <w:r w:rsidRPr="00773EBF">
              <w:rPr>
                <w:rStyle w:val="Hyperlink"/>
                <w:noProof/>
              </w:rPr>
              <w:t>Table 3: Average and median number of days/months between application and commencement of services in a residential setting</w:t>
            </w:r>
            <w:r>
              <w:rPr>
                <w:noProof/>
                <w:webHidden/>
              </w:rPr>
              <w:tab/>
            </w:r>
            <w:r>
              <w:rPr>
                <w:noProof/>
                <w:webHidden/>
              </w:rPr>
              <w:fldChar w:fldCharType="begin"/>
            </w:r>
            <w:r>
              <w:rPr>
                <w:noProof/>
                <w:webHidden/>
              </w:rPr>
              <w:instrText xml:space="preserve"> PAGEREF _Toc229480661 \h </w:instrText>
            </w:r>
            <w:r>
              <w:rPr>
                <w:noProof/>
                <w:webHidden/>
              </w:rPr>
            </w:r>
            <w:r>
              <w:rPr>
                <w:noProof/>
                <w:webHidden/>
              </w:rPr>
              <w:fldChar w:fldCharType="separate"/>
            </w:r>
            <w:r w:rsidR="008D06C9">
              <w:rPr>
                <w:noProof/>
                <w:webHidden/>
              </w:rPr>
              <w:t>15</w:t>
            </w:r>
            <w:r>
              <w:rPr>
                <w:noProof/>
                <w:webHidden/>
              </w:rPr>
              <w:fldChar w:fldCharType="end"/>
            </w:r>
          </w:hyperlink>
        </w:p>
        <w:p w14:paraId="5066591A" w14:textId="1A6B7CF1"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62" w:history="1">
            <w:r w:rsidRPr="00773EBF">
              <w:rPr>
                <w:rStyle w:val="Hyperlink"/>
                <w:noProof/>
              </w:rPr>
              <w:t>Table 4: Average and median number of days/months between application and commencement of services in a community setting</w:t>
            </w:r>
            <w:r>
              <w:rPr>
                <w:noProof/>
                <w:webHidden/>
              </w:rPr>
              <w:tab/>
            </w:r>
            <w:r>
              <w:rPr>
                <w:noProof/>
                <w:webHidden/>
              </w:rPr>
              <w:fldChar w:fldCharType="begin"/>
            </w:r>
            <w:r>
              <w:rPr>
                <w:noProof/>
                <w:webHidden/>
              </w:rPr>
              <w:instrText xml:space="preserve"> PAGEREF _Toc229480662 \h </w:instrText>
            </w:r>
            <w:r>
              <w:rPr>
                <w:noProof/>
                <w:webHidden/>
              </w:rPr>
            </w:r>
            <w:r>
              <w:rPr>
                <w:noProof/>
                <w:webHidden/>
              </w:rPr>
              <w:fldChar w:fldCharType="separate"/>
            </w:r>
            <w:r w:rsidR="008D06C9">
              <w:rPr>
                <w:noProof/>
                <w:webHidden/>
              </w:rPr>
              <w:t>16</w:t>
            </w:r>
            <w:r>
              <w:rPr>
                <w:noProof/>
                <w:webHidden/>
              </w:rPr>
              <w:fldChar w:fldCharType="end"/>
            </w:r>
          </w:hyperlink>
        </w:p>
        <w:p w14:paraId="0175206D" w14:textId="5AB42533" w:rsidR="00CF7850" w:rsidRDefault="00CF7850">
          <w:pPr>
            <w:pStyle w:val="TOC1"/>
            <w:rPr>
              <w:rFonts w:asciiTheme="minorHAnsi" w:eastAsiaTheme="minorEastAsia" w:hAnsiTheme="minorHAnsi" w:cstheme="minorBidi"/>
              <w:color w:val="auto"/>
              <w:kern w:val="2"/>
              <w:sz w:val="24"/>
              <w:lang w:eastAsia="en-AU"/>
              <w14:ligatures w14:val="standardContextual"/>
            </w:rPr>
          </w:pPr>
          <w:hyperlink w:anchor="_Toc229480663" w:history="1">
            <w:r w:rsidRPr="00773EBF">
              <w:rPr>
                <w:rStyle w:val="Hyperlink"/>
              </w:rPr>
              <w:t>9.</w:t>
            </w:r>
            <w:r>
              <w:rPr>
                <w:rFonts w:asciiTheme="minorHAnsi" w:eastAsiaTheme="minorEastAsia" w:hAnsiTheme="minorHAnsi" w:cstheme="minorBidi"/>
                <w:color w:val="auto"/>
                <w:kern w:val="2"/>
                <w:sz w:val="24"/>
                <w:lang w:eastAsia="en-AU"/>
                <w14:ligatures w14:val="standardContextual"/>
              </w:rPr>
              <w:tab/>
            </w:r>
            <w:r w:rsidRPr="00773EBF">
              <w:rPr>
                <w:rStyle w:val="Hyperlink"/>
              </w:rPr>
              <w:t>Assessment of differences by State or Territory</w:t>
            </w:r>
            <w:r>
              <w:rPr>
                <w:webHidden/>
              </w:rPr>
              <w:tab/>
            </w:r>
            <w:r>
              <w:rPr>
                <w:webHidden/>
              </w:rPr>
              <w:fldChar w:fldCharType="begin"/>
            </w:r>
            <w:r>
              <w:rPr>
                <w:webHidden/>
              </w:rPr>
              <w:instrText xml:space="preserve"> PAGEREF _Toc229480663 \h </w:instrText>
            </w:r>
            <w:r>
              <w:rPr>
                <w:webHidden/>
              </w:rPr>
            </w:r>
            <w:r>
              <w:rPr>
                <w:webHidden/>
              </w:rPr>
              <w:fldChar w:fldCharType="separate"/>
            </w:r>
            <w:r w:rsidR="008D06C9">
              <w:rPr>
                <w:webHidden/>
              </w:rPr>
              <w:t>17</w:t>
            </w:r>
            <w:r>
              <w:rPr>
                <w:webHidden/>
              </w:rPr>
              <w:fldChar w:fldCharType="end"/>
            </w:r>
          </w:hyperlink>
        </w:p>
        <w:p w14:paraId="0569B13F" w14:textId="523E6A10" w:rsidR="00CF7850" w:rsidRDefault="00CF7850">
          <w:pPr>
            <w:pStyle w:val="TOC2"/>
            <w:rPr>
              <w:rFonts w:asciiTheme="minorHAnsi" w:eastAsiaTheme="minorEastAsia" w:hAnsiTheme="minorHAnsi" w:cstheme="minorBidi"/>
              <w:color w:val="auto"/>
              <w:kern w:val="2"/>
              <w:sz w:val="24"/>
              <w:lang w:eastAsia="en-AU"/>
              <w14:ligatures w14:val="standardContextual"/>
            </w:rPr>
          </w:pPr>
          <w:hyperlink w:anchor="_Toc229480664" w:history="1">
            <w:r w:rsidRPr="00773EBF">
              <w:rPr>
                <w:rStyle w:val="Hyperlink"/>
              </w:rPr>
              <w:t>9.1</w:t>
            </w:r>
            <w:r>
              <w:rPr>
                <w:rFonts w:asciiTheme="minorHAnsi" w:eastAsiaTheme="minorEastAsia" w:hAnsiTheme="minorHAnsi" w:cstheme="minorBidi"/>
                <w:color w:val="auto"/>
                <w:kern w:val="2"/>
                <w:sz w:val="24"/>
                <w:lang w:eastAsia="en-AU"/>
                <w14:ligatures w14:val="standardContextual"/>
              </w:rPr>
              <w:tab/>
            </w:r>
            <w:r w:rsidRPr="00773EBF">
              <w:rPr>
                <w:rStyle w:val="Hyperlink"/>
              </w:rPr>
              <w:t>Elapsed time by State and Territory of service delivery (342A(2)(e))</w:t>
            </w:r>
            <w:r>
              <w:rPr>
                <w:webHidden/>
              </w:rPr>
              <w:tab/>
            </w:r>
            <w:r>
              <w:rPr>
                <w:webHidden/>
              </w:rPr>
              <w:fldChar w:fldCharType="begin"/>
            </w:r>
            <w:r>
              <w:rPr>
                <w:webHidden/>
              </w:rPr>
              <w:instrText xml:space="preserve"> PAGEREF _Toc229480664 \h </w:instrText>
            </w:r>
            <w:r>
              <w:rPr>
                <w:webHidden/>
              </w:rPr>
            </w:r>
            <w:r>
              <w:rPr>
                <w:webHidden/>
              </w:rPr>
              <w:fldChar w:fldCharType="separate"/>
            </w:r>
            <w:r w:rsidR="008D06C9">
              <w:rPr>
                <w:webHidden/>
              </w:rPr>
              <w:t>17</w:t>
            </w:r>
            <w:r>
              <w:rPr>
                <w:webHidden/>
              </w:rPr>
              <w:fldChar w:fldCharType="end"/>
            </w:r>
          </w:hyperlink>
        </w:p>
        <w:p w14:paraId="0FC57560" w14:textId="642E0419" w:rsidR="00CF7850" w:rsidRDefault="00CF7850" w:rsidP="0066690E">
          <w:pPr>
            <w:pStyle w:val="TOC4"/>
            <w:rPr>
              <w:rFonts w:asciiTheme="minorHAnsi" w:eastAsiaTheme="minorEastAsia" w:hAnsiTheme="minorHAnsi" w:cstheme="minorBidi"/>
              <w:color w:val="auto"/>
              <w:kern w:val="2"/>
              <w:sz w:val="24"/>
              <w:lang w:eastAsia="en-AU"/>
              <w14:ligatures w14:val="standardContextual"/>
            </w:rPr>
          </w:pPr>
          <w:hyperlink w:anchor="_Toc229480665" w:history="1">
            <w:r w:rsidRPr="00773EBF">
              <w:rPr>
                <w:rStyle w:val="Hyperlink"/>
                <w:noProof/>
              </w:rPr>
              <w:t>Table 5: Average and median number of days between application and commencement of services by jurisdiction</w:t>
            </w:r>
            <w:r>
              <w:rPr>
                <w:noProof/>
                <w:webHidden/>
              </w:rPr>
              <w:tab/>
            </w:r>
            <w:r>
              <w:rPr>
                <w:noProof/>
                <w:webHidden/>
              </w:rPr>
              <w:fldChar w:fldCharType="begin"/>
            </w:r>
            <w:r>
              <w:rPr>
                <w:noProof/>
                <w:webHidden/>
              </w:rPr>
              <w:instrText xml:space="preserve"> PAGEREF _Toc229480665 \h </w:instrText>
            </w:r>
            <w:r>
              <w:rPr>
                <w:noProof/>
                <w:webHidden/>
              </w:rPr>
            </w:r>
            <w:r>
              <w:rPr>
                <w:noProof/>
                <w:webHidden/>
              </w:rPr>
              <w:fldChar w:fldCharType="separate"/>
            </w:r>
            <w:r w:rsidR="008D06C9">
              <w:rPr>
                <w:noProof/>
                <w:webHidden/>
              </w:rPr>
              <w:t>17</w:t>
            </w:r>
            <w:r>
              <w:rPr>
                <w:noProof/>
                <w:webHidden/>
              </w:rPr>
              <w:fldChar w:fldCharType="end"/>
            </w:r>
          </w:hyperlink>
        </w:p>
        <w:p w14:paraId="25349541" w14:textId="14395A00" w:rsidR="00CF7850" w:rsidRDefault="00CF7850">
          <w:pPr>
            <w:pStyle w:val="TOC1"/>
            <w:rPr>
              <w:rFonts w:asciiTheme="minorHAnsi" w:eastAsiaTheme="minorEastAsia" w:hAnsiTheme="minorHAnsi" w:cstheme="minorBidi"/>
              <w:color w:val="auto"/>
              <w:kern w:val="2"/>
              <w:sz w:val="24"/>
              <w:lang w:eastAsia="en-AU"/>
              <w14:ligatures w14:val="standardContextual"/>
            </w:rPr>
          </w:pPr>
          <w:hyperlink w:anchor="_Toc229480667" w:history="1">
            <w:r w:rsidRPr="00773EBF">
              <w:rPr>
                <w:rStyle w:val="Hyperlink"/>
              </w:rPr>
              <w:t>10.</w:t>
            </w:r>
            <w:r>
              <w:rPr>
                <w:rFonts w:asciiTheme="minorHAnsi" w:eastAsiaTheme="minorEastAsia" w:hAnsiTheme="minorHAnsi" w:cstheme="minorBidi"/>
                <w:color w:val="auto"/>
                <w:kern w:val="2"/>
                <w:sz w:val="24"/>
                <w:lang w:eastAsia="en-AU"/>
                <w14:ligatures w14:val="standardContextual"/>
              </w:rPr>
              <w:tab/>
            </w:r>
            <w:r w:rsidRPr="00773EBF">
              <w:rPr>
                <w:rStyle w:val="Hyperlink"/>
              </w:rPr>
              <w:t>Assessment of differences by local region</w:t>
            </w:r>
            <w:r>
              <w:rPr>
                <w:webHidden/>
              </w:rPr>
              <w:tab/>
            </w:r>
            <w:r>
              <w:rPr>
                <w:webHidden/>
              </w:rPr>
              <w:fldChar w:fldCharType="begin"/>
            </w:r>
            <w:r>
              <w:rPr>
                <w:webHidden/>
              </w:rPr>
              <w:instrText xml:space="preserve"> PAGEREF _Toc229480667 \h </w:instrText>
            </w:r>
            <w:r>
              <w:rPr>
                <w:webHidden/>
              </w:rPr>
            </w:r>
            <w:r>
              <w:rPr>
                <w:webHidden/>
              </w:rPr>
              <w:fldChar w:fldCharType="separate"/>
            </w:r>
            <w:r w:rsidR="008D06C9">
              <w:rPr>
                <w:webHidden/>
              </w:rPr>
              <w:t>19</w:t>
            </w:r>
            <w:r>
              <w:rPr>
                <w:webHidden/>
              </w:rPr>
              <w:fldChar w:fldCharType="end"/>
            </w:r>
          </w:hyperlink>
        </w:p>
        <w:p w14:paraId="6D4EACFC" w14:textId="31B07502" w:rsidR="00CF7850" w:rsidRDefault="00CF7850">
          <w:pPr>
            <w:pStyle w:val="TOC2"/>
            <w:rPr>
              <w:rFonts w:asciiTheme="minorHAnsi" w:eastAsiaTheme="minorEastAsia" w:hAnsiTheme="minorHAnsi" w:cstheme="minorBidi"/>
              <w:color w:val="auto"/>
              <w:kern w:val="2"/>
              <w:sz w:val="24"/>
              <w:lang w:eastAsia="en-AU"/>
              <w14:ligatures w14:val="standardContextual"/>
            </w:rPr>
          </w:pPr>
          <w:hyperlink w:anchor="_Toc229480668" w:history="1">
            <w:r w:rsidRPr="00773EBF">
              <w:rPr>
                <w:rStyle w:val="Hyperlink"/>
              </w:rPr>
              <w:t>10.1</w:t>
            </w:r>
            <w:r>
              <w:rPr>
                <w:rFonts w:asciiTheme="minorHAnsi" w:eastAsiaTheme="minorEastAsia" w:hAnsiTheme="minorHAnsi" w:cstheme="minorBidi"/>
                <w:color w:val="auto"/>
                <w:kern w:val="2"/>
                <w:sz w:val="24"/>
                <w:lang w:eastAsia="en-AU"/>
                <w14:ligatures w14:val="standardContextual"/>
              </w:rPr>
              <w:tab/>
            </w:r>
            <w:r w:rsidRPr="00773EBF">
              <w:rPr>
                <w:rStyle w:val="Hyperlink"/>
              </w:rPr>
              <w:t>Elapsed time by local region by Aged Care Planning Region (ACPR) (342A(2)(f)).</w:t>
            </w:r>
            <w:r>
              <w:rPr>
                <w:webHidden/>
              </w:rPr>
              <w:tab/>
            </w:r>
            <w:r>
              <w:rPr>
                <w:webHidden/>
              </w:rPr>
              <w:fldChar w:fldCharType="begin"/>
            </w:r>
            <w:r>
              <w:rPr>
                <w:webHidden/>
              </w:rPr>
              <w:instrText xml:space="preserve"> PAGEREF _Toc229480668 \h </w:instrText>
            </w:r>
            <w:r>
              <w:rPr>
                <w:webHidden/>
              </w:rPr>
            </w:r>
            <w:r>
              <w:rPr>
                <w:webHidden/>
              </w:rPr>
              <w:fldChar w:fldCharType="separate"/>
            </w:r>
            <w:r w:rsidR="008D06C9">
              <w:rPr>
                <w:webHidden/>
              </w:rPr>
              <w:t>19</w:t>
            </w:r>
            <w:r>
              <w:rPr>
                <w:webHidden/>
              </w:rPr>
              <w:fldChar w:fldCharType="end"/>
            </w:r>
          </w:hyperlink>
        </w:p>
        <w:p w14:paraId="7E4F3F99" w14:textId="75E7C973" w:rsidR="00CF7850" w:rsidRDefault="00CF7850">
          <w:pPr>
            <w:pStyle w:val="TOC3"/>
            <w:tabs>
              <w:tab w:val="right" w:leader="dot" w:pos="9062"/>
            </w:tabs>
            <w:rPr>
              <w:rFonts w:asciiTheme="minorHAnsi" w:eastAsiaTheme="minorEastAsia" w:hAnsiTheme="minorHAnsi" w:cstheme="minorBidi"/>
              <w:noProof/>
              <w:color w:val="auto"/>
              <w:kern w:val="2"/>
              <w:sz w:val="24"/>
              <w:lang w:eastAsia="en-AU"/>
              <w14:ligatures w14:val="standardContextual"/>
            </w:rPr>
          </w:pPr>
          <w:hyperlink w:anchor="_Toc229480669" w:history="1">
            <w:r w:rsidRPr="00773EBF">
              <w:rPr>
                <w:rStyle w:val="Hyperlink"/>
                <w:noProof/>
              </w:rPr>
              <w:t>New South Wales</w:t>
            </w:r>
            <w:r>
              <w:rPr>
                <w:noProof/>
                <w:webHidden/>
              </w:rPr>
              <w:tab/>
            </w:r>
            <w:r>
              <w:rPr>
                <w:noProof/>
                <w:webHidden/>
              </w:rPr>
              <w:fldChar w:fldCharType="begin"/>
            </w:r>
            <w:r>
              <w:rPr>
                <w:noProof/>
                <w:webHidden/>
              </w:rPr>
              <w:instrText xml:space="preserve"> PAGEREF _Toc229480669 \h </w:instrText>
            </w:r>
            <w:r>
              <w:rPr>
                <w:noProof/>
                <w:webHidden/>
              </w:rPr>
            </w:r>
            <w:r>
              <w:rPr>
                <w:noProof/>
                <w:webHidden/>
              </w:rPr>
              <w:fldChar w:fldCharType="separate"/>
            </w:r>
            <w:r w:rsidR="008D06C9">
              <w:rPr>
                <w:noProof/>
                <w:webHidden/>
              </w:rPr>
              <w:t>19</w:t>
            </w:r>
            <w:r>
              <w:rPr>
                <w:noProof/>
                <w:webHidden/>
              </w:rPr>
              <w:fldChar w:fldCharType="end"/>
            </w:r>
          </w:hyperlink>
        </w:p>
        <w:p w14:paraId="4147BAC1" w14:textId="1B79ED1F"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70" w:history="1">
            <w:r w:rsidRPr="00773EBF">
              <w:rPr>
                <w:rStyle w:val="Hyperlink"/>
                <w:noProof/>
              </w:rPr>
              <w:t>Table 6: Average (avg)/Median (mdn) number of days/months between an application for aged care and service commencement for services commenced in the reporting period.</w:t>
            </w:r>
            <w:r>
              <w:rPr>
                <w:noProof/>
                <w:webHidden/>
              </w:rPr>
              <w:tab/>
            </w:r>
            <w:r>
              <w:rPr>
                <w:noProof/>
                <w:webHidden/>
              </w:rPr>
              <w:fldChar w:fldCharType="begin"/>
            </w:r>
            <w:r>
              <w:rPr>
                <w:noProof/>
                <w:webHidden/>
              </w:rPr>
              <w:instrText xml:space="preserve"> PAGEREF _Toc229480670 \h </w:instrText>
            </w:r>
            <w:r>
              <w:rPr>
                <w:noProof/>
                <w:webHidden/>
              </w:rPr>
            </w:r>
            <w:r>
              <w:rPr>
                <w:noProof/>
                <w:webHidden/>
              </w:rPr>
              <w:fldChar w:fldCharType="separate"/>
            </w:r>
            <w:r w:rsidR="008D06C9">
              <w:rPr>
                <w:noProof/>
                <w:webHidden/>
              </w:rPr>
              <w:t>19</w:t>
            </w:r>
            <w:r>
              <w:rPr>
                <w:noProof/>
                <w:webHidden/>
              </w:rPr>
              <w:fldChar w:fldCharType="end"/>
            </w:r>
          </w:hyperlink>
        </w:p>
        <w:p w14:paraId="77D466C9" w14:textId="710E653B" w:rsidR="00CF7850" w:rsidRDefault="00CF7850">
          <w:pPr>
            <w:pStyle w:val="TOC3"/>
            <w:tabs>
              <w:tab w:val="right" w:leader="dot" w:pos="9062"/>
            </w:tabs>
            <w:rPr>
              <w:rFonts w:asciiTheme="minorHAnsi" w:eastAsiaTheme="minorEastAsia" w:hAnsiTheme="minorHAnsi" w:cstheme="minorBidi"/>
              <w:noProof/>
              <w:color w:val="auto"/>
              <w:kern w:val="2"/>
              <w:sz w:val="24"/>
              <w:lang w:eastAsia="en-AU"/>
              <w14:ligatures w14:val="standardContextual"/>
            </w:rPr>
          </w:pPr>
          <w:hyperlink w:anchor="_Toc229480671" w:history="1">
            <w:r w:rsidRPr="00773EBF">
              <w:rPr>
                <w:rStyle w:val="Hyperlink"/>
                <w:noProof/>
              </w:rPr>
              <w:t>Victoria</w:t>
            </w:r>
            <w:r>
              <w:rPr>
                <w:noProof/>
                <w:webHidden/>
              </w:rPr>
              <w:tab/>
            </w:r>
            <w:r>
              <w:rPr>
                <w:noProof/>
                <w:webHidden/>
              </w:rPr>
              <w:fldChar w:fldCharType="begin"/>
            </w:r>
            <w:r>
              <w:rPr>
                <w:noProof/>
                <w:webHidden/>
              </w:rPr>
              <w:instrText xml:space="preserve"> PAGEREF _Toc229480671 \h </w:instrText>
            </w:r>
            <w:r>
              <w:rPr>
                <w:noProof/>
                <w:webHidden/>
              </w:rPr>
            </w:r>
            <w:r>
              <w:rPr>
                <w:noProof/>
                <w:webHidden/>
              </w:rPr>
              <w:fldChar w:fldCharType="separate"/>
            </w:r>
            <w:r w:rsidR="008D06C9">
              <w:rPr>
                <w:noProof/>
                <w:webHidden/>
              </w:rPr>
              <w:t>20</w:t>
            </w:r>
            <w:r>
              <w:rPr>
                <w:noProof/>
                <w:webHidden/>
              </w:rPr>
              <w:fldChar w:fldCharType="end"/>
            </w:r>
          </w:hyperlink>
        </w:p>
        <w:p w14:paraId="2A7823B5" w14:textId="6C2AF195"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72" w:history="1">
            <w:r w:rsidRPr="00773EBF">
              <w:rPr>
                <w:rStyle w:val="Hyperlink"/>
                <w:noProof/>
              </w:rPr>
              <w:t>Table 7: Average (avg)/Median (mdn) number of days/months between an application for aged care and service commencement for services commenced in the reporting period.</w:t>
            </w:r>
            <w:r>
              <w:rPr>
                <w:noProof/>
                <w:webHidden/>
              </w:rPr>
              <w:tab/>
            </w:r>
            <w:r>
              <w:rPr>
                <w:noProof/>
                <w:webHidden/>
              </w:rPr>
              <w:fldChar w:fldCharType="begin"/>
            </w:r>
            <w:r>
              <w:rPr>
                <w:noProof/>
                <w:webHidden/>
              </w:rPr>
              <w:instrText xml:space="preserve"> PAGEREF _Toc229480672 \h </w:instrText>
            </w:r>
            <w:r>
              <w:rPr>
                <w:noProof/>
                <w:webHidden/>
              </w:rPr>
            </w:r>
            <w:r>
              <w:rPr>
                <w:noProof/>
                <w:webHidden/>
              </w:rPr>
              <w:fldChar w:fldCharType="separate"/>
            </w:r>
            <w:r w:rsidR="008D06C9">
              <w:rPr>
                <w:noProof/>
                <w:webHidden/>
              </w:rPr>
              <w:t>20</w:t>
            </w:r>
            <w:r>
              <w:rPr>
                <w:noProof/>
                <w:webHidden/>
              </w:rPr>
              <w:fldChar w:fldCharType="end"/>
            </w:r>
          </w:hyperlink>
        </w:p>
        <w:p w14:paraId="5DFEA5CD" w14:textId="24480002" w:rsidR="00CF7850" w:rsidRDefault="00CF7850">
          <w:pPr>
            <w:pStyle w:val="TOC3"/>
            <w:tabs>
              <w:tab w:val="right" w:leader="dot" w:pos="9062"/>
            </w:tabs>
            <w:rPr>
              <w:rFonts w:asciiTheme="minorHAnsi" w:eastAsiaTheme="minorEastAsia" w:hAnsiTheme="minorHAnsi" w:cstheme="minorBidi"/>
              <w:noProof/>
              <w:color w:val="auto"/>
              <w:kern w:val="2"/>
              <w:sz w:val="24"/>
              <w:lang w:eastAsia="en-AU"/>
              <w14:ligatures w14:val="standardContextual"/>
            </w:rPr>
          </w:pPr>
          <w:hyperlink w:anchor="_Toc229480673" w:history="1">
            <w:r w:rsidRPr="00773EBF">
              <w:rPr>
                <w:rStyle w:val="Hyperlink"/>
                <w:noProof/>
              </w:rPr>
              <w:t>Queensland</w:t>
            </w:r>
            <w:r>
              <w:rPr>
                <w:noProof/>
                <w:webHidden/>
              </w:rPr>
              <w:tab/>
            </w:r>
            <w:r>
              <w:rPr>
                <w:noProof/>
                <w:webHidden/>
              </w:rPr>
              <w:fldChar w:fldCharType="begin"/>
            </w:r>
            <w:r>
              <w:rPr>
                <w:noProof/>
                <w:webHidden/>
              </w:rPr>
              <w:instrText xml:space="preserve"> PAGEREF _Toc229480673 \h </w:instrText>
            </w:r>
            <w:r>
              <w:rPr>
                <w:noProof/>
                <w:webHidden/>
              </w:rPr>
            </w:r>
            <w:r>
              <w:rPr>
                <w:noProof/>
                <w:webHidden/>
              </w:rPr>
              <w:fldChar w:fldCharType="separate"/>
            </w:r>
            <w:r w:rsidR="008D06C9">
              <w:rPr>
                <w:noProof/>
                <w:webHidden/>
              </w:rPr>
              <w:t>21</w:t>
            </w:r>
            <w:r>
              <w:rPr>
                <w:noProof/>
                <w:webHidden/>
              </w:rPr>
              <w:fldChar w:fldCharType="end"/>
            </w:r>
          </w:hyperlink>
        </w:p>
        <w:p w14:paraId="0D2B9B84" w14:textId="0294AE36"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74" w:history="1">
            <w:r w:rsidRPr="00773EBF">
              <w:rPr>
                <w:rStyle w:val="Hyperlink"/>
                <w:noProof/>
              </w:rPr>
              <w:t>Table 8: Average (avg)/Median (mdn) number of days/months between an application for aged care and service commencement for services commenced in the reporting period.</w:t>
            </w:r>
            <w:r>
              <w:rPr>
                <w:noProof/>
                <w:webHidden/>
              </w:rPr>
              <w:tab/>
            </w:r>
            <w:r>
              <w:rPr>
                <w:noProof/>
                <w:webHidden/>
              </w:rPr>
              <w:fldChar w:fldCharType="begin"/>
            </w:r>
            <w:r>
              <w:rPr>
                <w:noProof/>
                <w:webHidden/>
              </w:rPr>
              <w:instrText xml:space="preserve"> PAGEREF _Toc229480674 \h </w:instrText>
            </w:r>
            <w:r>
              <w:rPr>
                <w:noProof/>
                <w:webHidden/>
              </w:rPr>
            </w:r>
            <w:r>
              <w:rPr>
                <w:noProof/>
                <w:webHidden/>
              </w:rPr>
              <w:fldChar w:fldCharType="separate"/>
            </w:r>
            <w:r w:rsidR="008D06C9">
              <w:rPr>
                <w:noProof/>
                <w:webHidden/>
              </w:rPr>
              <w:t>21</w:t>
            </w:r>
            <w:r>
              <w:rPr>
                <w:noProof/>
                <w:webHidden/>
              </w:rPr>
              <w:fldChar w:fldCharType="end"/>
            </w:r>
          </w:hyperlink>
        </w:p>
        <w:p w14:paraId="5CF9DBF6" w14:textId="255482FF" w:rsidR="00CF7850" w:rsidRDefault="00CF7850">
          <w:pPr>
            <w:pStyle w:val="TOC3"/>
            <w:tabs>
              <w:tab w:val="right" w:leader="dot" w:pos="9062"/>
            </w:tabs>
            <w:rPr>
              <w:rFonts w:asciiTheme="minorHAnsi" w:eastAsiaTheme="minorEastAsia" w:hAnsiTheme="minorHAnsi" w:cstheme="minorBidi"/>
              <w:noProof/>
              <w:color w:val="auto"/>
              <w:kern w:val="2"/>
              <w:sz w:val="24"/>
              <w:lang w:eastAsia="en-AU"/>
              <w14:ligatures w14:val="standardContextual"/>
            </w:rPr>
          </w:pPr>
          <w:hyperlink w:anchor="_Toc229480675" w:history="1">
            <w:r w:rsidRPr="00773EBF">
              <w:rPr>
                <w:rStyle w:val="Hyperlink"/>
                <w:noProof/>
              </w:rPr>
              <w:t>Western Australia</w:t>
            </w:r>
            <w:r>
              <w:rPr>
                <w:noProof/>
                <w:webHidden/>
              </w:rPr>
              <w:tab/>
            </w:r>
            <w:r>
              <w:rPr>
                <w:noProof/>
                <w:webHidden/>
              </w:rPr>
              <w:fldChar w:fldCharType="begin"/>
            </w:r>
            <w:r>
              <w:rPr>
                <w:noProof/>
                <w:webHidden/>
              </w:rPr>
              <w:instrText xml:space="preserve"> PAGEREF _Toc229480675 \h </w:instrText>
            </w:r>
            <w:r>
              <w:rPr>
                <w:noProof/>
                <w:webHidden/>
              </w:rPr>
            </w:r>
            <w:r>
              <w:rPr>
                <w:noProof/>
                <w:webHidden/>
              </w:rPr>
              <w:fldChar w:fldCharType="separate"/>
            </w:r>
            <w:r w:rsidR="008D06C9">
              <w:rPr>
                <w:noProof/>
                <w:webHidden/>
              </w:rPr>
              <w:t>22</w:t>
            </w:r>
            <w:r>
              <w:rPr>
                <w:noProof/>
                <w:webHidden/>
              </w:rPr>
              <w:fldChar w:fldCharType="end"/>
            </w:r>
          </w:hyperlink>
        </w:p>
        <w:p w14:paraId="7878515E" w14:textId="42012043"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76" w:history="1">
            <w:r w:rsidRPr="00773EBF">
              <w:rPr>
                <w:rStyle w:val="Hyperlink"/>
                <w:noProof/>
              </w:rPr>
              <w:t>Table 9: Average (avg)/Median (mdn) number of days/months between an application for aged care and service commencement for services commenced in the reporting period.</w:t>
            </w:r>
            <w:r>
              <w:rPr>
                <w:noProof/>
                <w:webHidden/>
              </w:rPr>
              <w:tab/>
            </w:r>
            <w:r>
              <w:rPr>
                <w:noProof/>
                <w:webHidden/>
              </w:rPr>
              <w:fldChar w:fldCharType="begin"/>
            </w:r>
            <w:r>
              <w:rPr>
                <w:noProof/>
                <w:webHidden/>
              </w:rPr>
              <w:instrText xml:space="preserve"> PAGEREF _Toc229480676 \h </w:instrText>
            </w:r>
            <w:r>
              <w:rPr>
                <w:noProof/>
                <w:webHidden/>
              </w:rPr>
            </w:r>
            <w:r>
              <w:rPr>
                <w:noProof/>
                <w:webHidden/>
              </w:rPr>
              <w:fldChar w:fldCharType="separate"/>
            </w:r>
            <w:r w:rsidR="008D06C9">
              <w:rPr>
                <w:noProof/>
                <w:webHidden/>
              </w:rPr>
              <w:t>22</w:t>
            </w:r>
            <w:r>
              <w:rPr>
                <w:noProof/>
                <w:webHidden/>
              </w:rPr>
              <w:fldChar w:fldCharType="end"/>
            </w:r>
          </w:hyperlink>
        </w:p>
        <w:p w14:paraId="3AD67DA8" w14:textId="5D0FA94A" w:rsidR="00CF7850" w:rsidRDefault="00CF7850">
          <w:pPr>
            <w:pStyle w:val="TOC3"/>
            <w:tabs>
              <w:tab w:val="right" w:leader="dot" w:pos="9062"/>
            </w:tabs>
            <w:rPr>
              <w:rFonts w:asciiTheme="minorHAnsi" w:eastAsiaTheme="minorEastAsia" w:hAnsiTheme="minorHAnsi" w:cstheme="minorBidi"/>
              <w:noProof/>
              <w:color w:val="auto"/>
              <w:kern w:val="2"/>
              <w:sz w:val="24"/>
              <w:lang w:eastAsia="en-AU"/>
              <w14:ligatures w14:val="standardContextual"/>
            </w:rPr>
          </w:pPr>
          <w:hyperlink w:anchor="_Toc229480677" w:history="1">
            <w:r w:rsidRPr="00773EBF">
              <w:rPr>
                <w:rStyle w:val="Hyperlink"/>
                <w:noProof/>
              </w:rPr>
              <w:t>South Australia</w:t>
            </w:r>
            <w:r>
              <w:rPr>
                <w:noProof/>
                <w:webHidden/>
              </w:rPr>
              <w:tab/>
            </w:r>
            <w:r>
              <w:rPr>
                <w:noProof/>
                <w:webHidden/>
              </w:rPr>
              <w:fldChar w:fldCharType="begin"/>
            </w:r>
            <w:r>
              <w:rPr>
                <w:noProof/>
                <w:webHidden/>
              </w:rPr>
              <w:instrText xml:space="preserve"> PAGEREF _Toc229480677 \h </w:instrText>
            </w:r>
            <w:r>
              <w:rPr>
                <w:noProof/>
                <w:webHidden/>
              </w:rPr>
            </w:r>
            <w:r>
              <w:rPr>
                <w:noProof/>
                <w:webHidden/>
              </w:rPr>
              <w:fldChar w:fldCharType="separate"/>
            </w:r>
            <w:r w:rsidR="008D06C9">
              <w:rPr>
                <w:noProof/>
                <w:webHidden/>
              </w:rPr>
              <w:t>23</w:t>
            </w:r>
            <w:r>
              <w:rPr>
                <w:noProof/>
                <w:webHidden/>
              </w:rPr>
              <w:fldChar w:fldCharType="end"/>
            </w:r>
          </w:hyperlink>
        </w:p>
        <w:p w14:paraId="519F6F45" w14:textId="3C59E00A"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78" w:history="1">
            <w:r w:rsidRPr="00773EBF">
              <w:rPr>
                <w:rStyle w:val="Hyperlink"/>
                <w:noProof/>
              </w:rPr>
              <w:t>Table 10: Average (avg)/Median (mdn) number of days/months between an application for aged care and service commencement for services commenced in the reporting period.</w:t>
            </w:r>
            <w:r>
              <w:rPr>
                <w:noProof/>
                <w:webHidden/>
              </w:rPr>
              <w:tab/>
            </w:r>
            <w:r>
              <w:rPr>
                <w:noProof/>
                <w:webHidden/>
              </w:rPr>
              <w:fldChar w:fldCharType="begin"/>
            </w:r>
            <w:r>
              <w:rPr>
                <w:noProof/>
                <w:webHidden/>
              </w:rPr>
              <w:instrText xml:space="preserve"> PAGEREF _Toc229480678 \h </w:instrText>
            </w:r>
            <w:r>
              <w:rPr>
                <w:noProof/>
                <w:webHidden/>
              </w:rPr>
            </w:r>
            <w:r>
              <w:rPr>
                <w:noProof/>
                <w:webHidden/>
              </w:rPr>
              <w:fldChar w:fldCharType="separate"/>
            </w:r>
            <w:r w:rsidR="008D06C9">
              <w:rPr>
                <w:noProof/>
                <w:webHidden/>
              </w:rPr>
              <w:t>23</w:t>
            </w:r>
            <w:r>
              <w:rPr>
                <w:noProof/>
                <w:webHidden/>
              </w:rPr>
              <w:fldChar w:fldCharType="end"/>
            </w:r>
          </w:hyperlink>
        </w:p>
        <w:p w14:paraId="6C7C90B7" w14:textId="6B06A4F3" w:rsidR="00CF7850" w:rsidRDefault="00CF7850">
          <w:pPr>
            <w:pStyle w:val="TOC3"/>
            <w:tabs>
              <w:tab w:val="right" w:leader="dot" w:pos="9062"/>
            </w:tabs>
            <w:rPr>
              <w:rFonts w:asciiTheme="minorHAnsi" w:eastAsiaTheme="minorEastAsia" w:hAnsiTheme="minorHAnsi" w:cstheme="minorBidi"/>
              <w:noProof/>
              <w:color w:val="auto"/>
              <w:kern w:val="2"/>
              <w:sz w:val="24"/>
              <w:lang w:eastAsia="en-AU"/>
              <w14:ligatures w14:val="standardContextual"/>
            </w:rPr>
          </w:pPr>
          <w:hyperlink w:anchor="_Toc229480679" w:history="1">
            <w:r w:rsidRPr="00773EBF">
              <w:rPr>
                <w:rStyle w:val="Hyperlink"/>
                <w:noProof/>
              </w:rPr>
              <w:t>Tasmania</w:t>
            </w:r>
            <w:r>
              <w:rPr>
                <w:noProof/>
                <w:webHidden/>
              </w:rPr>
              <w:tab/>
            </w:r>
            <w:r>
              <w:rPr>
                <w:noProof/>
                <w:webHidden/>
              </w:rPr>
              <w:fldChar w:fldCharType="begin"/>
            </w:r>
            <w:r>
              <w:rPr>
                <w:noProof/>
                <w:webHidden/>
              </w:rPr>
              <w:instrText xml:space="preserve"> PAGEREF _Toc229480679 \h </w:instrText>
            </w:r>
            <w:r>
              <w:rPr>
                <w:noProof/>
                <w:webHidden/>
              </w:rPr>
            </w:r>
            <w:r>
              <w:rPr>
                <w:noProof/>
                <w:webHidden/>
              </w:rPr>
              <w:fldChar w:fldCharType="separate"/>
            </w:r>
            <w:r w:rsidR="008D06C9">
              <w:rPr>
                <w:noProof/>
                <w:webHidden/>
              </w:rPr>
              <w:t>23</w:t>
            </w:r>
            <w:r>
              <w:rPr>
                <w:noProof/>
                <w:webHidden/>
              </w:rPr>
              <w:fldChar w:fldCharType="end"/>
            </w:r>
          </w:hyperlink>
        </w:p>
        <w:p w14:paraId="01C8B6D8" w14:textId="1A4DC6B6"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80" w:history="1">
            <w:r w:rsidRPr="00773EBF">
              <w:rPr>
                <w:rStyle w:val="Hyperlink"/>
                <w:noProof/>
              </w:rPr>
              <w:t>Table 11: Average (avg)/Median (mdn) number of days/months between an application for aged care and service commencement for services commenced in the reporting period.</w:t>
            </w:r>
            <w:r>
              <w:rPr>
                <w:noProof/>
                <w:webHidden/>
              </w:rPr>
              <w:tab/>
            </w:r>
            <w:r>
              <w:rPr>
                <w:noProof/>
                <w:webHidden/>
              </w:rPr>
              <w:fldChar w:fldCharType="begin"/>
            </w:r>
            <w:r>
              <w:rPr>
                <w:noProof/>
                <w:webHidden/>
              </w:rPr>
              <w:instrText xml:space="preserve"> PAGEREF _Toc229480680 \h </w:instrText>
            </w:r>
            <w:r>
              <w:rPr>
                <w:noProof/>
                <w:webHidden/>
              </w:rPr>
            </w:r>
            <w:r>
              <w:rPr>
                <w:noProof/>
                <w:webHidden/>
              </w:rPr>
              <w:fldChar w:fldCharType="separate"/>
            </w:r>
            <w:r w:rsidR="008D06C9">
              <w:rPr>
                <w:noProof/>
                <w:webHidden/>
              </w:rPr>
              <w:t>23</w:t>
            </w:r>
            <w:r>
              <w:rPr>
                <w:noProof/>
                <w:webHidden/>
              </w:rPr>
              <w:fldChar w:fldCharType="end"/>
            </w:r>
          </w:hyperlink>
        </w:p>
        <w:p w14:paraId="0C1B2169" w14:textId="3472FD2B" w:rsidR="00CF7850" w:rsidRDefault="00CF7850">
          <w:pPr>
            <w:pStyle w:val="TOC3"/>
            <w:tabs>
              <w:tab w:val="right" w:leader="dot" w:pos="9062"/>
            </w:tabs>
            <w:rPr>
              <w:rFonts w:asciiTheme="minorHAnsi" w:eastAsiaTheme="minorEastAsia" w:hAnsiTheme="minorHAnsi" w:cstheme="minorBidi"/>
              <w:noProof/>
              <w:color w:val="auto"/>
              <w:kern w:val="2"/>
              <w:sz w:val="24"/>
              <w:lang w:eastAsia="en-AU"/>
              <w14:ligatures w14:val="standardContextual"/>
            </w:rPr>
          </w:pPr>
          <w:hyperlink w:anchor="_Toc229480681" w:history="1">
            <w:r w:rsidRPr="00773EBF">
              <w:rPr>
                <w:rStyle w:val="Hyperlink"/>
                <w:noProof/>
              </w:rPr>
              <w:t>Australian Capital Territory</w:t>
            </w:r>
            <w:r>
              <w:rPr>
                <w:noProof/>
                <w:webHidden/>
              </w:rPr>
              <w:tab/>
            </w:r>
            <w:r>
              <w:rPr>
                <w:noProof/>
                <w:webHidden/>
              </w:rPr>
              <w:fldChar w:fldCharType="begin"/>
            </w:r>
            <w:r>
              <w:rPr>
                <w:noProof/>
                <w:webHidden/>
              </w:rPr>
              <w:instrText xml:space="preserve"> PAGEREF _Toc229480681 \h </w:instrText>
            </w:r>
            <w:r>
              <w:rPr>
                <w:noProof/>
                <w:webHidden/>
              </w:rPr>
            </w:r>
            <w:r>
              <w:rPr>
                <w:noProof/>
                <w:webHidden/>
              </w:rPr>
              <w:fldChar w:fldCharType="separate"/>
            </w:r>
            <w:r w:rsidR="008D06C9">
              <w:rPr>
                <w:noProof/>
                <w:webHidden/>
              </w:rPr>
              <w:t>24</w:t>
            </w:r>
            <w:r>
              <w:rPr>
                <w:noProof/>
                <w:webHidden/>
              </w:rPr>
              <w:fldChar w:fldCharType="end"/>
            </w:r>
          </w:hyperlink>
        </w:p>
        <w:p w14:paraId="07DD81AE" w14:textId="20E4CC1D"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82" w:history="1">
            <w:r w:rsidRPr="00773EBF">
              <w:rPr>
                <w:rStyle w:val="Hyperlink"/>
                <w:noProof/>
              </w:rPr>
              <w:t>Table 12: Average (avg)/Median (mdn) number of days/months between an application for aged care and service commencement for services commenced in the reporting period.</w:t>
            </w:r>
            <w:r>
              <w:rPr>
                <w:noProof/>
                <w:webHidden/>
              </w:rPr>
              <w:tab/>
            </w:r>
            <w:r>
              <w:rPr>
                <w:noProof/>
                <w:webHidden/>
              </w:rPr>
              <w:fldChar w:fldCharType="begin"/>
            </w:r>
            <w:r>
              <w:rPr>
                <w:noProof/>
                <w:webHidden/>
              </w:rPr>
              <w:instrText xml:space="preserve"> PAGEREF _Toc229480682 \h </w:instrText>
            </w:r>
            <w:r>
              <w:rPr>
                <w:noProof/>
                <w:webHidden/>
              </w:rPr>
            </w:r>
            <w:r>
              <w:rPr>
                <w:noProof/>
                <w:webHidden/>
              </w:rPr>
              <w:fldChar w:fldCharType="separate"/>
            </w:r>
            <w:r w:rsidR="008D06C9">
              <w:rPr>
                <w:noProof/>
                <w:webHidden/>
              </w:rPr>
              <w:t>24</w:t>
            </w:r>
            <w:r>
              <w:rPr>
                <w:noProof/>
                <w:webHidden/>
              </w:rPr>
              <w:fldChar w:fldCharType="end"/>
            </w:r>
          </w:hyperlink>
        </w:p>
        <w:p w14:paraId="57C4B416" w14:textId="6F3793DB" w:rsidR="00CF7850" w:rsidRDefault="00CF7850">
          <w:pPr>
            <w:pStyle w:val="TOC3"/>
            <w:tabs>
              <w:tab w:val="right" w:leader="dot" w:pos="9062"/>
            </w:tabs>
            <w:rPr>
              <w:rFonts w:asciiTheme="minorHAnsi" w:eastAsiaTheme="minorEastAsia" w:hAnsiTheme="minorHAnsi" w:cstheme="minorBidi"/>
              <w:noProof/>
              <w:color w:val="auto"/>
              <w:kern w:val="2"/>
              <w:sz w:val="24"/>
              <w:lang w:eastAsia="en-AU"/>
              <w14:ligatures w14:val="standardContextual"/>
            </w:rPr>
          </w:pPr>
          <w:hyperlink w:anchor="_Toc229480683" w:history="1">
            <w:r w:rsidRPr="00773EBF">
              <w:rPr>
                <w:rStyle w:val="Hyperlink"/>
                <w:noProof/>
              </w:rPr>
              <w:t>Northern Territory</w:t>
            </w:r>
            <w:r>
              <w:rPr>
                <w:noProof/>
                <w:webHidden/>
              </w:rPr>
              <w:tab/>
            </w:r>
            <w:r>
              <w:rPr>
                <w:noProof/>
                <w:webHidden/>
              </w:rPr>
              <w:fldChar w:fldCharType="begin"/>
            </w:r>
            <w:r>
              <w:rPr>
                <w:noProof/>
                <w:webHidden/>
              </w:rPr>
              <w:instrText xml:space="preserve"> PAGEREF _Toc229480683 \h </w:instrText>
            </w:r>
            <w:r>
              <w:rPr>
                <w:noProof/>
                <w:webHidden/>
              </w:rPr>
            </w:r>
            <w:r>
              <w:rPr>
                <w:noProof/>
                <w:webHidden/>
              </w:rPr>
              <w:fldChar w:fldCharType="separate"/>
            </w:r>
            <w:r w:rsidR="008D06C9">
              <w:rPr>
                <w:noProof/>
                <w:webHidden/>
              </w:rPr>
              <w:t>24</w:t>
            </w:r>
            <w:r>
              <w:rPr>
                <w:noProof/>
                <w:webHidden/>
              </w:rPr>
              <w:fldChar w:fldCharType="end"/>
            </w:r>
          </w:hyperlink>
        </w:p>
        <w:p w14:paraId="303D904E" w14:textId="4D6634F3"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84" w:history="1">
            <w:r w:rsidRPr="00773EBF">
              <w:rPr>
                <w:rStyle w:val="Hyperlink"/>
                <w:noProof/>
              </w:rPr>
              <w:t>Table 13: Average (avg)/Median (mdn) number of days/months between an application for aged care and service commencement for services commenced in the reporting period.</w:t>
            </w:r>
            <w:r>
              <w:rPr>
                <w:noProof/>
                <w:webHidden/>
              </w:rPr>
              <w:tab/>
            </w:r>
            <w:r>
              <w:rPr>
                <w:noProof/>
                <w:webHidden/>
              </w:rPr>
              <w:fldChar w:fldCharType="begin"/>
            </w:r>
            <w:r>
              <w:rPr>
                <w:noProof/>
                <w:webHidden/>
              </w:rPr>
              <w:instrText xml:space="preserve"> PAGEREF _Toc229480684 \h </w:instrText>
            </w:r>
            <w:r>
              <w:rPr>
                <w:noProof/>
                <w:webHidden/>
              </w:rPr>
            </w:r>
            <w:r>
              <w:rPr>
                <w:noProof/>
                <w:webHidden/>
              </w:rPr>
              <w:fldChar w:fldCharType="separate"/>
            </w:r>
            <w:r w:rsidR="008D06C9">
              <w:rPr>
                <w:noProof/>
                <w:webHidden/>
              </w:rPr>
              <w:t>24</w:t>
            </w:r>
            <w:r>
              <w:rPr>
                <w:noProof/>
                <w:webHidden/>
              </w:rPr>
              <w:fldChar w:fldCharType="end"/>
            </w:r>
          </w:hyperlink>
        </w:p>
        <w:p w14:paraId="44D5CAE4" w14:textId="54219C81" w:rsidR="00CF7850" w:rsidRDefault="00CF7850">
          <w:pPr>
            <w:pStyle w:val="TOC1"/>
            <w:rPr>
              <w:rFonts w:asciiTheme="minorHAnsi" w:eastAsiaTheme="minorEastAsia" w:hAnsiTheme="minorHAnsi" w:cstheme="minorBidi"/>
              <w:color w:val="auto"/>
              <w:kern w:val="2"/>
              <w:sz w:val="24"/>
              <w:lang w:eastAsia="en-AU"/>
              <w14:ligatures w14:val="standardContextual"/>
            </w:rPr>
          </w:pPr>
          <w:hyperlink w:anchor="_Toc229480685" w:history="1">
            <w:r w:rsidRPr="00773EBF">
              <w:rPr>
                <w:rStyle w:val="Hyperlink"/>
              </w:rPr>
              <w:t>Appendix A: Glossary</w:t>
            </w:r>
            <w:r>
              <w:rPr>
                <w:webHidden/>
              </w:rPr>
              <w:tab/>
            </w:r>
            <w:r>
              <w:rPr>
                <w:webHidden/>
              </w:rPr>
              <w:fldChar w:fldCharType="begin"/>
            </w:r>
            <w:r>
              <w:rPr>
                <w:webHidden/>
              </w:rPr>
              <w:instrText xml:space="preserve"> PAGEREF _Toc229480685 \h </w:instrText>
            </w:r>
            <w:r>
              <w:rPr>
                <w:webHidden/>
              </w:rPr>
            </w:r>
            <w:r>
              <w:rPr>
                <w:webHidden/>
              </w:rPr>
              <w:fldChar w:fldCharType="separate"/>
            </w:r>
            <w:r w:rsidR="008D06C9">
              <w:rPr>
                <w:webHidden/>
              </w:rPr>
              <w:t>26</w:t>
            </w:r>
            <w:r>
              <w:rPr>
                <w:webHidden/>
              </w:rPr>
              <w:fldChar w:fldCharType="end"/>
            </w:r>
          </w:hyperlink>
        </w:p>
        <w:p w14:paraId="58D55C67" w14:textId="03217031" w:rsidR="00CF7850" w:rsidRDefault="00CF7850">
          <w:pPr>
            <w:pStyle w:val="TOC1"/>
            <w:rPr>
              <w:rFonts w:asciiTheme="minorHAnsi" w:eastAsiaTheme="minorEastAsia" w:hAnsiTheme="minorHAnsi" w:cstheme="minorBidi"/>
              <w:color w:val="auto"/>
              <w:kern w:val="2"/>
              <w:sz w:val="24"/>
              <w:lang w:eastAsia="en-AU"/>
              <w14:ligatures w14:val="standardContextual"/>
            </w:rPr>
          </w:pPr>
          <w:hyperlink w:anchor="_Toc229480686" w:history="1">
            <w:r w:rsidRPr="00773EBF">
              <w:rPr>
                <w:rStyle w:val="Hyperlink"/>
              </w:rPr>
              <w:t>Appendix B. Factors influencing the timing of service uptake</w:t>
            </w:r>
            <w:r>
              <w:rPr>
                <w:webHidden/>
              </w:rPr>
              <w:tab/>
            </w:r>
            <w:r>
              <w:rPr>
                <w:webHidden/>
              </w:rPr>
              <w:fldChar w:fldCharType="begin"/>
            </w:r>
            <w:r>
              <w:rPr>
                <w:webHidden/>
              </w:rPr>
              <w:instrText xml:space="preserve"> PAGEREF _Toc229480686 \h </w:instrText>
            </w:r>
            <w:r>
              <w:rPr>
                <w:webHidden/>
              </w:rPr>
            </w:r>
            <w:r>
              <w:rPr>
                <w:webHidden/>
              </w:rPr>
              <w:fldChar w:fldCharType="separate"/>
            </w:r>
            <w:r w:rsidR="008D06C9">
              <w:rPr>
                <w:webHidden/>
              </w:rPr>
              <w:t>29</w:t>
            </w:r>
            <w:r>
              <w:rPr>
                <w:webHidden/>
              </w:rPr>
              <w:fldChar w:fldCharType="end"/>
            </w:r>
          </w:hyperlink>
        </w:p>
        <w:p w14:paraId="0C46B184" w14:textId="1E4BD77B"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87" w:history="1">
            <w:r w:rsidRPr="00773EBF">
              <w:rPr>
                <w:rStyle w:val="Hyperlink"/>
                <w:noProof/>
              </w:rPr>
              <w:t>Personal factors</w:t>
            </w:r>
            <w:r>
              <w:rPr>
                <w:noProof/>
                <w:webHidden/>
              </w:rPr>
              <w:tab/>
            </w:r>
            <w:r>
              <w:rPr>
                <w:noProof/>
                <w:webHidden/>
              </w:rPr>
              <w:fldChar w:fldCharType="begin"/>
            </w:r>
            <w:r>
              <w:rPr>
                <w:noProof/>
                <w:webHidden/>
              </w:rPr>
              <w:instrText xml:space="preserve"> PAGEREF _Toc229480687 \h </w:instrText>
            </w:r>
            <w:r>
              <w:rPr>
                <w:noProof/>
                <w:webHidden/>
              </w:rPr>
            </w:r>
            <w:r>
              <w:rPr>
                <w:noProof/>
                <w:webHidden/>
              </w:rPr>
              <w:fldChar w:fldCharType="separate"/>
            </w:r>
            <w:r w:rsidR="008D06C9">
              <w:rPr>
                <w:noProof/>
                <w:webHidden/>
              </w:rPr>
              <w:t>29</w:t>
            </w:r>
            <w:r>
              <w:rPr>
                <w:noProof/>
                <w:webHidden/>
              </w:rPr>
              <w:fldChar w:fldCharType="end"/>
            </w:r>
          </w:hyperlink>
        </w:p>
        <w:p w14:paraId="0F14BD1E" w14:textId="46E2C67A" w:rsidR="00CF7850" w:rsidRDefault="00CF7850">
          <w:pPr>
            <w:pStyle w:val="TOC4"/>
            <w:rPr>
              <w:rFonts w:asciiTheme="minorHAnsi" w:eastAsiaTheme="minorEastAsia" w:hAnsiTheme="minorHAnsi" w:cstheme="minorBidi"/>
              <w:noProof/>
              <w:color w:val="auto"/>
              <w:kern w:val="2"/>
              <w:sz w:val="24"/>
              <w:lang w:eastAsia="en-AU"/>
              <w14:ligatures w14:val="standardContextual"/>
            </w:rPr>
          </w:pPr>
          <w:hyperlink w:anchor="_Toc229480688" w:history="1">
            <w:r w:rsidRPr="00773EBF">
              <w:rPr>
                <w:rStyle w:val="Hyperlink"/>
                <w:noProof/>
              </w:rPr>
              <w:t>Provider-related factors</w:t>
            </w:r>
            <w:r>
              <w:rPr>
                <w:noProof/>
                <w:webHidden/>
              </w:rPr>
              <w:tab/>
            </w:r>
            <w:r>
              <w:rPr>
                <w:noProof/>
                <w:webHidden/>
              </w:rPr>
              <w:fldChar w:fldCharType="begin"/>
            </w:r>
            <w:r>
              <w:rPr>
                <w:noProof/>
                <w:webHidden/>
              </w:rPr>
              <w:instrText xml:space="preserve"> PAGEREF _Toc229480688 \h </w:instrText>
            </w:r>
            <w:r>
              <w:rPr>
                <w:noProof/>
                <w:webHidden/>
              </w:rPr>
            </w:r>
            <w:r>
              <w:rPr>
                <w:noProof/>
                <w:webHidden/>
              </w:rPr>
              <w:fldChar w:fldCharType="separate"/>
            </w:r>
            <w:r w:rsidR="008D06C9">
              <w:rPr>
                <w:noProof/>
                <w:webHidden/>
              </w:rPr>
              <w:t>30</w:t>
            </w:r>
            <w:r>
              <w:rPr>
                <w:noProof/>
                <w:webHidden/>
              </w:rPr>
              <w:fldChar w:fldCharType="end"/>
            </w:r>
          </w:hyperlink>
        </w:p>
        <w:p w14:paraId="2581BC26" w14:textId="3236EF37" w:rsidR="00026256" w:rsidRDefault="00CF7850" w:rsidP="008D06C9">
          <w:pPr>
            <w:pStyle w:val="TOC4"/>
          </w:pPr>
          <w:hyperlink w:anchor="_Toc229480689" w:history="1">
            <w:r w:rsidRPr="00773EBF">
              <w:rPr>
                <w:rStyle w:val="Hyperlink"/>
                <w:noProof/>
              </w:rPr>
              <w:t>Systemic or administrative factors</w:t>
            </w:r>
            <w:r>
              <w:rPr>
                <w:noProof/>
                <w:webHidden/>
              </w:rPr>
              <w:tab/>
            </w:r>
            <w:r>
              <w:rPr>
                <w:noProof/>
                <w:webHidden/>
              </w:rPr>
              <w:fldChar w:fldCharType="begin"/>
            </w:r>
            <w:r>
              <w:rPr>
                <w:noProof/>
                <w:webHidden/>
              </w:rPr>
              <w:instrText xml:space="preserve"> PAGEREF _Toc229480689 \h </w:instrText>
            </w:r>
            <w:r>
              <w:rPr>
                <w:noProof/>
                <w:webHidden/>
              </w:rPr>
            </w:r>
            <w:r>
              <w:rPr>
                <w:noProof/>
                <w:webHidden/>
              </w:rPr>
              <w:fldChar w:fldCharType="separate"/>
            </w:r>
            <w:r w:rsidR="008D06C9">
              <w:rPr>
                <w:noProof/>
                <w:webHidden/>
              </w:rPr>
              <w:t>30</w:t>
            </w:r>
            <w:r>
              <w:rPr>
                <w:noProof/>
                <w:webHidden/>
              </w:rPr>
              <w:fldChar w:fldCharType="end"/>
            </w:r>
          </w:hyperlink>
          <w:r w:rsidR="00026256">
            <w:fldChar w:fldCharType="end"/>
          </w:r>
        </w:p>
      </w:sdtContent>
    </w:sdt>
    <w:p w14:paraId="1A784D6E" w14:textId="77777777" w:rsidR="001B62D6" w:rsidRDefault="001B62D6" w:rsidP="001B62D6">
      <w:pPr>
        <w:pStyle w:val="Heading1"/>
        <w:numPr>
          <w:ilvl w:val="0"/>
          <w:numId w:val="26"/>
        </w:numPr>
        <w:ind w:left="567" w:hanging="567"/>
      </w:pPr>
      <w:bookmarkStart w:id="0" w:name="_Toc229480638"/>
      <w:bookmarkStart w:id="1" w:name="_Toc224743074"/>
      <w:r>
        <w:lastRenderedPageBreak/>
        <w:t>Introduction</w:t>
      </w:r>
      <w:bookmarkEnd w:id="0"/>
      <w:r>
        <w:t xml:space="preserve"> </w:t>
      </w:r>
    </w:p>
    <w:p w14:paraId="71379336" w14:textId="225075AC" w:rsidR="00AF4AA5" w:rsidRPr="00CB5217" w:rsidRDefault="00D002FC" w:rsidP="0031040B">
      <w:pPr>
        <w:spacing w:before="240" w:after="60" w:line="240" w:lineRule="auto"/>
      </w:pPr>
      <w:bookmarkStart w:id="2" w:name="_Toc224743075"/>
      <w:bookmarkEnd w:id="1"/>
      <w:r w:rsidRPr="00D002FC">
        <w:t xml:space="preserve">This is the first report compiled by the System Governor to meet the new reporting requirement under section 342A of the </w:t>
      </w:r>
      <w:r w:rsidRPr="0031040B">
        <w:t>Aged Care Act 2024</w:t>
      </w:r>
      <w:r w:rsidRPr="00D002FC">
        <w:t>, which mandates quarterly reporting on waiting periods for certain funded aged care services. The report presents information on the time it typically takes for older people to commence non</w:t>
      </w:r>
      <w:r w:rsidRPr="001B62D6">
        <w:rPr>
          <w:rFonts w:ascii="Cambria Math" w:hAnsi="Cambria Math" w:cs="Cambria Math"/>
        </w:rPr>
        <w:t>‑</w:t>
      </w:r>
      <w:r w:rsidRPr="00D002FC">
        <w:t>specialist, Commonwealth</w:t>
      </w:r>
      <w:r w:rsidRPr="001B62D6">
        <w:rPr>
          <w:rFonts w:ascii="Cambria Math" w:hAnsi="Cambria Math" w:cs="Cambria Math"/>
        </w:rPr>
        <w:t>‑</w:t>
      </w:r>
      <w:r w:rsidRPr="00D002FC">
        <w:t xml:space="preserve">funded aged care services after applying through My Aged Care. In addition to established programs such as residential care, this inaugural report also includes data relating to the new Support at Home program. The report supports transparency and system monitoring in accordance with the Act (see </w:t>
      </w:r>
      <w:r>
        <w:t>Section 3</w:t>
      </w:r>
      <w:proofErr w:type="gramStart"/>
      <w:r w:rsidRPr="00D002FC">
        <w:t>).</w:t>
      </w:r>
      <w:r w:rsidR="00AF4AA5" w:rsidRPr="00CB5217">
        <w:t>For</w:t>
      </w:r>
      <w:proofErr w:type="gramEnd"/>
      <w:r w:rsidR="00AF4AA5" w:rsidRPr="00CB5217">
        <w:t xml:space="preserve"> the purposes of this report, non</w:t>
      </w:r>
      <w:r w:rsidR="00AF4AA5" w:rsidRPr="00CB5217">
        <w:noBreakHyphen/>
        <w:t>specialist aged care services include:</w:t>
      </w:r>
    </w:p>
    <w:p w14:paraId="7C17747A" w14:textId="77777777" w:rsidR="00AF4AA5" w:rsidRPr="00CB5217" w:rsidRDefault="00AF4AA5" w:rsidP="00AF4AA5">
      <w:pPr>
        <w:numPr>
          <w:ilvl w:val="0"/>
          <w:numId w:val="38"/>
        </w:numPr>
      </w:pPr>
      <w:r w:rsidRPr="00CB5217">
        <w:rPr>
          <w:b/>
          <w:bCs/>
        </w:rPr>
        <w:t>Support at Home services</w:t>
      </w:r>
      <w:r w:rsidRPr="00CB5217">
        <w:t xml:space="preserve"> delivered on an ongoing basis</w:t>
      </w:r>
    </w:p>
    <w:p w14:paraId="2ADC61E2" w14:textId="77777777" w:rsidR="00AF4AA5" w:rsidRPr="00CB5217" w:rsidRDefault="00AF4AA5" w:rsidP="00AF4AA5">
      <w:pPr>
        <w:numPr>
          <w:ilvl w:val="0"/>
          <w:numId w:val="38"/>
        </w:numPr>
      </w:pPr>
      <w:r w:rsidRPr="00CB5217">
        <w:rPr>
          <w:b/>
          <w:bCs/>
        </w:rPr>
        <w:t>Short</w:t>
      </w:r>
      <w:r w:rsidRPr="00CB5217">
        <w:rPr>
          <w:b/>
          <w:bCs/>
        </w:rPr>
        <w:noBreakHyphen/>
        <w:t>term pathways</w:t>
      </w:r>
      <w:r w:rsidRPr="00CB5217">
        <w:t xml:space="preserve"> delivered under the Support at Home program, including: </w:t>
      </w:r>
    </w:p>
    <w:p w14:paraId="63A3F4CA" w14:textId="77777777" w:rsidR="00AF4AA5" w:rsidRPr="00CB5217" w:rsidRDefault="00AF4AA5" w:rsidP="00AF4AA5">
      <w:pPr>
        <w:numPr>
          <w:ilvl w:val="1"/>
          <w:numId w:val="38"/>
        </w:numPr>
      </w:pPr>
      <w:r w:rsidRPr="00CB5217">
        <w:t>the Assistive Technology and Home Modifications Scheme</w:t>
      </w:r>
    </w:p>
    <w:p w14:paraId="23F2D37C" w14:textId="77777777" w:rsidR="00AF4AA5" w:rsidRPr="00CB5217" w:rsidRDefault="00AF4AA5" w:rsidP="00AF4AA5">
      <w:pPr>
        <w:numPr>
          <w:ilvl w:val="1"/>
          <w:numId w:val="38"/>
        </w:numPr>
      </w:pPr>
      <w:r w:rsidRPr="00CB5217">
        <w:t>the End</w:t>
      </w:r>
      <w:r w:rsidRPr="00CB5217">
        <w:noBreakHyphen/>
        <w:t>of</w:t>
      </w:r>
      <w:r w:rsidRPr="00CB5217">
        <w:noBreakHyphen/>
        <w:t>Life Pathway</w:t>
      </w:r>
    </w:p>
    <w:p w14:paraId="35A7F751" w14:textId="77777777" w:rsidR="00AF4AA5" w:rsidRPr="00CB5217" w:rsidRDefault="00AF4AA5" w:rsidP="00AF4AA5">
      <w:pPr>
        <w:numPr>
          <w:ilvl w:val="1"/>
          <w:numId w:val="38"/>
        </w:numPr>
      </w:pPr>
      <w:r w:rsidRPr="00CB5217">
        <w:t>the Restorative Care Pathway</w:t>
      </w:r>
    </w:p>
    <w:p w14:paraId="07C7ABE8" w14:textId="77777777" w:rsidR="00AF4AA5" w:rsidRPr="00CB5217" w:rsidRDefault="00AF4AA5" w:rsidP="00AF4AA5">
      <w:pPr>
        <w:numPr>
          <w:ilvl w:val="0"/>
          <w:numId w:val="38"/>
        </w:numPr>
      </w:pPr>
      <w:r w:rsidRPr="00CB5217">
        <w:rPr>
          <w:b/>
          <w:bCs/>
        </w:rPr>
        <w:t>Residential aged care services</w:t>
      </w:r>
      <w:r w:rsidRPr="00CB5217">
        <w:t xml:space="preserve"> delivered on either an ongoing or short</w:t>
      </w:r>
      <w:r w:rsidRPr="00CB5217">
        <w:noBreakHyphen/>
        <w:t>term basis.</w:t>
      </w:r>
    </w:p>
    <w:p w14:paraId="20082E4F" w14:textId="77777777" w:rsidR="00AF4AA5" w:rsidRPr="00C84675" w:rsidRDefault="00AF4AA5" w:rsidP="00AF4AA5">
      <w:r w:rsidRPr="00C84675">
        <w:t xml:space="preserve">This measure reflects elapsed time across the </w:t>
      </w:r>
      <w:r w:rsidRPr="00460C1A">
        <w:t>entire aged care access pathway</w:t>
      </w:r>
      <w:r w:rsidRPr="00C84675">
        <w:t xml:space="preserve"> (from initial application through to service commencement) and includes periods that do not constitute system</w:t>
      </w:r>
      <w:r w:rsidRPr="00C84675">
        <w:noBreakHyphen/>
        <w:t>managed waiting time.</w:t>
      </w:r>
    </w:p>
    <w:p w14:paraId="74E54378" w14:textId="77777777" w:rsidR="00AF4AA5" w:rsidRPr="00ED2912" w:rsidRDefault="00AF4AA5" w:rsidP="00AF4AA5">
      <w:r w:rsidRPr="00ED2912">
        <w:t xml:space="preserve">This elapsed time measure is </w:t>
      </w:r>
      <w:r w:rsidRPr="00710810">
        <w:t>not directly comparable</w:t>
      </w:r>
      <w:r w:rsidRPr="00ED2912">
        <w:t xml:space="preserve"> to other published waiting time or entry period measures (for example, those reported in the </w:t>
      </w:r>
      <w:r w:rsidRPr="00ED2912">
        <w:rPr>
          <w:i/>
          <w:iCs/>
        </w:rPr>
        <w:t>Report on Government Services</w:t>
      </w:r>
      <w:r w:rsidRPr="00ED2912">
        <w:t>), as it incorporates different service types and uses a different starting point in the pathway.</w:t>
      </w:r>
    </w:p>
    <w:p w14:paraId="1A5A4A55" w14:textId="77777777" w:rsidR="00AF4AA5" w:rsidRDefault="00AF4AA5" w:rsidP="00AF4AA5">
      <w:r w:rsidRPr="00DA3A15">
        <w:t xml:space="preserve">The distribution of elapsed times is </w:t>
      </w:r>
      <w:r w:rsidRPr="00710810">
        <w:t>highly skewed</w:t>
      </w:r>
      <w:r w:rsidRPr="00DA3A15">
        <w:t xml:space="preserve">, meaning median values better represent typical experience than averages. </w:t>
      </w:r>
      <w:r w:rsidRPr="003138B7">
        <w:t xml:space="preserve">Further context on the aged care access pathway and factors influencing timing is provided in </w:t>
      </w:r>
      <w:r w:rsidRPr="003138B7">
        <w:rPr>
          <w:b/>
          <w:bCs/>
        </w:rPr>
        <w:t>Section 5</w:t>
      </w:r>
      <w:r w:rsidRPr="003138B7">
        <w:t xml:space="preserve"> and </w:t>
      </w:r>
      <w:r w:rsidRPr="003138B7">
        <w:rPr>
          <w:b/>
          <w:bCs/>
        </w:rPr>
        <w:t>Appendix B</w:t>
      </w:r>
      <w:r w:rsidRPr="003138B7">
        <w:t>.</w:t>
      </w:r>
    </w:p>
    <w:p w14:paraId="14E25C8C" w14:textId="77777777" w:rsidR="00AF4AA5" w:rsidRPr="00CB5217" w:rsidRDefault="00AF4AA5" w:rsidP="00AF4AA5">
      <w:r w:rsidRPr="00CB5217">
        <w:t>The report focuses on people who commenced aged care services between 1</w:t>
      </w:r>
      <w:r>
        <w:t> </w:t>
      </w:r>
      <w:r w:rsidRPr="00CB5217">
        <w:t>November</w:t>
      </w:r>
      <w:r>
        <w:t> </w:t>
      </w:r>
      <w:r w:rsidRPr="00CB5217">
        <w:t xml:space="preserve">2025 and </w:t>
      </w:r>
      <w:r w:rsidRPr="004E5CD3">
        <w:t>31 March 2026 (Quarters 2 and 3 of 2025</w:t>
      </w:r>
      <w:r>
        <w:t>-</w:t>
      </w:r>
      <w:r w:rsidRPr="004E5CD3">
        <w:t>26)</w:t>
      </w:r>
      <w:r>
        <w:t>.</w:t>
      </w:r>
      <w:r w:rsidRPr="00CB5217">
        <w:t xml:space="preserve"> It presents the elapsed time for this cohort from applying through </w:t>
      </w:r>
      <w:r w:rsidRPr="00CB5217">
        <w:rPr>
          <w:i/>
          <w:iCs/>
        </w:rPr>
        <w:t>My Aged Care</w:t>
      </w:r>
      <w:r w:rsidRPr="00CB5217">
        <w:t xml:space="preserve"> to assessment, allocation of funded services, and commencement of care. The cohort includes both people entering aged care for the first time and those commencing services following a change in circumstances that required a </w:t>
      </w:r>
      <w:r>
        <w:t>S</w:t>
      </w:r>
      <w:r w:rsidRPr="00CB5217">
        <w:t xml:space="preserve">upport </w:t>
      </w:r>
      <w:r>
        <w:t>P</w:t>
      </w:r>
      <w:r w:rsidRPr="00CB5217">
        <w:t xml:space="preserve">lan </w:t>
      </w:r>
      <w:r>
        <w:t>R</w:t>
      </w:r>
      <w:r w:rsidRPr="00CB5217">
        <w:t>eview</w:t>
      </w:r>
      <w:r>
        <w:t xml:space="preserve"> by an aged care assessor</w:t>
      </w:r>
      <w:r w:rsidRPr="00CB5217">
        <w:t>.</w:t>
      </w:r>
    </w:p>
    <w:p w14:paraId="4B052D24" w14:textId="77777777" w:rsidR="00AF4AA5" w:rsidRPr="00CB5217" w:rsidRDefault="00AF4AA5" w:rsidP="00AF4AA5">
      <w:r w:rsidRPr="0041622D">
        <w:t xml:space="preserve">By examining the experience of this cohort, the report </w:t>
      </w:r>
      <w:proofErr w:type="gramStart"/>
      <w:r w:rsidRPr="0041622D">
        <w:t>compares and contrasts</w:t>
      </w:r>
      <w:proofErr w:type="gramEnd"/>
      <w:r w:rsidRPr="0041622D">
        <w:t xml:space="preserve"> by service type, state and territory, and local region.</w:t>
      </w:r>
    </w:p>
    <w:p w14:paraId="462C01E6" w14:textId="491196D1" w:rsidR="00AF4AA5" w:rsidRDefault="00AF4AA5" w:rsidP="00AF4AA5">
      <w:r w:rsidRPr="00CB5217">
        <w:t>As the analysis is based on retrospective data, the findings may not reflect current system pressures or wait times experienced by people entering aged care services at the time of publication</w:t>
      </w:r>
      <w:r w:rsidR="00DC7490">
        <w:t>.</w:t>
      </w:r>
    </w:p>
    <w:p w14:paraId="2271DEAB" w14:textId="77777777" w:rsidR="00DC7490" w:rsidRPr="00CB5217" w:rsidRDefault="00DC7490" w:rsidP="00DC7490">
      <w:r w:rsidRPr="00017CFB">
        <w:t xml:space="preserve">The future statutory review of the operation of the Act will consider the future expansion of reporting on the duration of waiting periods for funded aged care services to cover </w:t>
      </w:r>
      <w:r>
        <w:t>s</w:t>
      </w:r>
      <w:r w:rsidRPr="00CB5217">
        <w:t xml:space="preserve">pecialist programs </w:t>
      </w:r>
      <w:r w:rsidRPr="00E309F6">
        <w:t>such as</w:t>
      </w:r>
      <w:r w:rsidRPr="00CB5217">
        <w:t xml:space="preserve"> Multi</w:t>
      </w:r>
      <w:r w:rsidRPr="00CB5217">
        <w:noBreakHyphen/>
        <w:t xml:space="preserve">Purpose Services, Transition Care, and </w:t>
      </w:r>
      <w:r w:rsidRPr="00E309F6">
        <w:t xml:space="preserve">the </w:t>
      </w:r>
      <w:r w:rsidRPr="00CB5217">
        <w:t>Commonwealth Home Support Program</w:t>
      </w:r>
      <w:r>
        <w:t>.</w:t>
      </w:r>
    </w:p>
    <w:p w14:paraId="050F2230" w14:textId="77777777" w:rsidR="00DC7490" w:rsidRDefault="00DC7490" w:rsidP="00AF4AA5"/>
    <w:p w14:paraId="7BC4F15C" w14:textId="383E3961" w:rsidR="007C3DBA" w:rsidRPr="007C3DBA" w:rsidRDefault="003C12AF" w:rsidP="00317489">
      <w:pPr>
        <w:pStyle w:val="Heading1"/>
        <w:numPr>
          <w:ilvl w:val="0"/>
          <w:numId w:val="26"/>
        </w:numPr>
        <w:ind w:left="567" w:hanging="567"/>
      </w:pPr>
      <w:bookmarkStart w:id="3" w:name="_Toc229480639"/>
      <w:r>
        <w:lastRenderedPageBreak/>
        <w:t>Executive summary</w:t>
      </w:r>
      <w:bookmarkEnd w:id="2"/>
      <w:bookmarkEnd w:id="3"/>
    </w:p>
    <w:p w14:paraId="29DD9394" w14:textId="59B484EF" w:rsidR="0005244C" w:rsidRDefault="000816EF">
      <w:pPr>
        <w:pStyle w:val="Boxtype"/>
        <w:numPr>
          <w:ilvl w:val="0"/>
          <w:numId w:val="21"/>
        </w:numPr>
        <w:shd w:val="clear" w:color="auto" w:fill="A2D5DB" w:themeFill="accent2" w:themeFillTint="66"/>
        <w:rPr>
          <w:lang w:val="en-US"/>
        </w:rPr>
      </w:pPr>
      <w:r w:rsidRPr="674C5744">
        <w:rPr>
          <w:lang w:val="en-US"/>
        </w:rPr>
        <w:t xml:space="preserve">This report fulfils the quarterly reporting requirements set out in section 342A of the </w:t>
      </w:r>
      <w:r w:rsidRPr="674C5744">
        <w:rPr>
          <w:i/>
          <w:iCs/>
          <w:lang w:val="en-US"/>
        </w:rPr>
        <w:t>Aged Care Act 2024</w:t>
      </w:r>
      <w:r w:rsidRPr="674C5744">
        <w:rPr>
          <w:lang w:val="en-US"/>
        </w:rPr>
        <w:t xml:space="preserve"> for waiting periods for </w:t>
      </w:r>
      <w:r w:rsidR="00691A5F" w:rsidRPr="674C5744">
        <w:rPr>
          <w:lang w:val="en-US"/>
        </w:rPr>
        <w:t>residential care and Support at Home.</w:t>
      </w:r>
      <w:r w:rsidR="00C664DE" w:rsidRPr="674C5744">
        <w:rPr>
          <w:lang w:val="en-US"/>
        </w:rPr>
        <w:t xml:space="preserve"> </w:t>
      </w:r>
      <w:r w:rsidR="0005244C" w:rsidRPr="674C5744">
        <w:rPr>
          <w:lang w:val="en-US"/>
        </w:rPr>
        <w:t>This report presents median and average measures of the time elapsed between application through My Aged Care to commencement of aged care services</w:t>
      </w:r>
      <w:r w:rsidR="00E153CF" w:rsidRPr="674C5744">
        <w:rPr>
          <w:lang w:val="en-US"/>
        </w:rPr>
        <w:t xml:space="preserve"> for the</w:t>
      </w:r>
      <w:r w:rsidR="00943E41" w:rsidRPr="674C5744">
        <w:rPr>
          <w:lang w:val="en-US"/>
        </w:rPr>
        <w:t xml:space="preserve"> </w:t>
      </w:r>
      <w:r w:rsidR="006C369B" w:rsidRPr="674C5744">
        <w:rPr>
          <w:lang w:val="en-US"/>
        </w:rPr>
        <w:t>1 </w:t>
      </w:r>
      <w:r w:rsidR="00943E41" w:rsidRPr="674C5744">
        <w:rPr>
          <w:lang w:val="en-US"/>
        </w:rPr>
        <w:t xml:space="preserve">November 2025 – 31 March 2026 (Quarter </w:t>
      </w:r>
      <w:r w:rsidR="00CE3C46" w:rsidRPr="674C5744">
        <w:rPr>
          <w:lang w:val="en-US"/>
        </w:rPr>
        <w:t>2</w:t>
      </w:r>
      <w:r w:rsidR="00943E41" w:rsidRPr="674C5744">
        <w:rPr>
          <w:lang w:val="en-US"/>
        </w:rPr>
        <w:t xml:space="preserve"> and Quarter </w:t>
      </w:r>
      <w:r w:rsidR="00CE3C46" w:rsidRPr="674C5744">
        <w:rPr>
          <w:lang w:val="en-US"/>
        </w:rPr>
        <w:t>3</w:t>
      </w:r>
      <w:r w:rsidR="00943E41" w:rsidRPr="674C5744">
        <w:rPr>
          <w:lang w:val="en-US"/>
        </w:rPr>
        <w:t> </w:t>
      </w:r>
      <w:r w:rsidR="00CE3C46" w:rsidRPr="674C5744">
        <w:rPr>
          <w:lang w:val="en-US"/>
        </w:rPr>
        <w:t xml:space="preserve">of </w:t>
      </w:r>
      <w:r w:rsidR="00943E41" w:rsidRPr="674C5744">
        <w:rPr>
          <w:lang w:val="en-US"/>
        </w:rPr>
        <w:t>2025-26)</w:t>
      </w:r>
      <w:r w:rsidR="00E153CF" w:rsidRPr="674C5744">
        <w:rPr>
          <w:lang w:val="en-US"/>
        </w:rPr>
        <w:t xml:space="preserve"> reporting </w:t>
      </w:r>
      <w:r w:rsidR="481847E2" w:rsidRPr="674C5744">
        <w:rPr>
          <w:lang w:val="en-US"/>
        </w:rPr>
        <w:t>period.</w:t>
      </w:r>
    </w:p>
    <w:p w14:paraId="5670CFA1" w14:textId="6CB6E9C2" w:rsidR="00DB6E73" w:rsidRDefault="00DB6E73" w:rsidP="009C2D4A">
      <w:pPr>
        <w:pStyle w:val="Boxtype"/>
        <w:numPr>
          <w:ilvl w:val="0"/>
          <w:numId w:val="21"/>
        </w:numPr>
        <w:shd w:val="clear" w:color="auto" w:fill="A2D5DB" w:themeFill="accent2" w:themeFillTint="66"/>
      </w:pPr>
      <w:r>
        <w:t xml:space="preserve">The national median elapsed time from application to service commencement was </w:t>
      </w:r>
      <w:r w:rsidR="002C7AD7">
        <w:t>294</w:t>
      </w:r>
      <w:r w:rsidR="00315A02">
        <w:t xml:space="preserve"> </w:t>
      </w:r>
      <w:r>
        <w:t>days.</w:t>
      </w:r>
    </w:p>
    <w:p w14:paraId="40DA2F6D" w14:textId="46AB2510" w:rsidR="00DB6E73" w:rsidRDefault="004D573D" w:rsidP="009C2D4A">
      <w:pPr>
        <w:pStyle w:val="Boxtype"/>
        <w:numPr>
          <w:ilvl w:val="0"/>
          <w:numId w:val="21"/>
        </w:numPr>
        <w:shd w:val="clear" w:color="auto" w:fill="A2D5DB" w:themeFill="accent2" w:themeFillTint="66"/>
      </w:pPr>
      <w:r>
        <w:t>Victoria</w:t>
      </w:r>
      <w:r w:rsidR="7BF5D50B">
        <w:t xml:space="preserve"> </w:t>
      </w:r>
      <w:r w:rsidR="00DB6E73">
        <w:t xml:space="preserve">recorded the shortest median time at </w:t>
      </w:r>
      <w:r>
        <w:t>273</w:t>
      </w:r>
      <w:r w:rsidR="00BB0884">
        <w:t xml:space="preserve"> </w:t>
      </w:r>
      <w:r w:rsidR="00DB6E73">
        <w:t xml:space="preserve">days, while </w:t>
      </w:r>
      <w:r>
        <w:t>Queensland</w:t>
      </w:r>
      <w:r w:rsidR="6359FDEF">
        <w:t xml:space="preserve"> </w:t>
      </w:r>
      <w:r w:rsidR="00DB6E73">
        <w:t xml:space="preserve">had the longest at </w:t>
      </w:r>
      <w:r>
        <w:t>322</w:t>
      </w:r>
      <w:r w:rsidR="00BB0884">
        <w:t xml:space="preserve"> </w:t>
      </w:r>
      <w:r w:rsidR="00DB6E73">
        <w:t>days.</w:t>
      </w:r>
    </w:p>
    <w:p w14:paraId="0D5A3D92" w14:textId="26CB5EEB" w:rsidR="00DB6E73" w:rsidRDefault="00DB6E73" w:rsidP="009C2D4A">
      <w:pPr>
        <w:pStyle w:val="Boxtype"/>
        <w:numPr>
          <w:ilvl w:val="0"/>
          <w:numId w:val="21"/>
        </w:numPr>
        <w:shd w:val="clear" w:color="auto" w:fill="A2D5DB" w:themeFill="accent2" w:themeFillTint="66"/>
        <w:rPr>
          <w:lang w:val="en-US"/>
        </w:rPr>
      </w:pPr>
      <w:r w:rsidRPr="14E8C4E4">
        <w:rPr>
          <w:lang w:val="en-US"/>
        </w:rPr>
        <w:t>The End-of-Life Pathway had the shortest median time by service type (</w:t>
      </w:r>
      <w:r w:rsidR="004D573D">
        <w:rPr>
          <w:lang w:val="en-US"/>
        </w:rPr>
        <w:t>15</w:t>
      </w:r>
      <w:r w:rsidR="00BB0884" w:rsidRPr="14E8C4E4">
        <w:rPr>
          <w:lang w:val="en-US"/>
        </w:rPr>
        <w:t xml:space="preserve"> </w:t>
      </w:r>
      <w:r w:rsidRPr="14E8C4E4">
        <w:rPr>
          <w:lang w:val="en-US"/>
        </w:rPr>
        <w:t xml:space="preserve">days), whereas </w:t>
      </w:r>
      <w:r w:rsidR="27450E56" w:rsidRPr="67CFB7B6">
        <w:rPr>
          <w:lang w:val="en-US"/>
        </w:rPr>
        <w:t>Support at Home</w:t>
      </w:r>
      <w:r w:rsidRPr="14E8C4E4">
        <w:rPr>
          <w:lang w:val="en-US"/>
        </w:rPr>
        <w:t xml:space="preserve"> (ongoing) had the longest (</w:t>
      </w:r>
      <w:r w:rsidR="004D573D">
        <w:rPr>
          <w:lang w:val="en-US"/>
        </w:rPr>
        <w:t>347</w:t>
      </w:r>
      <w:r w:rsidR="00BB0884" w:rsidRPr="14E8C4E4">
        <w:rPr>
          <w:lang w:val="en-US"/>
        </w:rPr>
        <w:t xml:space="preserve"> </w:t>
      </w:r>
      <w:r w:rsidRPr="14E8C4E4">
        <w:rPr>
          <w:lang w:val="en-US"/>
        </w:rPr>
        <w:t>days).</w:t>
      </w:r>
    </w:p>
    <w:p w14:paraId="725926CF" w14:textId="004896A5" w:rsidR="00AF3063" w:rsidRDefault="00AF3063" w:rsidP="00CB5217">
      <w:pPr>
        <w:sectPr w:rsidR="00AF3063" w:rsidSect="003C5B3F">
          <w:headerReference w:type="even" r:id="rId12"/>
          <w:headerReference w:type="default" r:id="rId13"/>
          <w:footerReference w:type="even" r:id="rId14"/>
          <w:footerReference w:type="default" r:id="rId15"/>
          <w:headerReference w:type="first" r:id="rId16"/>
          <w:footerReference w:type="first" r:id="rId17"/>
          <w:pgSz w:w="11906" w:h="16838"/>
          <w:pgMar w:top="1276" w:right="1416" w:bottom="1418" w:left="1418" w:header="709" w:footer="709" w:gutter="0"/>
          <w:cols w:space="708"/>
          <w:docGrid w:linePitch="360"/>
        </w:sectPr>
      </w:pPr>
    </w:p>
    <w:p w14:paraId="5F67496C" w14:textId="77777777" w:rsidR="00AF3063" w:rsidRDefault="00FF7872" w:rsidP="00FF7872">
      <w:pPr>
        <w:pStyle w:val="Heading1"/>
        <w:numPr>
          <w:ilvl w:val="0"/>
          <w:numId w:val="26"/>
        </w:numPr>
        <w:ind w:left="567" w:hanging="567"/>
      </w:pPr>
      <w:bookmarkStart w:id="4" w:name="_Toc229480640"/>
      <w:r>
        <w:lastRenderedPageBreak/>
        <w:t>Reporting Requirements</w:t>
      </w:r>
      <w:bookmarkEnd w:id="4"/>
    </w:p>
    <w:tbl>
      <w:tblPr>
        <w:tblStyle w:val="DepartmentofHealthtable"/>
        <w:tblW w:w="5000" w:type="pct"/>
        <w:tblLook w:val="04A0" w:firstRow="1" w:lastRow="0" w:firstColumn="1" w:lastColumn="0" w:noHBand="0" w:noVBand="1"/>
        <w:tblDescription w:val="Add Alt Text describing the content of the table"/>
      </w:tblPr>
      <w:tblGrid>
        <w:gridCol w:w="2091"/>
        <w:gridCol w:w="3874"/>
        <w:gridCol w:w="3877"/>
        <w:gridCol w:w="3877"/>
      </w:tblGrid>
      <w:tr w:rsidR="00EF4E4D" w:rsidRPr="00CA2831" w14:paraId="54A31742" w14:textId="77777777" w:rsidTr="674C57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62" w:type="pct"/>
          </w:tcPr>
          <w:p w14:paraId="6E85864E" w14:textId="77777777" w:rsidR="00EF4E4D" w:rsidRPr="00C31473" w:rsidRDefault="00EF4E4D" w:rsidP="0031040B">
            <w:pPr>
              <w:pStyle w:val="TableHeader"/>
            </w:pPr>
            <w:r w:rsidRPr="0031040B">
              <w:rPr>
                <w:rFonts w:ascii="Calibri" w:hAnsi="Calibri" w:cs="Calibri"/>
                <w:sz w:val="24"/>
                <w:szCs w:val="24"/>
              </w:rPr>
              <w:t>Provision</w:t>
            </w:r>
            <w:r w:rsidRPr="00AC42B4">
              <w:t xml:space="preserve"> </w:t>
            </w:r>
          </w:p>
        </w:tc>
        <w:tc>
          <w:tcPr>
            <w:tcW w:w="1412" w:type="pct"/>
          </w:tcPr>
          <w:p w14:paraId="137E61D7" w14:textId="77777777" w:rsidR="00EF4E4D" w:rsidRPr="00C31473" w:rsidRDefault="00EF4E4D">
            <w:pPr>
              <w:pStyle w:val="TableHead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C31473">
              <w:rPr>
                <w:rFonts w:ascii="Calibri" w:hAnsi="Calibri" w:cs="Calibri"/>
                <w:sz w:val="24"/>
                <w:szCs w:val="24"/>
              </w:rPr>
              <w:t xml:space="preserve">Legislative requirement </w:t>
            </w:r>
          </w:p>
        </w:tc>
        <w:tc>
          <w:tcPr>
            <w:tcW w:w="1413" w:type="pct"/>
          </w:tcPr>
          <w:p w14:paraId="727C2030" w14:textId="77777777" w:rsidR="00EF4E4D" w:rsidRPr="00C31473" w:rsidRDefault="00EF4E4D">
            <w:pPr>
              <w:pStyle w:val="TableHead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Report</w:t>
            </w:r>
            <w:r w:rsidRPr="00C31473">
              <w:rPr>
                <w:rFonts w:ascii="Calibri" w:hAnsi="Calibri" w:cs="Calibri"/>
                <w:sz w:val="24"/>
                <w:szCs w:val="24"/>
              </w:rPr>
              <w:t xml:space="preserve"> section</w:t>
            </w:r>
          </w:p>
        </w:tc>
        <w:tc>
          <w:tcPr>
            <w:tcW w:w="1413" w:type="pct"/>
          </w:tcPr>
          <w:p w14:paraId="1EEBBC4A" w14:textId="77777777" w:rsidR="00EF4E4D" w:rsidRPr="00C31473" w:rsidRDefault="00EF4E4D">
            <w:pPr>
              <w:pStyle w:val="TableHead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C</w:t>
            </w:r>
            <w:r w:rsidRPr="00C31473">
              <w:rPr>
                <w:rFonts w:ascii="Calibri" w:hAnsi="Calibri" w:cs="Calibri"/>
                <w:sz w:val="24"/>
                <w:szCs w:val="24"/>
              </w:rPr>
              <w:t>ommentary</w:t>
            </w:r>
          </w:p>
        </w:tc>
      </w:tr>
      <w:tr w:rsidR="00EF4E4D" w:rsidRPr="00CA2831" w14:paraId="51D319BA" w14:textId="77777777" w:rsidTr="674C57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pct"/>
          </w:tcPr>
          <w:p w14:paraId="0FC0178C" w14:textId="77777777" w:rsidR="00EF4E4D" w:rsidRPr="00B10C34" w:rsidRDefault="00EF4E4D">
            <w:pPr>
              <w:pStyle w:val="Tabletextleft"/>
              <w:rPr>
                <w:rFonts w:ascii="Calibri" w:hAnsi="Calibri" w:cs="Calibri"/>
                <w:b w:val="0"/>
                <w:bCs w:val="0"/>
                <w:sz w:val="18"/>
                <w:szCs w:val="18"/>
              </w:rPr>
            </w:pPr>
            <w:r w:rsidRPr="00B10C34">
              <w:rPr>
                <w:rFonts w:ascii="Calibri" w:hAnsi="Calibri" w:cs="Calibri"/>
                <w:b w:val="0"/>
                <w:bCs w:val="0"/>
                <w:sz w:val="18"/>
                <w:szCs w:val="18"/>
              </w:rPr>
              <w:t>s342A(2)(a)</w:t>
            </w:r>
          </w:p>
        </w:tc>
        <w:tc>
          <w:tcPr>
            <w:tcW w:w="1412" w:type="pct"/>
          </w:tcPr>
          <w:p w14:paraId="5753FDCC" w14:textId="77777777" w:rsidR="00EF4E4D" w:rsidRPr="00B10C34" w:rsidRDefault="00EF4E4D">
            <w:pPr>
              <w:pStyle w:val="Tabletextleft"/>
              <w:cnfStyle w:val="000000100000" w:firstRow="0" w:lastRow="0" w:firstColumn="0" w:lastColumn="0" w:oddVBand="0" w:evenVBand="0" w:oddHBand="1" w:evenHBand="0" w:firstRowFirstColumn="0" w:firstRowLastColumn="0" w:lastRowFirstColumn="0" w:lastRowLastColumn="0"/>
              <w:rPr>
                <w:rFonts w:ascii="Calibri" w:hAnsi="Calibri" w:cs="Calibri"/>
                <w:b w:val="0"/>
                <w:bCs w:val="0"/>
                <w:sz w:val="18"/>
                <w:szCs w:val="18"/>
              </w:rPr>
            </w:pPr>
            <w:r w:rsidRPr="00B10C34">
              <w:rPr>
                <w:rFonts w:ascii="Calibri" w:hAnsi="Calibri" w:cs="Calibri"/>
                <w:b w:val="0"/>
                <w:bCs w:val="0"/>
                <w:sz w:val="18"/>
                <w:szCs w:val="18"/>
              </w:rPr>
              <w:t>The number of applications for funded aged care services made under subsection 56(1) for which a decision under subsection 57(1) has not been made, including applications made during that quarter and previous quarters</w:t>
            </w:r>
          </w:p>
        </w:tc>
        <w:tc>
          <w:tcPr>
            <w:tcW w:w="1413" w:type="pct"/>
          </w:tcPr>
          <w:p w14:paraId="4082AC3C" w14:textId="2788E573" w:rsidR="00EF4E4D" w:rsidRPr="00BC274C" w:rsidRDefault="00A32F95">
            <w:pPr>
              <w:pStyle w:val="Tabletextcentre"/>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bCs w:val="0"/>
                <w:sz w:val="18"/>
                <w:szCs w:val="18"/>
                <w:highlight w:val="yellow"/>
              </w:rPr>
            </w:pPr>
            <w:r w:rsidRPr="00A32F95">
              <w:rPr>
                <w:rFonts w:ascii="Calibri" w:hAnsi="Calibri" w:cs="Calibri"/>
                <w:b w:val="0"/>
                <w:bCs w:val="0"/>
                <w:sz w:val="18"/>
                <w:szCs w:val="18"/>
              </w:rPr>
              <w:t>6.</w:t>
            </w:r>
            <w:r w:rsidRPr="00A32F95">
              <w:rPr>
                <w:rFonts w:ascii="Calibri" w:hAnsi="Calibri" w:cs="Calibri"/>
                <w:b w:val="0"/>
                <w:bCs w:val="0"/>
                <w:sz w:val="18"/>
                <w:szCs w:val="18"/>
              </w:rPr>
              <w:tab/>
              <w:t>Applications awaiting a decision</w:t>
            </w:r>
          </w:p>
        </w:tc>
        <w:tc>
          <w:tcPr>
            <w:tcW w:w="1413" w:type="pct"/>
          </w:tcPr>
          <w:p w14:paraId="0DF3821C" w14:textId="790B521B" w:rsidR="00EF4E4D" w:rsidRPr="00B10C34" w:rsidRDefault="00AF4AA5">
            <w:pPr>
              <w:pStyle w:val="Tabletextright0"/>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bCs w:val="0"/>
                <w:sz w:val="18"/>
                <w:szCs w:val="18"/>
              </w:rPr>
            </w:pPr>
            <w:r>
              <w:rPr>
                <w:rFonts w:ascii="Calibri" w:hAnsi="Calibri" w:cs="Calibri"/>
                <w:b w:val="0"/>
                <w:bCs w:val="0"/>
                <w:sz w:val="18"/>
                <w:szCs w:val="18"/>
              </w:rPr>
              <w:t>R</w:t>
            </w:r>
            <w:r w:rsidRPr="00AF4AA5">
              <w:rPr>
                <w:rFonts w:ascii="Calibri" w:hAnsi="Calibri" w:cs="Calibri"/>
                <w:b w:val="0"/>
                <w:bCs w:val="0"/>
                <w:sz w:val="18"/>
                <w:szCs w:val="18"/>
              </w:rPr>
              <w:t>eports count of applications awaiting an eligibility (triage) decision in Quarter 2 and Quarter 3 2025–26</w:t>
            </w:r>
            <w:r>
              <w:rPr>
                <w:rFonts w:ascii="Calibri" w:hAnsi="Calibri" w:cs="Calibri"/>
                <w:b w:val="0"/>
                <w:bCs w:val="0"/>
                <w:sz w:val="18"/>
                <w:szCs w:val="18"/>
              </w:rPr>
              <w:t>.</w:t>
            </w:r>
          </w:p>
        </w:tc>
      </w:tr>
      <w:tr w:rsidR="00EF4E4D" w:rsidRPr="00CA2831" w14:paraId="762FA33F" w14:textId="77777777" w:rsidTr="674C57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pct"/>
          </w:tcPr>
          <w:p w14:paraId="2A8EDF32" w14:textId="77777777" w:rsidR="00EF4E4D" w:rsidRPr="00B10C34" w:rsidRDefault="00EF4E4D">
            <w:pPr>
              <w:pStyle w:val="Tabletextleft"/>
              <w:rPr>
                <w:rFonts w:ascii="Calibri" w:hAnsi="Calibri" w:cs="Calibri"/>
                <w:b w:val="0"/>
                <w:bCs w:val="0"/>
                <w:sz w:val="18"/>
                <w:szCs w:val="18"/>
              </w:rPr>
            </w:pPr>
            <w:r w:rsidRPr="00B10C34">
              <w:rPr>
                <w:rFonts w:ascii="Calibri" w:hAnsi="Calibri" w:cs="Calibri"/>
                <w:b w:val="0"/>
                <w:bCs w:val="0"/>
                <w:sz w:val="18"/>
                <w:szCs w:val="18"/>
              </w:rPr>
              <w:t>s342A(2)(b)</w:t>
            </w:r>
          </w:p>
        </w:tc>
        <w:tc>
          <w:tcPr>
            <w:tcW w:w="1412" w:type="pct"/>
          </w:tcPr>
          <w:p w14:paraId="461546D9" w14:textId="77777777" w:rsidR="00EF4E4D" w:rsidRPr="00B10C34" w:rsidRDefault="00EF4E4D">
            <w:pPr>
              <w:pStyle w:val="Tabletextleft"/>
              <w:cnfStyle w:val="000000010000" w:firstRow="0" w:lastRow="0" w:firstColumn="0" w:lastColumn="0" w:oddVBand="0" w:evenVBand="0" w:oddHBand="0" w:evenHBand="1" w:firstRowFirstColumn="0" w:firstRowLastColumn="0" w:lastRowFirstColumn="0" w:lastRowLastColumn="0"/>
              <w:rPr>
                <w:rFonts w:ascii="Calibri" w:hAnsi="Calibri" w:cs="Calibri"/>
                <w:b w:val="0"/>
                <w:bCs w:val="0"/>
                <w:sz w:val="18"/>
                <w:szCs w:val="18"/>
              </w:rPr>
            </w:pPr>
            <w:r w:rsidRPr="00B10C34">
              <w:rPr>
                <w:rFonts w:ascii="Calibri" w:hAnsi="Calibri" w:cs="Calibri"/>
                <w:b w:val="0"/>
                <w:bCs w:val="0"/>
                <w:sz w:val="18"/>
                <w:szCs w:val="18"/>
              </w:rPr>
              <w:t>The average number of days between the date of an application for funded aged care services being made under subsection 56(1) and the commencement of the provision of non</w:t>
            </w:r>
            <w:r w:rsidRPr="00B10C34">
              <w:rPr>
                <w:rFonts w:ascii="Calibri" w:hAnsi="Calibri" w:cs="Calibri"/>
                <w:b w:val="0"/>
                <w:bCs w:val="0"/>
                <w:sz w:val="18"/>
                <w:szCs w:val="18"/>
              </w:rPr>
              <w:noBreakHyphen/>
              <w:t>specialist funded aged care services, where those services commenced in the quarter</w:t>
            </w:r>
          </w:p>
        </w:tc>
        <w:tc>
          <w:tcPr>
            <w:tcW w:w="1413" w:type="pct"/>
          </w:tcPr>
          <w:p w14:paraId="5DC75F7F" w14:textId="77777777" w:rsidR="003245B8" w:rsidRPr="003245B8" w:rsidRDefault="003245B8" w:rsidP="003245B8">
            <w:pPr>
              <w:pStyle w:val="Tabletextcentre"/>
              <w:cnfStyle w:val="000000010000" w:firstRow="0" w:lastRow="0" w:firstColumn="0" w:lastColumn="0" w:oddVBand="0" w:evenVBand="0" w:oddHBand="0" w:evenHBand="1" w:firstRowFirstColumn="0" w:firstRowLastColumn="0" w:lastRowFirstColumn="0" w:lastRowLastColumn="0"/>
              <w:rPr>
                <w:rFonts w:ascii="Calibri" w:hAnsi="Calibri" w:cs="Calibri"/>
                <w:b w:val="0"/>
                <w:bCs w:val="0"/>
                <w:sz w:val="18"/>
                <w:szCs w:val="18"/>
              </w:rPr>
            </w:pPr>
            <w:r w:rsidRPr="003245B8">
              <w:rPr>
                <w:rFonts w:ascii="Calibri" w:hAnsi="Calibri" w:cs="Calibri"/>
                <w:b w:val="0"/>
                <w:bCs w:val="0"/>
                <w:sz w:val="18"/>
                <w:szCs w:val="18"/>
              </w:rPr>
              <w:t>7.1</w:t>
            </w:r>
            <w:r w:rsidRPr="003245B8">
              <w:rPr>
                <w:rFonts w:ascii="Calibri" w:hAnsi="Calibri" w:cs="Calibri"/>
                <w:b w:val="0"/>
                <w:bCs w:val="0"/>
                <w:sz w:val="18"/>
                <w:szCs w:val="18"/>
              </w:rPr>
              <w:tab/>
              <w:t xml:space="preserve">Average and median waiting period </w:t>
            </w:r>
          </w:p>
          <w:p w14:paraId="2B8A7912" w14:textId="44A7686C" w:rsidR="00EF4E4D" w:rsidRPr="00BC274C" w:rsidRDefault="003245B8" w:rsidP="003245B8">
            <w:pPr>
              <w:pStyle w:val="Tabletextcentre"/>
              <w:jc w:val="left"/>
              <w:cnfStyle w:val="000000010000" w:firstRow="0" w:lastRow="0" w:firstColumn="0" w:lastColumn="0" w:oddVBand="0" w:evenVBand="0" w:oddHBand="0" w:evenHBand="1" w:firstRowFirstColumn="0" w:firstRowLastColumn="0" w:lastRowFirstColumn="0" w:lastRowLastColumn="0"/>
              <w:rPr>
                <w:rFonts w:ascii="Calibri" w:hAnsi="Calibri" w:cs="Calibri"/>
                <w:b w:val="0"/>
                <w:bCs w:val="0"/>
                <w:sz w:val="18"/>
                <w:szCs w:val="18"/>
                <w:highlight w:val="yellow"/>
              </w:rPr>
            </w:pPr>
            <w:r w:rsidRPr="674C5744">
              <w:rPr>
                <w:rFonts w:ascii="Calibri" w:hAnsi="Calibri" w:cs="Calibri"/>
                <w:b w:val="0"/>
                <w:bCs w:val="0"/>
                <w:sz w:val="18"/>
                <w:szCs w:val="18"/>
              </w:rPr>
              <w:t>(342A(2)(b) and (c</w:t>
            </w:r>
            <w:proofErr w:type="gramStart"/>
            <w:r w:rsidRPr="674C5744">
              <w:rPr>
                <w:rFonts w:ascii="Calibri" w:hAnsi="Calibri" w:cs="Calibri"/>
                <w:b w:val="0"/>
                <w:bCs w:val="0"/>
                <w:sz w:val="18"/>
                <w:szCs w:val="18"/>
              </w:rPr>
              <w:t xml:space="preserve">))   </w:t>
            </w:r>
            <w:proofErr w:type="gramEnd"/>
          </w:p>
        </w:tc>
        <w:tc>
          <w:tcPr>
            <w:tcW w:w="1413" w:type="pct"/>
          </w:tcPr>
          <w:p w14:paraId="70FEB340" w14:textId="5235BAA7" w:rsidR="00EF4E4D" w:rsidRPr="00B10C34" w:rsidRDefault="00D11EEE">
            <w:pPr>
              <w:pStyle w:val="Tabletextright0"/>
              <w:jc w:val="left"/>
              <w:cnfStyle w:val="000000010000" w:firstRow="0" w:lastRow="0" w:firstColumn="0" w:lastColumn="0" w:oddVBand="0" w:evenVBand="0" w:oddHBand="0" w:evenHBand="1" w:firstRowFirstColumn="0" w:firstRowLastColumn="0" w:lastRowFirstColumn="0" w:lastRowLastColumn="0"/>
              <w:rPr>
                <w:rFonts w:ascii="Calibri" w:hAnsi="Calibri" w:cs="Calibri"/>
                <w:b w:val="0"/>
                <w:bCs w:val="0"/>
                <w:sz w:val="18"/>
                <w:szCs w:val="18"/>
              </w:rPr>
            </w:pPr>
            <w:r w:rsidRPr="674C5744">
              <w:rPr>
                <w:rFonts w:ascii="Calibri" w:hAnsi="Calibri" w:cs="Calibri"/>
                <w:b w:val="0"/>
                <w:bCs w:val="0"/>
                <w:sz w:val="18"/>
                <w:szCs w:val="18"/>
              </w:rPr>
              <w:t xml:space="preserve">Reports on the average number of days for </w:t>
            </w:r>
            <w:r w:rsidR="00990682">
              <w:rPr>
                <w:rFonts w:ascii="Calibri" w:hAnsi="Calibri" w:cs="Calibri"/>
                <w:b w:val="0"/>
                <w:bCs w:val="0"/>
                <w:sz w:val="18"/>
                <w:szCs w:val="18"/>
              </w:rPr>
              <w:br/>
            </w:r>
            <w:r w:rsidRPr="674C5744">
              <w:rPr>
                <w:rFonts w:ascii="Calibri" w:hAnsi="Calibri" w:cs="Calibri"/>
                <w:b w:val="0"/>
                <w:bCs w:val="0"/>
                <w:sz w:val="18"/>
                <w:szCs w:val="18"/>
              </w:rPr>
              <w:t>non</w:t>
            </w:r>
            <w:r w:rsidR="00990682">
              <w:rPr>
                <w:rFonts w:ascii="Calibri" w:hAnsi="Calibri" w:cs="Calibri"/>
                <w:b w:val="0"/>
                <w:bCs w:val="0"/>
                <w:sz w:val="18"/>
                <w:szCs w:val="18"/>
              </w:rPr>
              <w:t>-</w:t>
            </w:r>
            <w:r w:rsidRPr="674C5744">
              <w:rPr>
                <w:rFonts w:ascii="Calibri" w:hAnsi="Calibri" w:cs="Calibri"/>
                <w:b w:val="0"/>
                <w:bCs w:val="0"/>
                <w:sz w:val="18"/>
                <w:szCs w:val="18"/>
              </w:rPr>
              <w:t>specialist care.</w:t>
            </w:r>
          </w:p>
        </w:tc>
      </w:tr>
      <w:tr w:rsidR="00EF4E4D" w:rsidRPr="00CA2831" w14:paraId="3DB2E5BC" w14:textId="77777777" w:rsidTr="674C57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pct"/>
          </w:tcPr>
          <w:p w14:paraId="1C96919D" w14:textId="77777777" w:rsidR="00EF4E4D" w:rsidRPr="00B10C34" w:rsidRDefault="00EF4E4D">
            <w:pPr>
              <w:pStyle w:val="Tabletextleft"/>
              <w:rPr>
                <w:rFonts w:ascii="Calibri" w:hAnsi="Calibri" w:cs="Calibri"/>
                <w:b w:val="0"/>
                <w:bCs w:val="0"/>
                <w:sz w:val="18"/>
                <w:szCs w:val="18"/>
              </w:rPr>
            </w:pPr>
            <w:r w:rsidRPr="00B10C34">
              <w:rPr>
                <w:rFonts w:ascii="Calibri" w:hAnsi="Calibri" w:cs="Calibri"/>
                <w:b w:val="0"/>
                <w:bCs w:val="0"/>
                <w:sz w:val="18"/>
                <w:szCs w:val="18"/>
              </w:rPr>
              <w:t>s342A(2)(c)</w:t>
            </w:r>
          </w:p>
        </w:tc>
        <w:tc>
          <w:tcPr>
            <w:tcW w:w="1412" w:type="pct"/>
          </w:tcPr>
          <w:p w14:paraId="575CF2E6" w14:textId="77777777" w:rsidR="00EF4E4D" w:rsidRPr="00B10C34" w:rsidRDefault="00EF4E4D">
            <w:pPr>
              <w:pStyle w:val="Tabletextleft"/>
              <w:cnfStyle w:val="000000100000" w:firstRow="0" w:lastRow="0" w:firstColumn="0" w:lastColumn="0" w:oddVBand="0" w:evenVBand="0" w:oddHBand="1" w:evenHBand="0" w:firstRowFirstColumn="0" w:firstRowLastColumn="0" w:lastRowFirstColumn="0" w:lastRowLastColumn="0"/>
              <w:rPr>
                <w:rFonts w:ascii="Calibri" w:hAnsi="Calibri" w:cs="Calibri"/>
                <w:b w:val="0"/>
                <w:bCs w:val="0"/>
                <w:sz w:val="18"/>
                <w:szCs w:val="18"/>
              </w:rPr>
            </w:pPr>
            <w:r w:rsidRPr="00B10C34">
              <w:rPr>
                <w:rFonts w:ascii="Calibri" w:hAnsi="Calibri" w:cs="Calibri"/>
                <w:b w:val="0"/>
                <w:bCs w:val="0"/>
                <w:sz w:val="18"/>
                <w:szCs w:val="18"/>
              </w:rPr>
              <w:t>The median number of days between the date of an application for funded aged care services being made under subsection 56(1) and the commencement of the provision of non</w:t>
            </w:r>
            <w:r w:rsidRPr="00B10C34">
              <w:rPr>
                <w:rFonts w:ascii="Calibri" w:hAnsi="Calibri" w:cs="Calibri"/>
                <w:b w:val="0"/>
                <w:bCs w:val="0"/>
                <w:sz w:val="18"/>
                <w:szCs w:val="18"/>
              </w:rPr>
              <w:noBreakHyphen/>
              <w:t>specialist funded aged care services, where those services commenced in the quarter</w:t>
            </w:r>
          </w:p>
        </w:tc>
        <w:tc>
          <w:tcPr>
            <w:tcW w:w="1413" w:type="pct"/>
          </w:tcPr>
          <w:p w14:paraId="62C770B9" w14:textId="77777777" w:rsidR="003245B8" w:rsidRPr="003245B8" w:rsidRDefault="003245B8" w:rsidP="003245B8">
            <w:pPr>
              <w:pStyle w:val="Tabletextcentre"/>
              <w:cnfStyle w:val="000000100000" w:firstRow="0" w:lastRow="0" w:firstColumn="0" w:lastColumn="0" w:oddVBand="0" w:evenVBand="0" w:oddHBand="1" w:evenHBand="0" w:firstRowFirstColumn="0" w:firstRowLastColumn="0" w:lastRowFirstColumn="0" w:lastRowLastColumn="0"/>
              <w:rPr>
                <w:rFonts w:ascii="Calibri" w:hAnsi="Calibri" w:cs="Calibri"/>
                <w:b w:val="0"/>
                <w:bCs w:val="0"/>
                <w:sz w:val="18"/>
                <w:szCs w:val="18"/>
              </w:rPr>
            </w:pPr>
            <w:r w:rsidRPr="003245B8">
              <w:rPr>
                <w:rFonts w:ascii="Calibri" w:hAnsi="Calibri" w:cs="Calibri"/>
                <w:b w:val="0"/>
                <w:bCs w:val="0"/>
                <w:sz w:val="18"/>
                <w:szCs w:val="18"/>
              </w:rPr>
              <w:t>7.1</w:t>
            </w:r>
            <w:r w:rsidRPr="003245B8">
              <w:rPr>
                <w:rFonts w:ascii="Calibri" w:hAnsi="Calibri" w:cs="Calibri"/>
                <w:b w:val="0"/>
                <w:bCs w:val="0"/>
                <w:sz w:val="18"/>
                <w:szCs w:val="18"/>
              </w:rPr>
              <w:tab/>
              <w:t xml:space="preserve">Average and median waiting period </w:t>
            </w:r>
          </w:p>
          <w:p w14:paraId="483DE91C" w14:textId="183C424D" w:rsidR="00EF4E4D" w:rsidRPr="00BC274C" w:rsidRDefault="003245B8" w:rsidP="003245B8">
            <w:pPr>
              <w:pStyle w:val="Tabletextcentre"/>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bCs w:val="0"/>
                <w:sz w:val="18"/>
                <w:szCs w:val="18"/>
                <w:highlight w:val="yellow"/>
              </w:rPr>
            </w:pPr>
            <w:r w:rsidRPr="674C5744">
              <w:rPr>
                <w:rFonts w:ascii="Calibri" w:hAnsi="Calibri" w:cs="Calibri"/>
                <w:b w:val="0"/>
                <w:bCs w:val="0"/>
                <w:sz w:val="18"/>
                <w:szCs w:val="18"/>
              </w:rPr>
              <w:t>(342A(2)(b) and (c</w:t>
            </w:r>
            <w:proofErr w:type="gramStart"/>
            <w:r w:rsidRPr="674C5744">
              <w:rPr>
                <w:rFonts w:ascii="Calibri" w:hAnsi="Calibri" w:cs="Calibri"/>
                <w:b w:val="0"/>
                <w:bCs w:val="0"/>
                <w:sz w:val="18"/>
                <w:szCs w:val="18"/>
              </w:rPr>
              <w:t xml:space="preserve">))   </w:t>
            </w:r>
            <w:proofErr w:type="gramEnd"/>
          </w:p>
        </w:tc>
        <w:tc>
          <w:tcPr>
            <w:tcW w:w="1413" w:type="pct"/>
          </w:tcPr>
          <w:p w14:paraId="0A24B7FC" w14:textId="724681F1" w:rsidR="00EF4E4D" w:rsidRPr="00B10C34" w:rsidRDefault="0072517D">
            <w:pPr>
              <w:pStyle w:val="Tabletextright0"/>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bCs w:val="0"/>
                <w:sz w:val="18"/>
                <w:szCs w:val="18"/>
              </w:rPr>
            </w:pPr>
            <w:r w:rsidRPr="674C5744">
              <w:rPr>
                <w:rFonts w:ascii="Calibri" w:hAnsi="Calibri" w:cs="Calibri"/>
                <w:b w:val="0"/>
                <w:bCs w:val="0"/>
                <w:sz w:val="18"/>
                <w:szCs w:val="18"/>
              </w:rPr>
              <w:t xml:space="preserve">Reports on the median number of days for </w:t>
            </w:r>
            <w:r w:rsidR="00990682">
              <w:rPr>
                <w:rFonts w:ascii="Calibri" w:hAnsi="Calibri" w:cs="Calibri"/>
                <w:b w:val="0"/>
                <w:bCs w:val="0"/>
                <w:sz w:val="18"/>
                <w:szCs w:val="18"/>
              </w:rPr>
              <w:br/>
            </w:r>
            <w:r w:rsidRPr="674C5744">
              <w:rPr>
                <w:rFonts w:ascii="Calibri" w:hAnsi="Calibri" w:cs="Calibri"/>
                <w:b w:val="0"/>
                <w:bCs w:val="0"/>
                <w:sz w:val="18"/>
                <w:szCs w:val="18"/>
              </w:rPr>
              <w:t>non</w:t>
            </w:r>
            <w:r w:rsidR="00990682">
              <w:rPr>
                <w:rFonts w:ascii="Calibri" w:hAnsi="Calibri" w:cs="Calibri"/>
                <w:b w:val="0"/>
                <w:bCs w:val="0"/>
                <w:sz w:val="18"/>
                <w:szCs w:val="18"/>
              </w:rPr>
              <w:t>-</w:t>
            </w:r>
            <w:r w:rsidRPr="674C5744">
              <w:rPr>
                <w:rFonts w:ascii="Calibri" w:hAnsi="Calibri" w:cs="Calibri"/>
                <w:b w:val="0"/>
                <w:bCs w:val="0"/>
                <w:sz w:val="18"/>
                <w:szCs w:val="18"/>
              </w:rPr>
              <w:t>specialist care.</w:t>
            </w:r>
          </w:p>
        </w:tc>
      </w:tr>
      <w:tr w:rsidR="00EF4E4D" w:rsidRPr="00CA2831" w14:paraId="4C1F241A" w14:textId="77777777" w:rsidTr="674C57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pct"/>
          </w:tcPr>
          <w:p w14:paraId="13243710" w14:textId="77777777" w:rsidR="00EF4E4D" w:rsidRPr="00B10C34" w:rsidRDefault="00EF4E4D">
            <w:pPr>
              <w:pStyle w:val="Tabletextleft"/>
              <w:rPr>
                <w:rFonts w:ascii="Calibri" w:hAnsi="Calibri" w:cs="Calibri"/>
                <w:b w:val="0"/>
                <w:bCs w:val="0"/>
                <w:sz w:val="18"/>
                <w:szCs w:val="18"/>
              </w:rPr>
            </w:pPr>
            <w:r w:rsidRPr="00B10C34">
              <w:rPr>
                <w:rFonts w:ascii="Calibri" w:hAnsi="Calibri" w:cs="Calibri"/>
                <w:b w:val="0"/>
                <w:bCs w:val="0"/>
                <w:sz w:val="18"/>
                <w:szCs w:val="18"/>
              </w:rPr>
              <w:t>s342A(2)(d)</w:t>
            </w:r>
          </w:p>
        </w:tc>
        <w:tc>
          <w:tcPr>
            <w:tcW w:w="1412" w:type="pct"/>
            <w:shd w:val="clear" w:color="auto" w:fill="auto"/>
          </w:tcPr>
          <w:p w14:paraId="6F612B83" w14:textId="77777777" w:rsidR="00EF4E4D" w:rsidRPr="00B10C34" w:rsidRDefault="00EF4E4D">
            <w:pPr>
              <w:pStyle w:val="Tabletextleft"/>
              <w:cnfStyle w:val="000000010000" w:firstRow="0" w:lastRow="0" w:firstColumn="0" w:lastColumn="0" w:oddVBand="0" w:evenVBand="0" w:oddHBand="0" w:evenHBand="1" w:firstRowFirstColumn="0" w:firstRowLastColumn="0" w:lastRowFirstColumn="0" w:lastRowLastColumn="0"/>
              <w:rPr>
                <w:rFonts w:ascii="Calibri" w:hAnsi="Calibri" w:cs="Calibri"/>
                <w:b w:val="0"/>
                <w:bCs w:val="0"/>
                <w:sz w:val="18"/>
                <w:szCs w:val="18"/>
              </w:rPr>
            </w:pPr>
            <w:r w:rsidRPr="00B10C34">
              <w:rPr>
                <w:rFonts w:ascii="Calibri" w:hAnsi="Calibri" w:cs="Calibri"/>
                <w:b w:val="0"/>
                <w:bCs w:val="0"/>
                <w:sz w:val="18"/>
                <w:szCs w:val="18"/>
              </w:rPr>
              <w:t xml:space="preserve">An assessment of the differences in the time taken between application and the commencement of services </w:t>
            </w:r>
            <w:proofErr w:type="gramStart"/>
            <w:r w:rsidRPr="00B10C34">
              <w:rPr>
                <w:rFonts w:ascii="Calibri" w:hAnsi="Calibri" w:cs="Calibri"/>
                <w:b w:val="0"/>
                <w:bCs w:val="0"/>
                <w:sz w:val="18"/>
                <w:szCs w:val="18"/>
              </w:rPr>
              <w:t>as a result of</w:t>
            </w:r>
            <w:proofErr w:type="gramEnd"/>
            <w:r w:rsidRPr="00B10C34">
              <w:rPr>
                <w:rFonts w:ascii="Calibri" w:hAnsi="Calibri" w:cs="Calibri"/>
                <w:b w:val="0"/>
                <w:bCs w:val="0"/>
                <w:sz w:val="18"/>
                <w:szCs w:val="18"/>
              </w:rPr>
              <w:t xml:space="preserve"> whether the non</w:t>
            </w:r>
            <w:r w:rsidRPr="00B10C34">
              <w:rPr>
                <w:rFonts w:ascii="Calibri" w:hAnsi="Calibri" w:cs="Calibri"/>
                <w:b w:val="0"/>
                <w:bCs w:val="0"/>
                <w:sz w:val="18"/>
                <w:szCs w:val="18"/>
              </w:rPr>
              <w:noBreakHyphen/>
              <w:t>specialist funded aged care service was delivered in an approved residential care home or a home or community setting</w:t>
            </w:r>
          </w:p>
        </w:tc>
        <w:tc>
          <w:tcPr>
            <w:tcW w:w="1413" w:type="pct"/>
          </w:tcPr>
          <w:p w14:paraId="2FD57F46" w14:textId="2F4CB9FC" w:rsidR="00EF4E4D" w:rsidRPr="00BC274C" w:rsidRDefault="003D34DC">
            <w:pPr>
              <w:pStyle w:val="Tabletextcentre"/>
              <w:jc w:val="left"/>
              <w:cnfStyle w:val="000000010000" w:firstRow="0" w:lastRow="0" w:firstColumn="0" w:lastColumn="0" w:oddVBand="0" w:evenVBand="0" w:oddHBand="0" w:evenHBand="1" w:firstRowFirstColumn="0" w:firstRowLastColumn="0" w:lastRowFirstColumn="0" w:lastRowLastColumn="0"/>
              <w:rPr>
                <w:rFonts w:ascii="Calibri" w:hAnsi="Calibri" w:cs="Calibri"/>
                <w:b w:val="0"/>
                <w:bCs w:val="0"/>
                <w:sz w:val="18"/>
                <w:szCs w:val="18"/>
                <w:highlight w:val="yellow"/>
              </w:rPr>
            </w:pPr>
            <w:r w:rsidRPr="003D34DC">
              <w:rPr>
                <w:rFonts w:ascii="Calibri" w:hAnsi="Calibri" w:cs="Calibri"/>
                <w:b w:val="0"/>
                <w:bCs w:val="0"/>
                <w:sz w:val="18"/>
                <w:szCs w:val="18"/>
              </w:rPr>
              <w:t>8.</w:t>
            </w:r>
            <w:r w:rsidRPr="003D34DC">
              <w:rPr>
                <w:rFonts w:ascii="Calibri" w:hAnsi="Calibri" w:cs="Calibri"/>
                <w:b w:val="0"/>
                <w:bCs w:val="0"/>
                <w:sz w:val="18"/>
                <w:szCs w:val="18"/>
              </w:rPr>
              <w:tab/>
              <w:t>Assessment of differences by service setting</w:t>
            </w:r>
          </w:p>
        </w:tc>
        <w:tc>
          <w:tcPr>
            <w:tcW w:w="1413" w:type="pct"/>
          </w:tcPr>
          <w:p w14:paraId="7C3D0614" w14:textId="3A9163C1" w:rsidR="00EF4E4D" w:rsidRPr="00B10C34" w:rsidRDefault="008E4FAC">
            <w:pPr>
              <w:pStyle w:val="Tabletextright0"/>
              <w:jc w:val="left"/>
              <w:cnfStyle w:val="000000010000" w:firstRow="0" w:lastRow="0" w:firstColumn="0" w:lastColumn="0" w:oddVBand="0" w:evenVBand="0" w:oddHBand="0" w:evenHBand="1" w:firstRowFirstColumn="0" w:firstRowLastColumn="0" w:lastRowFirstColumn="0" w:lastRowLastColumn="0"/>
              <w:rPr>
                <w:rFonts w:ascii="Calibri" w:hAnsi="Calibri" w:cs="Calibri"/>
                <w:b w:val="0"/>
                <w:bCs w:val="0"/>
                <w:sz w:val="18"/>
                <w:szCs w:val="18"/>
              </w:rPr>
            </w:pPr>
            <w:r w:rsidRPr="008E4FAC">
              <w:rPr>
                <w:rFonts w:ascii="Calibri" w:hAnsi="Calibri" w:cs="Calibri"/>
                <w:b w:val="0"/>
                <w:bCs w:val="0"/>
                <w:sz w:val="18"/>
                <w:szCs w:val="18"/>
              </w:rPr>
              <w:t>Reports on median and average days/months by service type and provides commentary to meet the requirement for the assessment of differences.</w:t>
            </w:r>
          </w:p>
        </w:tc>
      </w:tr>
      <w:tr w:rsidR="00EF4E4D" w:rsidRPr="00CA2831" w14:paraId="3E8231DD" w14:textId="77777777" w:rsidTr="674C57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pct"/>
          </w:tcPr>
          <w:p w14:paraId="61B8D694" w14:textId="77777777" w:rsidR="00EF4E4D" w:rsidRPr="00B10C34" w:rsidRDefault="00EF4E4D">
            <w:pPr>
              <w:pStyle w:val="Tabletextleft"/>
              <w:rPr>
                <w:rFonts w:ascii="Calibri" w:hAnsi="Calibri" w:cs="Calibri"/>
                <w:b w:val="0"/>
                <w:bCs w:val="0"/>
                <w:sz w:val="18"/>
                <w:szCs w:val="18"/>
              </w:rPr>
            </w:pPr>
            <w:r w:rsidRPr="00B10C34">
              <w:rPr>
                <w:rFonts w:ascii="Calibri" w:hAnsi="Calibri" w:cs="Calibri"/>
                <w:b w:val="0"/>
                <w:bCs w:val="0"/>
                <w:sz w:val="18"/>
                <w:szCs w:val="18"/>
              </w:rPr>
              <w:t>s342A(2)(e)</w:t>
            </w:r>
          </w:p>
        </w:tc>
        <w:tc>
          <w:tcPr>
            <w:tcW w:w="1412" w:type="pct"/>
          </w:tcPr>
          <w:p w14:paraId="0B0CE381" w14:textId="77777777" w:rsidR="00EF4E4D" w:rsidRPr="00B10C34" w:rsidRDefault="00EF4E4D">
            <w:pPr>
              <w:pStyle w:val="Tabletextleft"/>
              <w:cnfStyle w:val="000000100000" w:firstRow="0" w:lastRow="0" w:firstColumn="0" w:lastColumn="0" w:oddVBand="0" w:evenVBand="0" w:oddHBand="1" w:evenHBand="0" w:firstRowFirstColumn="0" w:firstRowLastColumn="0" w:lastRowFirstColumn="0" w:lastRowLastColumn="0"/>
              <w:rPr>
                <w:rFonts w:ascii="Calibri" w:hAnsi="Calibri" w:cs="Calibri"/>
                <w:b w:val="0"/>
                <w:bCs w:val="0"/>
                <w:sz w:val="18"/>
                <w:szCs w:val="18"/>
              </w:rPr>
            </w:pPr>
            <w:r w:rsidRPr="00B10C34">
              <w:rPr>
                <w:rFonts w:ascii="Calibri" w:hAnsi="Calibri" w:cs="Calibri"/>
                <w:b w:val="0"/>
                <w:bCs w:val="0"/>
                <w:sz w:val="18"/>
                <w:szCs w:val="18"/>
              </w:rPr>
              <w:t xml:space="preserve">An assessment of the differences in the time taken between application and the commencement of services </w:t>
            </w:r>
            <w:proofErr w:type="gramStart"/>
            <w:r w:rsidRPr="00B10C34">
              <w:rPr>
                <w:rFonts w:ascii="Calibri" w:hAnsi="Calibri" w:cs="Calibri"/>
                <w:b w:val="0"/>
                <w:bCs w:val="0"/>
                <w:sz w:val="18"/>
                <w:szCs w:val="18"/>
              </w:rPr>
              <w:t>as a result of</w:t>
            </w:r>
            <w:proofErr w:type="gramEnd"/>
            <w:r w:rsidRPr="00B10C34">
              <w:rPr>
                <w:rFonts w:ascii="Calibri" w:hAnsi="Calibri" w:cs="Calibri"/>
                <w:b w:val="0"/>
                <w:bCs w:val="0"/>
                <w:sz w:val="18"/>
                <w:szCs w:val="18"/>
              </w:rPr>
              <w:t xml:space="preserve"> the State or Territory in which the non</w:t>
            </w:r>
            <w:r w:rsidRPr="00B10C34">
              <w:rPr>
                <w:rFonts w:ascii="Calibri" w:hAnsi="Calibri" w:cs="Calibri"/>
                <w:b w:val="0"/>
                <w:bCs w:val="0"/>
                <w:sz w:val="18"/>
                <w:szCs w:val="18"/>
              </w:rPr>
              <w:noBreakHyphen/>
              <w:t>specialist funded aged care service was delivered</w:t>
            </w:r>
          </w:p>
        </w:tc>
        <w:tc>
          <w:tcPr>
            <w:tcW w:w="1413" w:type="pct"/>
          </w:tcPr>
          <w:p w14:paraId="50E5BC70" w14:textId="30E0215E" w:rsidR="00EF4E4D" w:rsidRPr="00BC274C" w:rsidRDefault="003D34DC">
            <w:pPr>
              <w:pStyle w:val="Tabletextcentre"/>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bCs w:val="0"/>
                <w:sz w:val="18"/>
                <w:szCs w:val="18"/>
                <w:highlight w:val="yellow"/>
              </w:rPr>
            </w:pPr>
            <w:r w:rsidRPr="003D34DC">
              <w:rPr>
                <w:rFonts w:ascii="Calibri" w:hAnsi="Calibri" w:cs="Calibri"/>
                <w:b w:val="0"/>
                <w:bCs w:val="0"/>
                <w:sz w:val="18"/>
                <w:szCs w:val="18"/>
              </w:rPr>
              <w:t>9.</w:t>
            </w:r>
            <w:r w:rsidRPr="003D34DC">
              <w:rPr>
                <w:rFonts w:ascii="Calibri" w:hAnsi="Calibri" w:cs="Calibri"/>
                <w:b w:val="0"/>
                <w:bCs w:val="0"/>
                <w:sz w:val="18"/>
                <w:szCs w:val="18"/>
              </w:rPr>
              <w:tab/>
              <w:t>Assessment of differences by State or Territory</w:t>
            </w:r>
          </w:p>
        </w:tc>
        <w:tc>
          <w:tcPr>
            <w:tcW w:w="1413" w:type="pct"/>
          </w:tcPr>
          <w:p w14:paraId="412B8B0C" w14:textId="5A839DB3" w:rsidR="00EF4E4D" w:rsidRPr="00B10C34" w:rsidRDefault="008B00CA">
            <w:pPr>
              <w:pStyle w:val="Tabletextright0"/>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bCs w:val="0"/>
                <w:sz w:val="18"/>
                <w:szCs w:val="18"/>
              </w:rPr>
            </w:pPr>
            <w:r w:rsidRPr="008B00CA">
              <w:rPr>
                <w:rFonts w:ascii="Calibri" w:hAnsi="Calibri" w:cs="Calibri"/>
                <w:b w:val="0"/>
                <w:bCs w:val="0"/>
                <w:sz w:val="18"/>
                <w:szCs w:val="18"/>
              </w:rPr>
              <w:t>Reports on median and average days/months by jurisdiction and provides commentary to meet the requirement for the assessment of differences.</w:t>
            </w:r>
          </w:p>
        </w:tc>
      </w:tr>
      <w:tr w:rsidR="00EF4E4D" w:rsidRPr="00CA2831" w14:paraId="43216823" w14:textId="77777777" w:rsidTr="674C57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pct"/>
          </w:tcPr>
          <w:p w14:paraId="23BFB158" w14:textId="77777777" w:rsidR="00EF4E4D" w:rsidRPr="00B10C34" w:rsidRDefault="00EF4E4D">
            <w:pPr>
              <w:pStyle w:val="Tabletextleft"/>
              <w:rPr>
                <w:rFonts w:ascii="Calibri" w:hAnsi="Calibri" w:cs="Calibri"/>
                <w:b w:val="0"/>
                <w:bCs w:val="0"/>
                <w:sz w:val="18"/>
                <w:szCs w:val="18"/>
              </w:rPr>
            </w:pPr>
            <w:r w:rsidRPr="00B10C34">
              <w:rPr>
                <w:rFonts w:ascii="Calibri" w:hAnsi="Calibri" w:cs="Calibri"/>
                <w:b w:val="0"/>
                <w:bCs w:val="0"/>
                <w:sz w:val="18"/>
                <w:szCs w:val="18"/>
              </w:rPr>
              <w:t>s342A(2)(f)</w:t>
            </w:r>
          </w:p>
        </w:tc>
        <w:tc>
          <w:tcPr>
            <w:tcW w:w="1412" w:type="pct"/>
          </w:tcPr>
          <w:p w14:paraId="0C035071" w14:textId="77777777" w:rsidR="00EF4E4D" w:rsidRPr="00B10C34" w:rsidRDefault="00EF4E4D">
            <w:pPr>
              <w:pStyle w:val="Tabletextleft"/>
              <w:cnfStyle w:val="000000010000" w:firstRow="0" w:lastRow="0" w:firstColumn="0" w:lastColumn="0" w:oddVBand="0" w:evenVBand="0" w:oddHBand="0" w:evenHBand="1" w:firstRowFirstColumn="0" w:firstRowLastColumn="0" w:lastRowFirstColumn="0" w:lastRowLastColumn="0"/>
              <w:rPr>
                <w:rFonts w:ascii="Calibri" w:hAnsi="Calibri" w:cs="Calibri"/>
                <w:b w:val="0"/>
                <w:bCs w:val="0"/>
                <w:sz w:val="18"/>
                <w:szCs w:val="18"/>
              </w:rPr>
            </w:pPr>
            <w:r w:rsidRPr="00B10C34">
              <w:rPr>
                <w:rFonts w:ascii="Calibri" w:hAnsi="Calibri" w:cs="Calibri"/>
                <w:b w:val="0"/>
                <w:bCs w:val="0"/>
                <w:sz w:val="18"/>
                <w:szCs w:val="18"/>
              </w:rPr>
              <w:t xml:space="preserve">An assessment of the differences in the time taken between application and the commencement of services </w:t>
            </w:r>
            <w:proofErr w:type="gramStart"/>
            <w:r w:rsidRPr="00B10C34">
              <w:rPr>
                <w:rFonts w:ascii="Calibri" w:hAnsi="Calibri" w:cs="Calibri"/>
                <w:b w:val="0"/>
                <w:bCs w:val="0"/>
                <w:sz w:val="18"/>
                <w:szCs w:val="18"/>
              </w:rPr>
              <w:t>as a result of</w:t>
            </w:r>
            <w:proofErr w:type="gramEnd"/>
            <w:r w:rsidRPr="00B10C34">
              <w:rPr>
                <w:rFonts w:ascii="Calibri" w:hAnsi="Calibri" w:cs="Calibri"/>
                <w:b w:val="0"/>
                <w:bCs w:val="0"/>
                <w:sz w:val="18"/>
                <w:szCs w:val="18"/>
              </w:rPr>
              <w:t xml:space="preserve"> the local </w:t>
            </w:r>
            <w:r w:rsidRPr="00B10C34">
              <w:rPr>
                <w:rFonts w:ascii="Calibri" w:hAnsi="Calibri" w:cs="Calibri"/>
                <w:b w:val="0"/>
                <w:bCs w:val="0"/>
                <w:sz w:val="18"/>
                <w:szCs w:val="18"/>
              </w:rPr>
              <w:lastRenderedPageBreak/>
              <w:t>region in which the non</w:t>
            </w:r>
            <w:r w:rsidRPr="00B10C34">
              <w:rPr>
                <w:rFonts w:ascii="Calibri" w:hAnsi="Calibri" w:cs="Calibri"/>
                <w:b w:val="0"/>
                <w:bCs w:val="0"/>
                <w:sz w:val="18"/>
                <w:szCs w:val="18"/>
              </w:rPr>
              <w:noBreakHyphen/>
              <w:t>specialist funded aged care service was delivered</w:t>
            </w:r>
          </w:p>
        </w:tc>
        <w:tc>
          <w:tcPr>
            <w:tcW w:w="1413" w:type="pct"/>
          </w:tcPr>
          <w:p w14:paraId="03981334" w14:textId="4FB7194D" w:rsidR="00EF4E4D" w:rsidRPr="00BC274C" w:rsidRDefault="00DF67B1">
            <w:pPr>
              <w:pStyle w:val="Tabletextcentre"/>
              <w:jc w:val="left"/>
              <w:cnfStyle w:val="000000010000" w:firstRow="0" w:lastRow="0" w:firstColumn="0" w:lastColumn="0" w:oddVBand="0" w:evenVBand="0" w:oddHBand="0" w:evenHBand="1" w:firstRowFirstColumn="0" w:firstRowLastColumn="0" w:lastRowFirstColumn="0" w:lastRowLastColumn="0"/>
              <w:rPr>
                <w:rFonts w:ascii="Calibri" w:hAnsi="Calibri" w:cs="Calibri"/>
                <w:b w:val="0"/>
                <w:bCs w:val="0"/>
                <w:sz w:val="18"/>
                <w:szCs w:val="18"/>
                <w:highlight w:val="yellow"/>
              </w:rPr>
            </w:pPr>
            <w:r w:rsidRPr="00DF67B1">
              <w:rPr>
                <w:rFonts w:ascii="Calibri" w:hAnsi="Calibri" w:cs="Calibri"/>
                <w:b w:val="0"/>
                <w:bCs w:val="0"/>
                <w:sz w:val="18"/>
                <w:szCs w:val="18"/>
              </w:rPr>
              <w:lastRenderedPageBreak/>
              <w:t>10.</w:t>
            </w:r>
            <w:r w:rsidRPr="00DF67B1">
              <w:rPr>
                <w:rFonts w:ascii="Calibri" w:hAnsi="Calibri" w:cs="Calibri"/>
                <w:b w:val="0"/>
                <w:bCs w:val="0"/>
                <w:sz w:val="18"/>
                <w:szCs w:val="18"/>
              </w:rPr>
              <w:tab/>
              <w:t>Assessment of differences by local region</w:t>
            </w:r>
          </w:p>
        </w:tc>
        <w:tc>
          <w:tcPr>
            <w:tcW w:w="1413" w:type="pct"/>
          </w:tcPr>
          <w:p w14:paraId="7C256F07" w14:textId="6702DDEB" w:rsidR="00EF4E4D" w:rsidRPr="00B10C34" w:rsidRDefault="0012504F">
            <w:pPr>
              <w:pStyle w:val="Tabletextright0"/>
              <w:jc w:val="left"/>
              <w:cnfStyle w:val="000000010000" w:firstRow="0" w:lastRow="0" w:firstColumn="0" w:lastColumn="0" w:oddVBand="0" w:evenVBand="0" w:oddHBand="0" w:evenHBand="1" w:firstRowFirstColumn="0" w:firstRowLastColumn="0" w:lastRowFirstColumn="0" w:lastRowLastColumn="0"/>
              <w:rPr>
                <w:rFonts w:ascii="Calibri" w:hAnsi="Calibri" w:cs="Calibri"/>
                <w:b w:val="0"/>
                <w:bCs w:val="0"/>
                <w:sz w:val="18"/>
                <w:szCs w:val="18"/>
              </w:rPr>
            </w:pPr>
            <w:r w:rsidRPr="0012504F">
              <w:rPr>
                <w:rFonts w:ascii="Calibri" w:hAnsi="Calibri" w:cs="Calibri"/>
                <w:b w:val="0"/>
                <w:bCs w:val="0"/>
                <w:sz w:val="18"/>
                <w:szCs w:val="18"/>
              </w:rPr>
              <w:t xml:space="preserve">Reports on median and average days/months by Aged Care Planning Region, as per the Aged Care Rules 2025, and provides commentary to meet </w:t>
            </w:r>
            <w:r w:rsidRPr="0012504F">
              <w:rPr>
                <w:rFonts w:ascii="Calibri" w:hAnsi="Calibri" w:cs="Calibri"/>
                <w:b w:val="0"/>
                <w:bCs w:val="0"/>
                <w:sz w:val="18"/>
                <w:szCs w:val="18"/>
              </w:rPr>
              <w:lastRenderedPageBreak/>
              <w:t>the requirement for the assessment of differences.</w:t>
            </w:r>
          </w:p>
        </w:tc>
      </w:tr>
      <w:tr w:rsidR="00EF4E4D" w:rsidRPr="00CA2831" w14:paraId="5A77E322" w14:textId="77777777" w:rsidTr="674C57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pct"/>
          </w:tcPr>
          <w:p w14:paraId="73A4E5A5" w14:textId="77777777" w:rsidR="00EF4E4D" w:rsidRPr="00B10C34" w:rsidRDefault="00EF4E4D">
            <w:pPr>
              <w:pStyle w:val="Tabletextleft"/>
              <w:rPr>
                <w:rFonts w:ascii="Calibri" w:hAnsi="Calibri" w:cs="Calibri"/>
                <w:b w:val="0"/>
                <w:bCs w:val="0"/>
                <w:sz w:val="18"/>
                <w:szCs w:val="18"/>
              </w:rPr>
            </w:pPr>
            <w:r w:rsidRPr="00B10C34">
              <w:rPr>
                <w:rFonts w:ascii="Calibri" w:hAnsi="Calibri" w:cs="Calibri"/>
                <w:b w:val="0"/>
                <w:bCs w:val="0"/>
                <w:sz w:val="18"/>
                <w:szCs w:val="18"/>
              </w:rPr>
              <w:lastRenderedPageBreak/>
              <w:t>342A(2A)</w:t>
            </w:r>
          </w:p>
        </w:tc>
        <w:tc>
          <w:tcPr>
            <w:tcW w:w="1412" w:type="pct"/>
          </w:tcPr>
          <w:p w14:paraId="180AF077" w14:textId="77777777" w:rsidR="00EF4E4D" w:rsidRPr="00B10C34" w:rsidRDefault="00EF4E4D">
            <w:pPr>
              <w:pStyle w:val="Tabletextleft"/>
              <w:cnfStyle w:val="000000100000" w:firstRow="0" w:lastRow="0" w:firstColumn="0" w:lastColumn="0" w:oddVBand="0" w:evenVBand="0" w:oddHBand="1" w:evenHBand="0" w:firstRowFirstColumn="0" w:firstRowLastColumn="0" w:lastRowFirstColumn="0" w:lastRowLastColumn="0"/>
              <w:rPr>
                <w:rFonts w:ascii="Calibri" w:hAnsi="Calibri" w:cs="Calibri"/>
                <w:b w:val="0"/>
                <w:bCs w:val="0"/>
                <w:sz w:val="18"/>
                <w:szCs w:val="18"/>
              </w:rPr>
            </w:pPr>
            <w:r w:rsidRPr="00B10C34">
              <w:rPr>
                <w:rFonts w:ascii="Calibri" w:hAnsi="Calibri" w:cs="Calibri"/>
                <w:b w:val="0"/>
                <w:bCs w:val="0"/>
                <w:sz w:val="18"/>
                <w:szCs w:val="18"/>
              </w:rPr>
              <w:t>A report may include corrections or updates to information included in a previous report.</w:t>
            </w:r>
          </w:p>
        </w:tc>
        <w:tc>
          <w:tcPr>
            <w:tcW w:w="1413" w:type="pct"/>
          </w:tcPr>
          <w:p w14:paraId="76B7D314" w14:textId="07CC2824" w:rsidR="00EF4E4D" w:rsidRPr="00BC274C" w:rsidRDefault="00EF4E4D">
            <w:pPr>
              <w:pStyle w:val="Tabletextcentre"/>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bCs w:val="0"/>
                <w:sz w:val="18"/>
                <w:szCs w:val="18"/>
                <w:highlight w:val="yellow"/>
              </w:rPr>
            </w:pPr>
            <w:r w:rsidRPr="00B71416">
              <w:rPr>
                <w:rFonts w:ascii="Calibri" w:hAnsi="Calibri" w:cs="Calibri"/>
                <w:b w:val="0"/>
                <w:bCs w:val="0"/>
                <w:sz w:val="18"/>
                <w:szCs w:val="18"/>
              </w:rPr>
              <w:t xml:space="preserve">Disclaimer and </w:t>
            </w:r>
            <w:r w:rsidR="00DB6913" w:rsidRPr="00B71416">
              <w:rPr>
                <w:rFonts w:ascii="Calibri" w:hAnsi="Calibri" w:cs="Calibri"/>
                <w:b w:val="0"/>
                <w:bCs w:val="0"/>
                <w:sz w:val="18"/>
                <w:szCs w:val="18"/>
              </w:rPr>
              <w:t>Introduction</w:t>
            </w:r>
          </w:p>
        </w:tc>
        <w:tc>
          <w:tcPr>
            <w:tcW w:w="1413" w:type="pct"/>
          </w:tcPr>
          <w:p w14:paraId="05299BE8" w14:textId="77777777" w:rsidR="00EF4E4D" w:rsidRPr="00B10C34" w:rsidRDefault="00EF4E4D">
            <w:pPr>
              <w:pStyle w:val="Tabletextright0"/>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bCs w:val="0"/>
                <w:sz w:val="18"/>
                <w:szCs w:val="18"/>
              </w:rPr>
            </w:pPr>
            <w:r w:rsidRPr="00B10C34">
              <w:rPr>
                <w:rFonts w:ascii="Calibri" w:hAnsi="Calibri" w:cs="Calibri"/>
                <w:b w:val="0"/>
                <w:bCs w:val="0"/>
                <w:sz w:val="18"/>
                <w:szCs w:val="18"/>
              </w:rPr>
              <w:t xml:space="preserve">System maintenance, outages, and provider reporting schedules - particularly the requirement to report service entries within 28 days - may affect the currency of the data. </w:t>
            </w:r>
          </w:p>
          <w:p w14:paraId="284ECDA7" w14:textId="77777777" w:rsidR="00EF4E4D" w:rsidRPr="00B10C34" w:rsidRDefault="00EF4E4D">
            <w:pPr>
              <w:pStyle w:val="Tabletextright0"/>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bCs w:val="0"/>
                <w:sz w:val="18"/>
                <w:szCs w:val="18"/>
              </w:rPr>
            </w:pPr>
          </w:p>
          <w:p w14:paraId="7234463F" w14:textId="060A462F" w:rsidR="00EF4E4D" w:rsidRPr="00B10C34" w:rsidRDefault="00EF4E4D">
            <w:pPr>
              <w:pStyle w:val="Tabletextright0"/>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bCs w:val="0"/>
                <w:sz w:val="18"/>
                <w:szCs w:val="18"/>
              </w:rPr>
            </w:pPr>
            <w:r w:rsidRPr="00B10C34">
              <w:rPr>
                <w:rFonts w:ascii="Calibri" w:hAnsi="Calibri" w:cs="Calibri"/>
                <w:b w:val="0"/>
                <w:bCs w:val="0"/>
                <w:sz w:val="18"/>
                <w:szCs w:val="18"/>
              </w:rPr>
              <w:t xml:space="preserve">Re-extracted data from the previous quarters data </w:t>
            </w:r>
            <w:r w:rsidR="005503E1">
              <w:rPr>
                <w:rFonts w:ascii="Calibri" w:hAnsi="Calibri" w:cs="Calibri"/>
                <w:b w:val="0"/>
                <w:bCs w:val="0"/>
                <w:sz w:val="18"/>
                <w:szCs w:val="18"/>
              </w:rPr>
              <w:t>may</w:t>
            </w:r>
            <w:r w:rsidRPr="00B10C34">
              <w:rPr>
                <w:rFonts w:ascii="Calibri" w:hAnsi="Calibri" w:cs="Calibri"/>
                <w:b w:val="0"/>
                <w:bCs w:val="0"/>
                <w:sz w:val="18"/>
                <w:szCs w:val="18"/>
              </w:rPr>
              <w:t xml:space="preserve"> be published as appendices in future reports.  </w:t>
            </w:r>
          </w:p>
        </w:tc>
      </w:tr>
    </w:tbl>
    <w:p w14:paraId="64007FCC" w14:textId="77777777" w:rsidR="00AF3063" w:rsidRDefault="00AF3063" w:rsidP="00AF3063"/>
    <w:p w14:paraId="10F9BB31" w14:textId="77777777" w:rsidR="00AF3063" w:rsidRDefault="00AF3063" w:rsidP="00AF3063"/>
    <w:p w14:paraId="239D190A" w14:textId="77777777" w:rsidR="00AF3063" w:rsidRDefault="00AF3063" w:rsidP="00AF3063"/>
    <w:p w14:paraId="24FABBF0" w14:textId="77777777" w:rsidR="00AF3063" w:rsidRDefault="00AF3063" w:rsidP="00AF3063"/>
    <w:p w14:paraId="3ED8C4BC" w14:textId="1D002588" w:rsidR="00AF3063" w:rsidRPr="00AF3063" w:rsidRDefault="00AF3063" w:rsidP="00AF3063">
      <w:pPr>
        <w:sectPr w:rsidR="00AF3063" w:rsidRPr="00AF3063" w:rsidSect="00E52047">
          <w:pgSz w:w="16838" w:h="11906" w:orient="landscape"/>
          <w:pgMar w:top="1276" w:right="1701" w:bottom="1418" w:left="1418" w:header="709" w:footer="709" w:gutter="0"/>
          <w:cols w:space="708"/>
          <w:docGrid w:linePitch="360"/>
        </w:sectPr>
      </w:pPr>
    </w:p>
    <w:p w14:paraId="0EC7B015" w14:textId="7241D109" w:rsidR="0052534A" w:rsidRPr="00A274DC" w:rsidRDefault="0052534A" w:rsidP="00A274DC">
      <w:pPr>
        <w:pStyle w:val="Heading1"/>
        <w:numPr>
          <w:ilvl w:val="0"/>
          <w:numId w:val="26"/>
        </w:numPr>
        <w:ind w:left="567" w:hanging="567"/>
      </w:pPr>
      <w:bookmarkStart w:id="5" w:name="_Toc229480641"/>
      <w:r w:rsidRPr="0052534A">
        <w:lastRenderedPageBreak/>
        <w:t>Methodology</w:t>
      </w:r>
      <w:bookmarkEnd w:id="5"/>
    </w:p>
    <w:p w14:paraId="1DBAC3A3" w14:textId="77777777" w:rsidR="0052534A" w:rsidRPr="0052534A" w:rsidRDefault="0052534A" w:rsidP="00891249">
      <w:pPr>
        <w:pStyle w:val="Heading4"/>
      </w:pPr>
      <w:bookmarkStart w:id="6" w:name="_Toc229480642"/>
      <w:r w:rsidRPr="0052534A">
        <w:t>Reporting period</w:t>
      </w:r>
      <w:bookmarkEnd w:id="6"/>
    </w:p>
    <w:p w14:paraId="20F00BEC" w14:textId="78F88A39" w:rsidR="0052534A" w:rsidRPr="0052534A" w:rsidRDefault="0052534A" w:rsidP="0052534A">
      <w:pPr>
        <w:spacing w:before="0" w:after="0"/>
      </w:pPr>
      <w:r w:rsidRPr="0052534A">
        <w:t xml:space="preserve">This report covers people who commenced </w:t>
      </w:r>
      <w:r w:rsidRPr="0052534A">
        <w:rPr>
          <w:b/>
          <w:bCs/>
        </w:rPr>
        <w:t>residential aged care</w:t>
      </w:r>
      <w:r w:rsidRPr="0052534A">
        <w:t xml:space="preserve"> or </w:t>
      </w:r>
      <w:r w:rsidRPr="0052534A">
        <w:rPr>
          <w:b/>
          <w:bCs/>
        </w:rPr>
        <w:t>Support at Home</w:t>
      </w:r>
      <w:r w:rsidRPr="0052534A">
        <w:t xml:space="preserve"> services between </w:t>
      </w:r>
      <w:r w:rsidRPr="0052534A">
        <w:rPr>
          <w:b/>
          <w:bCs/>
        </w:rPr>
        <w:t xml:space="preserve">1 November 2025 and 31 </w:t>
      </w:r>
      <w:r w:rsidR="0020736F">
        <w:rPr>
          <w:b/>
          <w:bCs/>
        </w:rPr>
        <w:t>March 2026</w:t>
      </w:r>
      <w:r w:rsidRPr="0052534A">
        <w:t>.</w:t>
      </w:r>
      <w:r w:rsidR="0059482E">
        <w:t xml:space="preserve"> </w:t>
      </w:r>
      <w:r w:rsidR="001A55BE" w:rsidRPr="001A55BE">
        <w:t>The first report</w:t>
      </w:r>
      <w:r w:rsidR="00191BD5">
        <w:t>ing period</w:t>
      </w:r>
      <w:r w:rsidR="001A55BE" w:rsidRPr="001A55BE">
        <w:t xml:space="preserve"> covers two quarters (Quarter 2 and Quarter 3 of 2025</w:t>
      </w:r>
      <w:r w:rsidR="004144A4">
        <w:t>-</w:t>
      </w:r>
      <w:r w:rsidR="001A55BE" w:rsidRPr="001A55BE">
        <w:t>26), in accordance with section 342</w:t>
      </w:r>
      <w:proofErr w:type="gramStart"/>
      <w:r w:rsidR="001A55BE" w:rsidRPr="001A55BE">
        <w:t>A(</w:t>
      </w:r>
      <w:proofErr w:type="gramEnd"/>
      <w:r w:rsidR="001A55BE" w:rsidRPr="001A55BE">
        <w:t>4) of the Act, which requires the initial report to cover two quarters when the Act commences on a day other than the start of a financial quarter.</w:t>
      </w:r>
      <w:r w:rsidR="008F0BC7">
        <w:t xml:space="preserve"> All subsequent reports will be limited to one quarter. </w:t>
      </w:r>
    </w:p>
    <w:p w14:paraId="3406300E" w14:textId="77777777" w:rsidR="0052534A" w:rsidRPr="0052534A" w:rsidRDefault="0052534A" w:rsidP="00891249">
      <w:pPr>
        <w:pStyle w:val="Heading4"/>
      </w:pPr>
      <w:bookmarkStart w:id="7" w:name="_Toc229480643"/>
      <w:r w:rsidRPr="0052534A">
        <w:t>Scope</w:t>
      </w:r>
      <w:bookmarkEnd w:id="7"/>
    </w:p>
    <w:p w14:paraId="3912CBED" w14:textId="7023B85D" w:rsidR="005375BE" w:rsidRPr="0035746A" w:rsidRDefault="007B1BBD" w:rsidP="005375BE">
      <w:pPr>
        <w:spacing w:before="0" w:after="0"/>
      </w:pPr>
      <w:r w:rsidRPr="007B1BBD">
        <w:t>The report presents retrospective elapsed</w:t>
      </w:r>
      <w:r w:rsidRPr="007B1BBD">
        <w:rPr>
          <w:rFonts w:ascii="Cambria Math" w:hAnsi="Cambria Math" w:cs="Cambria Math"/>
        </w:rPr>
        <w:t>‑</w:t>
      </w:r>
      <w:r w:rsidRPr="007B1BBD">
        <w:t>time data for Commonwealth</w:t>
      </w:r>
      <w:r w:rsidRPr="007B1BBD">
        <w:rPr>
          <w:rFonts w:ascii="Cambria Math" w:hAnsi="Cambria Math" w:cs="Cambria Math"/>
        </w:rPr>
        <w:t>‑</w:t>
      </w:r>
      <w:r w:rsidRPr="007B1BBD">
        <w:t xml:space="preserve">funded aged care services for people commencing care between 1 November 2025 and 31 March 2026, covering the following </w:t>
      </w:r>
      <w:r>
        <w:t>care types</w:t>
      </w:r>
      <w:r w:rsidR="79B5DC6A" w:rsidRPr="0035746A">
        <w:t>:</w:t>
      </w:r>
    </w:p>
    <w:p w14:paraId="212627CE" w14:textId="255EF1D6" w:rsidR="005375BE" w:rsidRPr="0035746A" w:rsidRDefault="005375BE" w:rsidP="00127A96">
      <w:pPr>
        <w:pStyle w:val="ListParagraph"/>
        <w:numPr>
          <w:ilvl w:val="0"/>
          <w:numId w:val="40"/>
        </w:numPr>
        <w:spacing w:before="0" w:after="0"/>
      </w:pPr>
      <w:r w:rsidRPr="0035746A">
        <w:t xml:space="preserve">Support at Home (ongoing) </w:t>
      </w:r>
    </w:p>
    <w:p w14:paraId="4FD1C21B" w14:textId="5FFA89E6" w:rsidR="005375BE" w:rsidRPr="00A668BB" w:rsidRDefault="005375BE" w:rsidP="00127A96">
      <w:pPr>
        <w:pStyle w:val="ListParagraph"/>
        <w:numPr>
          <w:ilvl w:val="0"/>
          <w:numId w:val="40"/>
        </w:numPr>
        <w:spacing w:before="0" w:after="0"/>
      </w:pPr>
      <w:r w:rsidRPr="00A668BB">
        <w:t>Assistive Technology</w:t>
      </w:r>
      <w:r w:rsidR="00C033F2">
        <w:t xml:space="preserve"> </w:t>
      </w:r>
    </w:p>
    <w:p w14:paraId="3D106F75" w14:textId="638BD283" w:rsidR="005375BE" w:rsidRPr="00A668BB" w:rsidRDefault="005375BE" w:rsidP="00127A96">
      <w:pPr>
        <w:pStyle w:val="ListParagraph"/>
        <w:numPr>
          <w:ilvl w:val="0"/>
          <w:numId w:val="40"/>
        </w:numPr>
        <w:spacing w:before="0" w:after="0"/>
      </w:pPr>
      <w:r w:rsidRPr="00A668BB">
        <w:t>Home Modifications</w:t>
      </w:r>
    </w:p>
    <w:p w14:paraId="3A90B9B0" w14:textId="01A98B3E" w:rsidR="005375BE" w:rsidRPr="00A668BB" w:rsidRDefault="005375BE" w:rsidP="00127A96">
      <w:pPr>
        <w:pStyle w:val="ListParagraph"/>
        <w:numPr>
          <w:ilvl w:val="0"/>
          <w:numId w:val="40"/>
        </w:numPr>
        <w:spacing w:before="0" w:after="0"/>
      </w:pPr>
      <w:r w:rsidRPr="00A668BB">
        <w:t>End</w:t>
      </w:r>
      <w:r w:rsidR="002A4C9B">
        <w:t>-</w:t>
      </w:r>
      <w:r w:rsidRPr="00A668BB">
        <w:t>of</w:t>
      </w:r>
      <w:r w:rsidR="002A4C9B">
        <w:t>-</w:t>
      </w:r>
      <w:r w:rsidRPr="00A668BB">
        <w:t>Life Pathway</w:t>
      </w:r>
      <w:r w:rsidR="00A84E58">
        <w:t xml:space="preserve"> </w:t>
      </w:r>
    </w:p>
    <w:p w14:paraId="5D307B23" w14:textId="62014F51" w:rsidR="005375BE" w:rsidRPr="00A668BB" w:rsidRDefault="005375BE" w:rsidP="00127A96">
      <w:pPr>
        <w:pStyle w:val="ListParagraph"/>
        <w:numPr>
          <w:ilvl w:val="0"/>
          <w:numId w:val="40"/>
        </w:numPr>
        <w:spacing w:before="0" w:after="0"/>
      </w:pPr>
      <w:r w:rsidRPr="00A668BB">
        <w:t>Restorative Care Pathway</w:t>
      </w:r>
      <w:r w:rsidR="00A84E58">
        <w:t xml:space="preserve"> </w:t>
      </w:r>
    </w:p>
    <w:p w14:paraId="27F0E4A1" w14:textId="050FE700" w:rsidR="005375BE" w:rsidRPr="00A668BB" w:rsidRDefault="005375BE" w:rsidP="00127A96">
      <w:pPr>
        <w:pStyle w:val="ListParagraph"/>
        <w:numPr>
          <w:ilvl w:val="0"/>
          <w:numId w:val="40"/>
        </w:numPr>
        <w:spacing w:before="0" w:after="0"/>
      </w:pPr>
      <w:r w:rsidRPr="00A668BB">
        <w:t xml:space="preserve">Residential Care (ongoing) and </w:t>
      </w:r>
    </w:p>
    <w:p w14:paraId="6DCF0D0E" w14:textId="5EA95EC5" w:rsidR="005375BE" w:rsidRPr="00A668BB" w:rsidRDefault="005375BE" w:rsidP="00127A96">
      <w:pPr>
        <w:pStyle w:val="ListParagraph"/>
        <w:numPr>
          <w:ilvl w:val="0"/>
          <w:numId w:val="40"/>
        </w:numPr>
        <w:spacing w:before="0" w:after="0"/>
      </w:pPr>
      <w:r w:rsidRPr="00A668BB">
        <w:t>Residential (short-term)</w:t>
      </w:r>
      <w:r w:rsidR="000B7219">
        <w:t>.</w:t>
      </w:r>
      <w:r w:rsidRPr="00A668BB">
        <w:t xml:space="preserve"> </w:t>
      </w:r>
    </w:p>
    <w:p w14:paraId="61BEF0CD" w14:textId="095D238C" w:rsidR="0052534A" w:rsidRPr="0052534A" w:rsidRDefault="0052534A" w:rsidP="00891249">
      <w:pPr>
        <w:pStyle w:val="Heading4"/>
      </w:pPr>
      <w:bookmarkStart w:id="8" w:name="_Toc229480644"/>
      <w:r w:rsidRPr="00A668BB">
        <w:t>Wait</w:t>
      </w:r>
      <w:r w:rsidR="00656A6B">
        <w:t xml:space="preserve"> </w:t>
      </w:r>
      <w:r w:rsidRPr="00A668BB">
        <w:t>time measure</w:t>
      </w:r>
      <w:bookmarkEnd w:id="8"/>
    </w:p>
    <w:p w14:paraId="7528E2FA" w14:textId="77777777" w:rsidR="0052534A" w:rsidRPr="0052534A" w:rsidRDefault="0052534A" w:rsidP="0052534A">
      <w:pPr>
        <w:spacing w:before="0" w:after="0"/>
      </w:pPr>
      <w:r w:rsidRPr="0052534A">
        <w:t>Wait time is calculated as the number of days between:</w:t>
      </w:r>
    </w:p>
    <w:p w14:paraId="3C989059" w14:textId="77777777" w:rsidR="0052534A" w:rsidRPr="0052534A" w:rsidRDefault="0052534A" w:rsidP="0052534A">
      <w:pPr>
        <w:numPr>
          <w:ilvl w:val="0"/>
          <w:numId w:val="32"/>
        </w:numPr>
        <w:spacing w:before="0" w:after="0"/>
      </w:pPr>
      <w:r w:rsidRPr="0052534A">
        <w:t>the application start date, and</w:t>
      </w:r>
    </w:p>
    <w:p w14:paraId="43E6862A" w14:textId="331E3806" w:rsidR="0052534A" w:rsidRDefault="0052534A" w:rsidP="0052534A">
      <w:pPr>
        <w:numPr>
          <w:ilvl w:val="0"/>
          <w:numId w:val="32"/>
        </w:numPr>
        <w:spacing w:before="0" w:after="0"/>
      </w:pPr>
      <w:r w:rsidRPr="0052534A">
        <w:t>the service commencement date</w:t>
      </w:r>
      <w:r w:rsidR="002E7401">
        <w:t xml:space="preserve"> based on the start notification submitted to Services Australia by the provider</w:t>
      </w:r>
      <w:r w:rsidRPr="0052534A">
        <w:t>.</w:t>
      </w:r>
    </w:p>
    <w:p w14:paraId="71730837" w14:textId="77777777" w:rsidR="006A63D2" w:rsidRDefault="006A63D2" w:rsidP="006A63D2">
      <w:pPr>
        <w:numPr>
          <w:ilvl w:val="0"/>
          <w:numId w:val="32"/>
        </w:numPr>
        <w:spacing w:before="0" w:after="0"/>
      </w:pPr>
      <w:r>
        <w:t>Wait time in this report is expressed as the elapsed number of days between:</w:t>
      </w:r>
    </w:p>
    <w:p w14:paraId="650F1253" w14:textId="471A5B7A" w:rsidR="006A63D2" w:rsidRDefault="006A63D2" w:rsidP="00A738D1">
      <w:pPr>
        <w:pStyle w:val="ListParagraph"/>
        <w:numPr>
          <w:ilvl w:val="0"/>
          <w:numId w:val="43"/>
        </w:numPr>
        <w:spacing w:before="0" w:after="0"/>
      </w:pPr>
      <w:r>
        <w:t>the application start date, and</w:t>
      </w:r>
    </w:p>
    <w:p w14:paraId="0E3EED2C" w14:textId="1716F379" w:rsidR="006A63D2" w:rsidRDefault="006A63D2" w:rsidP="00A738D1">
      <w:pPr>
        <w:pStyle w:val="ListParagraph"/>
        <w:numPr>
          <w:ilvl w:val="0"/>
          <w:numId w:val="43"/>
        </w:numPr>
        <w:spacing w:before="0" w:after="0"/>
      </w:pPr>
      <w:r>
        <w:t>the service commencement date recorded by the provider.</w:t>
      </w:r>
    </w:p>
    <w:p w14:paraId="1F1D5D7E" w14:textId="77777777" w:rsidR="006A63D2" w:rsidRDefault="006A63D2" w:rsidP="006A63D2">
      <w:pPr>
        <w:numPr>
          <w:ilvl w:val="0"/>
          <w:numId w:val="32"/>
        </w:numPr>
        <w:spacing w:before="0" w:after="0"/>
      </w:pPr>
      <w:r>
        <w:t>This elapsed time includes a range of events across the aged care access pathway, not all of which represent time spent waiting for services to be delivered. For this reason, the report deliberately uses the term ‘elapsed time’ rather than ‘waiting time’.</w:t>
      </w:r>
    </w:p>
    <w:p w14:paraId="3E903BCF" w14:textId="44988091" w:rsidR="006A63D2" w:rsidRPr="0052534A" w:rsidRDefault="006A63D2" w:rsidP="006A63D2">
      <w:pPr>
        <w:numPr>
          <w:ilvl w:val="0"/>
          <w:numId w:val="32"/>
        </w:numPr>
        <w:spacing w:before="0" w:after="0"/>
      </w:pPr>
      <w:r>
        <w:t>Further information on factors influencing timing across the pathway is provided in Appendix B.</w:t>
      </w:r>
    </w:p>
    <w:p w14:paraId="7DB5DF4F" w14:textId="7894F864" w:rsidR="0052534A" w:rsidRPr="0052534A" w:rsidRDefault="0052534A" w:rsidP="00891249">
      <w:pPr>
        <w:pStyle w:val="Heading4"/>
      </w:pPr>
      <w:bookmarkStart w:id="9" w:name="_Toc229480645"/>
      <w:r>
        <w:t>Key dates</w:t>
      </w:r>
      <w:bookmarkEnd w:id="9"/>
    </w:p>
    <w:p w14:paraId="4544C2AC" w14:textId="7376A43A" w:rsidR="0052534A" w:rsidRPr="0052534A" w:rsidRDefault="0052534A" w:rsidP="0052534A">
      <w:pPr>
        <w:numPr>
          <w:ilvl w:val="0"/>
          <w:numId w:val="33"/>
        </w:numPr>
        <w:spacing w:before="0" w:after="0"/>
      </w:pPr>
      <w:r w:rsidRPr="0052534A">
        <w:rPr>
          <w:b/>
          <w:bCs/>
        </w:rPr>
        <w:t>Application start date</w:t>
      </w:r>
      <w:r w:rsidRPr="0052534A">
        <w:t>:</w:t>
      </w:r>
    </w:p>
    <w:p w14:paraId="79ED2CC1" w14:textId="77777777" w:rsidR="0052534A" w:rsidRPr="0052534A" w:rsidRDefault="0052534A" w:rsidP="0052534A">
      <w:pPr>
        <w:numPr>
          <w:ilvl w:val="1"/>
          <w:numId w:val="33"/>
        </w:numPr>
        <w:spacing w:before="0" w:after="0"/>
      </w:pPr>
      <w:r w:rsidRPr="0052534A">
        <w:t xml:space="preserve">For new applicants, the date the person applied through </w:t>
      </w:r>
      <w:r w:rsidRPr="0052534A">
        <w:rPr>
          <w:i/>
          <w:iCs/>
        </w:rPr>
        <w:t>My Aged Care</w:t>
      </w:r>
      <w:r w:rsidRPr="0052534A">
        <w:t>.</w:t>
      </w:r>
    </w:p>
    <w:p w14:paraId="1ADAD403" w14:textId="21F72F65" w:rsidR="0052534A" w:rsidRPr="0052534A" w:rsidRDefault="0052534A" w:rsidP="0052534A">
      <w:pPr>
        <w:numPr>
          <w:ilvl w:val="1"/>
          <w:numId w:val="33"/>
        </w:numPr>
        <w:spacing w:before="0" w:after="0"/>
      </w:pPr>
      <w:r w:rsidRPr="0052534A">
        <w:t xml:space="preserve">For people already in a program, the start date of a </w:t>
      </w:r>
      <w:r w:rsidRPr="0052534A">
        <w:rPr>
          <w:i/>
          <w:iCs/>
        </w:rPr>
        <w:t>Support Plan Review (SPR)</w:t>
      </w:r>
      <w:r w:rsidRPr="0052534A">
        <w:t xml:space="preserve"> undertaken prior to service commencement.</w:t>
      </w:r>
    </w:p>
    <w:p w14:paraId="58044025" w14:textId="679FAB2C" w:rsidR="0052534A" w:rsidRPr="0052534A" w:rsidRDefault="0052534A" w:rsidP="0052534A">
      <w:pPr>
        <w:numPr>
          <w:ilvl w:val="0"/>
          <w:numId w:val="33"/>
        </w:numPr>
        <w:spacing w:before="0" w:after="0"/>
      </w:pPr>
      <w:r w:rsidRPr="0052534A">
        <w:rPr>
          <w:b/>
          <w:bCs/>
        </w:rPr>
        <w:t>Service commencement date</w:t>
      </w:r>
      <w:r w:rsidRPr="0052534A">
        <w:t>:</w:t>
      </w:r>
    </w:p>
    <w:p w14:paraId="361DA91A" w14:textId="26971FEF" w:rsidR="0052534A" w:rsidRPr="0052534A" w:rsidRDefault="0052534A" w:rsidP="0052534A">
      <w:pPr>
        <w:numPr>
          <w:ilvl w:val="1"/>
          <w:numId w:val="33"/>
        </w:numPr>
        <w:spacing w:before="0" w:after="0"/>
      </w:pPr>
      <w:r w:rsidRPr="0052534A">
        <w:t xml:space="preserve">The service entry date recorded by the provider in the </w:t>
      </w:r>
      <w:r w:rsidR="008F0BC7">
        <w:t>Services Australia</w:t>
      </w:r>
      <w:r w:rsidRPr="0052534A">
        <w:t xml:space="preserve"> payment system.</w:t>
      </w:r>
    </w:p>
    <w:p w14:paraId="2AED263C" w14:textId="77777777" w:rsidR="0052534A" w:rsidRPr="0052534A" w:rsidRDefault="0052534A" w:rsidP="00891249">
      <w:pPr>
        <w:pStyle w:val="Heading4"/>
      </w:pPr>
      <w:bookmarkStart w:id="10" w:name="_Toc229480646"/>
      <w:r w:rsidRPr="0052534A">
        <w:lastRenderedPageBreak/>
        <w:t>Counting rules</w:t>
      </w:r>
      <w:bookmarkEnd w:id="10"/>
    </w:p>
    <w:p w14:paraId="66E092D4" w14:textId="70E06F3C" w:rsidR="0052534A" w:rsidRPr="0052534A" w:rsidRDefault="0052534A" w:rsidP="0052534A">
      <w:pPr>
        <w:numPr>
          <w:ilvl w:val="0"/>
          <w:numId w:val="34"/>
        </w:numPr>
        <w:spacing w:before="0" w:after="0"/>
      </w:pPr>
      <w:r w:rsidRPr="0052534A">
        <w:t xml:space="preserve">Each service type commenced by a person in </w:t>
      </w:r>
      <w:r w:rsidR="00DA1579">
        <w:t>the reporting period</w:t>
      </w:r>
      <w:r w:rsidRPr="0052534A">
        <w:t xml:space="preserve"> is counted as a separate entry.</w:t>
      </w:r>
    </w:p>
    <w:p w14:paraId="506DB059" w14:textId="735E1B73" w:rsidR="0052534A" w:rsidRPr="0052534A" w:rsidRDefault="0052534A" w:rsidP="0052534A">
      <w:pPr>
        <w:numPr>
          <w:ilvl w:val="0"/>
          <w:numId w:val="34"/>
        </w:numPr>
        <w:spacing w:before="0" w:after="0"/>
      </w:pPr>
      <w:r w:rsidRPr="0052534A">
        <w:t xml:space="preserve">If a person commenced the same service type more than once in the </w:t>
      </w:r>
      <w:r w:rsidR="00DA1579">
        <w:t>reporting period</w:t>
      </w:r>
      <w:r w:rsidRPr="0052534A">
        <w:t xml:space="preserve">, only one entry per person, per service type, per </w:t>
      </w:r>
      <w:r w:rsidR="00DA1579">
        <w:t>reporting period</w:t>
      </w:r>
      <w:r w:rsidRPr="0052534A">
        <w:t xml:space="preserve"> is included.</w:t>
      </w:r>
    </w:p>
    <w:p w14:paraId="02AE3E66" w14:textId="5FE4B416" w:rsidR="0052534A" w:rsidRPr="00A668BB" w:rsidRDefault="00184183" w:rsidP="00891249">
      <w:pPr>
        <w:pStyle w:val="Heading4"/>
      </w:pPr>
      <w:bookmarkStart w:id="11" w:name="_Toc229480647"/>
      <w:r w:rsidRPr="00A668BB">
        <w:t>Outlier exclusions</w:t>
      </w:r>
      <w:bookmarkEnd w:id="11"/>
    </w:p>
    <w:p w14:paraId="1CAA28B0" w14:textId="482126FA" w:rsidR="0052534A" w:rsidRPr="00A668BB" w:rsidRDefault="08A2F10A" w:rsidP="0052534A">
      <w:pPr>
        <w:spacing w:before="0" w:after="0"/>
      </w:pPr>
      <w:r>
        <w:t xml:space="preserve">People who opted out of receiving services under either the Home Care Packages Program or Support at Home at any point in their care journey are excluded from </w:t>
      </w:r>
      <w:r w:rsidR="0049140B">
        <w:t>the</w:t>
      </w:r>
      <w:r>
        <w:t xml:space="preserve"> calculations.</w:t>
      </w:r>
      <w:r w:rsidR="1F9C48C7">
        <w:t xml:space="preserve"> </w:t>
      </w:r>
      <w:r>
        <w:t>These exclusions prevent the inclusion of outliers</w:t>
      </w:r>
      <w:r w:rsidR="29444EA4">
        <w:t xml:space="preserve"> which would affect the average given a portion of this cohort </w:t>
      </w:r>
      <w:r w:rsidR="6123DEEE">
        <w:t xml:space="preserve">hold historic </w:t>
      </w:r>
      <w:r>
        <w:t>assessment referrals</w:t>
      </w:r>
      <w:r w:rsidR="6123DEEE">
        <w:t>, with some</w:t>
      </w:r>
      <w:r>
        <w:t xml:space="preserve"> pre</w:t>
      </w:r>
      <w:r w:rsidR="2764E3F3">
        <w:noBreakHyphen/>
      </w:r>
      <w:r>
        <w:t>dating the introduction of the Home Care Packages Program in 2013.</w:t>
      </w:r>
      <w:r w:rsidR="6123DEEE">
        <w:t xml:space="preserve"> </w:t>
      </w:r>
    </w:p>
    <w:p w14:paraId="2CF12B53" w14:textId="77777777" w:rsidR="005375BE" w:rsidRPr="00A668BB" w:rsidRDefault="005375BE" w:rsidP="000D76FA">
      <w:pPr>
        <w:spacing w:before="0" w:after="0"/>
      </w:pPr>
    </w:p>
    <w:p w14:paraId="1A7F12D8" w14:textId="63C1CC69" w:rsidR="000D76FA" w:rsidRPr="00A668BB" w:rsidRDefault="4B7DE63C" w:rsidP="0831BB9E">
      <w:pPr>
        <w:spacing w:before="0" w:after="0"/>
      </w:pPr>
      <w:r>
        <w:t xml:space="preserve">In addition, transitioned </w:t>
      </w:r>
      <w:r w:rsidR="000D76FA" w:rsidRPr="00764F75">
        <w:t>H</w:t>
      </w:r>
      <w:r w:rsidR="001B3867" w:rsidRPr="00764F75">
        <w:t>om</w:t>
      </w:r>
      <w:r w:rsidR="005545A2" w:rsidRPr="00764F75">
        <w:t>e</w:t>
      </w:r>
      <w:r w:rsidR="001B3867" w:rsidRPr="00764F75">
        <w:t xml:space="preserve"> </w:t>
      </w:r>
      <w:r w:rsidR="000D76FA" w:rsidRPr="00764F75">
        <w:t>C</w:t>
      </w:r>
      <w:r w:rsidR="001B3867" w:rsidRPr="00764F75">
        <w:t xml:space="preserve">are </w:t>
      </w:r>
      <w:r w:rsidR="000D76FA" w:rsidRPr="00764F75">
        <w:t>P</w:t>
      </w:r>
      <w:r w:rsidR="001B3867" w:rsidRPr="00764F75">
        <w:t>ackage</w:t>
      </w:r>
      <w:r w:rsidR="000D76FA" w:rsidRPr="00764F75">
        <w:t xml:space="preserve"> </w:t>
      </w:r>
      <w:r w:rsidR="0017337E" w:rsidRPr="00764F75">
        <w:t>and S</w:t>
      </w:r>
      <w:r w:rsidR="001B3867" w:rsidRPr="00764F75">
        <w:t>hort</w:t>
      </w:r>
      <w:r w:rsidR="00F8129E" w:rsidRPr="00F8129E">
        <w:t>-</w:t>
      </w:r>
      <w:r w:rsidR="0017337E" w:rsidRPr="00764F75">
        <w:t>T</w:t>
      </w:r>
      <w:r w:rsidR="001B3867" w:rsidRPr="00764F75">
        <w:t xml:space="preserve">erm </w:t>
      </w:r>
      <w:r w:rsidR="00652C98" w:rsidRPr="00764F75">
        <w:t>Restorative</w:t>
      </w:r>
      <w:r w:rsidR="001B3867" w:rsidRPr="00764F75">
        <w:t xml:space="preserve"> </w:t>
      </w:r>
      <w:r w:rsidR="0017337E" w:rsidRPr="00764F75">
        <w:t>C</w:t>
      </w:r>
      <w:r w:rsidR="00652C98">
        <w:t>are</w:t>
      </w:r>
      <w:r>
        <w:t xml:space="preserve"> clients who were subsequently approved </w:t>
      </w:r>
      <w:r w:rsidR="00F8129E" w:rsidRPr="00F8129E">
        <w:t>for</w:t>
      </w:r>
      <w:r>
        <w:t xml:space="preserve"> A</w:t>
      </w:r>
      <w:r w:rsidR="0F1961AF">
        <w:t>ssistive Technology</w:t>
      </w:r>
      <w:r w:rsidR="0082687A" w:rsidRPr="00F8129E">
        <w:t>–</w:t>
      </w:r>
      <w:r>
        <w:t>H</w:t>
      </w:r>
      <w:r w:rsidR="0F1961AF">
        <w:t xml:space="preserve">ome </w:t>
      </w:r>
      <w:r w:rsidR="0082687A">
        <w:t xml:space="preserve">Modifications </w:t>
      </w:r>
      <w:r w:rsidR="00AC57AB">
        <w:t>funding</w:t>
      </w:r>
      <w:r w:rsidR="00F8129E" w:rsidRPr="00F8129E">
        <w:t xml:space="preserve">, </w:t>
      </w:r>
      <w:r>
        <w:t xml:space="preserve">either through the data collection process or </w:t>
      </w:r>
      <w:r w:rsidR="00F8129E" w:rsidRPr="00F8129E">
        <w:t xml:space="preserve">a Support Plan Review, </w:t>
      </w:r>
      <w:r>
        <w:t>were excluded</w:t>
      </w:r>
      <w:r w:rsidR="0082687A">
        <w:t xml:space="preserve">. </w:t>
      </w:r>
      <w:r w:rsidR="00F8129E" w:rsidRPr="00F8129E">
        <w:t>These</w:t>
      </w:r>
      <w:r w:rsidR="0082687A">
        <w:t xml:space="preserve"> clients</w:t>
      </w:r>
      <w:r>
        <w:t xml:space="preserve"> already held an approved place</w:t>
      </w:r>
      <w:r w:rsidR="0082687A">
        <w:t>,</w:t>
      </w:r>
      <w:r w:rsidR="00390E1B">
        <w:t xml:space="preserve"> and </w:t>
      </w:r>
      <w:r w:rsidR="00983FCA">
        <w:t>the system should have recorded no break in care</w:t>
      </w:r>
      <w:r w:rsidR="0082687A">
        <w:t xml:space="preserve">. They were also able to </w:t>
      </w:r>
      <w:r>
        <w:t>draw on Commonwealth unspent funds</w:t>
      </w:r>
      <w:r w:rsidR="0082687A">
        <w:t>,</w:t>
      </w:r>
      <w:r w:rsidR="000E3BBB">
        <w:t xml:space="preserve"> </w:t>
      </w:r>
      <w:r w:rsidR="00F8129E" w:rsidRPr="00F8129E">
        <w:t>meaning</w:t>
      </w:r>
      <w:r w:rsidR="000E3BBB">
        <w:t xml:space="preserve"> any subsequent approvals </w:t>
      </w:r>
      <w:r w:rsidR="00F8129E" w:rsidRPr="00F8129E">
        <w:t>reflected an increase</w:t>
      </w:r>
      <w:r w:rsidR="003005EC">
        <w:t xml:space="preserve"> in </w:t>
      </w:r>
      <w:r w:rsidR="000E3BBB">
        <w:t>funding</w:t>
      </w:r>
      <w:r w:rsidR="008E7523">
        <w:t xml:space="preserve"> only</w:t>
      </w:r>
      <w:r w:rsidR="00934ADA">
        <w:t>. Including these records</w:t>
      </w:r>
      <w:r w:rsidR="00A73DDC">
        <w:t xml:space="preserve"> would have</w:t>
      </w:r>
      <w:r w:rsidR="006A64A9">
        <w:t xml:space="preserve"> skewed the </w:t>
      </w:r>
      <w:r w:rsidR="00F8129E" w:rsidRPr="00F8129E">
        <w:t xml:space="preserve">AT-HM </w:t>
      </w:r>
      <w:r w:rsidR="006A64A9">
        <w:t>median</w:t>
      </w:r>
      <w:r w:rsidR="0082687A">
        <w:t xml:space="preserve"> and </w:t>
      </w:r>
      <w:r w:rsidR="006A64A9">
        <w:t>average to</w:t>
      </w:r>
      <w:r w:rsidR="00F22958">
        <w:t xml:space="preserve"> </w:t>
      </w:r>
      <w:r w:rsidR="00A73DDC">
        <w:t>zero days</w:t>
      </w:r>
      <w:r>
        <w:t>.</w:t>
      </w:r>
    </w:p>
    <w:p w14:paraId="46E79904" w14:textId="421A5218" w:rsidR="0052534A" w:rsidRPr="0052534A" w:rsidRDefault="0052534A" w:rsidP="00891249">
      <w:pPr>
        <w:pStyle w:val="Heading4"/>
      </w:pPr>
      <w:bookmarkStart w:id="12" w:name="_Toc229480648"/>
      <w:r w:rsidRPr="004C66F8">
        <w:t>Summary statistics</w:t>
      </w:r>
      <w:bookmarkEnd w:id="12"/>
    </w:p>
    <w:p w14:paraId="3DE60752" w14:textId="77777777" w:rsidR="0052534A" w:rsidRPr="0052534A" w:rsidRDefault="0052534A" w:rsidP="0052534A">
      <w:pPr>
        <w:spacing w:before="0" w:after="0"/>
      </w:pPr>
      <w:r w:rsidRPr="0052534A">
        <w:t>The report presents both:</w:t>
      </w:r>
    </w:p>
    <w:p w14:paraId="3CB3989A" w14:textId="062BC944" w:rsidR="0052534A" w:rsidRPr="0052534A" w:rsidRDefault="0052534A" w:rsidP="0052534A">
      <w:pPr>
        <w:numPr>
          <w:ilvl w:val="0"/>
          <w:numId w:val="36"/>
        </w:numPr>
        <w:spacing w:before="0" w:after="0"/>
      </w:pPr>
      <w:r w:rsidRPr="0052534A">
        <w:t>average (mean) wait times, and</w:t>
      </w:r>
    </w:p>
    <w:p w14:paraId="50F20E2E" w14:textId="79788D19" w:rsidR="0052534A" w:rsidRPr="0052534A" w:rsidRDefault="0052534A" w:rsidP="0052534A">
      <w:pPr>
        <w:numPr>
          <w:ilvl w:val="0"/>
          <w:numId w:val="36"/>
        </w:numPr>
        <w:spacing w:before="0" w:after="0"/>
      </w:pPr>
      <w:r w:rsidRPr="0052534A">
        <w:t>median wait times.</w:t>
      </w:r>
    </w:p>
    <w:p w14:paraId="7116EA6D" w14:textId="18404473" w:rsidR="0052534A" w:rsidRPr="0052534A" w:rsidRDefault="0052534A" w:rsidP="0052534A">
      <w:pPr>
        <w:spacing w:before="0" w:after="0"/>
      </w:pPr>
      <w:r w:rsidRPr="0052534A">
        <w:t>Median and average values are suppressed where fewer than 10 people are included in a group.</w:t>
      </w:r>
      <w:r w:rsidR="00A54346">
        <w:t xml:space="preserve"> This is </w:t>
      </w:r>
      <w:r w:rsidR="005F2AA9">
        <w:t xml:space="preserve">illustrated by </w:t>
      </w:r>
      <w:r w:rsidR="005F2AA9" w:rsidRPr="005F2AA9">
        <w:t>dash (-)</w:t>
      </w:r>
      <w:r w:rsidR="00697EAD">
        <w:t xml:space="preserve"> in affected tables.</w:t>
      </w:r>
    </w:p>
    <w:p w14:paraId="172C5122" w14:textId="77777777" w:rsidR="0052534A" w:rsidRPr="004C66F8" w:rsidRDefault="0052534A" w:rsidP="00891249">
      <w:pPr>
        <w:pStyle w:val="Heading4"/>
      </w:pPr>
      <w:bookmarkStart w:id="13" w:name="_Toc229480649"/>
      <w:r w:rsidRPr="004C66F8">
        <w:t>Location data</w:t>
      </w:r>
      <w:bookmarkEnd w:id="13"/>
    </w:p>
    <w:p w14:paraId="1A3150CF" w14:textId="12B1AC79" w:rsidR="0052534A" w:rsidRPr="0052534A" w:rsidRDefault="0052534A" w:rsidP="0052534A">
      <w:pPr>
        <w:spacing w:before="0" w:after="0"/>
      </w:pPr>
      <w:r w:rsidRPr="0052534A">
        <w:t xml:space="preserve">Location is based on the address of the person receiving care at the </w:t>
      </w:r>
      <w:proofErr w:type="gramStart"/>
      <w:r w:rsidRPr="0052534A">
        <w:t>time of service</w:t>
      </w:r>
      <w:proofErr w:type="gramEnd"/>
      <w:r w:rsidRPr="0052534A">
        <w:t xml:space="preserve"> commencement. This may be a private residential address or the location of a residential aged care </w:t>
      </w:r>
      <w:r w:rsidR="00D002FC">
        <w:t>home</w:t>
      </w:r>
      <w:r w:rsidRPr="0052534A">
        <w:t>.</w:t>
      </w:r>
    </w:p>
    <w:p w14:paraId="07724DDC" w14:textId="77777777" w:rsidR="0052534A" w:rsidRPr="00606AEB" w:rsidRDefault="0052534A" w:rsidP="00891249">
      <w:pPr>
        <w:pStyle w:val="Heading4"/>
      </w:pPr>
      <w:bookmarkStart w:id="14" w:name="_Toc229480650"/>
      <w:r w:rsidRPr="00606AEB">
        <w:t>Interpretation</w:t>
      </w:r>
      <w:bookmarkEnd w:id="14"/>
    </w:p>
    <w:p w14:paraId="47219CAE" w14:textId="20C9ECF9" w:rsidR="0052534A" w:rsidRPr="0052534A" w:rsidRDefault="0052534A" w:rsidP="0052534A">
      <w:pPr>
        <w:spacing w:before="0" w:after="0"/>
      </w:pPr>
      <w:r w:rsidRPr="0052534A">
        <w:t>While referred to as a wait</w:t>
      </w:r>
      <w:r w:rsidR="002E5C0E">
        <w:t xml:space="preserve"> </w:t>
      </w:r>
      <w:r w:rsidRPr="0052534A">
        <w:t>time report, the measures reflect elapsed time between stages of the aged care pathway, including application, allocation, and commencement of care. Time from application to allocation is generally managed by the department. Time from allocation to service commencement may be influenced by individual choice, provider availability, and system</w:t>
      </w:r>
      <w:r w:rsidRPr="0052534A">
        <w:noBreakHyphen/>
        <w:t>level factors.</w:t>
      </w:r>
    </w:p>
    <w:p w14:paraId="39DF8198" w14:textId="77777777" w:rsidR="00AF4AA5" w:rsidRDefault="00AF4AA5" w:rsidP="00891249">
      <w:pPr>
        <w:pStyle w:val="Heading4"/>
      </w:pPr>
      <w:bookmarkStart w:id="15" w:name="_Toc229480651"/>
      <w:r>
        <w:t>Disclaimer</w:t>
      </w:r>
      <w:bookmarkEnd w:id="15"/>
      <w:r>
        <w:t xml:space="preserve"> </w:t>
      </w:r>
    </w:p>
    <w:p w14:paraId="4E7B88D9" w14:textId="77777777" w:rsidR="00AF4AA5" w:rsidRPr="00B24478" w:rsidRDefault="00AF4AA5" w:rsidP="003138B7">
      <w:pPr>
        <w:spacing w:before="0" w:after="0"/>
      </w:pPr>
      <w:r w:rsidRPr="00B24478">
        <w:t>All data is sourced from departmental systems and reflects information available at the time of extraction:</w:t>
      </w:r>
    </w:p>
    <w:p w14:paraId="743DC47F" w14:textId="42EC165A" w:rsidR="00AF4AA5" w:rsidRPr="00B24478" w:rsidRDefault="00AF4AA5" w:rsidP="003138B7">
      <w:pPr>
        <w:pStyle w:val="ListParagraph"/>
        <w:numPr>
          <w:ilvl w:val="0"/>
          <w:numId w:val="46"/>
        </w:numPr>
        <w:spacing w:before="0" w:after="0"/>
      </w:pPr>
      <w:r w:rsidRPr="00B24478">
        <w:t>Support at Home service group commencement data was extracted on 15 April 2026</w:t>
      </w:r>
    </w:p>
    <w:p w14:paraId="00A829E9" w14:textId="7622470B" w:rsidR="00AF4AA5" w:rsidRPr="00B24478" w:rsidRDefault="00AF4AA5" w:rsidP="003138B7">
      <w:pPr>
        <w:pStyle w:val="ListParagraph"/>
        <w:numPr>
          <w:ilvl w:val="0"/>
          <w:numId w:val="46"/>
        </w:numPr>
        <w:spacing w:before="0" w:after="0"/>
      </w:pPr>
      <w:r w:rsidRPr="00B24478">
        <w:t>Residential care service group commencement data was extracted on 15 April 2026</w:t>
      </w:r>
    </w:p>
    <w:p w14:paraId="4EBA46F3" w14:textId="5C5E0D89" w:rsidR="00AF4AA5" w:rsidRPr="00B24478" w:rsidRDefault="00D002FC" w:rsidP="003138B7">
      <w:pPr>
        <w:spacing w:before="0" w:after="0"/>
      </w:pPr>
      <w:r w:rsidRPr="00B24478">
        <w:t>T</w:t>
      </w:r>
      <w:r w:rsidR="00AF4AA5" w:rsidRPr="00B24478">
        <w:t>he measures presented in this report are not directly comparable with wait time or entry</w:t>
      </w:r>
      <w:r w:rsidR="00AF4AA5" w:rsidRPr="00B24478">
        <w:rPr>
          <w:rFonts w:ascii="Cambria Math" w:hAnsi="Cambria Math" w:cs="Cambria Math"/>
        </w:rPr>
        <w:t>‑</w:t>
      </w:r>
      <w:r w:rsidR="00AF4AA5" w:rsidRPr="00B24478">
        <w:t>period measures published elsewhere, including performance reporting in the Report on Government Services.</w:t>
      </w:r>
    </w:p>
    <w:p w14:paraId="67909B46" w14:textId="77777777" w:rsidR="0084589B" w:rsidRDefault="0084589B" w:rsidP="003138B7">
      <w:pPr>
        <w:spacing w:before="0" w:after="0"/>
      </w:pPr>
    </w:p>
    <w:p w14:paraId="7BDF3060" w14:textId="6C287800" w:rsidR="00AF4AA5" w:rsidRPr="00B24478" w:rsidRDefault="00AF4AA5" w:rsidP="003138B7">
      <w:pPr>
        <w:spacing w:before="0" w:after="0"/>
      </w:pPr>
      <w:r w:rsidRPr="00B24478">
        <w:t>Some data may be incomplete or subject to later updates due to provider reporting schedules and administrative processes. Revised data may be published as an appendix to future reports.</w:t>
      </w:r>
    </w:p>
    <w:p w14:paraId="05524418" w14:textId="77777777" w:rsidR="00B24478" w:rsidRPr="00606AEB" w:rsidRDefault="00B24478" w:rsidP="003138B7">
      <w:pPr>
        <w:spacing w:before="0" w:after="0"/>
      </w:pPr>
    </w:p>
    <w:p w14:paraId="6FA561D5" w14:textId="6825723A" w:rsidR="000A637D" w:rsidRDefault="00F75A97" w:rsidP="0052534A">
      <w:pPr>
        <w:spacing w:before="0" w:after="0"/>
      </w:pPr>
      <w:r w:rsidRPr="00F75A97">
        <w:t>Furthermore, not all start notifications may have been received by the Services Australia payment system at the time of reporting. As a result, some commencements have not been captured in this report due to the strict statutory timeframes that apply. Providers have up to 28 days to lodge a start notification for residential care and Support at Home.</w:t>
      </w:r>
    </w:p>
    <w:p w14:paraId="529D3A5C" w14:textId="77777777" w:rsidR="00023C6B" w:rsidRDefault="00023C6B" w:rsidP="0052534A">
      <w:pPr>
        <w:spacing w:before="0" w:after="0"/>
      </w:pPr>
    </w:p>
    <w:p w14:paraId="61F6B738" w14:textId="604F73C8" w:rsidR="00AF4AA5" w:rsidRDefault="00556BFE" w:rsidP="0052534A">
      <w:pPr>
        <w:spacing w:before="0" w:after="0"/>
      </w:pPr>
      <w:r w:rsidRPr="00556BFE">
        <w:t>For people who commenced services between 1 November 2025 and 31 March 2026, application, assessment or allocation dates may have occurred at any time prior to service commencement, including several years earlier. This contributes to longer elapsed time measures at the national level and reinforces the importance of interpreting results in the context of the full aged care access pathway</w:t>
      </w:r>
      <w:r w:rsidR="000E5AB4">
        <w:t>.</w:t>
      </w:r>
    </w:p>
    <w:p w14:paraId="3E9FDD92" w14:textId="77777777" w:rsidR="00AF4AA5" w:rsidRDefault="00AF4AA5">
      <w:pPr>
        <w:spacing w:before="0" w:after="0" w:line="240" w:lineRule="auto"/>
      </w:pPr>
      <w:r>
        <w:br w:type="page"/>
      </w:r>
    </w:p>
    <w:p w14:paraId="0CCA1386" w14:textId="77777777" w:rsidR="00F75A97" w:rsidRDefault="00F75A97" w:rsidP="0052534A">
      <w:pPr>
        <w:spacing w:before="0" w:after="0"/>
      </w:pPr>
    </w:p>
    <w:p w14:paraId="4D58A602" w14:textId="0978B4C0" w:rsidR="006A78AC" w:rsidRPr="006F56BD" w:rsidRDefault="00801EFC" w:rsidP="008C1257">
      <w:pPr>
        <w:pStyle w:val="Heading1"/>
        <w:numPr>
          <w:ilvl w:val="0"/>
          <w:numId w:val="26"/>
        </w:numPr>
        <w:ind w:left="567" w:hanging="567"/>
      </w:pPr>
      <w:bookmarkStart w:id="16" w:name="_Toc224743077"/>
      <w:bookmarkStart w:id="17" w:name="_Toc229480652"/>
      <w:r>
        <w:t xml:space="preserve">The aged care </w:t>
      </w:r>
      <w:r w:rsidR="00477942">
        <w:t>access</w:t>
      </w:r>
      <w:r>
        <w:t xml:space="preserve"> </w:t>
      </w:r>
      <w:r w:rsidR="00924D90">
        <w:t>pathway</w:t>
      </w:r>
      <w:bookmarkEnd w:id="16"/>
      <w:bookmarkEnd w:id="17"/>
    </w:p>
    <w:p w14:paraId="1AFE49EF" w14:textId="6256A1A8" w:rsidR="00CC3905" w:rsidRPr="006F56BD" w:rsidRDefault="004B172D" w:rsidP="00CC3905">
      <w:pPr>
        <w:rPr>
          <w:rFonts w:cs="Arial"/>
        </w:rPr>
      </w:pPr>
      <w:r w:rsidRPr="006F56BD">
        <w:rPr>
          <w:rFonts w:cs="Arial"/>
          <w:noProof/>
        </w:rPr>
        <mc:AlternateContent>
          <mc:Choice Requires="wpg">
            <w:drawing>
              <wp:anchor distT="0" distB="0" distL="114300" distR="114300" simplePos="0" relativeHeight="251658240" behindDoc="0" locked="0" layoutInCell="1" allowOverlap="1" wp14:anchorId="27471ADE" wp14:editId="378A4208">
                <wp:simplePos x="0" y="0"/>
                <wp:positionH relativeFrom="margin">
                  <wp:align>left</wp:align>
                </wp:positionH>
                <wp:positionV relativeFrom="paragraph">
                  <wp:posOffset>281816</wp:posOffset>
                </wp:positionV>
                <wp:extent cx="6032665" cy="1460665"/>
                <wp:effectExtent l="0" t="0" r="44450" b="25400"/>
                <wp:wrapNone/>
                <wp:docPr id="20" name="Group 19" descr="Image shows the stages in the process of applying for and receiving aged care services. The steps are shown in order as registration, screening, triage, assessment, approval, allocation and entry. The image highlights that triage, assessment and approval steps are completed by the assessment organisation and the entry step is shown as a different colour to demonstrate that step is between the person and provider. ">
                  <a:extLst xmlns:a="http://schemas.openxmlformats.org/drawingml/2006/main">
                    <a:ext uri="{FF2B5EF4-FFF2-40B4-BE49-F238E27FC236}">
                      <a16:creationId xmlns:a16="http://schemas.microsoft.com/office/drawing/2014/main" id="{E035FC2B-8063-6600-F883-3B70EBC628A4}"/>
                    </a:ext>
                  </a:extLst>
                </wp:docPr>
                <wp:cNvGraphicFramePr/>
                <a:graphic xmlns:a="http://schemas.openxmlformats.org/drawingml/2006/main">
                  <a:graphicData uri="http://schemas.microsoft.com/office/word/2010/wordprocessingGroup">
                    <wpg:wgp>
                      <wpg:cNvGrpSpPr/>
                      <wpg:grpSpPr>
                        <a:xfrm>
                          <a:off x="0" y="0"/>
                          <a:ext cx="6032665" cy="1460665"/>
                          <a:chOff x="-42905" y="0"/>
                          <a:chExt cx="10148834" cy="1846907"/>
                        </a:xfrm>
                      </wpg:grpSpPr>
                      <wps:wsp>
                        <wps:cNvPr id="571913098" name="Rectangle 571913098">
                          <a:extLst>
                            <a:ext uri="{FF2B5EF4-FFF2-40B4-BE49-F238E27FC236}">
                              <a16:creationId xmlns:a16="http://schemas.microsoft.com/office/drawing/2014/main" id="{DA8DCC53-19E3-3BE2-5CE9-1293531408FD}"/>
                            </a:ext>
                          </a:extLst>
                        </wps:cNvPr>
                        <wps:cNvSpPr/>
                        <wps:spPr>
                          <a:xfrm>
                            <a:off x="2934077" y="0"/>
                            <a:ext cx="4277762" cy="1846907"/>
                          </a:xfrm>
                          <a:prstGeom prst="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97357373" name="Arrow: Right 1197357373">
                          <a:extLst>
                            <a:ext uri="{FF2B5EF4-FFF2-40B4-BE49-F238E27FC236}">
                              <a16:creationId xmlns:a16="http://schemas.microsoft.com/office/drawing/2014/main" id="{22714C67-96FC-A4DA-A98C-E74FC7AE3346}"/>
                            </a:ext>
                          </a:extLst>
                        </wps:cNvPr>
                        <wps:cNvSpPr/>
                        <wps:spPr>
                          <a:xfrm>
                            <a:off x="39987" y="669955"/>
                            <a:ext cx="1294646" cy="1041149"/>
                          </a:xfrm>
                          <a:prstGeom prst="rightArrow">
                            <a:avLst/>
                          </a:prstGeom>
                          <a:solidFill>
                            <a:srgbClr val="00808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80711530" name="Arrow: Right 680711530">
                          <a:extLst>
                            <a:ext uri="{FF2B5EF4-FFF2-40B4-BE49-F238E27FC236}">
                              <a16:creationId xmlns:a16="http://schemas.microsoft.com/office/drawing/2014/main" id="{358035CE-741E-56F6-7AA5-B3F0911BB4FA}"/>
                            </a:ext>
                          </a:extLst>
                        </wps:cNvPr>
                        <wps:cNvSpPr/>
                        <wps:spPr>
                          <a:xfrm>
                            <a:off x="1487032" y="669955"/>
                            <a:ext cx="1294646" cy="1041149"/>
                          </a:xfrm>
                          <a:prstGeom prst="rightArrow">
                            <a:avLst/>
                          </a:prstGeom>
                          <a:solidFill>
                            <a:srgbClr val="00808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86182313" name="Arrow: Right 586182313">
                          <a:extLst>
                            <a:ext uri="{FF2B5EF4-FFF2-40B4-BE49-F238E27FC236}">
                              <a16:creationId xmlns:a16="http://schemas.microsoft.com/office/drawing/2014/main" id="{984DA9E1-BF2E-0A7C-60B3-1C51C95973B5}"/>
                            </a:ext>
                          </a:extLst>
                        </wps:cNvPr>
                        <wps:cNvSpPr/>
                        <wps:spPr>
                          <a:xfrm>
                            <a:off x="2934077" y="669954"/>
                            <a:ext cx="1294646" cy="1041149"/>
                          </a:xfrm>
                          <a:prstGeom prst="rightArrow">
                            <a:avLst/>
                          </a:prstGeom>
                          <a:solidFill>
                            <a:srgbClr val="00808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29013681" name="Arrow: Right 929013681">
                          <a:extLst>
                            <a:ext uri="{FF2B5EF4-FFF2-40B4-BE49-F238E27FC236}">
                              <a16:creationId xmlns:a16="http://schemas.microsoft.com/office/drawing/2014/main" id="{D488A986-6CE8-82E1-9E53-6B1EB8CA4C69}"/>
                            </a:ext>
                          </a:extLst>
                        </wps:cNvPr>
                        <wps:cNvSpPr/>
                        <wps:spPr>
                          <a:xfrm>
                            <a:off x="4381122" y="669954"/>
                            <a:ext cx="1383672" cy="1041149"/>
                          </a:xfrm>
                          <a:prstGeom prst="rightArrow">
                            <a:avLst/>
                          </a:prstGeom>
                          <a:solidFill>
                            <a:srgbClr val="00808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33497233" name="Arrow: Right 1633497233">
                          <a:extLst>
                            <a:ext uri="{FF2B5EF4-FFF2-40B4-BE49-F238E27FC236}">
                              <a16:creationId xmlns:a16="http://schemas.microsoft.com/office/drawing/2014/main" id="{335E2DB4-5F82-9B9A-0ED3-AB52B43066B7}"/>
                            </a:ext>
                          </a:extLst>
                        </wps:cNvPr>
                        <wps:cNvSpPr/>
                        <wps:spPr>
                          <a:xfrm>
                            <a:off x="5908140" y="669954"/>
                            <a:ext cx="1294646" cy="1041149"/>
                          </a:xfrm>
                          <a:prstGeom prst="rightArrow">
                            <a:avLst/>
                          </a:prstGeom>
                          <a:solidFill>
                            <a:srgbClr val="00808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95571918" name="Arrow: Right 1195571918">
                          <a:extLst>
                            <a:ext uri="{FF2B5EF4-FFF2-40B4-BE49-F238E27FC236}">
                              <a16:creationId xmlns:a16="http://schemas.microsoft.com/office/drawing/2014/main" id="{608404BC-41FC-0618-3C6A-07E48A4285A5}"/>
                            </a:ext>
                          </a:extLst>
                        </wps:cNvPr>
                        <wps:cNvSpPr/>
                        <wps:spPr>
                          <a:xfrm>
                            <a:off x="8811283" y="694851"/>
                            <a:ext cx="1294646" cy="1041149"/>
                          </a:xfrm>
                          <a:prstGeom prst="rightArrow">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51076818" name="Arrow: Right 1851076818">
                          <a:extLst>
                            <a:ext uri="{FF2B5EF4-FFF2-40B4-BE49-F238E27FC236}">
                              <a16:creationId xmlns:a16="http://schemas.microsoft.com/office/drawing/2014/main" id="{B5BE87D9-D23D-08F4-1111-84494A3409F4}"/>
                            </a:ext>
                          </a:extLst>
                        </wps:cNvPr>
                        <wps:cNvSpPr/>
                        <wps:spPr>
                          <a:xfrm>
                            <a:off x="7364238" y="669954"/>
                            <a:ext cx="1294646" cy="1041149"/>
                          </a:xfrm>
                          <a:prstGeom prst="rightArrow">
                            <a:avLst/>
                          </a:prstGeom>
                          <a:solidFill>
                            <a:srgbClr val="00808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03863727" name="TextBox 11">
                          <a:extLst>
                            <a:ext uri="{FF2B5EF4-FFF2-40B4-BE49-F238E27FC236}">
                              <a16:creationId xmlns:a16="http://schemas.microsoft.com/office/drawing/2014/main" id="{AC9DE502-484B-B63D-CB64-059063C932F8}"/>
                            </a:ext>
                          </a:extLst>
                        </wps:cNvPr>
                        <wps:cNvSpPr txBox="1"/>
                        <wps:spPr>
                          <a:xfrm>
                            <a:off x="3226698" y="81433"/>
                            <a:ext cx="3440259" cy="469882"/>
                          </a:xfrm>
                          <a:prstGeom prst="rect">
                            <a:avLst/>
                          </a:prstGeom>
                          <a:noFill/>
                        </wps:spPr>
                        <wps:txbx>
                          <w:txbxContent>
                            <w:p w14:paraId="10522048" w14:textId="77777777" w:rsidR="00CC3905" w:rsidRPr="006F56BD" w:rsidRDefault="00CC3905" w:rsidP="00CC3905">
                              <w:pPr>
                                <w:jc w:val="center"/>
                                <w:rPr>
                                  <w:rFonts w:cs="Arial"/>
                                  <w:b/>
                                  <w:bCs/>
                                  <w:kern w:val="24"/>
                                  <w:szCs w:val="22"/>
                                </w:rPr>
                              </w:pPr>
                              <w:r w:rsidRPr="006F56BD">
                                <w:rPr>
                                  <w:rFonts w:cs="Arial"/>
                                  <w:b/>
                                  <w:bCs/>
                                  <w:kern w:val="24"/>
                                  <w:szCs w:val="22"/>
                                </w:rPr>
                                <w:t>Assessment organisation</w:t>
                              </w:r>
                            </w:p>
                          </w:txbxContent>
                        </wps:txbx>
                        <wps:bodyPr wrap="square" rtlCol="0">
                          <a:noAutofit/>
                        </wps:bodyPr>
                      </wps:wsp>
                      <wps:wsp>
                        <wps:cNvPr id="423085392" name="TextBox 12">
                          <a:extLst>
                            <a:ext uri="{FF2B5EF4-FFF2-40B4-BE49-F238E27FC236}">
                              <a16:creationId xmlns:a16="http://schemas.microsoft.com/office/drawing/2014/main" id="{D1E85EBB-B842-6A45-1378-35A007576E09}"/>
                            </a:ext>
                          </a:extLst>
                        </wps:cNvPr>
                        <wps:cNvSpPr txBox="1"/>
                        <wps:spPr>
                          <a:xfrm>
                            <a:off x="-42905" y="954206"/>
                            <a:ext cx="1377517" cy="641099"/>
                          </a:xfrm>
                          <a:prstGeom prst="rect">
                            <a:avLst/>
                          </a:prstGeom>
                          <a:noFill/>
                        </wps:spPr>
                        <wps:txbx>
                          <w:txbxContent>
                            <w:p w14:paraId="412003FB" w14:textId="77777777" w:rsidR="00CC3905" w:rsidRPr="006F56BD" w:rsidRDefault="00CC3905" w:rsidP="00CC3905">
                              <w:pPr>
                                <w:rPr>
                                  <w:rFonts w:cs="Arial"/>
                                  <w:color w:val="FFFFFF" w:themeColor="background1"/>
                                  <w:kern w:val="24"/>
                                  <w:sz w:val="20"/>
                                  <w:szCs w:val="20"/>
                                </w:rPr>
                              </w:pPr>
                              <w:r w:rsidRPr="006F56BD">
                                <w:rPr>
                                  <w:rFonts w:cs="Arial"/>
                                  <w:color w:val="FFFFFF" w:themeColor="background1"/>
                                  <w:kern w:val="24"/>
                                  <w:sz w:val="20"/>
                                  <w:szCs w:val="20"/>
                                </w:rPr>
                                <w:t>registration</w:t>
                              </w:r>
                            </w:p>
                          </w:txbxContent>
                        </wps:txbx>
                        <wps:bodyPr wrap="square" rtlCol="0">
                          <a:noAutofit/>
                        </wps:bodyPr>
                      </wps:wsp>
                      <wps:wsp>
                        <wps:cNvPr id="530090056" name="TextBox 13">
                          <a:extLst>
                            <a:ext uri="{FF2B5EF4-FFF2-40B4-BE49-F238E27FC236}">
                              <a16:creationId xmlns:a16="http://schemas.microsoft.com/office/drawing/2014/main" id="{F924B3DB-372E-395F-A04B-4F670394EC62}"/>
                            </a:ext>
                          </a:extLst>
                        </wps:cNvPr>
                        <wps:cNvSpPr txBox="1"/>
                        <wps:spPr>
                          <a:xfrm>
                            <a:off x="1445519" y="947694"/>
                            <a:ext cx="1303754" cy="641099"/>
                          </a:xfrm>
                          <a:prstGeom prst="rect">
                            <a:avLst/>
                          </a:prstGeom>
                          <a:noFill/>
                        </wps:spPr>
                        <wps:txbx>
                          <w:txbxContent>
                            <w:p w14:paraId="7B916BE9" w14:textId="77777777" w:rsidR="00CC3905" w:rsidRPr="006F56BD" w:rsidRDefault="00CC3905" w:rsidP="00CC3905">
                              <w:pPr>
                                <w:rPr>
                                  <w:rFonts w:cs="Arial"/>
                                  <w:color w:val="FFFFFF" w:themeColor="background1"/>
                                  <w:kern w:val="24"/>
                                  <w:sz w:val="20"/>
                                  <w:szCs w:val="20"/>
                                </w:rPr>
                              </w:pPr>
                              <w:r w:rsidRPr="006F56BD">
                                <w:rPr>
                                  <w:rFonts w:cs="Arial"/>
                                  <w:color w:val="FFFFFF" w:themeColor="background1"/>
                                  <w:kern w:val="24"/>
                                  <w:sz w:val="20"/>
                                  <w:szCs w:val="20"/>
                                </w:rPr>
                                <w:t>screening</w:t>
                              </w:r>
                            </w:p>
                          </w:txbxContent>
                        </wps:txbx>
                        <wps:bodyPr wrap="square" rtlCol="0">
                          <a:noAutofit/>
                        </wps:bodyPr>
                      </wps:wsp>
                      <wps:wsp>
                        <wps:cNvPr id="699620391" name="TextBox 14">
                          <a:extLst>
                            <a:ext uri="{FF2B5EF4-FFF2-40B4-BE49-F238E27FC236}">
                              <a16:creationId xmlns:a16="http://schemas.microsoft.com/office/drawing/2014/main" id="{D77CCF84-3592-2234-E7B7-C1E277B3EAC6}"/>
                            </a:ext>
                          </a:extLst>
                        </wps:cNvPr>
                        <wps:cNvSpPr txBox="1"/>
                        <wps:spPr>
                          <a:xfrm>
                            <a:off x="2748159" y="947442"/>
                            <a:ext cx="1303754" cy="641100"/>
                          </a:xfrm>
                          <a:prstGeom prst="rect">
                            <a:avLst/>
                          </a:prstGeom>
                          <a:noFill/>
                        </wps:spPr>
                        <wps:txbx>
                          <w:txbxContent>
                            <w:p w14:paraId="4AE864C2" w14:textId="77777777" w:rsidR="00CC3905" w:rsidRPr="006F56BD" w:rsidRDefault="00CC3905" w:rsidP="00CC3905">
                              <w:pPr>
                                <w:jc w:val="center"/>
                                <w:rPr>
                                  <w:rFonts w:cs="Arial"/>
                                  <w:color w:val="FFFFFF" w:themeColor="background1"/>
                                  <w:kern w:val="24"/>
                                  <w:sz w:val="20"/>
                                  <w:szCs w:val="20"/>
                                </w:rPr>
                              </w:pPr>
                              <w:r w:rsidRPr="006F56BD">
                                <w:rPr>
                                  <w:rFonts w:cs="Arial"/>
                                  <w:color w:val="FFFFFF" w:themeColor="background1"/>
                                  <w:kern w:val="24"/>
                                  <w:sz w:val="20"/>
                                  <w:szCs w:val="20"/>
                                </w:rPr>
                                <w:t>triage</w:t>
                              </w:r>
                            </w:p>
                          </w:txbxContent>
                        </wps:txbx>
                        <wps:bodyPr wrap="square" rtlCol="0">
                          <a:noAutofit/>
                        </wps:bodyPr>
                      </wps:wsp>
                      <wps:wsp>
                        <wps:cNvPr id="1799537713" name="TextBox 15">
                          <a:extLst>
                            <a:ext uri="{FF2B5EF4-FFF2-40B4-BE49-F238E27FC236}">
                              <a16:creationId xmlns:a16="http://schemas.microsoft.com/office/drawing/2014/main" id="{837FC5E7-6963-0A00-312A-8A647A96AC09}"/>
                            </a:ext>
                          </a:extLst>
                        </wps:cNvPr>
                        <wps:cNvSpPr txBox="1"/>
                        <wps:spPr>
                          <a:xfrm>
                            <a:off x="4299347" y="954181"/>
                            <a:ext cx="1465448" cy="641099"/>
                          </a:xfrm>
                          <a:prstGeom prst="rect">
                            <a:avLst/>
                          </a:prstGeom>
                          <a:noFill/>
                        </wps:spPr>
                        <wps:txbx>
                          <w:txbxContent>
                            <w:p w14:paraId="321EC428" w14:textId="77777777" w:rsidR="00CC3905" w:rsidRPr="006F56BD" w:rsidRDefault="00CC3905" w:rsidP="00CC3905">
                              <w:pPr>
                                <w:rPr>
                                  <w:rFonts w:cs="Arial"/>
                                  <w:color w:val="FFFFFF" w:themeColor="background1"/>
                                  <w:kern w:val="24"/>
                                  <w:sz w:val="20"/>
                                  <w:szCs w:val="20"/>
                                </w:rPr>
                              </w:pPr>
                              <w:r w:rsidRPr="006F56BD">
                                <w:rPr>
                                  <w:rFonts w:cs="Arial"/>
                                  <w:color w:val="FFFFFF" w:themeColor="background1"/>
                                  <w:kern w:val="24"/>
                                  <w:sz w:val="20"/>
                                  <w:szCs w:val="20"/>
                                </w:rPr>
                                <w:t>assessment</w:t>
                              </w:r>
                            </w:p>
                          </w:txbxContent>
                        </wps:txbx>
                        <wps:bodyPr wrap="square" rtlCol="0">
                          <a:noAutofit/>
                        </wps:bodyPr>
                      </wps:wsp>
                      <wps:wsp>
                        <wps:cNvPr id="848344556" name="TextBox 16">
                          <a:extLst>
                            <a:ext uri="{FF2B5EF4-FFF2-40B4-BE49-F238E27FC236}">
                              <a16:creationId xmlns:a16="http://schemas.microsoft.com/office/drawing/2014/main" id="{057F6FD7-CA34-1595-B477-39F30C402BE9}"/>
                            </a:ext>
                          </a:extLst>
                        </wps:cNvPr>
                        <wps:cNvSpPr txBox="1"/>
                        <wps:spPr>
                          <a:xfrm>
                            <a:off x="5865882" y="936083"/>
                            <a:ext cx="1303753" cy="641099"/>
                          </a:xfrm>
                          <a:prstGeom prst="rect">
                            <a:avLst/>
                          </a:prstGeom>
                          <a:noFill/>
                        </wps:spPr>
                        <wps:txbx>
                          <w:txbxContent>
                            <w:p w14:paraId="0963CFC0" w14:textId="77777777" w:rsidR="00CC3905" w:rsidRPr="006F56BD" w:rsidRDefault="00CC3905" w:rsidP="00CC3905">
                              <w:pPr>
                                <w:rPr>
                                  <w:rFonts w:cs="Arial"/>
                                  <w:color w:val="FFFFFF" w:themeColor="background1"/>
                                  <w:kern w:val="24"/>
                                  <w:sz w:val="20"/>
                                  <w:szCs w:val="20"/>
                                </w:rPr>
                              </w:pPr>
                              <w:r w:rsidRPr="006F56BD">
                                <w:rPr>
                                  <w:rFonts w:cs="Arial"/>
                                  <w:color w:val="FFFFFF" w:themeColor="background1"/>
                                  <w:kern w:val="24"/>
                                  <w:sz w:val="20"/>
                                  <w:szCs w:val="20"/>
                                </w:rPr>
                                <w:t>approval</w:t>
                              </w:r>
                            </w:p>
                          </w:txbxContent>
                        </wps:txbx>
                        <wps:bodyPr wrap="square" rtlCol="0">
                          <a:noAutofit/>
                        </wps:bodyPr>
                      </wps:wsp>
                      <wps:wsp>
                        <wps:cNvPr id="705302712" name="TextBox 17">
                          <a:extLst>
                            <a:ext uri="{FF2B5EF4-FFF2-40B4-BE49-F238E27FC236}">
                              <a16:creationId xmlns:a16="http://schemas.microsoft.com/office/drawing/2014/main" id="{442BD356-104F-A6E1-D1A7-0905AE5607AB}"/>
                            </a:ext>
                          </a:extLst>
                        </wps:cNvPr>
                        <wps:cNvSpPr txBox="1"/>
                        <wps:spPr>
                          <a:xfrm>
                            <a:off x="7335877" y="947423"/>
                            <a:ext cx="1303029" cy="641100"/>
                          </a:xfrm>
                          <a:prstGeom prst="rect">
                            <a:avLst/>
                          </a:prstGeom>
                          <a:noFill/>
                        </wps:spPr>
                        <wps:txbx>
                          <w:txbxContent>
                            <w:p w14:paraId="1F0B38BD" w14:textId="440872F5" w:rsidR="00CC3905" w:rsidRPr="006F56BD" w:rsidRDefault="004B172D" w:rsidP="00CC3905">
                              <w:pPr>
                                <w:rPr>
                                  <w:rFonts w:cs="Arial"/>
                                  <w:color w:val="FFFFFF" w:themeColor="background1"/>
                                  <w:kern w:val="24"/>
                                  <w:sz w:val="20"/>
                                  <w:szCs w:val="20"/>
                                </w:rPr>
                              </w:pPr>
                              <w:r w:rsidRPr="006F56BD">
                                <w:rPr>
                                  <w:rFonts w:cs="Arial"/>
                                  <w:color w:val="FFFFFF" w:themeColor="background1"/>
                                  <w:kern w:val="24"/>
                                  <w:sz w:val="20"/>
                                  <w:szCs w:val="20"/>
                                </w:rPr>
                                <w:t>allocation</w:t>
                              </w:r>
                            </w:p>
                          </w:txbxContent>
                        </wps:txbx>
                        <wps:bodyPr wrap="square" rtlCol="0">
                          <a:noAutofit/>
                        </wps:bodyPr>
                      </wps:wsp>
                      <wps:wsp>
                        <wps:cNvPr id="1577612003" name="TextBox 18">
                          <a:extLst>
                            <a:ext uri="{FF2B5EF4-FFF2-40B4-BE49-F238E27FC236}">
                              <a16:creationId xmlns:a16="http://schemas.microsoft.com/office/drawing/2014/main" id="{898FAA70-099D-DF66-51AE-A41CCC2886B6}"/>
                            </a:ext>
                          </a:extLst>
                        </wps:cNvPr>
                        <wps:cNvSpPr txBox="1"/>
                        <wps:spPr>
                          <a:xfrm>
                            <a:off x="8765410" y="974554"/>
                            <a:ext cx="1303753" cy="641099"/>
                          </a:xfrm>
                          <a:prstGeom prst="rect">
                            <a:avLst/>
                          </a:prstGeom>
                          <a:noFill/>
                        </wps:spPr>
                        <wps:txbx>
                          <w:txbxContent>
                            <w:p w14:paraId="0359EFFB" w14:textId="77777777" w:rsidR="00CC3905" w:rsidRPr="006F56BD" w:rsidRDefault="00CC3905" w:rsidP="00CC3905">
                              <w:pPr>
                                <w:rPr>
                                  <w:rFonts w:cs="Arial"/>
                                  <w:color w:val="FFFFFF" w:themeColor="background1"/>
                                  <w:kern w:val="24"/>
                                  <w:sz w:val="20"/>
                                  <w:szCs w:val="20"/>
                                </w:rPr>
                              </w:pPr>
                              <w:r w:rsidRPr="006F56BD">
                                <w:rPr>
                                  <w:rFonts w:cs="Arial"/>
                                  <w:color w:val="FFFFFF" w:themeColor="background1"/>
                                  <w:kern w:val="24"/>
                                  <w:sz w:val="20"/>
                                  <w:szCs w:val="20"/>
                                </w:rPr>
                                <w:t>entry</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7471ADE" id="Group 19" o:spid="_x0000_s1026" alt="Image shows the stages in the process of applying for and receiving aged care services. The steps are shown in order as registration, screening, triage, assessment, approval, allocation and entry. The image highlights that triage, assessment and approval steps are completed by the assessment organisation and the entry step is shown as a different colour to demonstrate that step is between the person and provider. " style="position:absolute;margin-left:0;margin-top:22.2pt;width:475pt;height:115pt;z-index:251658240;mso-position-horizontal:left;mso-position-horizontal-relative:margin;mso-width-relative:margin;mso-height-relative:margin" coordorigin="-429" coordsize="101488,18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">
                <v:rect id="Rectangle 571913098" o:spid="_x0000_s1027" style="position:absolute;left:29340;width:42778;height:18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" fillcolor="#e9ebf3 [351]" strokecolor="#090a11 [484]"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97357373" o:spid="_x0000_s1028" type="#_x0000_t13" style="position:absolute;left:399;top:6699;width:12947;height:10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" adj="12915" fillcolor="teal" strokecolor="#090a11 [484]" strokeweight="2pt"/>
                <v:shape id="Arrow: Right 680711530" o:spid="_x0000_s1029" type="#_x0000_t13" style="position:absolute;left:14870;top:6699;width:12946;height:10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" adj="12915" fillcolor="teal" strokecolor="#090a11 [484]" strokeweight="2pt"/>
                <v:shape id="Arrow: Right 586182313" o:spid="_x0000_s1030" type="#_x0000_t13" style="position:absolute;left:29340;top:6699;width:12947;height:10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" adj="12915" fillcolor="teal" strokecolor="#090a11 [484]" strokeweight="2pt"/>
                <v:shape id="Arrow: Right 929013681" o:spid="_x0000_s1031" type="#_x0000_t13" style="position:absolute;left:43811;top:6699;width:13836;height:10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" adj="13474" fillcolor="teal" strokecolor="#090a11 [484]" strokeweight="2pt"/>
                <v:shape id="Arrow: Right 1633497233" o:spid="_x0000_s1032" type="#_x0000_t13" style="position:absolute;left:59081;top:6699;width:12946;height:10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" adj="12915" fillcolor="teal" strokecolor="#090a11 [484]" strokeweight="2pt"/>
                <v:shape id="Arrow: Right 1195571918" o:spid="_x0000_s1033" type="#_x0000_t13" style="position:absolute;left:88112;top:6948;width:12947;height:10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" adj="12915" fillcolor="#0070c0" strokecolor="#090a11 [484]" strokeweight="2pt"/>
                <v:shape id="Arrow: Right 1851076818" o:spid="_x0000_s1034" type="#_x0000_t13" style="position:absolute;left:73642;top:6699;width:12946;height:10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" adj="12915" fillcolor="teal" strokecolor="#090a11 [484]" strokeweight="2pt"/>
                <v:shapetype id="_x0000_t202" coordsize="21600,21600" o:spt="202" path="m,l,21600r21600,l21600,xe">
                  <v:stroke joinstyle="miter"/>
                  <v:path gradientshapeok="t" o:connecttype="rect"/>
                </v:shapetype>
                <v:shape id="TextBox 11" o:spid="_x0000_s1035" type="#_x0000_t202" style="position:absolute;left:32266;top:814;width:34403;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" filled="f" stroked="f">
                  <v:textbox>
                    <w:txbxContent>
                      <w:p w14:paraId="10522048" w14:textId="77777777" w:rsidR="00CC3905" w:rsidRPr="006F56BD" w:rsidRDefault="00CC3905" w:rsidP="00CC3905">
                        <w:pPr>
                          <w:jc w:val="center"/>
                          <w:rPr>
                            <w:rFonts w:cs="Arial"/>
                            <w:b/>
                            <w:bCs/>
                            <w:kern w:val="24"/>
                            <w:szCs w:val="22"/>
                          </w:rPr>
                        </w:pPr>
                        <w:r w:rsidRPr="006F56BD">
                          <w:rPr>
                            <w:rFonts w:cs="Arial"/>
                            <w:b/>
                            <w:bCs/>
                            <w:kern w:val="24"/>
                            <w:szCs w:val="22"/>
                          </w:rPr>
                          <w:t>Assessment organisation</w:t>
                        </w:r>
                      </w:p>
                    </w:txbxContent>
                  </v:textbox>
                </v:shape>
                <v:shape id="TextBox 12" o:spid="_x0000_s1036" type="#_x0000_t202" style="position:absolute;left:-429;top:9542;width:13775;height: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" filled="f" stroked="f">
                  <v:textbox>
                    <w:txbxContent>
                      <w:p w14:paraId="412003FB" w14:textId="77777777" w:rsidR="00CC3905" w:rsidRPr="006F56BD" w:rsidRDefault="00CC3905" w:rsidP="00CC3905">
                        <w:pPr>
                          <w:rPr>
                            <w:rFonts w:cs="Arial"/>
                            <w:color w:val="FFFFFF" w:themeColor="background1"/>
                            <w:kern w:val="24"/>
                            <w:sz w:val="20"/>
                            <w:szCs w:val="20"/>
                          </w:rPr>
                        </w:pPr>
                        <w:r w:rsidRPr="006F56BD">
                          <w:rPr>
                            <w:rFonts w:cs="Arial"/>
                            <w:color w:val="FFFFFF" w:themeColor="background1"/>
                            <w:kern w:val="24"/>
                            <w:sz w:val="20"/>
                            <w:szCs w:val="20"/>
                          </w:rPr>
                          <w:t>registration</w:t>
                        </w:r>
                      </w:p>
                    </w:txbxContent>
                  </v:textbox>
                </v:shape>
                <v:shape id="TextBox 13" o:spid="_x0000_s1037" type="#_x0000_t202" style="position:absolute;left:14455;top:9476;width:13037;height: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" filled="f" stroked="f">
                  <v:textbox>
                    <w:txbxContent>
                      <w:p w14:paraId="7B916BE9" w14:textId="77777777" w:rsidR="00CC3905" w:rsidRPr="006F56BD" w:rsidRDefault="00CC3905" w:rsidP="00CC3905">
                        <w:pPr>
                          <w:rPr>
                            <w:rFonts w:cs="Arial"/>
                            <w:color w:val="FFFFFF" w:themeColor="background1"/>
                            <w:kern w:val="24"/>
                            <w:sz w:val="20"/>
                            <w:szCs w:val="20"/>
                          </w:rPr>
                        </w:pPr>
                        <w:r w:rsidRPr="006F56BD">
                          <w:rPr>
                            <w:rFonts w:cs="Arial"/>
                            <w:color w:val="FFFFFF" w:themeColor="background1"/>
                            <w:kern w:val="24"/>
                            <w:sz w:val="20"/>
                            <w:szCs w:val="20"/>
                          </w:rPr>
                          <w:t>screening</w:t>
                        </w:r>
                      </w:p>
                    </w:txbxContent>
                  </v:textbox>
                </v:shape>
                <v:shape id="TextBox 14" o:spid="_x0000_s1038" type="#_x0000_t202" style="position:absolute;left:27481;top:9474;width:13038;height: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" filled="f" stroked="f">
                  <v:textbox>
                    <w:txbxContent>
                      <w:p w14:paraId="4AE864C2" w14:textId="77777777" w:rsidR="00CC3905" w:rsidRPr="006F56BD" w:rsidRDefault="00CC3905" w:rsidP="00CC3905">
                        <w:pPr>
                          <w:jc w:val="center"/>
                          <w:rPr>
                            <w:rFonts w:cs="Arial"/>
                            <w:color w:val="FFFFFF" w:themeColor="background1"/>
                            <w:kern w:val="24"/>
                            <w:sz w:val="20"/>
                            <w:szCs w:val="20"/>
                          </w:rPr>
                        </w:pPr>
                        <w:r w:rsidRPr="006F56BD">
                          <w:rPr>
                            <w:rFonts w:cs="Arial"/>
                            <w:color w:val="FFFFFF" w:themeColor="background1"/>
                            <w:kern w:val="24"/>
                            <w:sz w:val="20"/>
                            <w:szCs w:val="20"/>
                          </w:rPr>
                          <w:t>triage</w:t>
                        </w:r>
                      </w:p>
                    </w:txbxContent>
                  </v:textbox>
                </v:shape>
                <v:shape id="TextBox 15" o:spid="_x0000_s1039" type="#_x0000_t202" style="position:absolute;left:42993;top:9541;width:14654;height: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" filled="f" stroked="f">
                  <v:textbox>
                    <w:txbxContent>
                      <w:p w14:paraId="321EC428" w14:textId="77777777" w:rsidR="00CC3905" w:rsidRPr="006F56BD" w:rsidRDefault="00CC3905" w:rsidP="00CC3905">
                        <w:pPr>
                          <w:rPr>
                            <w:rFonts w:cs="Arial"/>
                            <w:color w:val="FFFFFF" w:themeColor="background1"/>
                            <w:kern w:val="24"/>
                            <w:sz w:val="20"/>
                            <w:szCs w:val="20"/>
                          </w:rPr>
                        </w:pPr>
                        <w:r w:rsidRPr="006F56BD">
                          <w:rPr>
                            <w:rFonts w:cs="Arial"/>
                            <w:color w:val="FFFFFF" w:themeColor="background1"/>
                            <w:kern w:val="24"/>
                            <w:sz w:val="20"/>
                            <w:szCs w:val="20"/>
                          </w:rPr>
                          <w:t>assessment</w:t>
                        </w:r>
                      </w:p>
                    </w:txbxContent>
                  </v:textbox>
                </v:shape>
                <v:shape id="TextBox 16" o:spid="_x0000_s1040" type="#_x0000_t202" style="position:absolute;left:58658;top:9360;width:13038;height: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" filled="f" stroked="f">
                  <v:textbox>
                    <w:txbxContent>
                      <w:p w14:paraId="0963CFC0" w14:textId="77777777" w:rsidR="00CC3905" w:rsidRPr="006F56BD" w:rsidRDefault="00CC3905" w:rsidP="00CC3905">
                        <w:pPr>
                          <w:rPr>
                            <w:rFonts w:cs="Arial"/>
                            <w:color w:val="FFFFFF" w:themeColor="background1"/>
                            <w:kern w:val="24"/>
                            <w:sz w:val="20"/>
                            <w:szCs w:val="20"/>
                          </w:rPr>
                        </w:pPr>
                        <w:r w:rsidRPr="006F56BD">
                          <w:rPr>
                            <w:rFonts w:cs="Arial"/>
                            <w:color w:val="FFFFFF" w:themeColor="background1"/>
                            <w:kern w:val="24"/>
                            <w:sz w:val="20"/>
                            <w:szCs w:val="20"/>
                          </w:rPr>
                          <w:t>approval</w:t>
                        </w:r>
                      </w:p>
                    </w:txbxContent>
                  </v:textbox>
                </v:shape>
                <v:shape id="TextBox 17" o:spid="_x0000_s1041" type="#_x0000_t202" style="position:absolute;left:73358;top:9474;width:13031;height: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" filled="f" stroked="f">
                  <v:textbox>
                    <w:txbxContent>
                      <w:p w14:paraId="1F0B38BD" w14:textId="440872F5" w:rsidR="00CC3905" w:rsidRPr="006F56BD" w:rsidRDefault="004B172D" w:rsidP="00CC3905">
                        <w:pPr>
                          <w:rPr>
                            <w:rFonts w:cs="Arial"/>
                            <w:color w:val="FFFFFF" w:themeColor="background1"/>
                            <w:kern w:val="24"/>
                            <w:sz w:val="20"/>
                            <w:szCs w:val="20"/>
                          </w:rPr>
                        </w:pPr>
                        <w:r w:rsidRPr="006F56BD">
                          <w:rPr>
                            <w:rFonts w:cs="Arial"/>
                            <w:color w:val="FFFFFF" w:themeColor="background1"/>
                            <w:kern w:val="24"/>
                            <w:sz w:val="20"/>
                            <w:szCs w:val="20"/>
                          </w:rPr>
                          <w:t>allocation</w:t>
                        </w:r>
                      </w:p>
                    </w:txbxContent>
                  </v:textbox>
                </v:shape>
                <v:shape id="TextBox 18" o:spid="_x0000_s1042" type="#_x0000_t202" style="position:absolute;left:87654;top:9745;width:13037;height: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" filled="f" stroked="f">
                  <v:textbox>
                    <w:txbxContent>
                      <w:p w14:paraId="0359EFFB" w14:textId="77777777" w:rsidR="00CC3905" w:rsidRPr="006F56BD" w:rsidRDefault="00CC3905" w:rsidP="00CC3905">
                        <w:pPr>
                          <w:rPr>
                            <w:rFonts w:cs="Arial"/>
                            <w:color w:val="FFFFFF" w:themeColor="background1"/>
                            <w:kern w:val="24"/>
                            <w:sz w:val="20"/>
                            <w:szCs w:val="20"/>
                          </w:rPr>
                        </w:pPr>
                        <w:r w:rsidRPr="006F56BD">
                          <w:rPr>
                            <w:rFonts w:cs="Arial"/>
                            <w:color w:val="FFFFFF" w:themeColor="background1"/>
                            <w:kern w:val="24"/>
                            <w:sz w:val="20"/>
                            <w:szCs w:val="20"/>
                          </w:rPr>
                          <w:t>entry</w:t>
                        </w:r>
                      </w:p>
                    </w:txbxContent>
                  </v:textbox>
                </v:shape>
                <w10:wrap anchorx="margin"/>
              </v:group>
            </w:pict>
          </mc:Fallback>
        </mc:AlternateContent>
      </w:r>
    </w:p>
    <w:p w14:paraId="13C5A1AF" w14:textId="2AE65BA5" w:rsidR="00CC3905" w:rsidRPr="006F56BD" w:rsidRDefault="00CC3905" w:rsidP="00CC3905">
      <w:pPr>
        <w:rPr>
          <w:rFonts w:cs="Arial"/>
        </w:rPr>
      </w:pPr>
    </w:p>
    <w:p w14:paraId="4B89107B" w14:textId="42AEEC8E" w:rsidR="00CC3905" w:rsidRDefault="00CC3905" w:rsidP="00CC3905">
      <w:pPr>
        <w:rPr>
          <w:rFonts w:cs="Arial"/>
        </w:rPr>
      </w:pPr>
    </w:p>
    <w:p w14:paraId="06D86889" w14:textId="77777777" w:rsidR="000A637D" w:rsidRDefault="000A637D" w:rsidP="00CC3905">
      <w:pPr>
        <w:rPr>
          <w:rFonts w:cs="Arial"/>
        </w:rPr>
      </w:pPr>
    </w:p>
    <w:p w14:paraId="4A5B43CD" w14:textId="77777777" w:rsidR="000A637D" w:rsidRDefault="000A637D" w:rsidP="00CC3905">
      <w:pPr>
        <w:rPr>
          <w:rFonts w:cs="Arial"/>
        </w:rPr>
      </w:pPr>
    </w:p>
    <w:p w14:paraId="7259C88A" w14:textId="77777777" w:rsidR="000A637D" w:rsidRDefault="000A637D" w:rsidP="00CC3905">
      <w:pPr>
        <w:rPr>
          <w:rFonts w:cs="Arial"/>
        </w:rPr>
      </w:pPr>
    </w:p>
    <w:p w14:paraId="30A074C5" w14:textId="77777777" w:rsidR="000A637D" w:rsidRPr="006F56BD" w:rsidRDefault="000A637D" w:rsidP="00CC3905">
      <w:pPr>
        <w:rPr>
          <w:rFonts w:cs="Arial"/>
        </w:rPr>
      </w:pPr>
    </w:p>
    <w:p w14:paraId="20CEF03A" w14:textId="77777777" w:rsidR="00224D0B" w:rsidRDefault="00F607A6" w:rsidP="00C50A27">
      <w:pPr>
        <w:pStyle w:val="TableTitle"/>
      </w:pPr>
      <w:r>
        <w:t xml:space="preserve"> </w:t>
      </w:r>
    </w:p>
    <w:p w14:paraId="62438D34" w14:textId="4C3B7A48" w:rsidR="00C50A27" w:rsidRDefault="008E6FA5" w:rsidP="00C50A27">
      <w:pPr>
        <w:pStyle w:val="TableTitle"/>
      </w:pPr>
      <w:r>
        <w:t>The process for starting aged care services for new participants</w:t>
      </w:r>
    </w:p>
    <w:tbl>
      <w:tblPr>
        <w:tblW w:w="8850" w:type="dxa"/>
        <w:tblBorders>
          <w:top w:val="single" w:sz="4" w:space="0" w:color="auto"/>
          <w:bottom w:val="single" w:sz="4" w:space="0" w:color="auto"/>
          <w:insideH w:val="single" w:sz="4" w:space="0" w:color="auto"/>
        </w:tblBorders>
        <w:tblLook w:val="04A0" w:firstRow="1" w:lastRow="0" w:firstColumn="1" w:lastColumn="0" w:noHBand="0" w:noVBand="1"/>
      </w:tblPr>
      <w:tblGrid>
        <w:gridCol w:w="2835"/>
        <w:gridCol w:w="6015"/>
      </w:tblGrid>
      <w:tr w:rsidR="00DC3AC8" w:rsidRPr="00A74CEA" w14:paraId="73B4BCDD" w14:textId="77777777" w:rsidTr="73C43C23">
        <w:trPr>
          <w:trHeight w:val="300"/>
        </w:trPr>
        <w:tc>
          <w:tcPr>
            <w:tcW w:w="2835" w:type="dxa"/>
            <w:shd w:val="clear" w:color="auto" w:fill="3F4A75" w:themeFill="accent1"/>
          </w:tcPr>
          <w:p w14:paraId="05F21F30" w14:textId="7ABC4673" w:rsidR="00C012BE" w:rsidRPr="00A74CEA" w:rsidRDefault="00F607A6" w:rsidP="00C50A27">
            <w:pPr>
              <w:pStyle w:val="TableTitle"/>
              <w:rPr>
                <w:color w:val="FFFFFF" w:themeColor="background1"/>
                <w:sz w:val="21"/>
                <w:szCs w:val="21"/>
              </w:rPr>
            </w:pPr>
            <w:r w:rsidRPr="00A74CEA">
              <w:rPr>
                <w:color w:val="FFFFFF" w:themeColor="background1"/>
                <w:sz w:val="21"/>
                <w:szCs w:val="21"/>
              </w:rPr>
              <w:t>Stage</w:t>
            </w:r>
          </w:p>
        </w:tc>
        <w:tc>
          <w:tcPr>
            <w:tcW w:w="6015" w:type="dxa"/>
            <w:shd w:val="clear" w:color="auto" w:fill="3F4A75" w:themeFill="accent1"/>
          </w:tcPr>
          <w:p w14:paraId="34A331A8" w14:textId="223BA039" w:rsidR="00C012BE" w:rsidRPr="00A74CEA" w:rsidRDefault="00F404BD" w:rsidP="00C50A27">
            <w:pPr>
              <w:pStyle w:val="TableTitle"/>
              <w:rPr>
                <w:color w:val="FFFFFF" w:themeColor="background1"/>
                <w:sz w:val="21"/>
                <w:szCs w:val="21"/>
              </w:rPr>
            </w:pPr>
            <w:r w:rsidRPr="00A74CEA">
              <w:rPr>
                <w:color w:val="FFFFFF" w:themeColor="background1"/>
                <w:sz w:val="21"/>
                <w:szCs w:val="21"/>
              </w:rPr>
              <w:t>Description</w:t>
            </w:r>
          </w:p>
        </w:tc>
      </w:tr>
      <w:tr w:rsidR="00DC3AC8" w:rsidRPr="00A74CEA" w14:paraId="7E8748A6" w14:textId="77777777" w:rsidTr="73C43C23">
        <w:trPr>
          <w:trHeight w:val="300"/>
        </w:trPr>
        <w:tc>
          <w:tcPr>
            <w:tcW w:w="2835" w:type="dxa"/>
          </w:tcPr>
          <w:p w14:paraId="77BE6B62" w14:textId="5306CC7D" w:rsidR="00DC3784" w:rsidRPr="00A74CEA" w:rsidRDefault="00DC3784" w:rsidP="00DC3784">
            <w:pPr>
              <w:pStyle w:val="TableTitle"/>
              <w:rPr>
                <w:sz w:val="21"/>
                <w:szCs w:val="21"/>
              </w:rPr>
            </w:pPr>
            <w:r w:rsidRPr="00A74CEA">
              <w:rPr>
                <w:sz w:val="21"/>
                <w:szCs w:val="21"/>
              </w:rPr>
              <w:t>Registration</w:t>
            </w:r>
          </w:p>
        </w:tc>
        <w:tc>
          <w:tcPr>
            <w:tcW w:w="6015" w:type="dxa"/>
          </w:tcPr>
          <w:p w14:paraId="5F2A8D9A" w14:textId="1E53DB7A" w:rsidR="00DC3784" w:rsidRPr="00A74CEA" w:rsidRDefault="00DC3784" w:rsidP="00DC3784">
            <w:pPr>
              <w:pStyle w:val="TableTitle"/>
              <w:rPr>
                <w:b w:val="0"/>
                <w:bCs/>
                <w:sz w:val="21"/>
                <w:szCs w:val="21"/>
              </w:rPr>
            </w:pPr>
            <w:r w:rsidRPr="00A74CEA">
              <w:rPr>
                <w:b w:val="0"/>
                <w:bCs/>
                <w:sz w:val="21"/>
                <w:szCs w:val="21"/>
              </w:rPr>
              <w:t>A</w:t>
            </w:r>
            <w:r w:rsidR="0056648F">
              <w:rPr>
                <w:b w:val="0"/>
                <w:bCs/>
                <w:sz w:val="21"/>
                <w:szCs w:val="21"/>
              </w:rPr>
              <w:t>n older</w:t>
            </w:r>
            <w:r w:rsidRPr="00A74CEA">
              <w:rPr>
                <w:b w:val="0"/>
                <w:bCs/>
                <w:sz w:val="21"/>
                <w:szCs w:val="21"/>
              </w:rPr>
              <w:t xml:space="preserve"> person’s details (like name and date of birth) are entered into the My Aged Care System to start the process.</w:t>
            </w:r>
          </w:p>
        </w:tc>
      </w:tr>
      <w:tr w:rsidR="00DC3AC8" w:rsidRPr="00A74CEA" w14:paraId="1B8C60EC" w14:textId="77777777" w:rsidTr="73C43C23">
        <w:trPr>
          <w:trHeight w:val="300"/>
        </w:trPr>
        <w:tc>
          <w:tcPr>
            <w:tcW w:w="2835" w:type="dxa"/>
          </w:tcPr>
          <w:p w14:paraId="26FB043D" w14:textId="46DFC076" w:rsidR="00DC3784" w:rsidRPr="00A74CEA" w:rsidRDefault="00DC3784" w:rsidP="00DC3784">
            <w:pPr>
              <w:pStyle w:val="TableTitle"/>
              <w:rPr>
                <w:sz w:val="21"/>
                <w:szCs w:val="21"/>
              </w:rPr>
            </w:pPr>
            <w:r w:rsidRPr="00A74CEA">
              <w:rPr>
                <w:sz w:val="21"/>
                <w:szCs w:val="21"/>
              </w:rPr>
              <w:t xml:space="preserve">Screening </w:t>
            </w:r>
          </w:p>
        </w:tc>
        <w:tc>
          <w:tcPr>
            <w:tcW w:w="6015" w:type="dxa"/>
          </w:tcPr>
          <w:p w14:paraId="23513D12" w14:textId="77777777" w:rsidR="0068158F" w:rsidRDefault="39B29479" w:rsidP="6498F6C2">
            <w:pPr>
              <w:pStyle w:val="TableTitle"/>
              <w:rPr>
                <w:rFonts w:eastAsia="Arial" w:cs="Arial"/>
                <w:b w:val="0"/>
                <w:sz w:val="21"/>
                <w:szCs w:val="21"/>
              </w:rPr>
            </w:pPr>
            <w:r w:rsidRPr="00D35F00">
              <w:rPr>
                <w:rFonts w:eastAsia="Arial"/>
                <w:b w:val="0"/>
                <w:sz w:val="21"/>
                <w:szCs w:val="21"/>
              </w:rPr>
              <w:t xml:space="preserve">After an older person has registered with My Aged Care, a screening process takes place. The older </w:t>
            </w:r>
            <w:r w:rsidR="000B036F" w:rsidRPr="00D35F00">
              <w:rPr>
                <w:rFonts w:eastAsia="Arial"/>
                <w:b w:val="0"/>
                <w:sz w:val="21"/>
                <w:szCs w:val="21"/>
              </w:rPr>
              <w:t xml:space="preserve">person </w:t>
            </w:r>
            <w:r w:rsidRPr="00D35F00">
              <w:rPr>
                <w:b w:val="0"/>
                <w:bCs/>
                <w:sz w:val="21"/>
                <w:szCs w:val="21"/>
              </w:rPr>
              <w:t>answers</w:t>
            </w:r>
            <w:r w:rsidRPr="00875644">
              <w:rPr>
                <w:rFonts w:eastAsia="Arial" w:cs="Arial"/>
                <w:b w:val="0"/>
                <w:sz w:val="21"/>
                <w:szCs w:val="21"/>
              </w:rPr>
              <w:t xml:space="preserve"> a short questionnaire either</w:t>
            </w:r>
            <w:r w:rsidR="0068158F">
              <w:rPr>
                <w:rFonts w:eastAsia="Arial" w:cs="Arial"/>
                <w:b w:val="0"/>
                <w:sz w:val="21"/>
                <w:szCs w:val="21"/>
              </w:rPr>
              <w:t>:</w:t>
            </w:r>
          </w:p>
          <w:p w14:paraId="3422CB20" w14:textId="73A7D8E6" w:rsidR="0068158F" w:rsidRPr="0068158F" w:rsidRDefault="39B29479" w:rsidP="00452623">
            <w:pPr>
              <w:pStyle w:val="ListParagraph"/>
              <w:numPr>
                <w:ilvl w:val="0"/>
                <w:numId w:val="5"/>
              </w:numPr>
              <w:spacing w:before="0" w:after="0"/>
              <w:ind w:left="775"/>
              <w:rPr>
                <w:rFonts w:eastAsia="Arial"/>
                <w:b/>
                <w:sz w:val="21"/>
                <w:szCs w:val="21"/>
              </w:rPr>
            </w:pPr>
            <w:r w:rsidRPr="00452623">
              <w:rPr>
                <w:rFonts w:eastAsia="Arial" w:cs="Arial"/>
                <w:color w:val="auto"/>
                <w:sz w:val="21"/>
                <w:szCs w:val="21"/>
              </w:rPr>
              <w:t xml:space="preserve">online </w:t>
            </w:r>
          </w:p>
          <w:p w14:paraId="5302ECC8" w14:textId="6FCC93D2" w:rsidR="0068158F" w:rsidRPr="0068158F" w:rsidRDefault="39B29479" w:rsidP="00452623">
            <w:pPr>
              <w:pStyle w:val="ListParagraph"/>
              <w:numPr>
                <w:ilvl w:val="0"/>
                <w:numId w:val="5"/>
              </w:numPr>
              <w:spacing w:before="0" w:after="0"/>
              <w:ind w:left="775"/>
              <w:rPr>
                <w:rFonts w:eastAsia="Arial"/>
                <w:b/>
                <w:sz w:val="21"/>
                <w:szCs w:val="21"/>
              </w:rPr>
            </w:pPr>
            <w:r w:rsidRPr="00452623">
              <w:rPr>
                <w:rFonts w:eastAsia="Arial" w:cs="Arial"/>
                <w:color w:val="auto"/>
                <w:sz w:val="21"/>
                <w:szCs w:val="21"/>
              </w:rPr>
              <w:t>via</w:t>
            </w:r>
            <w:r w:rsidRPr="00D35F00">
              <w:rPr>
                <w:rFonts w:eastAsia="Arial"/>
                <w:b/>
                <w:sz w:val="21"/>
                <w:szCs w:val="21"/>
              </w:rPr>
              <w:t xml:space="preserve"> </w:t>
            </w:r>
            <w:r w:rsidRPr="00875644">
              <w:rPr>
                <w:rFonts w:eastAsia="Arial" w:cs="Arial"/>
                <w:b/>
                <w:sz w:val="21"/>
                <w:szCs w:val="21"/>
              </w:rPr>
              <w:t>phone</w:t>
            </w:r>
            <w:r w:rsidRPr="00D35F00">
              <w:rPr>
                <w:rFonts w:eastAsia="Arial"/>
                <w:b/>
                <w:sz w:val="21"/>
                <w:szCs w:val="21"/>
              </w:rPr>
              <w:t xml:space="preserve"> with the My Aged Care contact </w:t>
            </w:r>
            <w:r w:rsidR="0047506D" w:rsidRPr="00D35F00">
              <w:rPr>
                <w:rFonts w:eastAsia="Arial"/>
                <w:b/>
                <w:sz w:val="21"/>
                <w:szCs w:val="21"/>
              </w:rPr>
              <w:t>cent</w:t>
            </w:r>
            <w:r w:rsidR="00844619">
              <w:rPr>
                <w:rFonts w:eastAsia="Arial"/>
                <w:b/>
                <w:sz w:val="21"/>
                <w:szCs w:val="21"/>
              </w:rPr>
              <w:t>re</w:t>
            </w:r>
            <w:r w:rsidRPr="00875644">
              <w:rPr>
                <w:rFonts w:eastAsia="Arial" w:cs="Arial"/>
                <w:b/>
                <w:sz w:val="21"/>
                <w:szCs w:val="21"/>
              </w:rPr>
              <w:t xml:space="preserve"> </w:t>
            </w:r>
          </w:p>
          <w:p w14:paraId="37E51EE5" w14:textId="77777777" w:rsidR="00F627C3" w:rsidRPr="00384C92" w:rsidRDefault="39B29479" w:rsidP="00452623">
            <w:pPr>
              <w:pStyle w:val="ListParagraph"/>
              <w:numPr>
                <w:ilvl w:val="0"/>
                <w:numId w:val="5"/>
              </w:numPr>
              <w:spacing w:before="0" w:after="0"/>
              <w:ind w:left="775"/>
              <w:rPr>
                <w:rFonts w:eastAsia="Arial"/>
                <w:b/>
                <w:sz w:val="21"/>
                <w:szCs w:val="21"/>
              </w:rPr>
            </w:pPr>
            <w:r w:rsidRPr="00452623">
              <w:rPr>
                <w:rFonts w:eastAsia="Arial" w:cs="Arial"/>
                <w:color w:val="auto"/>
                <w:sz w:val="21"/>
                <w:szCs w:val="21"/>
              </w:rPr>
              <w:t xml:space="preserve">through a GP, or </w:t>
            </w:r>
          </w:p>
          <w:p w14:paraId="235050B7" w14:textId="5A97E492" w:rsidR="00317489" w:rsidRPr="00317489" w:rsidRDefault="39B29479" w:rsidP="00452623">
            <w:pPr>
              <w:pStyle w:val="ListParagraph"/>
              <w:numPr>
                <w:ilvl w:val="0"/>
                <w:numId w:val="5"/>
              </w:numPr>
              <w:spacing w:before="0" w:after="0"/>
              <w:ind w:left="775"/>
              <w:rPr>
                <w:rFonts w:eastAsia="Arial"/>
                <w:b/>
                <w:sz w:val="21"/>
                <w:szCs w:val="21"/>
              </w:rPr>
            </w:pPr>
            <w:r w:rsidRPr="00452623">
              <w:rPr>
                <w:rFonts w:eastAsia="Arial" w:cs="Arial"/>
                <w:color w:val="auto"/>
                <w:sz w:val="21"/>
                <w:szCs w:val="21"/>
              </w:rPr>
              <w:t xml:space="preserve">at a Services Australia </w:t>
            </w:r>
            <w:r w:rsidR="00F2422D">
              <w:rPr>
                <w:rFonts w:eastAsia="Arial" w:cs="Arial"/>
                <w:b/>
                <w:sz w:val="21"/>
                <w:szCs w:val="21"/>
              </w:rPr>
              <w:t xml:space="preserve">service </w:t>
            </w:r>
            <w:r w:rsidR="0047506D" w:rsidRPr="00875644">
              <w:rPr>
                <w:rFonts w:eastAsia="Arial" w:cs="Arial"/>
                <w:b/>
                <w:sz w:val="21"/>
                <w:szCs w:val="21"/>
              </w:rPr>
              <w:t>cent</w:t>
            </w:r>
            <w:r w:rsidR="00844619">
              <w:rPr>
                <w:rFonts w:eastAsia="Arial" w:cs="Arial"/>
                <w:b/>
                <w:sz w:val="21"/>
                <w:szCs w:val="21"/>
              </w:rPr>
              <w:t>re</w:t>
            </w:r>
            <w:r w:rsidR="00DE6219">
              <w:rPr>
                <w:rFonts w:eastAsia="Arial" w:cs="Arial"/>
                <w:b/>
                <w:sz w:val="21"/>
                <w:szCs w:val="21"/>
              </w:rPr>
              <w:t>.</w:t>
            </w:r>
          </w:p>
          <w:p w14:paraId="06DE5C6C" w14:textId="723CD8A6" w:rsidR="00DC3784" w:rsidRPr="0039193C" w:rsidRDefault="39B29479" w:rsidP="00317489">
            <w:pPr>
              <w:pStyle w:val="TableTitle"/>
              <w:rPr>
                <w:b w:val="0"/>
                <w:sz w:val="21"/>
                <w:szCs w:val="21"/>
              </w:rPr>
            </w:pPr>
            <w:r w:rsidRPr="00875644">
              <w:rPr>
                <w:rFonts w:eastAsia="Arial" w:cs="Arial"/>
                <w:b w:val="0"/>
                <w:sz w:val="21"/>
                <w:szCs w:val="21"/>
              </w:rPr>
              <w:t>Based on the responses</w:t>
            </w:r>
            <w:r w:rsidRPr="00D35F00">
              <w:rPr>
                <w:rFonts w:eastAsia="Arial"/>
                <w:b w:val="0"/>
                <w:sz w:val="21"/>
                <w:szCs w:val="21"/>
              </w:rPr>
              <w:t>,</w:t>
            </w:r>
            <w:r w:rsidRPr="00875644">
              <w:rPr>
                <w:rFonts w:eastAsia="Arial" w:cs="Arial"/>
                <w:b w:val="0"/>
                <w:sz w:val="21"/>
                <w:szCs w:val="21"/>
              </w:rPr>
              <w:t xml:space="preserve"> they are then referred to an assessment </w:t>
            </w:r>
            <w:proofErr w:type="spellStart"/>
            <w:r w:rsidRPr="00875644">
              <w:rPr>
                <w:rFonts w:eastAsia="Arial" w:cs="Arial"/>
                <w:b w:val="0"/>
                <w:sz w:val="21"/>
                <w:szCs w:val="21"/>
              </w:rPr>
              <w:t>organisation</w:t>
            </w:r>
            <w:proofErr w:type="spellEnd"/>
            <w:r w:rsidRPr="00D35F00">
              <w:rPr>
                <w:rFonts w:eastAsia="Arial"/>
                <w:b w:val="0"/>
                <w:sz w:val="21"/>
                <w:szCs w:val="21"/>
              </w:rPr>
              <w:t xml:space="preserve"> for triage</w:t>
            </w:r>
            <w:r w:rsidRPr="00875644">
              <w:rPr>
                <w:rFonts w:eastAsia="Arial" w:cs="Arial"/>
                <w:b w:val="0"/>
                <w:sz w:val="21"/>
                <w:szCs w:val="21"/>
              </w:rPr>
              <w:t>.</w:t>
            </w:r>
            <w:r w:rsidR="743F9F2C" w:rsidRPr="0039193C">
              <w:rPr>
                <w:b w:val="0"/>
                <w:sz w:val="21"/>
                <w:szCs w:val="21"/>
              </w:rPr>
              <w:t xml:space="preserve"> </w:t>
            </w:r>
          </w:p>
        </w:tc>
      </w:tr>
      <w:tr w:rsidR="00C34F4F" w:rsidRPr="007010E4" w14:paraId="06DB166E" w14:textId="77777777" w:rsidTr="73C43C23">
        <w:trPr>
          <w:trHeight w:val="300"/>
        </w:trPr>
        <w:tc>
          <w:tcPr>
            <w:tcW w:w="2835" w:type="dxa"/>
          </w:tcPr>
          <w:p w14:paraId="736EEE5C" w14:textId="10E73BAC" w:rsidR="00DC3784" w:rsidRPr="00A74CEA" w:rsidRDefault="00DC3784" w:rsidP="00DC3784">
            <w:pPr>
              <w:pStyle w:val="TableTitle"/>
              <w:rPr>
                <w:sz w:val="21"/>
                <w:szCs w:val="21"/>
              </w:rPr>
            </w:pPr>
            <w:r w:rsidRPr="00A74CEA">
              <w:rPr>
                <w:sz w:val="21"/>
                <w:szCs w:val="21"/>
              </w:rPr>
              <w:t>Triage</w:t>
            </w:r>
          </w:p>
        </w:tc>
        <w:tc>
          <w:tcPr>
            <w:tcW w:w="6015" w:type="dxa"/>
          </w:tcPr>
          <w:p w14:paraId="4624A9DC" w14:textId="06183A03" w:rsidR="00DC3784" w:rsidRPr="007010E4" w:rsidRDefault="5F7347D1" w:rsidP="6498F6C2">
            <w:pPr>
              <w:pStyle w:val="TableTitle"/>
              <w:rPr>
                <w:rFonts w:eastAsia="Arial" w:cs="Arial"/>
                <w:b w:val="0"/>
                <w:color w:val="auto"/>
                <w:sz w:val="21"/>
                <w:szCs w:val="21"/>
              </w:rPr>
            </w:pPr>
            <w:r w:rsidRPr="007010E4">
              <w:rPr>
                <w:rFonts w:eastAsia="Arial" w:cs="Arial"/>
                <w:b w:val="0"/>
                <w:color w:val="auto"/>
                <w:sz w:val="21"/>
                <w:szCs w:val="21"/>
              </w:rPr>
              <w:t xml:space="preserve">A Triage Delegate at an assessment </w:t>
            </w:r>
            <w:proofErr w:type="spellStart"/>
            <w:r w:rsidRPr="007010E4">
              <w:rPr>
                <w:rFonts w:eastAsia="Arial" w:cs="Arial"/>
                <w:b w:val="0"/>
                <w:color w:val="auto"/>
                <w:sz w:val="21"/>
                <w:szCs w:val="21"/>
              </w:rPr>
              <w:t>organisation</w:t>
            </w:r>
            <w:proofErr w:type="spellEnd"/>
            <w:r w:rsidRPr="007010E4">
              <w:rPr>
                <w:rFonts w:eastAsia="Arial" w:cs="Arial"/>
                <w:b w:val="0"/>
                <w:color w:val="auto"/>
                <w:sz w:val="21"/>
                <w:szCs w:val="21"/>
              </w:rPr>
              <w:t xml:space="preserve"> undertakes a phone call with an older person using the triage component of the Integrated Assessment Tool to confirm:</w:t>
            </w:r>
          </w:p>
          <w:p w14:paraId="766B3A24" w14:textId="6A764467" w:rsidR="00DC3784" w:rsidRPr="007010E4" w:rsidRDefault="5F7347D1" w:rsidP="00875644">
            <w:pPr>
              <w:pStyle w:val="ListParagraph"/>
              <w:numPr>
                <w:ilvl w:val="0"/>
                <w:numId w:val="5"/>
              </w:numPr>
              <w:spacing w:before="0" w:after="0"/>
              <w:ind w:left="775"/>
              <w:rPr>
                <w:rFonts w:eastAsia="Arial" w:cs="Arial"/>
                <w:color w:val="auto"/>
                <w:sz w:val="21"/>
                <w:szCs w:val="21"/>
              </w:rPr>
            </w:pPr>
            <w:r w:rsidRPr="007010E4">
              <w:rPr>
                <w:rFonts w:eastAsia="Arial" w:cs="Arial"/>
                <w:color w:val="auto"/>
                <w:sz w:val="21"/>
                <w:szCs w:val="21"/>
              </w:rPr>
              <w:t>eligibility for an assessment</w:t>
            </w:r>
          </w:p>
          <w:p w14:paraId="38726ED5" w14:textId="6686DA84" w:rsidR="00DC3784" w:rsidRPr="007010E4" w:rsidRDefault="5F7347D1" w:rsidP="00875644">
            <w:pPr>
              <w:pStyle w:val="ListParagraph"/>
              <w:numPr>
                <w:ilvl w:val="0"/>
                <w:numId w:val="5"/>
              </w:numPr>
              <w:spacing w:before="0" w:after="0"/>
              <w:ind w:left="775"/>
              <w:rPr>
                <w:rFonts w:eastAsia="Arial" w:cs="Arial"/>
                <w:color w:val="auto"/>
                <w:sz w:val="21"/>
                <w:szCs w:val="21"/>
              </w:rPr>
            </w:pPr>
            <w:r w:rsidRPr="007010E4">
              <w:rPr>
                <w:rFonts w:eastAsia="Arial" w:cs="Arial"/>
                <w:color w:val="auto"/>
                <w:sz w:val="21"/>
                <w:szCs w:val="21"/>
              </w:rPr>
              <w:t>assessment type (home support or comprehensive)</w:t>
            </w:r>
          </w:p>
          <w:p w14:paraId="05DCB7B5" w14:textId="23D4C37F" w:rsidR="00DC3784" w:rsidRPr="007010E4" w:rsidRDefault="5F7347D1" w:rsidP="00875644">
            <w:pPr>
              <w:pStyle w:val="ListParagraph"/>
              <w:numPr>
                <w:ilvl w:val="0"/>
                <w:numId w:val="5"/>
              </w:numPr>
              <w:spacing w:before="0" w:after="0"/>
              <w:ind w:left="775"/>
              <w:rPr>
                <w:rFonts w:eastAsia="Arial" w:cs="Arial"/>
                <w:color w:val="auto"/>
                <w:sz w:val="21"/>
                <w:szCs w:val="21"/>
              </w:rPr>
            </w:pPr>
            <w:r w:rsidRPr="007010E4">
              <w:rPr>
                <w:rFonts w:eastAsia="Arial" w:cs="Arial"/>
                <w:color w:val="auto"/>
                <w:sz w:val="21"/>
                <w:szCs w:val="21"/>
              </w:rPr>
              <w:t xml:space="preserve">assessment priority </w:t>
            </w:r>
          </w:p>
          <w:p w14:paraId="01BB3B35" w14:textId="24819736" w:rsidR="00662591" w:rsidRPr="007010E4" w:rsidRDefault="5F7347D1" w:rsidP="00326D22">
            <w:pPr>
              <w:pStyle w:val="ListParagraph"/>
              <w:numPr>
                <w:ilvl w:val="0"/>
                <w:numId w:val="5"/>
              </w:numPr>
              <w:spacing w:before="0" w:after="0"/>
              <w:ind w:left="775"/>
              <w:rPr>
                <w:b/>
                <w:color w:val="auto"/>
              </w:rPr>
            </w:pPr>
            <w:r w:rsidRPr="004B74F0">
              <w:rPr>
                <w:rFonts w:eastAsia="Arial" w:cs="Arial"/>
                <w:color w:val="auto"/>
                <w:sz w:val="21"/>
                <w:szCs w:val="21"/>
              </w:rPr>
              <w:t xml:space="preserve">whether urgent services/linking supports are required. </w:t>
            </w:r>
          </w:p>
        </w:tc>
      </w:tr>
      <w:tr w:rsidR="00DC3AC8" w:rsidRPr="00A74CEA" w14:paraId="212D19E0" w14:textId="77777777" w:rsidTr="73C43C23">
        <w:trPr>
          <w:trHeight w:val="300"/>
        </w:trPr>
        <w:tc>
          <w:tcPr>
            <w:tcW w:w="2835" w:type="dxa"/>
          </w:tcPr>
          <w:p w14:paraId="1DF839F4" w14:textId="11E8EFEE" w:rsidR="00DC3784" w:rsidRPr="00A74CEA" w:rsidRDefault="00DC3784" w:rsidP="00DC3784">
            <w:pPr>
              <w:pStyle w:val="TableTitle"/>
              <w:rPr>
                <w:sz w:val="21"/>
                <w:szCs w:val="21"/>
              </w:rPr>
            </w:pPr>
            <w:r w:rsidRPr="00A74CEA">
              <w:rPr>
                <w:sz w:val="21"/>
                <w:szCs w:val="21"/>
              </w:rPr>
              <w:t xml:space="preserve">Assessment </w:t>
            </w:r>
          </w:p>
        </w:tc>
        <w:tc>
          <w:tcPr>
            <w:tcW w:w="6015" w:type="dxa"/>
          </w:tcPr>
          <w:p w14:paraId="56D414C1" w14:textId="295906C6" w:rsidR="00DC3784" w:rsidRPr="0072368D" w:rsidRDefault="72FDF90A" w:rsidP="6498F6C2">
            <w:pPr>
              <w:pStyle w:val="TableTitle"/>
              <w:rPr>
                <w:b w:val="0"/>
              </w:rPr>
            </w:pPr>
            <w:r w:rsidRPr="0072368D">
              <w:rPr>
                <w:rFonts w:eastAsia="Arial" w:cs="Arial"/>
                <w:b w:val="0"/>
                <w:color w:val="auto"/>
                <w:sz w:val="21"/>
                <w:szCs w:val="21"/>
              </w:rPr>
              <w:t xml:space="preserve">A trained aged care needs assessor (clinical or non-clinical) meets with the </w:t>
            </w:r>
            <w:r w:rsidR="00FD7EE4">
              <w:rPr>
                <w:rFonts w:eastAsia="Arial" w:cs="Arial"/>
                <w:b w:val="0"/>
                <w:color w:val="auto"/>
                <w:sz w:val="21"/>
                <w:szCs w:val="21"/>
              </w:rPr>
              <w:t xml:space="preserve">older </w:t>
            </w:r>
            <w:r w:rsidRPr="0072368D">
              <w:rPr>
                <w:rFonts w:eastAsia="Arial" w:cs="Arial"/>
                <w:b w:val="0"/>
                <w:color w:val="auto"/>
                <w:sz w:val="21"/>
                <w:szCs w:val="21"/>
              </w:rPr>
              <w:t>person and uses the Integrated Assessment Tool to understand their care needs and make recommendations. An assessment can either be a Home Support Assessment (entry-level services) or Comprehensive Assessment (Support at Home and residential care services), depending on the older person’s needs. Aboriginal and Torres Strait Islander people have tailored options.</w:t>
            </w:r>
          </w:p>
        </w:tc>
      </w:tr>
      <w:tr w:rsidR="00DC3AC8" w:rsidRPr="00A74CEA" w14:paraId="15A66B83" w14:textId="77777777" w:rsidTr="73C43C23">
        <w:trPr>
          <w:trHeight w:val="300"/>
        </w:trPr>
        <w:tc>
          <w:tcPr>
            <w:tcW w:w="2835" w:type="dxa"/>
          </w:tcPr>
          <w:p w14:paraId="5A467BCB" w14:textId="30494B03" w:rsidR="00DC3784" w:rsidRPr="00A74CEA" w:rsidRDefault="00DC3784" w:rsidP="00DC3784">
            <w:pPr>
              <w:pStyle w:val="TableTitle"/>
              <w:rPr>
                <w:sz w:val="21"/>
                <w:szCs w:val="21"/>
              </w:rPr>
            </w:pPr>
            <w:r w:rsidRPr="00A74CEA">
              <w:rPr>
                <w:sz w:val="21"/>
                <w:szCs w:val="21"/>
              </w:rPr>
              <w:t>Approval</w:t>
            </w:r>
          </w:p>
        </w:tc>
        <w:tc>
          <w:tcPr>
            <w:tcW w:w="6015" w:type="dxa"/>
          </w:tcPr>
          <w:p w14:paraId="5D07F748" w14:textId="39C9DFE3" w:rsidR="00DC3784" w:rsidRPr="00A74CEA" w:rsidRDefault="00895E5A" w:rsidP="00DC3784">
            <w:pPr>
              <w:pStyle w:val="TableTitle"/>
              <w:rPr>
                <w:b w:val="0"/>
                <w:bCs/>
                <w:sz w:val="21"/>
                <w:szCs w:val="21"/>
              </w:rPr>
            </w:pPr>
            <w:r w:rsidRPr="00895E5A">
              <w:rPr>
                <w:b w:val="0"/>
                <w:bCs/>
                <w:sz w:val="21"/>
                <w:szCs w:val="21"/>
              </w:rPr>
              <w:t xml:space="preserve">The assessor’s recommendations are reviewed and approved by an assessment delegate. This step confirms what services the person is eligible for. The assessment delegate helps </w:t>
            </w:r>
            <w:r w:rsidRPr="00895E5A">
              <w:rPr>
                <w:b w:val="0"/>
                <w:bCs/>
                <w:sz w:val="21"/>
                <w:szCs w:val="21"/>
              </w:rPr>
              <w:lastRenderedPageBreak/>
              <w:t>ensure the services the assessor has recommended meets the individual’s needs</w:t>
            </w:r>
            <w:r w:rsidR="0080169D">
              <w:rPr>
                <w:b w:val="0"/>
                <w:bCs/>
                <w:sz w:val="21"/>
                <w:szCs w:val="21"/>
              </w:rPr>
              <w:t>,</w:t>
            </w:r>
            <w:r w:rsidRPr="00895E5A">
              <w:rPr>
                <w:b w:val="0"/>
                <w:bCs/>
                <w:sz w:val="21"/>
                <w:szCs w:val="21"/>
              </w:rPr>
              <w:t xml:space="preserve"> are </w:t>
            </w:r>
            <w:r w:rsidR="00C90B35" w:rsidRPr="00895E5A">
              <w:rPr>
                <w:b w:val="0"/>
                <w:bCs/>
                <w:sz w:val="21"/>
                <w:szCs w:val="21"/>
              </w:rPr>
              <w:t>evidence</w:t>
            </w:r>
            <w:r w:rsidRPr="00895E5A">
              <w:rPr>
                <w:b w:val="0"/>
                <w:bCs/>
                <w:sz w:val="21"/>
                <w:szCs w:val="21"/>
              </w:rPr>
              <w:t xml:space="preserve"> based, align with the goals and concerns identified during the assessment, are legally sound and meet </w:t>
            </w:r>
            <w:r w:rsidR="005F5754" w:rsidRPr="00895E5A">
              <w:rPr>
                <w:b w:val="0"/>
                <w:bCs/>
                <w:sz w:val="21"/>
                <w:szCs w:val="21"/>
              </w:rPr>
              <w:t>all</w:t>
            </w:r>
            <w:r w:rsidRPr="00895E5A">
              <w:rPr>
                <w:b w:val="0"/>
                <w:bCs/>
                <w:sz w:val="21"/>
                <w:szCs w:val="21"/>
              </w:rPr>
              <w:t xml:space="preserve"> the eligibility criteria under the Act.   </w:t>
            </w:r>
          </w:p>
        </w:tc>
      </w:tr>
      <w:tr w:rsidR="00DC3AC8" w:rsidRPr="00A74CEA" w14:paraId="2399A072" w14:textId="77777777" w:rsidTr="73C43C23">
        <w:trPr>
          <w:trHeight w:val="300"/>
        </w:trPr>
        <w:tc>
          <w:tcPr>
            <w:tcW w:w="2835" w:type="dxa"/>
          </w:tcPr>
          <w:p w14:paraId="2C7738B6" w14:textId="06CF8BDC" w:rsidR="00DC3784" w:rsidRPr="00A74CEA" w:rsidRDefault="00DC3784" w:rsidP="00DC3784">
            <w:pPr>
              <w:pStyle w:val="TableTitle"/>
              <w:rPr>
                <w:sz w:val="21"/>
                <w:szCs w:val="21"/>
              </w:rPr>
            </w:pPr>
            <w:r w:rsidRPr="00A74CEA">
              <w:rPr>
                <w:sz w:val="21"/>
                <w:szCs w:val="21"/>
              </w:rPr>
              <w:lastRenderedPageBreak/>
              <w:t>Method for allocation</w:t>
            </w:r>
          </w:p>
        </w:tc>
        <w:tc>
          <w:tcPr>
            <w:tcW w:w="6015" w:type="dxa"/>
          </w:tcPr>
          <w:p w14:paraId="7CE6653B" w14:textId="77777777" w:rsidR="00D226AF" w:rsidRDefault="78FA0533" w:rsidP="00DC3784">
            <w:pPr>
              <w:pStyle w:val="TableTitle"/>
              <w:rPr>
                <w:b w:val="0"/>
                <w:bCs/>
                <w:sz w:val="21"/>
                <w:szCs w:val="21"/>
              </w:rPr>
            </w:pPr>
            <w:r w:rsidRPr="6E2A5FA9">
              <w:rPr>
                <w:b w:val="0"/>
                <w:sz w:val="21"/>
                <w:szCs w:val="21"/>
              </w:rPr>
              <w:t xml:space="preserve">If applicable, </w:t>
            </w:r>
            <w:r w:rsidR="73E31434" w:rsidRPr="6E2A5FA9">
              <w:rPr>
                <w:b w:val="0"/>
                <w:sz w:val="21"/>
                <w:szCs w:val="21"/>
              </w:rPr>
              <w:t>b</w:t>
            </w:r>
            <w:r w:rsidR="0AF6A8CB" w:rsidRPr="6E2A5FA9">
              <w:rPr>
                <w:b w:val="0"/>
                <w:sz w:val="21"/>
                <w:szCs w:val="21"/>
              </w:rPr>
              <w:t>ased</w:t>
            </w:r>
            <w:r w:rsidR="00DC3784" w:rsidRPr="00A74CEA">
              <w:rPr>
                <w:b w:val="0"/>
                <w:bCs/>
                <w:sz w:val="21"/>
                <w:szCs w:val="21"/>
              </w:rPr>
              <w:t xml:space="preserve"> on the person’s needs and urgency, they are placed in a priority category. This affects how quickly they receive funding or a care place.</w:t>
            </w:r>
            <w:r w:rsidR="00472D9A">
              <w:rPr>
                <w:b w:val="0"/>
                <w:bCs/>
                <w:sz w:val="21"/>
                <w:szCs w:val="21"/>
              </w:rPr>
              <w:t xml:space="preserve"> </w:t>
            </w:r>
          </w:p>
          <w:p w14:paraId="74C779D4" w14:textId="6319AA94" w:rsidR="00DC3784" w:rsidRPr="00A74CEA" w:rsidRDefault="00AD58B0" w:rsidP="00DC3784">
            <w:pPr>
              <w:pStyle w:val="TableTitle"/>
              <w:rPr>
                <w:b w:val="0"/>
                <w:bCs/>
                <w:sz w:val="21"/>
                <w:szCs w:val="21"/>
              </w:rPr>
            </w:pPr>
            <w:r>
              <w:rPr>
                <w:b w:val="0"/>
                <w:bCs/>
                <w:sz w:val="21"/>
                <w:szCs w:val="21"/>
              </w:rPr>
              <w:t xml:space="preserve">For </w:t>
            </w:r>
            <w:proofErr w:type="gramStart"/>
            <w:r>
              <w:rPr>
                <w:b w:val="0"/>
                <w:bCs/>
                <w:sz w:val="21"/>
                <w:szCs w:val="21"/>
              </w:rPr>
              <w:t>example</w:t>
            </w:r>
            <w:r w:rsidR="00D52D11">
              <w:rPr>
                <w:b w:val="0"/>
                <w:bCs/>
                <w:sz w:val="21"/>
                <w:szCs w:val="21"/>
              </w:rPr>
              <w:t>;</w:t>
            </w:r>
            <w:proofErr w:type="gramEnd"/>
            <w:r w:rsidR="005C6188" w:rsidRPr="005C6188">
              <w:rPr>
                <w:b w:val="0"/>
                <w:bCs/>
                <w:sz w:val="21"/>
                <w:szCs w:val="21"/>
              </w:rPr>
              <w:t xml:space="preserve"> individuals are assigned to one of four priority categories </w:t>
            </w:r>
            <w:r w:rsidR="00EA102B">
              <w:rPr>
                <w:b w:val="0"/>
                <w:bCs/>
                <w:sz w:val="21"/>
                <w:szCs w:val="21"/>
              </w:rPr>
              <w:t>if approved for Support at Home</w:t>
            </w:r>
            <w:r w:rsidR="003535F3">
              <w:rPr>
                <w:b w:val="0"/>
                <w:bCs/>
                <w:sz w:val="21"/>
                <w:szCs w:val="21"/>
              </w:rPr>
              <w:t xml:space="preserve"> care services</w:t>
            </w:r>
            <w:r w:rsidR="00EA102B">
              <w:rPr>
                <w:b w:val="0"/>
                <w:bCs/>
                <w:sz w:val="21"/>
                <w:szCs w:val="21"/>
              </w:rPr>
              <w:t xml:space="preserve">, </w:t>
            </w:r>
            <w:r w:rsidR="005C6188" w:rsidRPr="005C6188">
              <w:rPr>
                <w:b w:val="0"/>
                <w:bCs/>
                <w:sz w:val="21"/>
                <w:szCs w:val="21"/>
              </w:rPr>
              <w:t xml:space="preserve">based on a needs assessment: </w:t>
            </w:r>
            <w:r w:rsidR="005C6188" w:rsidRPr="00384C92">
              <w:rPr>
                <w:sz w:val="21"/>
                <w:szCs w:val="21"/>
              </w:rPr>
              <w:t>Urgent, High, Medium</w:t>
            </w:r>
            <w:r w:rsidR="005C6188" w:rsidRPr="005C6188">
              <w:rPr>
                <w:b w:val="0"/>
                <w:bCs/>
                <w:sz w:val="21"/>
                <w:szCs w:val="21"/>
              </w:rPr>
              <w:t xml:space="preserve"> or </w:t>
            </w:r>
            <w:r w:rsidR="005C6188" w:rsidRPr="00384C92">
              <w:rPr>
                <w:sz w:val="21"/>
                <w:szCs w:val="21"/>
              </w:rPr>
              <w:t>Standard</w:t>
            </w:r>
            <w:r w:rsidR="005C6188" w:rsidRPr="005C6188">
              <w:rPr>
                <w:b w:val="0"/>
                <w:bCs/>
                <w:sz w:val="21"/>
                <w:szCs w:val="21"/>
              </w:rPr>
              <w:t xml:space="preserve">. This </w:t>
            </w:r>
            <w:proofErr w:type="spellStart"/>
            <w:r w:rsidR="005C6188" w:rsidRPr="005C6188">
              <w:rPr>
                <w:b w:val="0"/>
                <w:bCs/>
                <w:sz w:val="21"/>
                <w:szCs w:val="21"/>
              </w:rPr>
              <w:t>prioriti</w:t>
            </w:r>
            <w:r w:rsidR="005C6188">
              <w:rPr>
                <w:b w:val="0"/>
                <w:bCs/>
                <w:sz w:val="21"/>
                <w:szCs w:val="21"/>
              </w:rPr>
              <w:t>s</w:t>
            </w:r>
            <w:r w:rsidR="005C6188" w:rsidRPr="005C6188">
              <w:rPr>
                <w:b w:val="0"/>
                <w:bCs/>
                <w:sz w:val="21"/>
                <w:szCs w:val="21"/>
              </w:rPr>
              <w:t>ation</w:t>
            </w:r>
            <w:proofErr w:type="spellEnd"/>
            <w:r w:rsidR="005C6188" w:rsidRPr="005C6188">
              <w:rPr>
                <w:b w:val="0"/>
                <w:bCs/>
                <w:sz w:val="21"/>
                <w:szCs w:val="21"/>
              </w:rPr>
              <w:t xml:space="preserve"> determines how quickly funding is released</w:t>
            </w:r>
            <w:r w:rsidR="00A54886">
              <w:rPr>
                <w:b w:val="0"/>
                <w:bCs/>
                <w:sz w:val="21"/>
                <w:szCs w:val="21"/>
              </w:rPr>
              <w:t>.</w:t>
            </w:r>
          </w:p>
        </w:tc>
      </w:tr>
      <w:tr w:rsidR="00DC3AC8" w:rsidRPr="00A74CEA" w14:paraId="3D8C42D5" w14:textId="77777777" w:rsidTr="73C43C23">
        <w:trPr>
          <w:trHeight w:val="300"/>
        </w:trPr>
        <w:tc>
          <w:tcPr>
            <w:tcW w:w="2835" w:type="dxa"/>
          </w:tcPr>
          <w:p w14:paraId="57ACF494" w14:textId="63351B43" w:rsidR="00DC3784" w:rsidRPr="00A74CEA" w:rsidRDefault="00DC3784" w:rsidP="00DC3784">
            <w:pPr>
              <w:pStyle w:val="TableTitle"/>
              <w:rPr>
                <w:sz w:val="21"/>
                <w:szCs w:val="21"/>
              </w:rPr>
            </w:pPr>
            <w:r w:rsidRPr="00A74CEA">
              <w:rPr>
                <w:sz w:val="21"/>
                <w:szCs w:val="21"/>
              </w:rPr>
              <w:t>Allocation</w:t>
            </w:r>
          </w:p>
        </w:tc>
        <w:tc>
          <w:tcPr>
            <w:tcW w:w="6015" w:type="dxa"/>
          </w:tcPr>
          <w:p w14:paraId="212FB054" w14:textId="68E919D2" w:rsidR="00DC3784" w:rsidRPr="00875644" w:rsidRDefault="54473AF5" w:rsidP="6498F6C2">
            <w:pPr>
              <w:pStyle w:val="TableTitle"/>
              <w:rPr>
                <w:b w:val="0"/>
              </w:rPr>
            </w:pPr>
            <w:r w:rsidRPr="00875644">
              <w:rPr>
                <w:rFonts w:eastAsia="Arial" w:cs="Arial"/>
                <w:b w:val="0"/>
                <w:sz w:val="21"/>
                <w:szCs w:val="21"/>
              </w:rPr>
              <w:t xml:space="preserve">The person receives a </w:t>
            </w:r>
            <w:r w:rsidRPr="0072368D">
              <w:rPr>
                <w:rFonts w:eastAsia="Arial" w:cs="Arial"/>
                <w:b w:val="0"/>
                <w:color w:val="auto"/>
                <w:sz w:val="21"/>
                <w:szCs w:val="21"/>
              </w:rPr>
              <w:t xml:space="preserve">formal letter called the ‘Notice of Decision’ confirming their care type and funding. They then choose </w:t>
            </w:r>
            <w:r w:rsidR="00015B63">
              <w:rPr>
                <w:rFonts w:eastAsia="Arial" w:cs="Arial"/>
                <w:b w:val="0"/>
                <w:color w:val="auto"/>
                <w:sz w:val="21"/>
                <w:szCs w:val="21"/>
              </w:rPr>
              <w:t>a registered</w:t>
            </w:r>
            <w:r w:rsidRPr="00875644">
              <w:rPr>
                <w:rFonts w:eastAsia="Arial" w:cs="Arial"/>
                <w:b w:val="0"/>
                <w:sz w:val="21"/>
                <w:szCs w:val="21"/>
              </w:rPr>
              <w:t xml:space="preserve"> provider to deliver the services.</w:t>
            </w:r>
          </w:p>
        </w:tc>
      </w:tr>
      <w:tr w:rsidR="00DC3AC8" w:rsidRPr="00A74CEA" w14:paraId="50BFC57D" w14:textId="77777777" w:rsidTr="73C43C23">
        <w:trPr>
          <w:trHeight w:val="300"/>
        </w:trPr>
        <w:tc>
          <w:tcPr>
            <w:tcW w:w="2835" w:type="dxa"/>
          </w:tcPr>
          <w:p w14:paraId="48ECC7AF" w14:textId="0763B6DB" w:rsidR="00DC3784" w:rsidRPr="00A74CEA" w:rsidRDefault="00DC3784" w:rsidP="00DC3784">
            <w:pPr>
              <w:pStyle w:val="TableTitle"/>
              <w:rPr>
                <w:sz w:val="21"/>
                <w:szCs w:val="21"/>
              </w:rPr>
            </w:pPr>
            <w:r w:rsidRPr="00A74CEA">
              <w:rPr>
                <w:sz w:val="21"/>
                <w:szCs w:val="21"/>
              </w:rPr>
              <w:t>Service commencement</w:t>
            </w:r>
          </w:p>
        </w:tc>
        <w:tc>
          <w:tcPr>
            <w:tcW w:w="6015" w:type="dxa"/>
          </w:tcPr>
          <w:p w14:paraId="3EB56A67" w14:textId="2CCE511E" w:rsidR="00DC3784" w:rsidRPr="00A74CEA" w:rsidRDefault="00DC3784" w:rsidP="00DC3784">
            <w:pPr>
              <w:pStyle w:val="TableTitle"/>
              <w:rPr>
                <w:b w:val="0"/>
                <w:bCs/>
                <w:sz w:val="21"/>
                <w:szCs w:val="21"/>
              </w:rPr>
            </w:pPr>
            <w:r w:rsidRPr="00A74CEA">
              <w:rPr>
                <w:b w:val="0"/>
                <w:bCs/>
                <w:sz w:val="21"/>
                <w:szCs w:val="21"/>
              </w:rPr>
              <w:t>The provider begins delivering care. The start date is recorded in the system</w:t>
            </w:r>
            <w:r w:rsidR="00AB6313">
              <w:rPr>
                <w:b w:val="0"/>
                <w:bCs/>
                <w:sz w:val="21"/>
                <w:szCs w:val="21"/>
              </w:rPr>
              <w:t xml:space="preserve"> via a start notification</w:t>
            </w:r>
            <w:r w:rsidRPr="00A74CEA">
              <w:rPr>
                <w:b w:val="0"/>
                <w:bCs/>
                <w:sz w:val="21"/>
                <w:szCs w:val="21"/>
              </w:rPr>
              <w:t xml:space="preserve"> and triggers payments to the provider.</w:t>
            </w:r>
            <w:r w:rsidR="00AB6313">
              <w:rPr>
                <w:b w:val="0"/>
                <w:bCs/>
                <w:sz w:val="21"/>
                <w:szCs w:val="21"/>
              </w:rPr>
              <w:t xml:space="preserve"> A provider has 28 days to lodge a start notification. </w:t>
            </w:r>
          </w:p>
        </w:tc>
      </w:tr>
      <w:tr w:rsidR="00FC1C06" w:rsidRPr="00A74CEA" w14:paraId="0E474D17" w14:textId="77777777" w:rsidTr="73C43C23">
        <w:trPr>
          <w:trHeight w:val="300"/>
        </w:trPr>
        <w:tc>
          <w:tcPr>
            <w:tcW w:w="2835" w:type="dxa"/>
          </w:tcPr>
          <w:p w14:paraId="2F949ED4" w14:textId="70FD41B2" w:rsidR="00FC1C06" w:rsidRPr="00A74CEA" w:rsidRDefault="00FC1C06" w:rsidP="00FC1C06">
            <w:pPr>
              <w:pStyle w:val="TableTitle"/>
              <w:rPr>
                <w:sz w:val="21"/>
                <w:szCs w:val="21"/>
              </w:rPr>
            </w:pPr>
            <w:r>
              <w:rPr>
                <w:sz w:val="21"/>
                <w:szCs w:val="21"/>
              </w:rPr>
              <w:t>Support Plan Review</w:t>
            </w:r>
          </w:p>
        </w:tc>
        <w:tc>
          <w:tcPr>
            <w:tcW w:w="6015" w:type="dxa"/>
          </w:tcPr>
          <w:p w14:paraId="739DF830" w14:textId="497C86FA" w:rsidR="00FC1C06" w:rsidRPr="00A74CEA" w:rsidRDefault="00906516" w:rsidP="00FC1C06">
            <w:pPr>
              <w:pStyle w:val="TableTitle"/>
              <w:rPr>
                <w:b w:val="0"/>
                <w:bCs/>
                <w:sz w:val="21"/>
                <w:szCs w:val="21"/>
              </w:rPr>
            </w:pPr>
            <w:r w:rsidRPr="00906516">
              <w:rPr>
                <w:b w:val="0"/>
                <w:bCs/>
                <w:sz w:val="21"/>
                <w:szCs w:val="21"/>
              </w:rPr>
              <w:t>If the person awaiting or receiving care believes their aged care needs have changed since their assessment, they can apply for a ‘Support Plan Review’. An assessor will speak with the person about their care needs and determine whether they can make changes to the person’s existing Support Plan or refer them for a full reassessment (this will typically occur where there has been a significant change in their care needs).</w:t>
            </w:r>
          </w:p>
        </w:tc>
      </w:tr>
    </w:tbl>
    <w:p w14:paraId="504D23EA" w14:textId="77777777" w:rsidR="007E1336" w:rsidRDefault="007E1336" w:rsidP="007E1336">
      <w:pPr>
        <w:sectPr w:rsidR="007E1336" w:rsidSect="00E52047">
          <w:pgSz w:w="11906" w:h="16838"/>
          <w:pgMar w:top="1276" w:right="1418" w:bottom="1418" w:left="1418" w:header="709" w:footer="709" w:gutter="0"/>
          <w:cols w:space="708"/>
          <w:docGrid w:linePitch="360"/>
        </w:sectPr>
      </w:pPr>
    </w:p>
    <w:p w14:paraId="3E64351F" w14:textId="00F7CE9E" w:rsidR="00E440EB" w:rsidRPr="00E440EB" w:rsidRDefault="005A2B10" w:rsidP="00A74B06">
      <w:pPr>
        <w:pStyle w:val="Heading1"/>
        <w:numPr>
          <w:ilvl w:val="0"/>
          <w:numId w:val="26"/>
        </w:numPr>
        <w:ind w:left="567" w:hanging="567"/>
      </w:pPr>
      <w:bookmarkStart w:id="18" w:name="_Toc229480653"/>
      <w:r w:rsidRPr="005A2B10">
        <w:lastRenderedPageBreak/>
        <w:t>Applications awaiting a decision</w:t>
      </w:r>
      <w:bookmarkStart w:id="19" w:name="_Toc224743078"/>
      <w:bookmarkEnd w:id="18"/>
      <w:r w:rsidRPr="005A2B10">
        <w:t xml:space="preserve"> </w:t>
      </w:r>
      <w:bookmarkStart w:id="20" w:name="_Toc224743079"/>
      <w:bookmarkEnd w:id="19"/>
    </w:p>
    <w:p w14:paraId="45F7F75A" w14:textId="3DD51ADB" w:rsidR="00177A04" w:rsidRDefault="005A2B10" w:rsidP="00CA0247">
      <w:pPr>
        <w:pStyle w:val="Heading2"/>
        <w:numPr>
          <w:ilvl w:val="1"/>
          <w:numId w:val="26"/>
        </w:numPr>
      </w:pPr>
      <w:bookmarkStart w:id="21" w:name="_Toc229480654"/>
      <w:bookmarkEnd w:id="20"/>
      <w:r w:rsidRPr="005A2B10">
        <w:t>Number of undecided applications</w:t>
      </w:r>
      <w:r w:rsidR="002F7709">
        <w:t xml:space="preserve"> (342A(2)(a))</w:t>
      </w:r>
      <w:bookmarkEnd w:id="21"/>
      <w:r w:rsidR="002F7709">
        <w:t xml:space="preserve">  </w:t>
      </w:r>
    </w:p>
    <w:p w14:paraId="2B817FA6" w14:textId="29E2F23F" w:rsidR="00A616BF" w:rsidRPr="00A616BF" w:rsidRDefault="00D36BEB" w:rsidP="003138B7">
      <w:pPr>
        <w:pStyle w:val="Boxtype"/>
        <w:rPr>
          <w:szCs w:val="22"/>
          <w:lang w:val="en-AU"/>
        </w:rPr>
      </w:pPr>
      <w:r w:rsidRPr="00D36BEB">
        <w:rPr>
          <w:szCs w:val="22"/>
          <w:lang w:val="en-AU"/>
        </w:rPr>
        <w:t xml:space="preserve">This section </w:t>
      </w:r>
      <w:r w:rsidR="00A616BF">
        <w:rPr>
          <w:szCs w:val="22"/>
          <w:lang w:val="en-AU"/>
        </w:rPr>
        <w:t>shows</w:t>
      </w:r>
      <w:r w:rsidR="00B24478">
        <w:t xml:space="preserve"> the </w:t>
      </w:r>
      <w:r w:rsidR="00B24478">
        <w:rPr>
          <w:szCs w:val="22"/>
          <w:lang w:val="en-AU"/>
        </w:rPr>
        <w:t>n</w:t>
      </w:r>
      <w:r w:rsidR="00A616BF" w:rsidRPr="00A616BF">
        <w:rPr>
          <w:szCs w:val="22"/>
          <w:lang w:val="en-AU"/>
        </w:rPr>
        <w:t xml:space="preserve">umber of applications made during the </w:t>
      </w:r>
      <w:r w:rsidR="005F5622">
        <w:rPr>
          <w:szCs w:val="22"/>
          <w:lang w:val="en-AU"/>
        </w:rPr>
        <w:t>reporting period</w:t>
      </w:r>
      <w:r w:rsidR="00A616BF" w:rsidRPr="00A616BF">
        <w:rPr>
          <w:szCs w:val="22"/>
          <w:lang w:val="en-AU"/>
        </w:rPr>
        <w:t xml:space="preserve"> for which no decision has been made</w:t>
      </w:r>
      <w:r w:rsidR="00DF5B90">
        <w:rPr>
          <w:szCs w:val="22"/>
          <w:lang w:val="en-AU"/>
        </w:rPr>
        <w:t xml:space="preserve">. </w:t>
      </w:r>
      <w:r w:rsidR="00DF5B90" w:rsidRPr="00DF5B90">
        <w:rPr>
          <w:szCs w:val="22"/>
          <w:lang w:val="en-AU"/>
        </w:rPr>
        <w:t>For the purposes of section 342A(2)(a), applications awaiting a triage decision represent applications for which a decision under subsection 57(1) has not yet been made.</w:t>
      </w:r>
    </w:p>
    <w:p w14:paraId="2857BFA4" w14:textId="02743182" w:rsidR="00C86BAB" w:rsidRDefault="00B24478" w:rsidP="00B059B1">
      <w:pPr>
        <w:pStyle w:val="Boxtype"/>
        <w:rPr>
          <w:szCs w:val="22"/>
          <w:lang w:val="en-AU"/>
        </w:rPr>
      </w:pPr>
      <w:r>
        <w:rPr>
          <w:szCs w:val="22"/>
          <w:lang w:val="en-AU"/>
        </w:rPr>
        <w:t>Table 1</w:t>
      </w:r>
      <w:r w:rsidR="001C6BDA" w:rsidRPr="001C6BDA">
        <w:rPr>
          <w:szCs w:val="22"/>
          <w:lang w:val="en-AU"/>
        </w:rPr>
        <w:t xml:space="preserve"> below presents the number of applications that were still awaiting a triage decision at the end of the quarter. This count includes all applications received through My Aged Care. Not all applications will lead to an approval for Support at Home or residential care.</w:t>
      </w:r>
    </w:p>
    <w:p w14:paraId="5E9FE2FE" w14:textId="4675951D" w:rsidR="00D23BCB" w:rsidRPr="00891249" w:rsidRDefault="00D23BCB" w:rsidP="0031040B">
      <w:pPr>
        <w:pStyle w:val="Heading4"/>
      </w:pPr>
      <w:bookmarkStart w:id="22" w:name="_Toc224743082"/>
      <w:bookmarkStart w:id="23" w:name="_Toc229480655"/>
      <w:r w:rsidRPr="00891249">
        <w:t xml:space="preserve">Table 1: Triage count at end of </w:t>
      </w:r>
      <w:bookmarkEnd w:id="22"/>
      <w:r w:rsidRPr="00891249">
        <w:t>the reporting period</w:t>
      </w:r>
      <w:bookmarkEnd w:id="23"/>
    </w:p>
    <w:tbl>
      <w:tblPr>
        <w:tblW w:w="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1524"/>
        <w:gridCol w:w="1524"/>
      </w:tblGrid>
      <w:tr w:rsidR="00D23BCB" w:rsidRPr="00871385" w14:paraId="429F3EB7" w14:textId="77777777" w:rsidTr="00FA0033">
        <w:trPr>
          <w:trHeight w:val="369"/>
        </w:trPr>
        <w:tc>
          <w:tcPr>
            <w:tcW w:w="5719" w:type="dxa"/>
            <w:shd w:val="clear" w:color="auto" w:fill="3F4A75" w:themeFill="accent1"/>
          </w:tcPr>
          <w:p w14:paraId="36D41845" w14:textId="77777777" w:rsidR="00D23BCB" w:rsidRPr="00871385" w:rsidRDefault="00D23BCB">
            <w:pPr>
              <w:pStyle w:val="TableTitle"/>
              <w:keepNext/>
              <w:rPr>
                <w:color w:val="FFFFFF" w:themeColor="background1"/>
                <w:sz w:val="20"/>
                <w:szCs w:val="20"/>
              </w:rPr>
            </w:pPr>
          </w:p>
        </w:tc>
        <w:tc>
          <w:tcPr>
            <w:tcW w:w="1524" w:type="dxa"/>
            <w:shd w:val="clear" w:color="auto" w:fill="3F4A75" w:themeFill="accent1"/>
          </w:tcPr>
          <w:p w14:paraId="01B3DB6C" w14:textId="77777777" w:rsidR="00D23BCB" w:rsidRPr="00871385" w:rsidRDefault="00D23BCB">
            <w:pPr>
              <w:pStyle w:val="TableTitle"/>
              <w:keepNext/>
              <w:jc w:val="center"/>
              <w:rPr>
                <w:color w:val="FFFFFF" w:themeColor="background1"/>
                <w:sz w:val="20"/>
                <w:szCs w:val="20"/>
              </w:rPr>
            </w:pPr>
            <w:r>
              <w:rPr>
                <w:color w:val="FFFFFF" w:themeColor="background1"/>
                <w:sz w:val="20"/>
                <w:szCs w:val="20"/>
              </w:rPr>
              <w:t>Q2* 2025-26</w:t>
            </w:r>
          </w:p>
        </w:tc>
        <w:tc>
          <w:tcPr>
            <w:tcW w:w="1524" w:type="dxa"/>
            <w:shd w:val="clear" w:color="auto" w:fill="3F4A75" w:themeFill="accent1"/>
          </w:tcPr>
          <w:p w14:paraId="6BF5753B" w14:textId="77777777" w:rsidR="00D23BCB" w:rsidRPr="00871385" w:rsidRDefault="00D23BCB">
            <w:pPr>
              <w:pStyle w:val="TableTitle"/>
              <w:keepNext/>
              <w:jc w:val="center"/>
              <w:rPr>
                <w:color w:val="FFFFFF" w:themeColor="background1"/>
                <w:sz w:val="20"/>
                <w:szCs w:val="20"/>
              </w:rPr>
            </w:pPr>
            <w:r>
              <w:rPr>
                <w:color w:val="FFFFFF" w:themeColor="background1"/>
                <w:sz w:val="20"/>
                <w:szCs w:val="20"/>
              </w:rPr>
              <w:t>Q3 2025-26</w:t>
            </w:r>
          </w:p>
        </w:tc>
      </w:tr>
      <w:tr w:rsidR="00D23BCB" w:rsidRPr="00871385" w14:paraId="4E1C1917" w14:textId="77777777" w:rsidTr="00FA0033">
        <w:trPr>
          <w:trHeight w:val="369"/>
        </w:trPr>
        <w:tc>
          <w:tcPr>
            <w:tcW w:w="5719" w:type="dxa"/>
            <w:vAlign w:val="center"/>
          </w:tcPr>
          <w:p w14:paraId="7235BAA2" w14:textId="77777777" w:rsidR="00D23BCB" w:rsidRPr="00871385" w:rsidRDefault="00D23BCB">
            <w:pPr>
              <w:pStyle w:val="TableTitle"/>
              <w:rPr>
                <w:sz w:val="20"/>
                <w:szCs w:val="20"/>
              </w:rPr>
            </w:pPr>
            <w:r>
              <w:rPr>
                <w:sz w:val="20"/>
                <w:szCs w:val="20"/>
              </w:rPr>
              <w:t>Applications</w:t>
            </w:r>
            <w:r w:rsidRPr="00871385">
              <w:rPr>
                <w:sz w:val="20"/>
                <w:szCs w:val="20"/>
              </w:rPr>
              <w:t xml:space="preserve"> awaiting triage decision</w:t>
            </w:r>
          </w:p>
        </w:tc>
        <w:tc>
          <w:tcPr>
            <w:tcW w:w="1524" w:type="dxa"/>
            <w:tcMar>
              <w:left w:w="170" w:type="dxa"/>
              <w:right w:w="170" w:type="dxa"/>
            </w:tcMar>
            <w:vAlign w:val="center"/>
          </w:tcPr>
          <w:p w14:paraId="1245D5FC" w14:textId="77777777" w:rsidR="00D23BCB" w:rsidRPr="00384C92" w:rsidRDefault="00D23BCB">
            <w:pPr>
              <w:pStyle w:val="TableTitle"/>
              <w:jc w:val="right"/>
              <w:rPr>
                <w:b w:val="0"/>
                <w:sz w:val="20"/>
                <w:szCs w:val="20"/>
              </w:rPr>
            </w:pPr>
            <w:r w:rsidRPr="00384C92">
              <w:rPr>
                <w:b w:val="0"/>
                <w:sz w:val="20"/>
                <w:szCs w:val="20"/>
              </w:rPr>
              <w:t>65,576</w:t>
            </w:r>
          </w:p>
        </w:tc>
        <w:tc>
          <w:tcPr>
            <w:tcW w:w="1524" w:type="dxa"/>
            <w:tcMar>
              <w:left w:w="170" w:type="dxa"/>
              <w:right w:w="170" w:type="dxa"/>
            </w:tcMar>
            <w:vAlign w:val="center"/>
          </w:tcPr>
          <w:p w14:paraId="1C2EE536" w14:textId="77777777" w:rsidR="00D23BCB" w:rsidRPr="00384C92" w:rsidRDefault="00D23BCB">
            <w:pPr>
              <w:pStyle w:val="TableTitle"/>
              <w:jc w:val="right"/>
              <w:rPr>
                <w:b w:val="0"/>
                <w:sz w:val="20"/>
                <w:szCs w:val="20"/>
              </w:rPr>
            </w:pPr>
            <w:r w:rsidRPr="00384C92">
              <w:rPr>
                <w:b w:val="0"/>
                <w:sz w:val="20"/>
                <w:szCs w:val="20"/>
              </w:rPr>
              <w:t>48,592</w:t>
            </w:r>
          </w:p>
        </w:tc>
      </w:tr>
    </w:tbl>
    <w:p w14:paraId="26FB6458" w14:textId="761C49C3" w:rsidR="00D23BCB" w:rsidRDefault="00D23BCB" w:rsidP="00D23BCB">
      <w:pPr>
        <w:pStyle w:val="TableTitle"/>
        <w:rPr>
          <w:rFonts w:cs="Arial"/>
          <w:b w:val="0"/>
          <w:sz w:val="18"/>
          <w:szCs w:val="20"/>
          <w:lang w:val="en-AU"/>
        </w:rPr>
      </w:pPr>
      <w:r w:rsidRPr="00C34FA4">
        <w:rPr>
          <w:rFonts w:cs="Arial"/>
          <w:b w:val="0"/>
          <w:sz w:val="18"/>
          <w:szCs w:val="20"/>
          <w:lang w:val="en-AU"/>
        </w:rPr>
        <w:t>*</w:t>
      </w:r>
      <w:r w:rsidRPr="00322960">
        <w:rPr>
          <w:rFonts w:cs="Arial"/>
          <w:b w:val="0"/>
          <w:sz w:val="18"/>
          <w:szCs w:val="20"/>
          <w:lang w:val="en-AU"/>
        </w:rPr>
        <w:t>Data for Quarter 2</w:t>
      </w:r>
      <w:r w:rsidR="00245CBF">
        <w:rPr>
          <w:rFonts w:cs="Arial"/>
          <w:b w:val="0"/>
          <w:sz w:val="18"/>
          <w:szCs w:val="20"/>
          <w:lang w:val="en-AU"/>
        </w:rPr>
        <w:t>,</w:t>
      </w:r>
      <w:r w:rsidRPr="00322960">
        <w:rPr>
          <w:rFonts w:cs="Arial"/>
          <w:b w:val="0"/>
          <w:sz w:val="18"/>
          <w:szCs w:val="20"/>
          <w:lang w:val="en-AU"/>
        </w:rPr>
        <w:t xml:space="preserve"> 2025</w:t>
      </w:r>
      <w:r w:rsidR="00F3356E">
        <w:rPr>
          <w:rFonts w:cs="Arial"/>
          <w:b w:val="0"/>
          <w:sz w:val="18"/>
          <w:szCs w:val="20"/>
          <w:lang w:val="en-AU"/>
        </w:rPr>
        <w:t>-</w:t>
      </w:r>
      <w:r w:rsidRPr="00322960">
        <w:rPr>
          <w:rFonts w:cs="Arial"/>
          <w:b w:val="0"/>
          <w:sz w:val="18"/>
          <w:szCs w:val="20"/>
          <w:lang w:val="en-AU"/>
        </w:rPr>
        <w:t>26 is reported from 1 November</w:t>
      </w:r>
      <w:r>
        <w:rPr>
          <w:rFonts w:cs="Arial"/>
          <w:b w:val="0"/>
          <w:sz w:val="18"/>
          <w:szCs w:val="20"/>
          <w:lang w:val="en-AU"/>
        </w:rPr>
        <w:t xml:space="preserve"> to 31 December</w:t>
      </w:r>
      <w:r w:rsidRPr="00322960">
        <w:rPr>
          <w:rFonts w:cs="Arial"/>
          <w:b w:val="0"/>
          <w:sz w:val="18"/>
          <w:szCs w:val="20"/>
          <w:lang w:val="en-AU"/>
        </w:rPr>
        <w:t xml:space="preserve"> 2025, in line with the commencement of the Act.</w:t>
      </w:r>
      <w:r>
        <w:rPr>
          <w:rFonts w:cs="Arial"/>
          <w:b w:val="0"/>
          <w:sz w:val="18"/>
          <w:szCs w:val="20"/>
          <w:lang w:val="en-AU"/>
        </w:rPr>
        <w:t xml:space="preserve"> Triage count is a snapshot as at the last day of each quarter.</w:t>
      </w:r>
    </w:p>
    <w:p w14:paraId="502548D8" w14:textId="77777777" w:rsidR="00FE48AE" w:rsidRDefault="00FE48AE" w:rsidP="00D23BCB">
      <w:pPr>
        <w:pStyle w:val="TableTitle"/>
        <w:rPr>
          <w:rFonts w:cs="Arial"/>
          <w:b w:val="0"/>
          <w:sz w:val="18"/>
          <w:szCs w:val="20"/>
          <w:lang w:val="en-AU"/>
        </w:rPr>
      </w:pPr>
    </w:p>
    <w:p w14:paraId="30EF5D63" w14:textId="77777777" w:rsidR="00FA0033" w:rsidRPr="00C34FA4" w:rsidRDefault="00FA0033" w:rsidP="00D23BCB">
      <w:pPr>
        <w:pStyle w:val="TableTitle"/>
        <w:rPr>
          <w:rFonts w:cs="Arial"/>
          <w:b w:val="0"/>
          <w:sz w:val="18"/>
          <w:szCs w:val="20"/>
          <w:lang w:val="en-AU"/>
        </w:rPr>
      </w:pPr>
    </w:p>
    <w:p w14:paraId="4755A46C" w14:textId="77777777" w:rsidR="00990682" w:rsidRDefault="00990682" w:rsidP="00D23BCB">
      <w:pPr>
        <w:pStyle w:val="TableTitle"/>
        <w:rPr>
          <w:rFonts w:cs="Arial"/>
          <w:b w:val="0"/>
          <w:sz w:val="18"/>
          <w:szCs w:val="20"/>
          <w:lang w:val="en-AU"/>
        </w:rPr>
      </w:pPr>
    </w:p>
    <w:p w14:paraId="5A9766D8" w14:textId="77777777" w:rsidR="00990682" w:rsidRDefault="00990682" w:rsidP="00D23BCB">
      <w:pPr>
        <w:pStyle w:val="TableTitle"/>
        <w:rPr>
          <w:rFonts w:cs="Arial"/>
          <w:b w:val="0"/>
          <w:sz w:val="18"/>
          <w:szCs w:val="20"/>
          <w:lang w:val="en-AU"/>
        </w:rPr>
      </w:pPr>
    </w:p>
    <w:p w14:paraId="729D2F6D" w14:textId="77777777" w:rsidR="00990682" w:rsidRDefault="00990682" w:rsidP="00D23BCB">
      <w:pPr>
        <w:pStyle w:val="TableTitle"/>
        <w:rPr>
          <w:rFonts w:cs="Arial"/>
          <w:b w:val="0"/>
          <w:sz w:val="18"/>
          <w:szCs w:val="20"/>
          <w:lang w:val="en-AU"/>
        </w:rPr>
      </w:pPr>
    </w:p>
    <w:p w14:paraId="3D0BD0A1" w14:textId="77777777" w:rsidR="00990682" w:rsidRDefault="00990682" w:rsidP="00D23BCB">
      <w:pPr>
        <w:pStyle w:val="TableTitle"/>
        <w:rPr>
          <w:rFonts w:cs="Arial"/>
          <w:b w:val="0"/>
          <w:sz w:val="18"/>
          <w:szCs w:val="20"/>
          <w:lang w:val="en-AU"/>
        </w:rPr>
      </w:pPr>
    </w:p>
    <w:p w14:paraId="50E23336" w14:textId="77777777" w:rsidR="00990682" w:rsidRDefault="00990682" w:rsidP="00D23BCB">
      <w:pPr>
        <w:pStyle w:val="TableTitle"/>
        <w:rPr>
          <w:rFonts w:cs="Arial"/>
          <w:b w:val="0"/>
          <w:sz w:val="18"/>
          <w:szCs w:val="20"/>
          <w:lang w:val="en-AU"/>
        </w:rPr>
      </w:pPr>
    </w:p>
    <w:p w14:paraId="0591D202" w14:textId="77777777" w:rsidR="00990682" w:rsidRDefault="00990682" w:rsidP="00D23BCB">
      <w:pPr>
        <w:pStyle w:val="TableTitle"/>
        <w:rPr>
          <w:rFonts w:cs="Arial"/>
          <w:b w:val="0"/>
          <w:sz w:val="18"/>
          <w:szCs w:val="20"/>
          <w:lang w:val="en-AU"/>
        </w:rPr>
      </w:pPr>
    </w:p>
    <w:p w14:paraId="0E472B3C" w14:textId="77777777" w:rsidR="00990682" w:rsidRDefault="00990682" w:rsidP="00D23BCB">
      <w:pPr>
        <w:pStyle w:val="TableTitle"/>
        <w:rPr>
          <w:rFonts w:cs="Arial"/>
          <w:b w:val="0"/>
          <w:sz w:val="18"/>
          <w:szCs w:val="20"/>
          <w:lang w:val="en-AU"/>
        </w:rPr>
      </w:pPr>
    </w:p>
    <w:p w14:paraId="7B65496F" w14:textId="77777777" w:rsidR="00990682" w:rsidRDefault="00990682" w:rsidP="00D23BCB">
      <w:pPr>
        <w:pStyle w:val="TableTitle"/>
        <w:rPr>
          <w:rFonts w:cs="Arial"/>
          <w:b w:val="0"/>
          <w:sz w:val="18"/>
          <w:szCs w:val="20"/>
          <w:lang w:val="en-AU"/>
        </w:rPr>
      </w:pPr>
    </w:p>
    <w:p w14:paraId="752355D4" w14:textId="77777777" w:rsidR="00990682" w:rsidRPr="00C34FA4" w:rsidRDefault="00990682" w:rsidP="00D23BCB">
      <w:pPr>
        <w:pStyle w:val="TableTitle"/>
        <w:rPr>
          <w:rFonts w:cs="Arial"/>
          <w:b w:val="0"/>
          <w:sz w:val="18"/>
          <w:szCs w:val="20"/>
          <w:lang w:val="en-AU"/>
        </w:rPr>
      </w:pPr>
    </w:p>
    <w:p w14:paraId="3CA5C825" w14:textId="77777777" w:rsidR="00E02199" w:rsidRDefault="00E02199">
      <w:pPr>
        <w:spacing w:before="0" w:after="0" w:line="240" w:lineRule="auto"/>
        <w:rPr>
          <w:rFonts w:cs="Arial"/>
          <w:b/>
          <w:bCs/>
          <w:color w:val="3F4A75"/>
          <w:kern w:val="28"/>
          <w:sz w:val="44"/>
          <w:szCs w:val="36"/>
        </w:rPr>
      </w:pPr>
      <w:r>
        <w:br w:type="page"/>
      </w:r>
    </w:p>
    <w:p w14:paraId="77779503" w14:textId="4EE18485" w:rsidR="00A616BF" w:rsidRPr="00A74B06" w:rsidRDefault="00BA1841" w:rsidP="00A74B06">
      <w:pPr>
        <w:pStyle w:val="Heading1"/>
        <w:numPr>
          <w:ilvl w:val="0"/>
          <w:numId w:val="26"/>
        </w:numPr>
        <w:ind w:left="567" w:hanging="567"/>
      </w:pPr>
      <w:bookmarkStart w:id="24" w:name="_Toc229480656"/>
      <w:r w:rsidRPr="00A74B06">
        <w:lastRenderedPageBreak/>
        <w:t>Waiting periods for services commencing during the quarter</w:t>
      </w:r>
      <w:bookmarkEnd w:id="24"/>
    </w:p>
    <w:p w14:paraId="74927FED" w14:textId="617048A9" w:rsidR="00BA1841" w:rsidRDefault="00F25CFE" w:rsidP="00CA0247">
      <w:pPr>
        <w:pStyle w:val="Heading2"/>
        <w:numPr>
          <w:ilvl w:val="1"/>
          <w:numId w:val="26"/>
        </w:numPr>
      </w:pPr>
      <w:bookmarkStart w:id="25" w:name="_Toc229480657"/>
      <w:r w:rsidRPr="00F25CFE">
        <w:t xml:space="preserve">Average </w:t>
      </w:r>
      <w:r w:rsidR="00C031FB">
        <w:t xml:space="preserve">and median </w:t>
      </w:r>
      <w:r w:rsidRPr="00F25CFE">
        <w:t>waiting period</w:t>
      </w:r>
      <w:r>
        <w:t xml:space="preserve"> </w:t>
      </w:r>
      <w:r w:rsidR="003916C0">
        <w:br/>
      </w:r>
      <w:r w:rsidRPr="00F25CFE">
        <w:t>(342A(2)(b)</w:t>
      </w:r>
      <w:r w:rsidR="003916C0">
        <w:t xml:space="preserve"> and (c)</w:t>
      </w:r>
      <w:r w:rsidRPr="00F25CFE">
        <w:t>)</w:t>
      </w:r>
      <w:bookmarkEnd w:id="25"/>
      <w:r w:rsidRPr="00F25CFE">
        <w:t xml:space="preserve"> </w:t>
      </w:r>
      <w:r w:rsidR="00BA1841">
        <w:t xml:space="preserve">  </w:t>
      </w:r>
    </w:p>
    <w:p w14:paraId="03B724D7" w14:textId="77777777" w:rsidR="009F05A4" w:rsidRDefault="009F05A4" w:rsidP="00FE48AE">
      <w:pPr>
        <w:pStyle w:val="Boxtype"/>
        <w:pBdr>
          <w:right w:val="single" w:sz="6" w:space="0" w:color="358189"/>
        </w:pBdr>
      </w:pPr>
      <w:r w:rsidRPr="00D36BEB">
        <w:rPr>
          <w:szCs w:val="22"/>
          <w:lang w:val="en-AU"/>
        </w:rPr>
        <w:t xml:space="preserve">This section </w:t>
      </w:r>
      <w:r>
        <w:rPr>
          <w:szCs w:val="22"/>
          <w:lang w:val="en-AU"/>
        </w:rPr>
        <w:t>shows:</w:t>
      </w:r>
      <w:r w:rsidRPr="00A616BF">
        <w:t xml:space="preserve"> </w:t>
      </w:r>
    </w:p>
    <w:p w14:paraId="774F9E96" w14:textId="77777777" w:rsidR="00B374A4" w:rsidRDefault="00B374A4" w:rsidP="00FE48AE">
      <w:pPr>
        <w:pStyle w:val="Boxtype"/>
        <w:numPr>
          <w:ilvl w:val="0"/>
          <w:numId w:val="42"/>
        </w:numPr>
        <w:pBdr>
          <w:right w:val="single" w:sz="6" w:space="0" w:color="358189"/>
        </w:pBdr>
        <w:rPr>
          <w:szCs w:val="22"/>
          <w:lang w:val="en-AU"/>
        </w:rPr>
      </w:pPr>
      <w:r w:rsidRPr="00B374A4">
        <w:rPr>
          <w:szCs w:val="22"/>
          <w:lang w:val="en-AU"/>
        </w:rPr>
        <w:t>Average number of days between application and commencement of services.</w:t>
      </w:r>
    </w:p>
    <w:p w14:paraId="289191D2" w14:textId="77777777" w:rsidR="00646260" w:rsidRPr="00640809" w:rsidRDefault="00B374A4" w:rsidP="00646260">
      <w:pPr>
        <w:pStyle w:val="Boxtype"/>
        <w:numPr>
          <w:ilvl w:val="0"/>
          <w:numId w:val="42"/>
        </w:numPr>
        <w:pBdr>
          <w:right w:val="single" w:sz="6" w:space="0" w:color="358189"/>
        </w:pBdr>
        <w:rPr>
          <w:szCs w:val="22"/>
          <w:lang w:val="en-AU"/>
        </w:rPr>
      </w:pPr>
      <w:r w:rsidRPr="00B374A4">
        <w:rPr>
          <w:szCs w:val="22"/>
          <w:lang w:val="en-AU"/>
        </w:rPr>
        <w:t>Median number of days between application and commencement of services.</w:t>
      </w:r>
      <w:r w:rsidR="00646260" w:rsidRPr="00646260">
        <w:t xml:space="preserve"> </w:t>
      </w:r>
    </w:p>
    <w:p w14:paraId="31C056CE" w14:textId="6AB1DCC9" w:rsidR="00646260" w:rsidRPr="00646260" w:rsidRDefault="00646260" w:rsidP="00BB182D">
      <w:pPr>
        <w:pStyle w:val="Boxtype"/>
        <w:pBdr>
          <w:right w:val="single" w:sz="6" w:space="0" w:color="358189"/>
        </w:pBdr>
        <w:rPr>
          <w:szCs w:val="22"/>
          <w:lang w:val="en-AU"/>
        </w:rPr>
      </w:pPr>
      <w:r w:rsidRPr="00646260">
        <w:rPr>
          <w:szCs w:val="22"/>
          <w:lang w:val="en-AU"/>
        </w:rPr>
        <w:t xml:space="preserve">The data below presents the elapsed time for this cohort from applying through </w:t>
      </w:r>
      <w:r w:rsidRPr="00F21DFB">
        <w:rPr>
          <w:i/>
          <w:iCs/>
          <w:szCs w:val="22"/>
          <w:lang w:val="en-AU"/>
        </w:rPr>
        <w:t>My Aged Care</w:t>
      </w:r>
      <w:r w:rsidRPr="00646260">
        <w:rPr>
          <w:szCs w:val="22"/>
          <w:lang w:val="en-AU"/>
        </w:rPr>
        <w:t xml:space="preserve"> to assessment, allocation of funded services and commencement of care.</w:t>
      </w:r>
    </w:p>
    <w:p w14:paraId="5DEA7095" w14:textId="446FEFE0" w:rsidR="00646260" w:rsidRPr="00646260" w:rsidRDefault="00646260" w:rsidP="00BB182D">
      <w:pPr>
        <w:pStyle w:val="Boxtype"/>
        <w:pBdr>
          <w:right w:val="single" w:sz="6" w:space="0" w:color="358189"/>
        </w:pBdr>
        <w:rPr>
          <w:szCs w:val="22"/>
          <w:lang w:val="en-AU"/>
        </w:rPr>
      </w:pPr>
      <w:r w:rsidRPr="00646260">
        <w:rPr>
          <w:szCs w:val="22"/>
          <w:lang w:val="en-AU"/>
        </w:rPr>
        <w:t>Please note: Time from allocation to service commencement may be influenced by individual choice, provider availability and system-level factors.</w:t>
      </w:r>
    </w:p>
    <w:p w14:paraId="324DCF77" w14:textId="77777777" w:rsidR="00646260" w:rsidRPr="00646260" w:rsidRDefault="00646260" w:rsidP="00646260"/>
    <w:p w14:paraId="3694A82D" w14:textId="08DE4E4F" w:rsidR="00751851" w:rsidRDefault="00751851" w:rsidP="0031040B">
      <w:pPr>
        <w:pStyle w:val="Heading4"/>
      </w:pPr>
      <w:bookmarkStart w:id="26" w:name="_Toc229480658"/>
      <w:r>
        <w:t xml:space="preserve">Table 2: </w:t>
      </w:r>
      <w:r w:rsidRPr="00D80F94">
        <w:t xml:space="preserve">Average </w:t>
      </w:r>
      <w:r>
        <w:t xml:space="preserve">and median </w:t>
      </w:r>
      <w:r w:rsidRPr="00D80F94">
        <w:t>number of days</w:t>
      </w:r>
      <w:r w:rsidR="00BE1273">
        <w:t>/months</w:t>
      </w:r>
      <w:r w:rsidRPr="00D80F94">
        <w:t xml:space="preserve"> between application and commencement </w:t>
      </w:r>
      <w:r w:rsidR="00AA56A4">
        <w:t>of all non-specialist services</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2294"/>
        <w:gridCol w:w="1058"/>
        <w:gridCol w:w="1411"/>
      </w:tblGrid>
      <w:tr w:rsidR="009568F7" w:rsidRPr="003151BF" w14:paraId="40EC56A3" w14:textId="29FDB54B" w:rsidTr="00AA56A4">
        <w:trPr>
          <w:trHeight w:val="369"/>
        </w:trPr>
        <w:tc>
          <w:tcPr>
            <w:tcW w:w="2330" w:type="pct"/>
            <w:shd w:val="clear" w:color="auto" w:fill="3F4A75" w:themeFill="accent1"/>
            <w:vAlign w:val="center"/>
          </w:tcPr>
          <w:p w14:paraId="5F90A74C" w14:textId="239BDF2A" w:rsidR="009568F7" w:rsidRPr="00753C21" w:rsidRDefault="009568F7" w:rsidP="00AA56A4">
            <w:pPr>
              <w:pStyle w:val="TableTitle"/>
              <w:rPr>
                <w:color w:val="FFFFFF" w:themeColor="background1"/>
                <w:sz w:val="20"/>
                <w:szCs w:val="20"/>
              </w:rPr>
            </w:pPr>
            <w:r w:rsidRPr="00753C21">
              <w:rPr>
                <w:color w:val="FFFFFF" w:themeColor="background1"/>
                <w:sz w:val="20"/>
                <w:szCs w:val="20"/>
              </w:rPr>
              <w:t>Service Type</w:t>
            </w:r>
          </w:p>
        </w:tc>
        <w:tc>
          <w:tcPr>
            <w:tcW w:w="1286" w:type="pct"/>
            <w:shd w:val="clear" w:color="auto" w:fill="3F4A75" w:themeFill="accent1"/>
            <w:vAlign w:val="center"/>
          </w:tcPr>
          <w:p w14:paraId="4B6F0A64" w14:textId="0504AD8E" w:rsidR="009568F7" w:rsidRPr="00753C21" w:rsidRDefault="009568F7" w:rsidP="00AA56A4">
            <w:pPr>
              <w:pStyle w:val="TableTitle"/>
              <w:rPr>
                <w:color w:val="FFFFFF" w:themeColor="background1"/>
                <w:sz w:val="20"/>
                <w:szCs w:val="20"/>
              </w:rPr>
            </w:pPr>
            <w:r w:rsidRPr="00753C21">
              <w:rPr>
                <w:color w:val="FFFFFF" w:themeColor="background1"/>
                <w:sz w:val="20"/>
                <w:szCs w:val="20"/>
              </w:rPr>
              <w:t>Measurement</w:t>
            </w:r>
          </w:p>
        </w:tc>
        <w:tc>
          <w:tcPr>
            <w:tcW w:w="593" w:type="pct"/>
            <w:tcBorders>
              <w:top w:val="single" w:sz="4" w:space="0" w:color="auto"/>
              <w:left w:val="single" w:sz="4" w:space="0" w:color="auto"/>
              <w:bottom w:val="single" w:sz="4" w:space="0" w:color="auto"/>
              <w:right w:val="single" w:sz="4" w:space="0" w:color="auto"/>
            </w:tcBorders>
            <w:shd w:val="clear" w:color="auto" w:fill="3F4A75" w:themeFill="accent1"/>
            <w:vAlign w:val="center"/>
          </w:tcPr>
          <w:p w14:paraId="7DEE7ADC" w14:textId="18C184BC" w:rsidR="009568F7" w:rsidRPr="00753C21" w:rsidRDefault="009568F7" w:rsidP="00AA56A4">
            <w:pPr>
              <w:pStyle w:val="TableTitle"/>
              <w:jc w:val="right"/>
              <w:rPr>
                <w:color w:val="FFFFFF" w:themeColor="background1"/>
                <w:sz w:val="20"/>
                <w:szCs w:val="20"/>
              </w:rPr>
            </w:pPr>
            <w:r w:rsidRPr="00753C21">
              <w:rPr>
                <w:color w:val="FFFFFF" w:themeColor="background1"/>
                <w:sz w:val="20"/>
                <w:szCs w:val="20"/>
              </w:rPr>
              <w:t>Days</w:t>
            </w:r>
          </w:p>
        </w:tc>
        <w:tc>
          <w:tcPr>
            <w:tcW w:w="791" w:type="pct"/>
            <w:shd w:val="clear" w:color="auto" w:fill="3F4A75" w:themeFill="accent1"/>
            <w:vAlign w:val="center"/>
          </w:tcPr>
          <w:p w14:paraId="0520BAF1" w14:textId="1BFA2517" w:rsidR="009568F7" w:rsidRPr="00753C21" w:rsidRDefault="009568F7" w:rsidP="00AA56A4">
            <w:pPr>
              <w:pStyle w:val="TableTitle"/>
              <w:jc w:val="right"/>
              <w:rPr>
                <w:color w:val="FFFFFF" w:themeColor="background1"/>
                <w:sz w:val="20"/>
                <w:szCs w:val="20"/>
              </w:rPr>
            </w:pPr>
            <w:r w:rsidRPr="00753C21">
              <w:rPr>
                <w:color w:val="FFFFFF" w:themeColor="background1"/>
                <w:sz w:val="20"/>
                <w:szCs w:val="20"/>
              </w:rPr>
              <w:t>Months</w:t>
            </w:r>
          </w:p>
        </w:tc>
      </w:tr>
      <w:tr w:rsidR="009568F7" w:rsidRPr="003151BF" w14:paraId="71964CAF" w14:textId="37CEC528" w:rsidTr="008C55F3">
        <w:trPr>
          <w:trHeight w:val="369"/>
        </w:trPr>
        <w:tc>
          <w:tcPr>
            <w:tcW w:w="2330" w:type="pct"/>
            <w:vMerge w:val="restart"/>
            <w:vAlign w:val="center"/>
          </w:tcPr>
          <w:p w14:paraId="1841EB19" w14:textId="7C03A0B6" w:rsidR="009568F7" w:rsidRPr="00871385" w:rsidRDefault="009568F7">
            <w:pPr>
              <w:pStyle w:val="TableTitle"/>
              <w:rPr>
                <w:sz w:val="20"/>
                <w:szCs w:val="20"/>
              </w:rPr>
            </w:pPr>
            <w:r w:rsidRPr="00871385">
              <w:rPr>
                <w:sz w:val="20"/>
                <w:szCs w:val="20"/>
              </w:rPr>
              <w:t>All non-specialist</w:t>
            </w:r>
            <w:r>
              <w:rPr>
                <w:sz w:val="20"/>
                <w:szCs w:val="20"/>
              </w:rPr>
              <w:t xml:space="preserve"> services</w:t>
            </w:r>
          </w:p>
        </w:tc>
        <w:tc>
          <w:tcPr>
            <w:tcW w:w="1286" w:type="pct"/>
          </w:tcPr>
          <w:p w14:paraId="33E4ED48" w14:textId="77777777" w:rsidR="009568F7" w:rsidRPr="00871385" w:rsidRDefault="009568F7">
            <w:pPr>
              <w:pStyle w:val="TableTitle"/>
              <w:rPr>
                <w:b w:val="0"/>
                <w:bCs/>
                <w:sz w:val="20"/>
                <w:szCs w:val="20"/>
              </w:rPr>
            </w:pPr>
            <w:r w:rsidRPr="00871385">
              <w:rPr>
                <w:b w:val="0"/>
                <w:bCs/>
                <w:sz w:val="20"/>
                <w:szCs w:val="20"/>
              </w:rPr>
              <w:t>Average</w:t>
            </w:r>
          </w:p>
        </w:tc>
        <w:tc>
          <w:tcPr>
            <w:tcW w:w="593" w:type="pct"/>
            <w:tcBorders>
              <w:top w:val="single" w:sz="4" w:space="0" w:color="auto"/>
              <w:left w:val="single" w:sz="4" w:space="0" w:color="auto"/>
              <w:bottom w:val="single" w:sz="4" w:space="0" w:color="auto"/>
              <w:right w:val="single" w:sz="4" w:space="0" w:color="auto"/>
            </w:tcBorders>
            <w:tcMar>
              <w:left w:w="170" w:type="dxa"/>
              <w:right w:w="170" w:type="dxa"/>
            </w:tcMar>
            <w:vAlign w:val="bottom"/>
          </w:tcPr>
          <w:p w14:paraId="336CD78F" w14:textId="5A674B78" w:rsidR="009568F7" w:rsidRPr="003151BF" w:rsidRDefault="3A2305AF">
            <w:pPr>
              <w:pStyle w:val="TableTitle"/>
              <w:jc w:val="right"/>
              <w:rPr>
                <w:b w:val="0"/>
                <w:sz w:val="20"/>
                <w:szCs w:val="20"/>
              </w:rPr>
            </w:pPr>
            <w:r w:rsidRPr="7DDE6319">
              <w:rPr>
                <w:b w:val="0"/>
                <w:sz w:val="20"/>
                <w:szCs w:val="20"/>
              </w:rPr>
              <w:t>36</w:t>
            </w:r>
            <w:r w:rsidR="21F7C6E8" w:rsidRPr="7DDE6319">
              <w:rPr>
                <w:b w:val="0"/>
                <w:sz w:val="20"/>
                <w:szCs w:val="20"/>
              </w:rPr>
              <w:t>0</w:t>
            </w:r>
          </w:p>
        </w:tc>
        <w:tc>
          <w:tcPr>
            <w:tcW w:w="791" w:type="pct"/>
            <w:tcMar>
              <w:left w:w="170" w:type="dxa"/>
              <w:right w:w="170" w:type="dxa"/>
            </w:tcMar>
          </w:tcPr>
          <w:p w14:paraId="126E501F" w14:textId="3D2823D2" w:rsidR="009568F7" w:rsidRPr="00DA5026" w:rsidRDefault="009568F7">
            <w:pPr>
              <w:pStyle w:val="TableTitle"/>
              <w:jc w:val="right"/>
              <w:rPr>
                <w:b w:val="0"/>
                <w:bCs/>
                <w:sz w:val="20"/>
                <w:szCs w:val="20"/>
              </w:rPr>
            </w:pPr>
            <w:r>
              <w:rPr>
                <w:b w:val="0"/>
                <w:bCs/>
                <w:sz w:val="20"/>
                <w:szCs w:val="20"/>
              </w:rPr>
              <w:t>12</w:t>
            </w:r>
          </w:p>
        </w:tc>
      </w:tr>
      <w:tr w:rsidR="009568F7" w:rsidRPr="003151BF" w14:paraId="0148BBBC" w14:textId="6A7EEE1F" w:rsidTr="008C55F3">
        <w:trPr>
          <w:trHeight w:val="369"/>
        </w:trPr>
        <w:tc>
          <w:tcPr>
            <w:tcW w:w="2330" w:type="pct"/>
            <w:vMerge/>
          </w:tcPr>
          <w:p w14:paraId="2E08B735" w14:textId="77777777" w:rsidR="009568F7" w:rsidRPr="00871385" w:rsidRDefault="009568F7">
            <w:pPr>
              <w:pStyle w:val="TableTitle"/>
              <w:rPr>
                <w:sz w:val="20"/>
                <w:szCs w:val="20"/>
              </w:rPr>
            </w:pPr>
          </w:p>
        </w:tc>
        <w:tc>
          <w:tcPr>
            <w:tcW w:w="1286" w:type="pct"/>
            <w:vAlign w:val="center"/>
          </w:tcPr>
          <w:p w14:paraId="1F6939CF" w14:textId="77777777" w:rsidR="009568F7" w:rsidRPr="00871385" w:rsidRDefault="009568F7">
            <w:pPr>
              <w:pStyle w:val="TableTitle"/>
              <w:rPr>
                <w:b w:val="0"/>
                <w:bCs/>
                <w:sz w:val="20"/>
                <w:szCs w:val="20"/>
              </w:rPr>
            </w:pPr>
            <w:r w:rsidRPr="00871385">
              <w:rPr>
                <w:b w:val="0"/>
                <w:bCs/>
                <w:sz w:val="20"/>
                <w:szCs w:val="20"/>
              </w:rPr>
              <w:t>Median</w:t>
            </w:r>
          </w:p>
        </w:tc>
        <w:tc>
          <w:tcPr>
            <w:tcW w:w="593" w:type="pct"/>
            <w:tcBorders>
              <w:top w:val="single" w:sz="4" w:space="0" w:color="auto"/>
              <w:left w:val="single" w:sz="4" w:space="0" w:color="auto"/>
              <w:bottom w:val="single" w:sz="4" w:space="0" w:color="auto"/>
              <w:right w:val="single" w:sz="4" w:space="0" w:color="auto"/>
            </w:tcBorders>
            <w:tcMar>
              <w:left w:w="170" w:type="dxa"/>
              <w:right w:w="170" w:type="dxa"/>
            </w:tcMar>
            <w:vAlign w:val="bottom"/>
          </w:tcPr>
          <w:p w14:paraId="044FB7BF" w14:textId="53053966" w:rsidR="009568F7" w:rsidRPr="003151BF" w:rsidRDefault="009568F7">
            <w:pPr>
              <w:pStyle w:val="TableTitle"/>
              <w:jc w:val="right"/>
              <w:rPr>
                <w:b w:val="0"/>
                <w:sz w:val="20"/>
                <w:szCs w:val="20"/>
              </w:rPr>
            </w:pPr>
            <w:r w:rsidRPr="00DA5026">
              <w:rPr>
                <w:b w:val="0"/>
                <w:bCs/>
                <w:sz w:val="20"/>
                <w:szCs w:val="20"/>
              </w:rPr>
              <w:t>294</w:t>
            </w:r>
          </w:p>
        </w:tc>
        <w:tc>
          <w:tcPr>
            <w:tcW w:w="791" w:type="pct"/>
            <w:tcMar>
              <w:left w:w="170" w:type="dxa"/>
              <w:right w:w="170" w:type="dxa"/>
            </w:tcMar>
          </w:tcPr>
          <w:p w14:paraId="22820AE8" w14:textId="346E292C" w:rsidR="009568F7" w:rsidRPr="00DA5026" w:rsidRDefault="54CF5F1F">
            <w:pPr>
              <w:pStyle w:val="TableTitle"/>
              <w:jc w:val="right"/>
              <w:rPr>
                <w:b w:val="0"/>
                <w:bCs/>
                <w:sz w:val="20"/>
                <w:szCs w:val="20"/>
              </w:rPr>
            </w:pPr>
            <w:r w:rsidRPr="4C71FD19">
              <w:rPr>
                <w:b w:val="0"/>
                <w:sz w:val="20"/>
                <w:szCs w:val="20"/>
              </w:rPr>
              <w:t>10</w:t>
            </w:r>
          </w:p>
        </w:tc>
      </w:tr>
    </w:tbl>
    <w:p w14:paraId="58EAC3FE" w14:textId="77777777" w:rsidR="00990682" w:rsidRDefault="00990682" w:rsidP="00990682">
      <w:pPr>
        <w:pStyle w:val="Heading1"/>
        <w:ind w:left="567"/>
      </w:pPr>
    </w:p>
    <w:p w14:paraId="74F6F1A9" w14:textId="77777777" w:rsidR="00990682" w:rsidRDefault="00990682" w:rsidP="00990682"/>
    <w:p w14:paraId="1A665F9C" w14:textId="77777777" w:rsidR="00990682" w:rsidRDefault="00990682" w:rsidP="00990682"/>
    <w:p w14:paraId="023BF7E3" w14:textId="77777777" w:rsidR="00990682" w:rsidRDefault="00990682" w:rsidP="00990682"/>
    <w:p w14:paraId="36F1D9B0" w14:textId="77777777" w:rsidR="00990682" w:rsidRDefault="00990682" w:rsidP="00990682"/>
    <w:p w14:paraId="606397B5" w14:textId="77777777" w:rsidR="00990682" w:rsidRDefault="00990682" w:rsidP="00990682"/>
    <w:p w14:paraId="494AEEDA" w14:textId="77777777" w:rsidR="00990682" w:rsidRDefault="00990682" w:rsidP="00990682"/>
    <w:p w14:paraId="2A6AAAC1" w14:textId="77777777" w:rsidR="00990682" w:rsidRDefault="00990682" w:rsidP="00990682"/>
    <w:p w14:paraId="0F98706B" w14:textId="57646DA2" w:rsidR="00990682" w:rsidRPr="00990682" w:rsidRDefault="00DC1653">
      <w:pPr>
        <w:spacing w:before="0" w:after="0" w:line="240" w:lineRule="auto"/>
      </w:pPr>
      <w:r>
        <w:br w:type="page"/>
      </w:r>
    </w:p>
    <w:p w14:paraId="5CAAF8B9" w14:textId="459CEB7E" w:rsidR="00DD3F3E" w:rsidRPr="00A74B06" w:rsidRDefault="00545DEF" w:rsidP="00A74B06">
      <w:pPr>
        <w:pStyle w:val="Heading1"/>
        <w:numPr>
          <w:ilvl w:val="0"/>
          <w:numId w:val="26"/>
        </w:numPr>
        <w:ind w:left="567" w:hanging="567"/>
      </w:pPr>
      <w:bookmarkStart w:id="27" w:name="_Toc229480659"/>
      <w:r w:rsidRPr="00A74B06">
        <w:lastRenderedPageBreak/>
        <w:t>Assessment of differences by service setting</w:t>
      </w:r>
      <w:bookmarkEnd w:id="27"/>
    </w:p>
    <w:p w14:paraId="6A2994C1" w14:textId="3D1D8C55" w:rsidR="00353667" w:rsidRDefault="00353667" w:rsidP="00CA0247">
      <w:pPr>
        <w:pStyle w:val="Heading2"/>
        <w:numPr>
          <w:ilvl w:val="1"/>
          <w:numId w:val="26"/>
        </w:numPr>
      </w:pPr>
      <w:bookmarkStart w:id="28" w:name="_Toc229480660"/>
      <w:r w:rsidRPr="00353667">
        <w:t>Residential care compared with home and community settings</w:t>
      </w:r>
      <w:r>
        <w:t xml:space="preserve"> </w:t>
      </w:r>
      <w:r w:rsidRPr="00353667">
        <w:t>(342A(2)(d))</w:t>
      </w:r>
      <w:bookmarkEnd w:id="28"/>
    </w:p>
    <w:p w14:paraId="5D30A486" w14:textId="34D5158C" w:rsidR="001E605B" w:rsidRPr="001E605B" w:rsidRDefault="00353667" w:rsidP="003A3650">
      <w:pPr>
        <w:pStyle w:val="Boxtype"/>
        <w:pBdr>
          <w:bottom w:val="single" w:sz="6" w:space="31" w:color="358189"/>
        </w:pBdr>
        <w:rPr>
          <w:szCs w:val="22"/>
          <w:lang w:val="en-AU"/>
        </w:rPr>
      </w:pPr>
      <w:r w:rsidRPr="00D36BEB">
        <w:rPr>
          <w:szCs w:val="22"/>
          <w:lang w:val="en-AU"/>
        </w:rPr>
        <w:t xml:space="preserve">This section </w:t>
      </w:r>
      <w:r>
        <w:rPr>
          <w:szCs w:val="22"/>
          <w:lang w:val="en-AU"/>
        </w:rPr>
        <w:t>shows</w:t>
      </w:r>
      <w:r w:rsidR="001E605B">
        <w:rPr>
          <w:szCs w:val="22"/>
          <w:lang w:val="en-AU"/>
        </w:rPr>
        <w:t xml:space="preserve"> the a</w:t>
      </w:r>
      <w:r w:rsidR="001E605B" w:rsidRPr="001E605B">
        <w:rPr>
          <w:szCs w:val="22"/>
          <w:lang w:val="en-AU"/>
        </w:rPr>
        <w:t>ssessment of differences in waiting times based on whether services were delivered in:</w:t>
      </w:r>
    </w:p>
    <w:p w14:paraId="13CD83E5" w14:textId="77777777" w:rsidR="003A3650" w:rsidRDefault="002B4181" w:rsidP="003A3650">
      <w:pPr>
        <w:pStyle w:val="Boxtype"/>
        <w:numPr>
          <w:ilvl w:val="0"/>
          <w:numId w:val="42"/>
        </w:numPr>
        <w:pBdr>
          <w:bottom w:val="single" w:sz="6" w:space="31" w:color="358189"/>
        </w:pBdr>
        <w:rPr>
          <w:szCs w:val="22"/>
          <w:lang w:val="en-AU"/>
        </w:rPr>
      </w:pPr>
      <w:r>
        <w:rPr>
          <w:szCs w:val="22"/>
          <w:lang w:val="en-AU"/>
        </w:rPr>
        <w:t>Residential care (short-term and ongoing)</w:t>
      </w:r>
      <w:r w:rsidR="00646260">
        <w:rPr>
          <w:szCs w:val="22"/>
          <w:lang w:val="en-AU"/>
        </w:rPr>
        <w:t xml:space="preserve"> </w:t>
      </w:r>
    </w:p>
    <w:p w14:paraId="2368E9C2" w14:textId="27EF3841" w:rsidR="00A60A58" w:rsidRDefault="001E605B" w:rsidP="00162709">
      <w:pPr>
        <w:pStyle w:val="Boxtype"/>
        <w:numPr>
          <w:ilvl w:val="0"/>
          <w:numId w:val="42"/>
        </w:numPr>
        <w:pBdr>
          <w:bottom w:val="single" w:sz="6" w:space="31" w:color="358189"/>
        </w:pBdr>
        <w:rPr>
          <w:szCs w:val="22"/>
          <w:lang w:val="en-AU"/>
        </w:rPr>
      </w:pPr>
      <w:r w:rsidRPr="001E605B">
        <w:rPr>
          <w:szCs w:val="22"/>
          <w:lang w:val="en-AU"/>
        </w:rPr>
        <w:t>Home or community settings</w:t>
      </w:r>
      <w:r w:rsidR="002B4181">
        <w:rPr>
          <w:szCs w:val="22"/>
          <w:lang w:val="en-AU"/>
        </w:rPr>
        <w:t xml:space="preserve"> (S</w:t>
      </w:r>
      <w:r w:rsidR="00400EF0">
        <w:rPr>
          <w:szCs w:val="22"/>
          <w:lang w:val="en-AU"/>
        </w:rPr>
        <w:t>upport at Home</w:t>
      </w:r>
      <w:r w:rsidR="002B4181">
        <w:rPr>
          <w:szCs w:val="22"/>
          <w:lang w:val="en-AU"/>
        </w:rPr>
        <w:t xml:space="preserve">, </w:t>
      </w:r>
      <w:r w:rsidR="00C0267F">
        <w:rPr>
          <w:szCs w:val="22"/>
          <w:lang w:val="en-AU"/>
        </w:rPr>
        <w:t>End</w:t>
      </w:r>
      <w:r w:rsidR="002A4C9B">
        <w:rPr>
          <w:szCs w:val="22"/>
          <w:lang w:val="en-AU"/>
        </w:rPr>
        <w:t>-</w:t>
      </w:r>
      <w:r w:rsidR="00C0267F">
        <w:rPr>
          <w:szCs w:val="22"/>
          <w:lang w:val="en-AU"/>
        </w:rPr>
        <w:t>of</w:t>
      </w:r>
      <w:r w:rsidR="002A4C9B">
        <w:rPr>
          <w:szCs w:val="22"/>
          <w:lang w:val="en-AU"/>
        </w:rPr>
        <w:t>-</w:t>
      </w:r>
      <w:r w:rsidR="00C0267F">
        <w:rPr>
          <w:szCs w:val="22"/>
          <w:lang w:val="en-AU"/>
        </w:rPr>
        <w:t>Life</w:t>
      </w:r>
      <w:r w:rsidR="002A4C9B">
        <w:rPr>
          <w:szCs w:val="22"/>
          <w:lang w:val="en-AU"/>
        </w:rPr>
        <w:t xml:space="preserve"> Pathway</w:t>
      </w:r>
      <w:r w:rsidR="002B4181">
        <w:rPr>
          <w:szCs w:val="22"/>
          <w:lang w:val="en-AU"/>
        </w:rPr>
        <w:t xml:space="preserve">, </w:t>
      </w:r>
      <w:r w:rsidR="00215C6F">
        <w:rPr>
          <w:szCs w:val="22"/>
          <w:lang w:val="en-AU"/>
        </w:rPr>
        <w:t xml:space="preserve">Restorative Care Pathway, </w:t>
      </w:r>
      <w:r w:rsidR="005E3512">
        <w:rPr>
          <w:szCs w:val="22"/>
          <w:lang w:val="en-AU"/>
        </w:rPr>
        <w:t>Assistive Technology</w:t>
      </w:r>
      <w:r w:rsidR="00215C6F">
        <w:rPr>
          <w:szCs w:val="22"/>
          <w:lang w:val="en-AU"/>
        </w:rPr>
        <w:t xml:space="preserve"> and</w:t>
      </w:r>
      <w:r w:rsidR="00205329">
        <w:rPr>
          <w:szCs w:val="22"/>
          <w:lang w:val="en-AU"/>
        </w:rPr>
        <w:t xml:space="preserve"> </w:t>
      </w:r>
      <w:r w:rsidR="005E3512">
        <w:rPr>
          <w:szCs w:val="22"/>
          <w:lang w:val="en-AU"/>
        </w:rPr>
        <w:t>Home Modifications</w:t>
      </w:r>
      <w:r w:rsidR="002B4181">
        <w:rPr>
          <w:szCs w:val="22"/>
          <w:lang w:val="en-AU"/>
        </w:rPr>
        <w:t>)</w:t>
      </w:r>
      <w:r w:rsidR="00215C6F">
        <w:rPr>
          <w:szCs w:val="22"/>
          <w:lang w:val="en-AU"/>
        </w:rPr>
        <w:t>.</w:t>
      </w:r>
      <w:r w:rsidR="00A60A58">
        <w:rPr>
          <w:szCs w:val="22"/>
          <w:lang w:val="en-AU"/>
        </w:rPr>
        <w:t xml:space="preserve">                                            </w:t>
      </w:r>
    </w:p>
    <w:p w14:paraId="2B397144" w14:textId="0F149370" w:rsidR="003A3650" w:rsidRPr="00A60A58" w:rsidRDefault="003A3650" w:rsidP="00A60A58">
      <w:pPr>
        <w:pStyle w:val="Boxtype"/>
        <w:pBdr>
          <w:bottom w:val="single" w:sz="6" w:space="31" w:color="358189"/>
        </w:pBdr>
        <w:rPr>
          <w:szCs w:val="22"/>
          <w:lang w:val="en-AU"/>
        </w:rPr>
      </w:pPr>
      <w:r w:rsidRPr="00A60A58">
        <w:rPr>
          <w:szCs w:val="22"/>
          <w:lang w:val="en-AU"/>
        </w:rPr>
        <w:t xml:space="preserve">The data below presents the elapsed time for this cohort from applying through </w:t>
      </w:r>
      <w:r w:rsidRPr="00F21DFB">
        <w:rPr>
          <w:i/>
          <w:iCs/>
          <w:szCs w:val="22"/>
          <w:lang w:val="en-AU"/>
        </w:rPr>
        <w:t>My Aged Care</w:t>
      </w:r>
      <w:r w:rsidRPr="00A60A58">
        <w:rPr>
          <w:szCs w:val="22"/>
          <w:lang w:val="en-AU"/>
        </w:rPr>
        <w:t xml:space="preserve"> to assessment, allocation of funded services, and commencement of care.</w:t>
      </w:r>
    </w:p>
    <w:p w14:paraId="18DE16E3" w14:textId="1EA3E976" w:rsidR="00F5587A" w:rsidRPr="00E96F47" w:rsidRDefault="003A3650" w:rsidP="00A60A58">
      <w:pPr>
        <w:pStyle w:val="Boxtype"/>
        <w:pBdr>
          <w:bottom w:val="single" w:sz="6" w:space="31" w:color="358189"/>
        </w:pBdr>
        <w:rPr>
          <w:szCs w:val="22"/>
        </w:rPr>
      </w:pPr>
      <w:r w:rsidRPr="003A3650">
        <w:rPr>
          <w:szCs w:val="22"/>
        </w:rPr>
        <w:t>Please note: Time from allocation to service commencement may be influenced by individual choice, provider availability, and system-level factors.</w:t>
      </w:r>
    </w:p>
    <w:tbl>
      <w:tblPr>
        <w:tblpPr w:leftFromText="180" w:rightFromText="180" w:vertAnchor="text" w:horzAnchor="margin" w:tblpY="9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2214"/>
        <w:gridCol w:w="1022"/>
        <w:gridCol w:w="1363"/>
      </w:tblGrid>
      <w:tr w:rsidR="00947B60" w:rsidRPr="00F80255" w14:paraId="7B55D295" w14:textId="0214EC95" w:rsidTr="00AA56A4">
        <w:trPr>
          <w:trHeight w:val="369"/>
        </w:trPr>
        <w:tc>
          <w:tcPr>
            <w:tcW w:w="2422" w:type="pct"/>
            <w:shd w:val="clear" w:color="auto" w:fill="3F4A75" w:themeFill="accent1"/>
            <w:vAlign w:val="center"/>
          </w:tcPr>
          <w:p w14:paraId="0C136F19" w14:textId="77777777" w:rsidR="00947B60" w:rsidRPr="00871385" w:rsidRDefault="00947B60" w:rsidP="00AA56A4">
            <w:pPr>
              <w:pStyle w:val="TableTitle"/>
              <w:rPr>
                <w:sz w:val="20"/>
                <w:szCs w:val="20"/>
              </w:rPr>
            </w:pPr>
            <w:bookmarkStart w:id="29" w:name="_Toc224743080"/>
            <w:r w:rsidRPr="00871385">
              <w:rPr>
                <w:color w:val="FFFFFF" w:themeColor="background1"/>
                <w:sz w:val="20"/>
                <w:szCs w:val="20"/>
              </w:rPr>
              <w:t>Service Type</w:t>
            </w:r>
          </w:p>
        </w:tc>
        <w:tc>
          <w:tcPr>
            <w:tcW w:w="1241" w:type="pct"/>
            <w:shd w:val="clear" w:color="auto" w:fill="3F4A75" w:themeFill="accent1"/>
            <w:vAlign w:val="center"/>
          </w:tcPr>
          <w:p w14:paraId="6099D70D" w14:textId="77777777" w:rsidR="00947B60" w:rsidRPr="00AA56A4" w:rsidRDefault="00947B60" w:rsidP="00AA56A4">
            <w:pPr>
              <w:pStyle w:val="TableTitle"/>
              <w:rPr>
                <w:color w:val="FFFFFF" w:themeColor="background1"/>
                <w:sz w:val="20"/>
                <w:szCs w:val="20"/>
              </w:rPr>
            </w:pPr>
            <w:r>
              <w:rPr>
                <w:color w:val="FFFFFF" w:themeColor="background1"/>
                <w:sz w:val="20"/>
                <w:szCs w:val="20"/>
              </w:rPr>
              <w:t>Measurement</w:t>
            </w:r>
          </w:p>
        </w:tc>
        <w:tc>
          <w:tcPr>
            <w:tcW w:w="573" w:type="pct"/>
            <w:tcBorders>
              <w:top w:val="single" w:sz="4" w:space="0" w:color="auto"/>
              <w:left w:val="nil"/>
              <w:bottom w:val="single" w:sz="4" w:space="0" w:color="auto"/>
              <w:right w:val="single" w:sz="4" w:space="0" w:color="auto"/>
            </w:tcBorders>
            <w:shd w:val="clear" w:color="auto" w:fill="3F4A75" w:themeFill="accent1"/>
            <w:vAlign w:val="center"/>
          </w:tcPr>
          <w:p w14:paraId="08DC026D" w14:textId="77777777" w:rsidR="00947B60" w:rsidRPr="00F80255" w:rsidRDefault="00947B60" w:rsidP="00AA56A4">
            <w:pPr>
              <w:pStyle w:val="TableTitle"/>
              <w:jc w:val="right"/>
              <w:rPr>
                <w:color w:val="FFFFFF" w:themeColor="background1"/>
                <w:sz w:val="20"/>
                <w:szCs w:val="20"/>
              </w:rPr>
            </w:pPr>
            <w:r w:rsidRPr="00F80255">
              <w:rPr>
                <w:color w:val="FFFFFF" w:themeColor="background1"/>
                <w:sz w:val="20"/>
                <w:szCs w:val="20"/>
              </w:rPr>
              <w:t>Days</w:t>
            </w:r>
          </w:p>
        </w:tc>
        <w:tc>
          <w:tcPr>
            <w:tcW w:w="764" w:type="pct"/>
            <w:shd w:val="clear" w:color="auto" w:fill="3F4A75" w:themeFill="accent1"/>
          </w:tcPr>
          <w:p w14:paraId="77C4B8F6" w14:textId="0E5E99C9" w:rsidR="00947B60" w:rsidRPr="00F80255" w:rsidRDefault="00947B60" w:rsidP="00AA56A4">
            <w:pPr>
              <w:pStyle w:val="TableTitle"/>
              <w:jc w:val="right"/>
              <w:rPr>
                <w:color w:val="FFFFFF" w:themeColor="background1"/>
                <w:sz w:val="20"/>
                <w:szCs w:val="20"/>
              </w:rPr>
            </w:pPr>
            <w:r>
              <w:rPr>
                <w:color w:val="FFFFFF" w:themeColor="background1"/>
                <w:sz w:val="20"/>
                <w:szCs w:val="20"/>
              </w:rPr>
              <w:t>Months</w:t>
            </w:r>
          </w:p>
        </w:tc>
      </w:tr>
      <w:tr w:rsidR="00C54834" w:rsidRPr="003151BF" w14:paraId="0C353A94" w14:textId="18A6AAFA" w:rsidTr="00AA56A4">
        <w:trPr>
          <w:trHeight w:val="369"/>
        </w:trPr>
        <w:tc>
          <w:tcPr>
            <w:tcW w:w="2422" w:type="pct"/>
            <w:vMerge w:val="restart"/>
            <w:vAlign w:val="center"/>
          </w:tcPr>
          <w:p w14:paraId="75F62A1F" w14:textId="77777777" w:rsidR="00C54834" w:rsidRPr="00871385" w:rsidRDefault="00C54834" w:rsidP="00AA56A4">
            <w:pPr>
              <w:pStyle w:val="TableTitle"/>
              <w:rPr>
                <w:sz w:val="20"/>
                <w:szCs w:val="20"/>
              </w:rPr>
            </w:pPr>
            <w:r w:rsidRPr="00871385">
              <w:rPr>
                <w:sz w:val="20"/>
                <w:szCs w:val="20"/>
              </w:rPr>
              <w:t>Residential care (ongoing)</w:t>
            </w:r>
          </w:p>
        </w:tc>
        <w:tc>
          <w:tcPr>
            <w:tcW w:w="1241" w:type="pct"/>
          </w:tcPr>
          <w:p w14:paraId="7FBACEA9" w14:textId="77777777" w:rsidR="00C54834" w:rsidRPr="00871385" w:rsidRDefault="00C54834" w:rsidP="00AA56A4">
            <w:pPr>
              <w:pStyle w:val="TableTitle"/>
              <w:rPr>
                <w:b w:val="0"/>
                <w:bCs/>
                <w:sz w:val="20"/>
                <w:szCs w:val="20"/>
              </w:rPr>
            </w:pPr>
            <w:r w:rsidRPr="00871385">
              <w:rPr>
                <w:b w:val="0"/>
                <w:bCs/>
                <w:sz w:val="20"/>
                <w:szCs w:val="20"/>
              </w:rPr>
              <w:t>Average</w:t>
            </w:r>
          </w:p>
        </w:tc>
        <w:tc>
          <w:tcPr>
            <w:tcW w:w="573" w:type="pct"/>
            <w:tcBorders>
              <w:top w:val="single" w:sz="4" w:space="0" w:color="auto"/>
              <w:left w:val="nil"/>
              <w:bottom w:val="single" w:sz="4" w:space="0" w:color="auto"/>
              <w:right w:val="single" w:sz="4" w:space="0" w:color="auto"/>
            </w:tcBorders>
            <w:tcMar>
              <w:left w:w="170" w:type="dxa"/>
              <w:right w:w="170" w:type="dxa"/>
            </w:tcMar>
            <w:vAlign w:val="bottom"/>
          </w:tcPr>
          <w:p w14:paraId="3C971CB6" w14:textId="1B35C4FF" w:rsidR="00C54834" w:rsidRPr="003151BF" w:rsidRDefault="00C54834" w:rsidP="00AA56A4">
            <w:pPr>
              <w:pStyle w:val="TableTitle"/>
              <w:jc w:val="right"/>
              <w:rPr>
                <w:b w:val="0"/>
                <w:sz w:val="20"/>
                <w:szCs w:val="20"/>
              </w:rPr>
            </w:pPr>
            <w:r w:rsidRPr="00DA5026">
              <w:rPr>
                <w:b w:val="0"/>
                <w:bCs/>
                <w:sz w:val="20"/>
                <w:szCs w:val="20"/>
              </w:rPr>
              <w:t>396</w:t>
            </w:r>
          </w:p>
        </w:tc>
        <w:tc>
          <w:tcPr>
            <w:tcW w:w="764" w:type="pct"/>
            <w:tcMar>
              <w:left w:w="170" w:type="dxa"/>
              <w:right w:w="170" w:type="dxa"/>
            </w:tcMar>
            <w:vAlign w:val="center"/>
          </w:tcPr>
          <w:p w14:paraId="4CF9F4FD" w14:textId="3D0EF20B" w:rsidR="00C54834" w:rsidRPr="000F180F" w:rsidRDefault="00C54834" w:rsidP="00AA56A4">
            <w:pPr>
              <w:pStyle w:val="TableTitle"/>
              <w:jc w:val="right"/>
              <w:rPr>
                <w:b w:val="0"/>
                <w:bCs/>
                <w:sz w:val="20"/>
                <w:szCs w:val="20"/>
              </w:rPr>
            </w:pPr>
            <w:r w:rsidRPr="00C54834">
              <w:rPr>
                <w:b w:val="0"/>
                <w:bCs/>
                <w:sz w:val="20"/>
                <w:szCs w:val="20"/>
              </w:rPr>
              <w:t>13</w:t>
            </w:r>
          </w:p>
        </w:tc>
      </w:tr>
      <w:tr w:rsidR="00C54834" w:rsidRPr="003151BF" w14:paraId="78C696FA" w14:textId="68E2909A" w:rsidTr="00AA56A4">
        <w:trPr>
          <w:trHeight w:val="369"/>
        </w:trPr>
        <w:tc>
          <w:tcPr>
            <w:tcW w:w="2422" w:type="pct"/>
            <w:vMerge/>
            <w:vAlign w:val="center"/>
          </w:tcPr>
          <w:p w14:paraId="7114E5AD" w14:textId="77777777" w:rsidR="00C54834" w:rsidRPr="00871385" w:rsidRDefault="00C54834" w:rsidP="00AA56A4">
            <w:pPr>
              <w:pStyle w:val="TableTitle"/>
              <w:rPr>
                <w:sz w:val="20"/>
                <w:szCs w:val="20"/>
              </w:rPr>
            </w:pPr>
          </w:p>
        </w:tc>
        <w:tc>
          <w:tcPr>
            <w:tcW w:w="1241" w:type="pct"/>
          </w:tcPr>
          <w:p w14:paraId="49BC1A9A" w14:textId="77777777" w:rsidR="00C54834" w:rsidRPr="00871385" w:rsidRDefault="00C54834" w:rsidP="00AA56A4">
            <w:pPr>
              <w:pStyle w:val="TableTitle"/>
              <w:rPr>
                <w:b w:val="0"/>
                <w:bCs/>
                <w:sz w:val="20"/>
                <w:szCs w:val="20"/>
              </w:rPr>
            </w:pPr>
            <w:r w:rsidRPr="00871385">
              <w:rPr>
                <w:b w:val="0"/>
                <w:bCs/>
                <w:sz w:val="20"/>
                <w:szCs w:val="20"/>
              </w:rPr>
              <w:t>Median</w:t>
            </w:r>
          </w:p>
        </w:tc>
        <w:tc>
          <w:tcPr>
            <w:tcW w:w="573" w:type="pct"/>
            <w:tcBorders>
              <w:top w:val="single" w:sz="4" w:space="0" w:color="auto"/>
              <w:left w:val="nil"/>
              <w:bottom w:val="single" w:sz="4" w:space="0" w:color="auto"/>
              <w:right w:val="single" w:sz="4" w:space="0" w:color="auto"/>
            </w:tcBorders>
            <w:tcMar>
              <w:left w:w="170" w:type="dxa"/>
              <w:right w:w="170" w:type="dxa"/>
            </w:tcMar>
            <w:vAlign w:val="bottom"/>
          </w:tcPr>
          <w:p w14:paraId="5055706B" w14:textId="0990FCD8" w:rsidR="00C54834" w:rsidRPr="003151BF" w:rsidRDefault="00C54834" w:rsidP="00AA56A4">
            <w:pPr>
              <w:pStyle w:val="TableTitle"/>
              <w:jc w:val="right"/>
              <w:rPr>
                <w:b w:val="0"/>
                <w:sz w:val="20"/>
                <w:szCs w:val="20"/>
              </w:rPr>
            </w:pPr>
            <w:r w:rsidRPr="00DA5026">
              <w:rPr>
                <w:b w:val="0"/>
                <w:bCs/>
                <w:sz w:val="20"/>
                <w:szCs w:val="20"/>
              </w:rPr>
              <w:t>167</w:t>
            </w:r>
          </w:p>
        </w:tc>
        <w:tc>
          <w:tcPr>
            <w:tcW w:w="764" w:type="pct"/>
            <w:tcMar>
              <w:left w:w="170" w:type="dxa"/>
              <w:right w:w="170" w:type="dxa"/>
            </w:tcMar>
            <w:vAlign w:val="center"/>
          </w:tcPr>
          <w:p w14:paraId="56D2638C" w14:textId="0D5DE023" w:rsidR="00C54834" w:rsidRPr="000F180F" w:rsidRDefault="73899CF8" w:rsidP="00AA56A4">
            <w:pPr>
              <w:pStyle w:val="TableTitle"/>
              <w:jc w:val="right"/>
              <w:rPr>
                <w:b w:val="0"/>
                <w:bCs/>
                <w:sz w:val="20"/>
                <w:szCs w:val="20"/>
              </w:rPr>
            </w:pPr>
            <w:r w:rsidRPr="4C71FD19">
              <w:rPr>
                <w:b w:val="0"/>
                <w:sz w:val="20"/>
                <w:szCs w:val="20"/>
              </w:rPr>
              <w:t>6</w:t>
            </w:r>
          </w:p>
        </w:tc>
      </w:tr>
      <w:tr w:rsidR="00C54834" w:rsidRPr="003151BF" w14:paraId="49528D14" w14:textId="1F765EB9" w:rsidTr="00AA56A4">
        <w:trPr>
          <w:trHeight w:val="369"/>
        </w:trPr>
        <w:tc>
          <w:tcPr>
            <w:tcW w:w="2422" w:type="pct"/>
            <w:vMerge w:val="restart"/>
            <w:vAlign w:val="center"/>
          </w:tcPr>
          <w:p w14:paraId="759AFA6A" w14:textId="77777777" w:rsidR="00C54834" w:rsidRPr="00871385" w:rsidRDefault="00C54834" w:rsidP="00AA56A4">
            <w:pPr>
              <w:pStyle w:val="TableTitle"/>
              <w:rPr>
                <w:sz w:val="20"/>
                <w:szCs w:val="20"/>
              </w:rPr>
            </w:pPr>
            <w:r w:rsidRPr="00871385">
              <w:rPr>
                <w:sz w:val="20"/>
                <w:szCs w:val="20"/>
              </w:rPr>
              <w:t>Residential care (short-term)</w:t>
            </w:r>
          </w:p>
        </w:tc>
        <w:tc>
          <w:tcPr>
            <w:tcW w:w="1241" w:type="pct"/>
          </w:tcPr>
          <w:p w14:paraId="5585AF9D" w14:textId="77777777" w:rsidR="00C54834" w:rsidRPr="00871385" w:rsidRDefault="00C54834" w:rsidP="00AA56A4">
            <w:pPr>
              <w:pStyle w:val="TableTitle"/>
              <w:rPr>
                <w:b w:val="0"/>
                <w:bCs/>
                <w:sz w:val="20"/>
                <w:szCs w:val="20"/>
              </w:rPr>
            </w:pPr>
            <w:r w:rsidRPr="00871385">
              <w:rPr>
                <w:b w:val="0"/>
                <w:bCs/>
                <w:sz w:val="20"/>
                <w:szCs w:val="20"/>
              </w:rPr>
              <w:t>Average</w:t>
            </w:r>
          </w:p>
        </w:tc>
        <w:tc>
          <w:tcPr>
            <w:tcW w:w="573" w:type="pct"/>
            <w:tcBorders>
              <w:top w:val="single" w:sz="4" w:space="0" w:color="auto"/>
              <w:left w:val="nil"/>
              <w:bottom w:val="single" w:sz="4" w:space="0" w:color="auto"/>
              <w:right w:val="single" w:sz="4" w:space="0" w:color="auto"/>
            </w:tcBorders>
            <w:tcMar>
              <w:left w:w="170" w:type="dxa"/>
              <w:right w:w="170" w:type="dxa"/>
            </w:tcMar>
            <w:vAlign w:val="bottom"/>
          </w:tcPr>
          <w:p w14:paraId="04AF04A9" w14:textId="0BB18C9D" w:rsidR="00C54834" w:rsidRPr="003151BF" w:rsidRDefault="5E78362E" w:rsidP="00AA56A4">
            <w:pPr>
              <w:pStyle w:val="TableTitle"/>
              <w:jc w:val="right"/>
              <w:rPr>
                <w:b w:val="0"/>
                <w:sz w:val="20"/>
                <w:szCs w:val="20"/>
              </w:rPr>
            </w:pPr>
            <w:r w:rsidRPr="7DDE6319">
              <w:rPr>
                <w:b w:val="0"/>
                <w:sz w:val="20"/>
                <w:szCs w:val="20"/>
              </w:rPr>
              <w:t>4</w:t>
            </w:r>
            <w:r w:rsidR="5773C88B" w:rsidRPr="7DDE6319">
              <w:rPr>
                <w:b w:val="0"/>
                <w:sz w:val="20"/>
                <w:szCs w:val="20"/>
              </w:rPr>
              <w:t>34</w:t>
            </w:r>
          </w:p>
        </w:tc>
        <w:tc>
          <w:tcPr>
            <w:tcW w:w="764" w:type="pct"/>
            <w:tcMar>
              <w:left w:w="170" w:type="dxa"/>
              <w:right w:w="170" w:type="dxa"/>
            </w:tcMar>
            <w:vAlign w:val="center"/>
          </w:tcPr>
          <w:p w14:paraId="1B1CA0C6" w14:textId="7AB25965" w:rsidR="00C54834" w:rsidRPr="000F180F" w:rsidRDefault="00C54834" w:rsidP="00AA56A4">
            <w:pPr>
              <w:pStyle w:val="TableTitle"/>
              <w:jc w:val="right"/>
              <w:rPr>
                <w:b w:val="0"/>
                <w:bCs/>
                <w:sz w:val="20"/>
                <w:szCs w:val="20"/>
              </w:rPr>
            </w:pPr>
            <w:r w:rsidRPr="00C54834">
              <w:rPr>
                <w:b w:val="0"/>
                <w:bCs/>
                <w:sz w:val="20"/>
                <w:szCs w:val="20"/>
              </w:rPr>
              <w:t>14</w:t>
            </w:r>
          </w:p>
        </w:tc>
      </w:tr>
      <w:tr w:rsidR="00C54834" w:rsidRPr="003151BF" w14:paraId="2A26C66D" w14:textId="369CB724" w:rsidTr="00AA56A4">
        <w:trPr>
          <w:trHeight w:val="369"/>
        </w:trPr>
        <w:tc>
          <w:tcPr>
            <w:tcW w:w="2422" w:type="pct"/>
            <w:vMerge/>
            <w:vAlign w:val="center"/>
          </w:tcPr>
          <w:p w14:paraId="7EFB0F41" w14:textId="77777777" w:rsidR="00C54834" w:rsidRPr="00871385" w:rsidRDefault="00C54834" w:rsidP="00AA56A4">
            <w:pPr>
              <w:pStyle w:val="TableTitle"/>
              <w:rPr>
                <w:sz w:val="20"/>
                <w:szCs w:val="20"/>
              </w:rPr>
            </w:pPr>
          </w:p>
        </w:tc>
        <w:tc>
          <w:tcPr>
            <w:tcW w:w="1241" w:type="pct"/>
          </w:tcPr>
          <w:p w14:paraId="00852C66" w14:textId="77777777" w:rsidR="00C54834" w:rsidRPr="00871385" w:rsidRDefault="00C54834" w:rsidP="00AA56A4">
            <w:pPr>
              <w:pStyle w:val="TableTitle"/>
              <w:rPr>
                <w:b w:val="0"/>
                <w:bCs/>
                <w:sz w:val="20"/>
                <w:szCs w:val="20"/>
              </w:rPr>
            </w:pPr>
            <w:r w:rsidRPr="00871385">
              <w:rPr>
                <w:b w:val="0"/>
                <w:bCs/>
                <w:sz w:val="20"/>
                <w:szCs w:val="20"/>
              </w:rPr>
              <w:t>Median</w:t>
            </w:r>
          </w:p>
        </w:tc>
        <w:tc>
          <w:tcPr>
            <w:tcW w:w="573" w:type="pct"/>
            <w:tcBorders>
              <w:top w:val="single" w:sz="4" w:space="0" w:color="auto"/>
              <w:left w:val="nil"/>
              <w:bottom w:val="single" w:sz="4" w:space="0" w:color="auto"/>
              <w:right w:val="single" w:sz="4" w:space="0" w:color="auto"/>
            </w:tcBorders>
            <w:tcMar>
              <w:left w:w="170" w:type="dxa"/>
              <w:right w:w="170" w:type="dxa"/>
            </w:tcMar>
            <w:vAlign w:val="bottom"/>
          </w:tcPr>
          <w:p w14:paraId="1004FB3B" w14:textId="74E3179A" w:rsidR="00C54834" w:rsidRPr="003151BF" w:rsidRDefault="1BF82249" w:rsidP="00AA56A4">
            <w:pPr>
              <w:pStyle w:val="TableTitle"/>
              <w:spacing w:line="259" w:lineRule="auto"/>
              <w:jc w:val="right"/>
              <w:rPr>
                <w:b w:val="0"/>
                <w:sz w:val="20"/>
                <w:szCs w:val="20"/>
              </w:rPr>
            </w:pPr>
            <w:r w:rsidRPr="7DDE6319">
              <w:rPr>
                <w:b w:val="0"/>
                <w:sz w:val="20"/>
                <w:szCs w:val="20"/>
              </w:rPr>
              <w:t>193</w:t>
            </w:r>
          </w:p>
        </w:tc>
        <w:tc>
          <w:tcPr>
            <w:tcW w:w="764" w:type="pct"/>
            <w:tcMar>
              <w:left w:w="170" w:type="dxa"/>
              <w:right w:w="170" w:type="dxa"/>
            </w:tcMar>
            <w:vAlign w:val="center"/>
          </w:tcPr>
          <w:p w14:paraId="352AA1F1" w14:textId="5A3A1361" w:rsidR="00C54834" w:rsidRPr="000F180F" w:rsidRDefault="00C54834" w:rsidP="00AA56A4">
            <w:pPr>
              <w:pStyle w:val="TableTitle"/>
              <w:jc w:val="right"/>
              <w:rPr>
                <w:b w:val="0"/>
                <w:bCs/>
                <w:sz w:val="20"/>
                <w:szCs w:val="20"/>
              </w:rPr>
            </w:pPr>
            <w:r w:rsidRPr="00C54834">
              <w:rPr>
                <w:b w:val="0"/>
                <w:bCs/>
                <w:sz w:val="20"/>
                <w:szCs w:val="20"/>
              </w:rPr>
              <w:t xml:space="preserve">6 </w:t>
            </w:r>
          </w:p>
        </w:tc>
      </w:tr>
    </w:tbl>
    <w:p w14:paraId="6414031C" w14:textId="55263B0D" w:rsidR="00F80255" w:rsidRDefault="00F80255" w:rsidP="0031040B">
      <w:pPr>
        <w:pStyle w:val="Heading4"/>
      </w:pPr>
      <w:bookmarkStart w:id="30" w:name="_Toc229480661"/>
      <w:r>
        <w:t xml:space="preserve">Table </w:t>
      </w:r>
      <w:r w:rsidR="001B00FA">
        <w:t>3</w:t>
      </w:r>
      <w:r>
        <w:t xml:space="preserve">: </w:t>
      </w:r>
      <w:bookmarkEnd w:id="29"/>
      <w:r w:rsidRPr="00D80F94">
        <w:t xml:space="preserve">Average </w:t>
      </w:r>
      <w:r>
        <w:t xml:space="preserve">and median </w:t>
      </w:r>
      <w:r w:rsidRPr="00D80F94">
        <w:t>number of days</w:t>
      </w:r>
      <w:r w:rsidR="00BE1273">
        <w:t>/months</w:t>
      </w:r>
      <w:r w:rsidRPr="00D80F94">
        <w:t xml:space="preserve"> between application and commencement of services</w:t>
      </w:r>
      <w:r>
        <w:t xml:space="preserve"> in a residential setting</w:t>
      </w:r>
      <w:bookmarkEnd w:id="30"/>
    </w:p>
    <w:p w14:paraId="6D7D47B2" w14:textId="77777777" w:rsidR="004510CF" w:rsidRDefault="004510CF" w:rsidP="009D15AA"/>
    <w:p w14:paraId="114D5866" w14:textId="77777777" w:rsidR="00C211D5" w:rsidRDefault="00C211D5">
      <w:pPr>
        <w:spacing w:before="0" w:after="0" w:line="240" w:lineRule="auto"/>
        <w:rPr>
          <w:rFonts w:eastAsia="Cambria"/>
          <w:b/>
          <w:szCs w:val="22"/>
          <w:lang w:val="en-US"/>
        </w:rPr>
      </w:pPr>
      <w:r>
        <w:br w:type="page"/>
      </w:r>
    </w:p>
    <w:p w14:paraId="6C9C0249" w14:textId="7BF8C292" w:rsidR="004510CF" w:rsidRDefault="004510CF" w:rsidP="0031040B">
      <w:pPr>
        <w:pStyle w:val="Heading4"/>
      </w:pPr>
      <w:bookmarkStart w:id="31" w:name="_Toc229480662"/>
      <w:r>
        <w:lastRenderedPageBreak/>
        <w:t xml:space="preserve">Table </w:t>
      </w:r>
      <w:r w:rsidR="00AA56A4">
        <w:t>4</w:t>
      </w:r>
      <w:r>
        <w:t xml:space="preserve">: </w:t>
      </w:r>
      <w:r w:rsidRPr="00D80F94">
        <w:t xml:space="preserve">Average </w:t>
      </w:r>
      <w:r>
        <w:t xml:space="preserve">and median </w:t>
      </w:r>
      <w:r w:rsidRPr="00D80F94">
        <w:t>number of days</w:t>
      </w:r>
      <w:r w:rsidR="00AA56A4">
        <w:t>/months</w:t>
      </w:r>
      <w:r w:rsidRPr="00D80F94">
        <w:t xml:space="preserve"> between application and commencement of services</w:t>
      </w:r>
      <w:r>
        <w:t xml:space="preserve"> in a </w:t>
      </w:r>
      <w:r w:rsidR="00365794">
        <w:t xml:space="preserve">community </w:t>
      </w:r>
      <w:r>
        <w:t>setting</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2191"/>
        <w:gridCol w:w="1326"/>
        <w:gridCol w:w="1324"/>
      </w:tblGrid>
      <w:tr w:rsidR="000B6080" w:rsidRPr="00871385" w14:paraId="6AB426B6" w14:textId="77777777" w:rsidTr="00AA56A4">
        <w:trPr>
          <w:trHeight w:val="369"/>
          <w:tblHeader/>
        </w:trPr>
        <w:tc>
          <w:tcPr>
            <w:tcW w:w="2287" w:type="pct"/>
            <w:shd w:val="clear" w:color="auto" w:fill="3F4A75" w:themeFill="accent1"/>
            <w:vAlign w:val="center"/>
          </w:tcPr>
          <w:p w14:paraId="7507C343" w14:textId="77777777" w:rsidR="000B6080" w:rsidRPr="00871385" w:rsidRDefault="000B6080" w:rsidP="00AA56A4">
            <w:pPr>
              <w:pStyle w:val="TableTitle"/>
              <w:rPr>
                <w:color w:val="FFFFFF" w:themeColor="background1"/>
                <w:sz w:val="20"/>
                <w:szCs w:val="20"/>
              </w:rPr>
            </w:pPr>
            <w:r w:rsidRPr="00871385">
              <w:rPr>
                <w:color w:val="FFFFFF" w:themeColor="background1"/>
                <w:sz w:val="20"/>
                <w:szCs w:val="20"/>
              </w:rPr>
              <w:t>Service Type</w:t>
            </w:r>
          </w:p>
        </w:tc>
        <w:tc>
          <w:tcPr>
            <w:tcW w:w="1228" w:type="pct"/>
            <w:shd w:val="clear" w:color="auto" w:fill="3F4A75" w:themeFill="accent1"/>
            <w:vAlign w:val="center"/>
          </w:tcPr>
          <w:p w14:paraId="45DAD87A" w14:textId="77777777" w:rsidR="000B6080" w:rsidRPr="00871385" w:rsidRDefault="000B6080" w:rsidP="00AA56A4">
            <w:pPr>
              <w:pStyle w:val="TableTitle"/>
              <w:rPr>
                <w:color w:val="FFFFFF" w:themeColor="background1"/>
                <w:sz w:val="20"/>
                <w:szCs w:val="20"/>
              </w:rPr>
            </w:pPr>
            <w:r>
              <w:rPr>
                <w:color w:val="FFFFFF" w:themeColor="background1"/>
                <w:sz w:val="20"/>
                <w:szCs w:val="20"/>
              </w:rPr>
              <w:t>Measurement</w:t>
            </w:r>
          </w:p>
        </w:tc>
        <w:tc>
          <w:tcPr>
            <w:tcW w:w="743" w:type="pct"/>
            <w:tcBorders>
              <w:bottom w:val="single" w:sz="4" w:space="0" w:color="auto"/>
            </w:tcBorders>
            <w:shd w:val="clear" w:color="auto" w:fill="3F4A75" w:themeFill="accent1"/>
            <w:vAlign w:val="center"/>
          </w:tcPr>
          <w:p w14:paraId="77AF92F7" w14:textId="77777777" w:rsidR="000B6080" w:rsidRPr="00871385" w:rsidRDefault="000B6080" w:rsidP="00AA56A4">
            <w:pPr>
              <w:pStyle w:val="TableTitle"/>
              <w:jc w:val="right"/>
              <w:rPr>
                <w:color w:val="FFFFFF" w:themeColor="background1"/>
                <w:sz w:val="20"/>
                <w:szCs w:val="20"/>
              </w:rPr>
            </w:pPr>
            <w:r>
              <w:rPr>
                <w:color w:val="FFFFFF" w:themeColor="background1"/>
                <w:sz w:val="20"/>
                <w:szCs w:val="20"/>
              </w:rPr>
              <w:t>Days</w:t>
            </w:r>
          </w:p>
        </w:tc>
        <w:tc>
          <w:tcPr>
            <w:tcW w:w="743" w:type="pct"/>
            <w:shd w:val="clear" w:color="auto" w:fill="3F4A75" w:themeFill="accent1"/>
            <w:vAlign w:val="center"/>
          </w:tcPr>
          <w:p w14:paraId="25A5F4FC" w14:textId="77777777" w:rsidR="000B6080" w:rsidRDefault="000B6080" w:rsidP="00AA56A4">
            <w:pPr>
              <w:pStyle w:val="TableTitle"/>
              <w:jc w:val="right"/>
              <w:rPr>
                <w:color w:val="FFFFFF" w:themeColor="background1"/>
                <w:sz w:val="20"/>
                <w:szCs w:val="20"/>
              </w:rPr>
            </w:pPr>
            <w:r>
              <w:rPr>
                <w:color w:val="FFFFFF" w:themeColor="background1"/>
                <w:sz w:val="20"/>
                <w:szCs w:val="20"/>
              </w:rPr>
              <w:t>Months</w:t>
            </w:r>
          </w:p>
        </w:tc>
      </w:tr>
      <w:tr w:rsidR="000B6080" w:rsidRPr="00871385" w14:paraId="4021A3ED" w14:textId="77777777" w:rsidTr="008C55F3">
        <w:trPr>
          <w:trHeight w:val="369"/>
          <w:tblHeader/>
        </w:trPr>
        <w:tc>
          <w:tcPr>
            <w:tcW w:w="2287" w:type="pct"/>
            <w:vMerge w:val="restart"/>
            <w:vAlign w:val="center"/>
          </w:tcPr>
          <w:p w14:paraId="0F93B988" w14:textId="51286A74" w:rsidR="000B6080" w:rsidRPr="002E2D04" w:rsidRDefault="000B6080" w:rsidP="00750E46">
            <w:pPr>
              <w:pStyle w:val="TableTitle"/>
              <w:rPr>
                <w:color w:val="auto"/>
                <w:sz w:val="20"/>
                <w:szCs w:val="20"/>
              </w:rPr>
            </w:pPr>
            <w:r w:rsidRPr="002E2D04">
              <w:rPr>
                <w:color w:val="auto"/>
                <w:sz w:val="20"/>
                <w:szCs w:val="20"/>
              </w:rPr>
              <w:t>Support at Home (ongoing</w:t>
            </w:r>
            <w:r w:rsidR="0048088B">
              <w:rPr>
                <w:color w:val="auto"/>
                <w:sz w:val="20"/>
                <w:szCs w:val="20"/>
              </w:rPr>
              <w:t>)</w:t>
            </w:r>
          </w:p>
        </w:tc>
        <w:tc>
          <w:tcPr>
            <w:tcW w:w="1228" w:type="pct"/>
          </w:tcPr>
          <w:p w14:paraId="3141525A" w14:textId="77777777" w:rsidR="000B6080" w:rsidRPr="002E2D04" w:rsidRDefault="000B6080">
            <w:pPr>
              <w:pStyle w:val="TableTitle"/>
              <w:rPr>
                <w:color w:val="auto"/>
                <w:sz w:val="20"/>
                <w:szCs w:val="20"/>
              </w:rPr>
            </w:pPr>
            <w:r w:rsidRPr="00871385">
              <w:rPr>
                <w:b w:val="0"/>
                <w:bCs/>
                <w:sz w:val="20"/>
                <w:szCs w:val="20"/>
              </w:rPr>
              <w:t>Average</w:t>
            </w:r>
          </w:p>
        </w:tc>
        <w:tc>
          <w:tcPr>
            <w:tcW w:w="743" w:type="pct"/>
            <w:tcBorders>
              <w:bottom w:val="single" w:sz="4" w:space="0" w:color="auto"/>
            </w:tcBorders>
            <w:tcMar>
              <w:left w:w="170" w:type="dxa"/>
              <w:right w:w="170" w:type="dxa"/>
            </w:tcMar>
          </w:tcPr>
          <w:p w14:paraId="32010629" w14:textId="77777777" w:rsidR="000B6080" w:rsidRPr="002E2D04" w:rsidRDefault="000B6080">
            <w:pPr>
              <w:pStyle w:val="TableTitle"/>
              <w:jc w:val="right"/>
              <w:rPr>
                <w:b w:val="0"/>
                <w:bCs/>
                <w:color w:val="auto"/>
                <w:sz w:val="20"/>
                <w:szCs w:val="20"/>
              </w:rPr>
            </w:pPr>
            <w:r w:rsidRPr="002E2D04">
              <w:rPr>
                <w:b w:val="0"/>
                <w:bCs/>
                <w:color w:val="auto"/>
                <w:sz w:val="20"/>
                <w:szCs w:val="20"/>
              </w:rPr>
              <w:t>364</w:t>
            </w:r>
          </w:p>
        </w:tc>
        <w:tc>
          <w:tcPr>
            <w:tcW w:w="743" w:type="pct"/>
            <w:tcMar>
              <w:left w:w="170" w:type="dxa"/>
              <w:right w:w="170" w:type="dxa"/>
            </w:tcMar>
          </w:tcPr>
          <w:p w14:paraId="6C5626F6" w14:textId="0BF72DCF" w:rsidR="000B6080" w:rsidRPr="008C55F3" w:rsidRDefault="000B6080" w:rsidP="1157A11E">
            <w:pPr>
              <w:pStyle w:val="TableTitle"/>
              <w:spacing w:line="259" w:lineRule="auto"/>
              <w:jc w:val="right"/>
              <w:rPr>
                <w:b w:val="0"/>
                <w:bCs/>
                <w:color w:val="auto"/>
                <w:sz w:val="20"/>
                <w:szCs w:val="20"/>
              </w:rPr>
            </w:pPr>
            <w:r w:rsidRPr="002E2D04">
              <w:rPr>
                <w:b w:val="0"/>
                <w:bCs/>
                <w:color w:val="auto"/>
                <w:sz w:val="20"/>
                <w:szCs w:val="20"/>
              </w:rPr>
              <w:t>12</w:t>
            </w:r>
          </w:p>
        </w:tc>
      </w:tr>
      <w:tr w:rsidR="000B6080" w:rsidRPr="00871385" w14:paraId="53A811F3" w14:textId="77777777" w:rsidTr="008C55F3">
        <w:trPr>
          <w:trHeight w:val="369"/>
          <w:tblHeader/>
        </w:trPr>
        <w:tc>
          <w:tcPr>
            <w:tcW w:w="2287" w:type="pct"/>
            <w:vMerge/>
            <w:vAlign w:val="center"/>
          </w:tcPr>
          <w:p w14:paraId="659A9EFA" w14:textId="77777777" w:rsidR="000B6080" w:rsidRPr="002E2D04" w:rsidRDefault="000B6080" w:rsidP="00750E46">
            <w:pPr>
              <w:pStyle w:val="TableTitle"/>
              <w:rPr>
                <w:color w:val="auto"/>
                <w:sz w:val="20"/>
                <w:szCs w:val="20"/>
              </w:rPr>
            </w:pPr>
          </w:p>
        </w:tc>
        <w:tc>
          <w:tcPr>
            <w:tcW w:w="1228" w:type="pct"/>
          </w:tcPr>
          <w:p w14:paraId="77D1BB87" w14:textId="77777777" w:rsidR="000B6080" w:rsidRPr="002E2D04" w:rsidRDefault="000B6080">
            <w:pPr>
              <w:pStyle w:val="TableTitle"/>
              <w:rPr>
                <w:color w:val="auto"/>
                <w:sz w:val="20"/>
                <w:szCs w:val="20"/>
              </w:rPr>
            </w:pPr>
            <w:r w:rsidRPr="00871385">
              <w:rPr>
                <w:b w:val="0"/>
                <w:bCs/>
                <w:sz w:val="20"/>
                <w:szCs w:val="20"/>
              </w:rPr>
              <w:t>Median</w:t>
            </w:r>
          </w:p>
        </w:tc>
        <w:tc>
          <w:tcPr>
            <w:tcW w:w="743" w:type="pct"/>
            <w:tcBorders>
              <w:bottom w:val="single" w:sz="4" w:space="0" w:color="auto"/>
            </w:tcBorders>
            <w:tcMar>
              <w:left w:w="170" w:type="dxa"/>
              <w:right w:w="170" w:type="dxa"/>
            </w:tcMar>
          </w:tcPr>
          <w:p w14:paraId="44141AA9" w14:textId="77777777" w:rsidR="000B6080" w:rsidRPr="002E2D04" w:rsidRDefault="000B6080">
            <w:pPr>
              <w:pStyle w:val="TableTitle"/>
              <w:jc w:val="right"/>
              <w:rPr>
                <w:b w:val="0"/>
                <w:bCs/>
                <w:color w:val="auto"/>
                <w:sz w:val="20"/>
                <w:szCs w:val="20"/>
              </w:rPr>
            </w:pPr>
            <w:r>
              <w:rPr>
                <w:b w:val="0"/>
                <w:bCs/>
                <w:color w:val="auto"/>
                <w:sz w:val="20"/>
                <w:szCs w:val="20"/>
              </w:rPr>
              <w:t>347</w:t>
            </w:r>
          </w:p>
        </w:tc>
        <w:tc>
          <w:tcPr>
            <w:tcW w:w="743" w:type="pct"/>
            <w:tcMar>
              <w:left w:w="170" w:type="dxa"/>
              <w:right w:w="170" w:type="dxa"/>
            </w:tcMar>
          </w:tcPr>
          <w:p w14:paraId="524F9F88" w14:textId="0943A199" w:rsidR="000B6080" w:rsidRPr="008C55F3" w:rsidRDefault="46B729CF" w:rsidP="1157A11E">
            <w:pPr>
              <w:pStyle w:val="TableTitle"/>
              <w:spacing w:line="259" w:lineRule="auto"/>
              <w:jc w:val="right"/>
              <w:rPr>
                <w:b w:val="0"/>
                <w:bCs/>
                <w:color w:val="auto"/>
                <w:sz w:val="20"/>
                <w:szCs w:val="20"/>
              </w:rPr>
            </w:pPr>
            <w:r w:rsidRPr="008C55F3">
              <w:rPr>
                <w:b w:val="0"/>
                <w:bCs/>
                <w:color w:val="auto"/>
                <w:sz w:val="20"/>
                <w:szCs w:val="20"/>
              </w:rPr>
              <w:t>12</w:t>
            </w:r>
          </w:p>
        </w:tc>
      </w:tr>
      <w:tr w:rsidR="000B6080" w:rsidRPr="00871385" w14:paraId="12DA7506" w14:textId="77777777" w:rsidTr="008C55F3">
        <w:trPr>
          <w:trHeight w:val="369"/>
          <w:tblHeader/>
        </w:trPr>
        <w:tc>
          <w:tcPr>
            <w:tcW w:w="2287" w:type="pct"/>
            <w:vMerge w:val="restart"/>
            <w:vAlign w:val="center"/>
          </w:tcPr>
          <w:p w14:paraId="41C77895" w14:textId="4C654F2D" w:rsidR="000B6080" w:rsidRPr="002E2D04" w:rsidRDefault="000B6080" w:rsidP="00750E46">
            <w:pPr>
              <w:pStyle w:val="TableTitle"/>
              <w:rPr>
                <w:color w:val="auto"/>
                <w:sz w:val="20"/>
                <w:szCs w:val="20"/>
              </w:rPr>
            </w:pPr>
            <w:r>
              <w:rPr>
                <w:color w:val="auto"/>
                <w:sz w:val="20"/>
                <w:szCs w:val="20"/>
              </w:rPr>
              <w:t>Assistive technology</w:t>
            </w:r>
          </w:p>
        </w:tc>
        <w:tc>
          <w:tcPr>
            <w:tcW w:w="1228" w:type="pct"/>
          </w:tcPr>
          <w:p w14:paraId="1C69D029" w14:textId="77777777" w:rsidR="000B6080" w:rsidRPr="002E2D04" w:rsidRDefault="000B6080">
            <w:pPr>
              <w:pStyle w:val="TableTitle"/>
              <w:rPr>
                <w:color w:val="auto"/>
                <w:sz w:val="20"/>
                <w:szCs w:val="20"/>
              </w:rPr>
            </w:pPr>
            <w:r w:rsidRPr="00871385">
              <w:rPr>
                <w:b w:val="0"/>
                <w:bCs/>
                <w:sz w:val="20"/>
                <w:szCs w:val="20"/>
              </w:rPr>
              <w:t>Average</w:t>
            </w:r>
          </w:p>
        </w:tc>
        <w:tc>
          <w:tcPr>
            <w:tcW w:w="743" w:type="pct"/>
            <w:tcBorders>
              <w:bottom w:val="single" w:sz="4" w:space="0" w:color="auto"/>
            </w:tcBorders>
            <w:tcMar>
              <w:left w:w="170" w:type="dxa"/>
              <w:right w:w="170" w:type="dxa"/>
            </w:tcMar>
          </w:tcPr>
          <w:p w14:paraId="22637B2E" w14:textId="77777777" w:rsidR="000B6080" w:rsidRPr="002E2D04" w:rsidRDefault="000B6080">
            <w:pPr>
              <w:pStyle w:val="TableTitle"/>
              <w:jc w:val="right"/>
              <w:rPr>
                <w:b w:val="0"/>
                <w:bCs/>
                <w:color w:val="auto"/>
                <w:sz w:val="20"/>
                <w:szCs w:val="20"/>
              </w:rPr>
            </w:pPr>
            <w:r>
              <w:rPr>
                <w:b w:val="0"/>
                <w:bCs/>
                <w:color w:val="auto"/>
                <w:sz w:val="20"/>
                <w:szCs w:val="20"/>
              </w:rPr>
              <w:t>123</w:t>
            </w:r>
          </w:p>
        </w:tc>
        <w:tc>
          <w:tcPr>
            <w:tcW w:w="743" w:type="pct"/>
            <w:tcMar>
              <w:left w:w="170" w:type="dxa"/>
              <w:right w:w="170" w:type="dxa"/>
            </w:tcMar>
          </w:tcPr>
          <w:p w14:paraId="5D7955B9" w14:textId="451DDECC" w:rsidR="000B6080" w:rsidRPr="008C55F3" w:rsidRDefault="000B6080" w:rsidP="1157A11E">
            <w:pPr>
              <w:pStyle w:val="TableTitle"/>
              <w:spacing w:line="259" w:lineRule="auto"/>
              <w:jc w:val="right"/>
              <w:rPr>
                <w:b w:val="0"/>
                <w:bCs/>
                <w:color w:val="auto"/>
                <w:sz w:val="20"/>
                <w:szCs w:val="20"/>
              </w:rPr>
            </w:pPr>
            <w:r>
              <w:rPr>
                <w:b w:val="0"/>
                <w:bCs/>
                <w:color w:val="auto"/>
                <w:sz w:val="20"/>
                <w:szCs w:val="20"/>
              </w:rPr>
              <w:t>4</w:t>
            </w:r>
          </w:p>
        </w:tc>
      </w:tr>
      <w:tr w:rsidR="000B6080" w:rsidRPr="00871385" w14:paraId="582B99E6" w14:textId="77777777" w:rsidTr="008C55F3">
        <w:trPr>
          <w:trHeight w:val="369"/>
          <w:tblHeader/>
        </w:trPr>
        <w:tc>
          <w:tcPr>
            <w:tcW w:w="2287" w:type="pct"/>
            <w:vMerge/>
            <w:vAlign w:val="center"/>
          </w:tcPr>
          <w:p w14:paraId="61C82059" w14:textId="77777777" w:rsidR="000B6080" w:rsidRPr="002E2D04" w:rsidRDefault="000B6080" w:rsidP="00750E46">
            <w:pPr>
              <w:pStyle w:val="TableTitle"/>
              <w:rPr>
                <w:color w:val="auto"/>
                <w:sz w:val="20"/>
                <w:szCs w:val="20"/>
              </w:rPr>
            </w:pPr>
          </w:p>
        </w:tc>
        <w:tc>
          <w:tcPr>
            <w:tcW w:w="1228" w:type="pct"/>
          </w:tcPr>
          <w:p w14:paraId="558DE6E0" w14:textId="77777777" w:rsidR="000B6080" w:rsidRPr="002E2D04" w:rsidRDefault="000B6080">
            <w:pPr>
              <w:pStyle w:val="TableTitle"/>
              <w:rPr>
                <w:color w:val="auto"/>
                <w:sz w:val="20"/>
                <w:szCs w:val="20"/>
              </w:rPr>
            </w:pPr>
            <w:r w:rsidRPr="00871385">
              <w:rPr>
                <w:b w:val="0"/>
                <w:bCs/>
                <w:sz w:val="20"/>
                <w:szCs w:val="20"/>
              </w:rPr>
              <w:t>Median</w:t>
            </w:r>
          </w:p>
        </w:tc>
        <w:tc>
          <w:tcPr>
            <w:tcW w:w="743" w:type="pct"/>
            <w:tcBorders>
              <w:bottom w:val="single" w:sz="4" w:space="0" w:color="auto"/>
            </w:tcBorders>
            <w:tcMar>
              <w:left w:w="170" w:type="dxa"/>
              <w:right w:w="170" w:type="dxa"/>
            </w:tcMar>
          </w:tcPr>
          <w:p w14:paraId="3FDEF279" w14:textId="77777777" w:rsidR="000B6080" w:rsidRPr="002E2D04" w:rsidRDefault="000B6080">
            <w:pPr>
              <w:pStyle w:val="TableTitle"/>
              <w:jc w:val="right"/>
              <w:rPr>
                <w:b w:val="0"/>
                <w:bCs/>
                <w:color w:val="auto"/>
                <w:sz w:val="20"/>
                <w:szCs w:val="20"/>
              </w:rPr>
            </w:pPr>
            <w:r>
              <w:rPr>
                <w:b w:val="0"/>
                <w:bCs/>
                <w:color w:val="auto"/>
                <w:sz w:val="20"/>
                <w:szCs w:val="20"/>
              </w:rPr>
              <w:t>101</w:t>
            </w:r>
          </w:p>
        </w:tc>
        <w:tc>
          <w:tcPr>
            <w:tcW w:w="743" w:type="pct"/>
            <w:tcMar>
              <w:left w:w="170" w:type="dxa"/>
              <w:right w:w="170" w:type="dxa"/>
            </w:tcMar>
          </w:tcPr>
          <w:p w14:paraId="6708D04A" w14:textId="31FFE0CF" w:rsidR="000B6080" w:rsidRPr="008C55F3" w:rsidRDefault="000B6080" w:rsidP="1157A11E">
            <w:pPr>
              <w:pStyle w:val="TableTitle"/>
              <w:spacing w:line="259" w:lineRule="auto"/>
              <w:jc w:val="right"/>
              <w:rPr>
                <w:b w:val="0"/>
                <w:bCs/>
                <w:color w:val="auto"/>
                <w:sz w:val="20"/>
                <w:szCs w:val="20"/>
              </w:rPr>
            </w:pPr>
            <w:r>
              <w:rPr>
                <w:b w:val="0"/>
                <w:bCs/>
                <w:color w:val="auto"/>
                <w:sz w:val="20"/>
                <w:szCs w:val="20"/>
              </w:rPr>
              <w:t>3</w:t>
            </w:r>
          </w:p>
        </w:tc>
      </w:tr>
      <w:tr w:rsidR="000B6080" w:rsidRPr="00871385" w14:paraId="6D1FCCD6" w14:textId="77777777" w:rsidTr="008C55F3">
        <w:trPr>
          <w:trHeight w:val="369"/>
          <w:tblHeader/>
        </w:trPr>
        <w:tc>
          <w:tcPr>
            <w:tcW w:w="2287" w:type="pct"/>
            <w:vMerge w:val="restart"/>
            <w:vAlign w:val="center"/>
          </w:tcPr>
          <w:p w14:paraId="1BBBDF6E" w14:textId="21555831" w:rsidR="000B6080" w:rsidRPr="002E2D04" w:rsidRDefault="000B6080" w:rsidP="00750E46">
            <w:pPr>
              <w:pStyle w:val="TableTitle"/>
              <w:rPr>
                <w:color w:val="auto"/>
                <w:sz w:val="20"/>
                <w:szCs w:val="20"/>
              </w:rPr>
            </w:pPr>
            <w:r>
              <w:rPr>
                <w:color w:val="auto"/>
                <w:sz w:val="20"/>
                <w:szCs w:val="20"/>
              </w:rPr>
              <w:t>Home modifications</w:t>
            </w:r>
          </w:p>
        </w:tc>
        <w:tc>
          <w:tcPr>
            <w:tcW w:w="1228" w:type="pct"/>
          </w:tcPr>
          <w:p w14:paraId="11772E65" w14:textId="77777777" w:rsidR="000B6080" w:rsidRPr="002E2D04" w:rsidRDefault="000B6080">
            <w:pPr>
              <w:pStyle w:val="TableTitle"/>
              <w:rPr>
                <w:color w:val="auto"/>
                <w:sz w:val="20"/>
                <w:szCs w:val="20"/>
              </w:rPr>
            </w:pPr>
            <w:r w:rsidRPr="00871385">
              <w:rPr>
                <w:b w:val="0"/>
                <w:bCs/>
                <w:sz w:val="20"/>
                <w:szCs w:val="20"/>
              </w:rPr>
              <w:t>Average</w:t>
            </w:r>
          </w:p>
        </w:tc>
        <w:tc>
          <w:tcPr>
            <w:tcW w:w="743" w:type="pct"/>
            <w:tcBorders>
              <w:bottom w:val="single" w:sz="4" w:space="0" w:color="auto"/>
            </w:tcBorders>
            <w:tcMar>
              <w:left w:w="170" w:type="dxa"/>
              <w:right w:w="170" w:type="dxa"/>
            </w:tcMar>
          </w:tcPr>
          <w:p w14:paraId="243B8B58" w14:textId="77777777" w:rsidR="000B6080" w:rsidRPr="002E2D04" w:rsidRDefault="000B6080">
            <w:pPr>
              <w:pStyle w:val="TableTitle"/>
              <w:jc w:val="right"/>
              <w:rPr>
                <w:b w:val="0"/>
                <w:bCs/>
                <w:color w:val="auto"/>
                <w:sz w:val="20"/>
                <w:szCs w:val="20"/>
              </w:rPr>
            </w:pPr>
            <w:r>
              <w:rPr>
                <w:b w:val="0"/>
                <w:bCs/>
                <w:color w:val="auto"/>
                <w:sz w:val="20"/>
                <w:szCs w:val="20"/>
              </w:rPr>
              <w:t>123</w:t>
            </w:r>
          </w:p>
        </w:tc>
        <w:tc>
          <w:tcPr>
            <w:tcW w:w="743" w:type="pct"/>
            <w:tcMar>
              <w:left w:w="170" w:type="dxa"/>
              <w:right w:w="170" w:type="dxa"/>
            </w:tcMar>
          </w:tcPr>
          <w:p w14:paraId="1B5D80B8" w14:textId="5CD5593D" w:rsidR="000B6080" w:rsidRPr="008C55F3" w:rsidRDefault="000B6080" w:rsidP="1157A11E">
            <w:pPr>
              <w:pStyle w:val="TableTitle"/>
              <w:spacing w:line="259" w:lineRule="auto"/>
              <w:jc w:val="right"/>
              <w:rPr>
                <w:b w:val="0"/>
                <w:bCs/>
                <w:color w:val="auto"/>
                <w:sz w:val="20"/>
                <w:szCs w:val="20"/>
              </w:rPr>
            </w:pPr>
            <w:r>
              <w:rPr>
                <w:b w:val="0"/>
                <w:bCs/>
                <w:color w:val="auto"/>
                <w:sz w:val="20"/>
                <w:szCs w:val="20"/>
              </w:rPr>
              <w:t>4</w:t>
            </w:r>
          </w:p>
        </w:tc>
      </w:tr>
      <w:tr w:rsidR="000B6080" w:rsidRPr="00871385" w14:paraId="637A3DDF" w14:textId="77777777" w:rsidTr="008C55F3">
        <w:trPr>
          <w:trHeight w:val="369"/>
          <w:tblHeader/>
        </w:trPr>
        <w:tc>
          <w:tcPr>
            <w:tcW w:w="2287" w:type="pct"/>
            <w:vMerge/>
          </w:tcPr>
          <w:p w14:paraId="78021E35" w14:textId="77777777" w:rsidR="000B6080" w:rsidRPr="002E2D04" w:rsidRDefault="000B6080">
            <w:pPr>
              <w:pStyle w:val="TableTitle"/>
              <w:rPr>
                <w:color w:val="auto"/>
                <w:sz w:val="20"/>
                <w:szCs w:val="20"/>
              </w:rPr>
            </w:pPr>
          </w:p>
        </w:tc>
        <w:tc>
          <w:tcPr>
            <w:tcW w:w="1228" w:type="pct"/>
          </w:tcPr>
          <w:p w14:paraId="044DC9D3" w14:textId="77777777" w:rsidR="000B6080" w:rsidRPr="002E2D04" w:rsidRDefault="000B6080">
            <w:pPr>
              <w:pStyle w:val="TableTitle"/>
              <w:rPr>
                <w:color w:val="auto"/>
                <w:sz w:val="20"/>
                <w:szCs w:val="20"/>
              </w:rPr>
            </w:pPr>
            <w:r w:rsidRPr="00871385">
              <w:rPr>
                <w:b w:val="0"/>
                <w:bCs/>
                <w:sz w:val="20"/>
                <w:szCs w:val="20"/>
              </w:rPr>
              <w:t>Median</w:t>
            </w:r>
          </w:p>
        </w:tc>
        <w:tc>
          <w:tcPr>
            <w:tcW w:w="743" w:type="pct"/>
            <w:tcBorders>
              <w:bottom w:val="single" w:sz="4" w:space="0" w:color="auto"/>
            </w:tcBorders>
            <w:tcMar>
              <w:left w:w="170" w:type="dxa"/>
              <w:right w:w="170" w:type="dxa"/>
            </w:tcMar>
          </w:tcPr>
          <w:p w14:paraId="37444CCA" w14:textId="77777777" w:rsidR="000B6080" w:rsidRPr="002E2D04" w:rsidRDefault="000B6080">
            <w:pPr>
              <w:pStyle w:val="TableTitle"/>
              <w:jc w:val="right"/>
              <w:rPr>
                <w:b w:val="0"/>
                <w:bCs/>
                <w:color w:val="auto"/>
                <w:sz w:val="20"/>
                <w:szCs w:val="20"/>
              </w:rPr>
            </w:pPr>
            <w:r>
              <w:rPr>
                <w:b w:val="0"/>
                <w:bCs/>
                <w:color w:val="auto"/>
                <w:sz w:val="20"/>
                <w:szCs w:val="20"/>
              </w:rPr>
              <w:t>102</w:t>
            </w:r>
          </w:p>
        </w:tc>
        <w:tc>
          <w:tcPr>
            <w:tcW w:w="743" w:type="pct"/>
            <w:tcMar>
              <w:left w:w="170" w:type="dxa"/>
              <w:right w:w="170" w:type="dxa"/>
            </w:tcMar>
          </w:tcPr>
          <w:p w14:paraId="5242B082" w14:textId="0784D188" w:rsidR="000B6080" w:rsidRPr="008C55F3" w:rsidRDefault="000B6080" w:rsidP="4EB3722B">
            <w:pPr>
              <w:pStyle w:val="TableTitle"/>
              <w:spacing w:line="259" w:lineRule="auto"/>
              <w:jc w:val="right"/>
              <w:rPr>
                <w:b w:val="0"/>
                <w:bCs/>
                <w:color w:val="auto"/>
                <w:sz w:val="20"/>
                <w:szCs w:val="20"/>
              </w:rPr>
            </w:pPr>
            <w:r>
              <w:rPr>
                <w:b w:val="0"/>
                <w:bCs/>
                <w:color w:val="auto"/>
                <w:sz w:val="20"/>
                <w:szCs w:val="20"/>
              </w:rPr>
              <w:t>3</w:t>
            </w:r>
          </w:p>
        </w:tc>
      </w:tr>
      <w:tr w:rsidR="000B6080" w:rsidRPr="00871385" w14:paraId="5C7B4AB9" w14:textId="77777777" w:rsidTr="008C55F3">
        <w:trPr>
          <w:trHeight w:val="369"/>
          <w:tblHeader/>
        </w:trPr>
        <w:tc>
          <w:tcPr>
            <w:tcW w:w="2287" w:type="pct"/>
            <w:vMerge w:val="restart"/>
            <w:vAlign w:val="center"/>
          </w:tcPr>
          <w:p w14:paraId="63A47B43" w14:textId="0836515D" w:rsidR="000B6080" w:rsidRPr="0048088B" w:rsidRDefault="000B6080">
            <w:pPr>
              <w:pStyle w:val="TableTitle"/>
              <w:rPr>
                <w:color w:val="auto"/>
                <w:sz w:val="20"/>
                <w:szCs w:val="20"/>
              </w:rPr>
            </w:pPr>
            <w:r w:rsidRPr="0048088B">
              <w:rPr>
                <w:color w:val="auto"/>
                <w:sz w:val="20"/>
                <w:szCs w:val="20"/>
              </w:rPr>
              <w:t>End</w:t>
            </w:r>
            <w:r w:rsidR="002A4C9B">
              <w:rPr>
                <w:color w:val="auto"/>
                <w:sz w:val="20"/>
                <w:szCs w:val="20"/>
              </w:rPr>
              <w:t>-</w:t>
            </w:r>
            <w:r w:rsidRPr="0048088B">
              <w:rPr>
                <w:color w:val="auto"/>
                <w:sz w:val="20"/>
                <w:szCs w:val="20"/>
              </w:rPr>
              <w:t>of</w:t>
            </w:r>
            <w:r w:rsidR="002A4C9B">
              <w:rPr>
                <w:color w:val="auto"/>
                <w:sz w:val="20"/>
                <w:szCs w:val="20"/>
              </w:rPr>
              <w:t>-</w:t>
            </w:r>
            <w:r w:rsidRPr="0048088B">
              <w:rPr>
                <w:color w:val="auto"/>
                <w:sz w:val="20"/>
                <w:szCs w:val="20"/>
              </w:rPr>
              <w:t>Life Pathway</w:t>
            </w:r>
          </w:p>
        </w:tc>
        <w:tc>
          <w:tcPr>
            <w:tcW w:w="1228" w:type="pct"/>
          </w:tcPr>
          <w:p w14:paraId="38199EB8" w14:textId="77777777" w:rsidR="000B6080" w:rsidRPr="00871385" w:rsidRDefault="000B6080">
            <w:pPr>
              <w:pStyle w:val="TableTitle"/>
              <w:rPr>
                <w:b w:val="0"/>
                <w:bCs/>
                <w:sz w:val="20"/>
                <w:szCs w:val="20"/>
              </w:rPr>
            </w:pPr>
            <w:r w:rsidRPr="00871385">
              <w:rPr>
                <w:b w:val="0"/>
                <w:bCs/>
                <w:sz w:val="20"/>
                <w:szCs w:val="20"/>
              </w:rPr>
              <w:t>Average</w:t>
            </w:r>
          </w:p>
        </w:tc>
        <w:tc>
          <w:tcPr>
            <w:tcW w:w="743" w:type="pct"/>
            <w:tcBorders>
              <w:top w:val="single" w:sz="4" w:space="0" w:color="auto"/>
              <w:left w:val="nil"/>
              <w:bottom w:val="single" w:sz="4" w:space="0" w:color="auto"/>
              <w:right w:val="single" w:sz="4" w:space="0" w:color="auto"/>
            </w:tcBorders>
            <w:tcMar>
              <w:left w:w="170" w:type="dxa"/>
              <w:right w:w="170" w:type="dxa"/>
            </w:tcMar>
            <w:vAlign w:val="bottom"/>
          </w:tcPr>
          <w:p w14:paraId="49EAC977" w14:textId="77777777" w:rsidR="000B6080" w:rsidRPr="006145BF" w:rsidRDefault="000B6080" w:rsidP="008C55F3">
            <w:pPr>
              <w:pStyle w:val="TableTitle"/>
              <w:jc w:val="right"/>
              <w:rPr>
                <w:sz w:val="20"/>
                <w:szCs w:val="20"/>
              </w:rPr>
            </w:pPr>
            <w:r w:rsidRPr="008C55F3">
              <w:rPr>
                <w:b w:val="0"/>
                <w:bCs/>
                <w:color w:val="auto"/>
                <w:sz w:val="20"/>
                <w:szCs w:val="20"/>
              </w:rPr>
              <w:t>35</w:t>
            </w:r>
          </w:p>
        </w:tc>
        <w:tc>
          <w:tcPr>
            <w:tcW w:w="743" w:type="pct"/>
            <w:tcMar>
              <w:left w:w="170" w:type="dxa"/>
              <w:right w:w="170" w:type="dxa"/>
            </w:tcMar>
          </w:tcPr>
          <w:p w14:paraId="4F3FC527" w14:textId="725EBDA3" w:rsidR="000B6080" w:rsidRPr="008C55F3" w:rsidRDefault="000B6080" w:rsidP="008C55F3">
            <w:pPr>
              <w:pStyle w:val="TableTitle"/>
              <w:jc w:val="right"/>
              <w:rPr>
                <w:b w:val="0"/>
                <w:bCs/>
                <w:color w:val="auto"/>
                <w:sz w:val="20"/>
                <w:szCs w:val="20"/>
              </w:rPr>
            </w:pPr>
            <w:r w:rsidRPr="008C55F3">
              <w:rPr>
                <w:b w:val="0"/>
                <w:bCs/>
                <w:color w:val="auto"/>
                <w:sz w:val="20"/>
                <w:szCs w:val="20"/>
              </w:rPr>
              <w:t>1</w:t>
            </w:r>
          </w:p>
        </w:tc>
      </w:tr>
      <w:tr w:rsidR="000B6080" w:rsidRPr="00871385" w14:paraId="30E72D6F" w14:textId="77777777" w:rsidTr="008C55F3">
        <w:trPr>
          <w:trHeight w:val="369"/>
          <w:tblHeader/>
        </w:trPr>
        <w:tc>
          <w:tcPr>
            <w:tcW w:w="2287" w:type="pct"/>
            <w:vMerge/>
            <w:vAlign w:val="center"/>
          </w:tcPr>
          <w:p w14:paraId="00EE8815" w14:textId="77777777" w:rsidR="000B6080" w:rsidRPr="0048088B" w:rsidRDefault="000B6080">
            <w:pPr>
              <w:pStyle w:val="TableTitle"/>
              <w:rPr>
                <w:color w:val="auto"/>
                <w:sz w:val="20"/>
                <w:szCs w:val="20"/>
              </w:rPr>
            </w:pPr>
          </w:p>
        </w:tc>
        <w:tc>
          <w:tcPr>
            <w:tcW w:w="1228" w:type="pct"/>
          </w:tcPr>
          <w:p w14:paraId="59E73E2E" w14:textId="77777777" w:rsidR="000B6080" w:rsidRPr="00871385" w:rsidRDefault="000B6080">
            <w:pPr>
              <w:pStyle w:val="TableTitle"/>
              <w:rPr>
                <w:b w:val="0"/>
                <w:bCs/>
                <w:sz w:val="20"/>
                <w:szCs w:val="20"/>
              </w:rPr>
            </w:pPr>
            <w:r w:rsidRPr="00871385">
              <w:rPr>
                <w:b w:val="0"/>
                <w:bCs/>
                <w:sz w:val="20"/>
                <w:szCs w:val="20"/>
              </w:rPr>
              <w:t>Median</w:t>
            </w:r>
          </w:p>
        </w:tc>
        <w:tc>
          <w:tcPr>
            <w:tcW w:w="743" w:type="pct"/>
            <w:tcBorders>
              <w:top w:val="single" w:sz="4" w:space="0" w:color="auto"/>
              <w:left w:val="nil"/>
              <w:bottom w:val="single" w:sz="4" w:space="0" w:color="auto"/>
              <w:right w:val="single" w:sz="4" w:space="0" w:color="auto"/>
            </w:tcBorders>
            <w:tcMar>
              <w:left w:w="170" w:type="dxa"/>
              <w:right w:w="170" w:type="dxa"/>
            </w:tcMar>
            <w:vAlign w:val="bottom"/>
          </w:tcPr>
          <w:p w14:paraId="17495F87" w14:textId="77777777" w:rsidR="000B6080" w:rsidRPr="006145BF" w:rsidRDefault="000B6080" w:rsidP="008C55F3">
            <w:pPr>
              <w:pStyle w:val="TableTitle"/>
              <w:jc w:val="right"/>
              <w:rPr>
                <w:sz w:val="20"/>
                <w:szCs w:val="20"/>
              </w:rPr>
            </w:pPr>
            <w:r w:rsidRPr="008C55F3">
              <w:rPr>
                <w:b w:val="0"/>
                <w:bCs/>
                <w:color w:val="auto"/>
                <w:sz w:val="20"/>
                <w:szCs w:val="20"/>
              </w:rPr>
              <w:t>15</w:t>
            </w:r>
          </w:p>
        </w:tc>
        <w:tc>
          <w:tcPr>
            <w:tcW w:w="743" w:type="pct"/>
            <w:tcMar>
              <w:left w:w="170" w:type="dxa"/>
              <w:right w:w="170" w:type="dxa"/>
            </w:tcMar>
          </w:tcPr>
          <w:p w14:paraId="74E283CC" w14:textId="60338700" w:rsidR="000B6080" w:rsidRPr="008C55F3" w:rsidRDefault="000C3F2A" w:rsidP="008C55F3">
            <w:pPr>
              <w:pStyle w:val="TableTitle"/>
              <w:jc w:val="right"/>
              <w:rPr>
                <w:b w:val="0"/>
                <w:bCs/>
                <w:color w:val="auto"/>
                <w:sz w:val="20"/>
                <w:szCs w:val="20"/>
              </w:rPr>
            </w:pPr>
            <w:r>
              <w:rPr>
                <w:b w:val="0"/>
                <w:bCs/>
                <w:color w:val="auto"/>
                <w:sz w:val="20"/>
                <w:szCs w:val="20"/>
              </w:rPr>
              <w:t>&lt;1</w:t>
            </w:r>
          </w:p>
        </w:tc>
      </w:tr>
      <w:tr w:rsidR="000B6080" w:rsidRPr="00871385" w14:paraId="6550E287" w14:textId="77777777" w:rsidTr="008C55F3">
        <w:trPr>
          <w:trHeight w:val="369"/>
          <w:tblHeader/>
        </w:trPr>
        <w:tc>
          <w:tcPr>
            <w:tcW w:w="2287" w:type="pct"/>
            <w:vMerge w:val="restart"/>
            <w:vAlign w:val="center"/>
          </w:tcPr>
          <w:p w14:paraId="2FC6CCC6" w14:textId="77777777" w:rsidR="000B6080" w:rsidRPr="0048088B" w:rsidRDefault="000B6080">
            <w:pPr>
              <w:pStyle w:val="TableTitle"/>
              <w:rPr>
                <w:color w:val="auto"/>
                <w:sz w:val="20"/>
                <w:szCs w:val="20"/>
              </w:rPr>
            </w:pPr>
            <w:r w:rsidRPr="0048088B">
              <w:rPr>
                <w:color w:val="auto"/>
                <w:sz w:val="20"/>
                <w:szCs w:val="20"/>
              </w:rPr>
              <w:t>Restorative Care Pathway</w:t>
            </w:r>
          </w:p>
        </w:tc>
        <w:tc>
          <w:tcPr>
            <w:tcW w:w="1228" w:type="pct"/>
          </w:tcPr>
          <w:p w14:paraId="78AA8C69" w14:textId="77777777" w:rsidR="000B6080" w:rsidRPr="00871385" w:rsidRDefault="000B6080">
            <w:pPr>
              <w:pStyle w:val="TableTitle"/>
              <w:rPr>
                <w:b w:val="0"/>
                <w:bCs/>
                <w:sz w:val="20"/>
                <w:szCs w:val="20"/>
              </w:rPr>
            </w:pPr>
            <w:r w:rsidRPr="00871385">
              <w:rPr>
                <w:b w:val="0"/>
                <w:bCs/>
                <w:sz w:val="20"/>
                <w:szCs w:val="20"/>
              </w:rPr>
              <w:t>Average</w:t>
            </w:r>
          </w:p>
        </w:tc>
        <w:tc>
          <w:tcPr>
            <w:tcW w:w="743" w:type="pct"/>
            <w:tcBorders>
              <w:top w:val="single" w:sz="4" w:space="0" w:color="auto"/>
              <w:left w:val="nil"/>
              <w:bottom w:val="single" w:sz="4" w:space="0" w:color="auto"/>
              <w:right w:val="single" w:sz="4" w:space="0" w:color="auto"/>
            </w:tcBorders>
            <w:tcMar>
              <w:left w:w="170" w:type="dxa"/>
              <w:right w:w="170" w:type="dxa"/>
            </w:tcMar>
            <w:vAlign w:val="bottom"/>
          </w:tcPr>
          <w:p w14:paraId="41D99919" w14:textId="77777777" w:rsidR="000B6080" w:rsidRPr="006145BF" w:rsidRDefault="000B6080" w:rsidP="008C55F3">
            <w:pPr>
              <w:pStyle w:val="TableTitle"/>
              <w:jc w:val="right"/>
              <w:rPr>
                <w:sz w:val="20"/>
                <w:szCs w:val="20"/>
              </w:rPr>
            </w:pPr>
            <w:r w:rsidRPr="008C55F3">
              <w:rPr>
                <w:b w:val="0"/>
                <w:bCs/>
                <w:color w:val="auto"/>
                <w:sz w:val="20"/>
                <w:szCs w:val="20"/>
              </w:rPr>
              <w:t>182</w:t>
            </w:r>
          </w:p>
        </w:tc>
        <w:tc>
          <w:tcPr>
            <w:tcW w:w="743" w:type="pct"/>
            <w:tcMar>
              <w:left w:w="170" w:type="dxa"/>
              <w:right w:w="170" w:type="dxa"/>
            </w:tcMar>
          </w:tcPr>
          <w:p w14:paraId="53D31EC9" w14:textId="739EDAEB" w:rsidR="000B6080" w:rsidRPr="008C55F3" w:rsidRDefault="000B6080" w:rsidP="008C55F3">
            <w:pPr>
              <w:pStyle w:val="TableTitle"/>
              <w:jc w:val="right"/>
              <w:rPr>
                <w:b w:val="0"/>
                <w:bCs/>
                <w:color w:val="auto"/>
                <w:sz w:val="20"/>
                <w:szCs w:val="20"/>
              </w:rPr>
            </w:pPr>
            <w:r w:rsidRPr="008C55F3">
              <w:rPr>
                <w:b w:val="0"/>
                <w:bCs/>
                <w:color w:val="auto"/>
                <w:sz w:val="20"/>
                <w:szCs w:val="20"/>
              </w:rPr>
              <w:t>6</w:t>
            </w:r>
          </w:p>
        </w:tc>
      </w:tr>
      <w:tr w:rsidR="000B6080" w:rsidRPr="00871385" w14:paraId="1A8B78E0" w14:textId="77777777" w:rsidTr="008C55F3">
        <w:trPr>
          <w:trHeight w:val="369"/>
          <w:tblHeader/>
        </w:trPr>
        <w:tc>
          <w:tcPr>
            <w:tcW w:w="2287" w:type="pct"/>
            <w:vMerge/>
            <w:vAlign w:val="center"/>
          </w:tcPr>
          <w:p w14:paraId="6B0F4941" w14:textId="77777777" w:rsidR="000B6080" w:rsidRPr="00871385" w:rsidRDefault="000B6080">
            <w:pPr>
              <w:pStyle w:val="TableTitle"/>
              <w:rPr>
                <w:sz w:val="20"/>
                <w:szCs w:val="20"/>
              </w:rPr>
            </w:pPr>
          </w:p>
        </w:tc>
        <w:tc>
          <w:tcPr>
            <w:tcW w:w="1228" w:type="pct"/>
          </w:tcPr>
          <w:p w14:paraId="447A3840" w14:textId="77777777" w:rsidR="000B6080" w:rsidRPr="00871385" w:rsidRDefault="000B6080">
            <w:pPr>
              <w:pStyle w:val="TableTitle"/>
              <w:rPr>
                <w:b w:val="0"/>
                <w:bCs/>
                <w:sz w:val="20"/>
                <w:szCs w:val="20"/>
              </w:rPr>
            </w:pPr>
            <w:r w:rsidRPr="00871385">
              <w:rPr>
                <w:b w:val="0"/>
                <w:bCs/>
                <w:sz w:val="20"/>
                <w:szCs w:val="20"/>
              </w:rPr>
              <w:t>Median</w:t>
            </w:r>
          </w:p>
        </w:tc>
        <w:tc>
          <w:tcPr>
            <w:tcW w:w="743" w:type="pct"/>
            <w:tcBorders>
              <w:top w:val="single" w:sz="4" w:space="0" w:color="auto"/>
              <w:left w:val="nil"/>
              <w:bottom w:val="single" w:sz="4" w:space="0" w:color="auto"/>
              <w:right w:val="single" w:sz="4" w:space="0" w:color="auto"/>
            </w:tcBorders>
            <w:tcMar>
              <w:left w:w="170" w:type="dxa"/>
              <w:right w:w="170" w:type="dxa"/>
            </w:tcMar>
            <w:vAlign w:val="bottom"/>
          </w:tcPr>
          <w:p w14:paraId="1FCCCFFC" w14:textId="77777777" w:rsidR="000B6080" w:rsidRPr="006145BF" w:rsidRDefault="000B6080" w:rsidP="008C55F3">
            <w:pPr>
              <w:pStyle w:val="TableTitle"/>
              <w:jc w:val="right"/>
              <w:rPr>
                <w:sz w:val="20"/>
                <w:szCs w:val="20"/>
              </w:rPr>
            </w:pPr>
            <w:r w:rsidRPr="008C55F3">
              <w:rPr>
                <w:b w:val="0"/>
                <w:bCs/>
                <w:color w:val="auto"/>
                <w:sz w:val="20"/>
                <w:szCs w:val="20"/>
              </w:rPr>
              <w:t>163</w:t>
            </w:r>
          </w:p>
        </w:tc>
        <w:tc>
          <w:tcPr>
            <w:tcW w:w="743" w:type="pct"/>
            <w:tcMar>
              <w:left w:w="170" w:type="dxa"/>
              <w:right w:w="170" w:type="dxa"/>
            </w:tcMar>
          </w:tcPr>
          <w:p w14:paraId="0F53BD22" w14:textId="64D2D2AA" w:rsidR="000B6080" w:rsidRPr="008C55F3" w:rsidRDefault="000B6080" w:rsidP="008C55F3">
            <w:pPr>
              <w:pStyle w:val="TableTitle"/>
              <w:jc w:val="right"/>
              <w:rPr>
                <w:b w:val="0"/>
                <w:bCs/>
                <w:color w:val="auto"/>
                <w:sz w:val="20"/>
                <w:szCs w:val="20"/>
              </w:rPr>
            </w:pPr>
            <w:r w:rsidRPr="008C55F3">
              <w:rPr>
                <w:b w:val="0"/>
                <w:bCs/>
                <w:color w:val="auto"/>
                <w:sz w:val="20"/>
                <w:szCs w:val="20"/>
              </w:rPr>
              <w:t>5</w:t>
            </w:r>
          </w:p>
        </w:tc>
      </w:tr>
    </w:tbl>
    <w:p w14:paraId="15FE1852" w14:textId="18E1E970" w:rsidR="00FC32D4" w:rsidRDefault="000B6080" w:rsidP="009D15AA">
      <w:r>
        <w:rPr>
          <w:noProof/>
        </w:rPr>
        <mc:AlternateContent>
          <mc:Choice Requires="wps">
            <w:drawing>
              <wp:anchor distT="45720" distB="45720" distL="114300" distR="114300" simplePos="0" relativeHeight="251658241" behindDoc="0" locked="0" layoutInCell="1" allowOverlap="1" wp14:anchorId="0E840656" wp14:editId="45BAE11A">
                <wp:simplePos x="0" y="0"/>
                <wp:positionH relativeFrom="page">
                  <wp:posOffset>935990</wp:posOffset>
                </wp:positionH>
                <wp:positionV relativeFrom="paragraph">
                  <wp:posOffset>340995</wp:posOffset>
                </wp:positionV>
                <wp:extent cx="5772150" cy="3496310"/>
                <wp:effectExtent l="0" t="0" r="19050" b="27940"/>
                <wp:wrapSquare wrapText="bothSides"/>
                <wp:docPr id="1864833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496310"/>
                        </a:xfrm>
                        <a:prstGeom prst="rect">
                          <a:avLst/>
                        </a:prstGeom>
                        <a:solidFill>
                          <a:schemeClr val="accent3">
                            <a:lumMod val="20000"/>
                            <a:lumOff val="80000"/>
                          </a:schemeClr>
                        </a:solidFill>
                        <a:ln w="9525">
                          <a:solidFill>
                            <a:srgbClr val="000000"/>
                          </a:solidFill>
                          <a:miter lim="800000"/>
                          <a:headEnd/>
                          <a:tailEnd/>
                        </a:ln>
                      </wps:spPr>
                      <wps:txbx>
                        <w:txbxContent>
                          <w:p w14:paraId="03D08AA2" w14:textId="77777777" w:rsidR="009D15AA" w:rsidRPr="00AE4B20" w:rsidRDefault="009D15AA" w:rsidP="009D15AA">
                            <w:pPr>
                              <w:rPr>
                                <w:szCs w:val="22"/>
                                <w:u w:val="single"/>
                              </w:rPr>
                            </w:pPr>
                            <w:r w:rsidRPr="00AE4B20">
                              <w:rPr>
                                <w:szCs w:val="22"/>
                                <w:u w:val="single"/>
                              </w:rPr>
                              <w:t>Key points</w:t>
                            </w:r>
                          </w:p>
                          <w:p w14:paraId="0220BD25" w14:textId="77777777" w:rsidR="00406AC9" w:rsidRDefault="00406AC9" w:rsidP="001A2CBE">
                            <w:pPr>
                              <w:pStyle w:val="ListParagraph"/>
                              <w:numPr>
                                <w:ilvl w:val="0"/>
                                <w:numId w:val="20"/>
                              </w:numPr>
                              <w:rPr>
                                <w:bCs/>
                                <w:szCs w:val="22"/>
                                <w:lang w:val="en-US"/>
                              </w:rPr>
                            </w:pPr>
                            <w:r w:rsidRPr="00406AC9">
                              <w:rPr>
                                <w:bCs/>
                                <w:szCs w:val="22"/>
                                <w:lang w:val="en-US"/>
                              </w:rPr>
                              <w:t xml:space="preserve">Residential care recorded the longest average elapsed times, at around 13–14 months, reflecting longer durations for a subset of people commencing care. </w:t>
                            </w:r>
                          </w:p>
                          <w:p w14:paraId="18188E78" w14:textId="445B6AE5" w:rsidR="001A2CBE" w:rsidRPr="001A2CBE" w:rsidRDefault="001A2CBE" w:rsidP="001A2CBE">
                            <w:pPr>
                              <w:pStyle w:val="ListParagraph"/>
                              <w:numPr>
                                <w:ilvl w:val="0"/>
                                <w:numId w:val="20"/>
                              </w:numPr>
                              <w:rPr>
                                <w:bCs/>
                                <w:szCs w:val="22"/>
                                <w:lang w:val="en-US"/>
                              </w:rPr>
                            </w:pPr>
                            <w:r w:rsidRPr="001A2CBE">
                              <w:rPr>
                                <w:bCs/>
                                <w:szCs w:val="22"/>
                                <w:lang w:val="en-US"/>
                              </w:rPr>
                              <w:t>Median waiting times in residential care are shorter (around 6 months), indicating that longer average waits are driven by outliers rather than typical experiences.</w:t>
                            </w:r>
                          </w:p>
                          <w:p w14:paraId="62709A2D" w14:textId="30EE37E9" w:rsidR="001A2CBE" w:rsidRPr="001A2CBE" w:rsidRDefault="001A2CBE" w:rsidP="001A2CBE">
                            <w:pPr>
                              <w:pStyle w:val="ListParagraph"/>
                              <w:numPr>
                                <w:ilvl w:val="0"/>
                                <w:numId w:val="20"/>
                              </w:numPr>
                              <w:rPr>
                                <w:bCs/>
                                <w:szCs w:val="22"/>
                                <w:lang w:val="en-US"/>
                              </w:rPr>
                            </w:pPr>
                            <w:r w:rsidRPr="001A2CBE">
                              <w:rPr>
                                <w:bCs/>
                                <w:szCs w:val="22"/>
                                <w:lang w:val="en-US"/>
                              </w:rPr>
                              <w:t>Home and community</w:t>
                            </w:r>
                            <w:r w:rsidRPr="001A2CBE">
                              <w:rPr>
                                <w:rFonts w:ascii="Cambria Math" w:hAnsi="Cambria Math" w:cs="Cambria Math"/>
                                <w:bCs/>
                                <w:szCs w:val="22"/>
                                <w:lang w:val="en-US"/>
                              </w:rPr>
                              <w:t>‑</w:t>
                            </w:r>
                            <w:r w:rsidRPr="001A2CBE">
                              <w:rPr>
                                <w:bCs/>
                                <w:szCs w:val="22"/>
                                <w:lang w:val="en-US"/>
                              </w:rPr>
                              <w:t>based services generally commence</w:t>
                            </w:r>
                            <w:r w:rsidR="00E738C8">
                              <w:rPr>
                                <w:bCs/>
                                <w:szCs w:val="22"/>
                                <w:lang w:val="en-US"/>
                              </w:rPr>
                              <w:t>d</w:t>
                            </w:r>
                            <w:r w:rsidRPr="001A2CBE">
                              <w:rPr>
                                <w:bCs/>
                                <w:szCs w:val="22"/>
                                <w:lang w:val="en-US"/>
                              </w:rPr>
                              <w:t xml:space="preserve"> more quickly, particularly priority pathways such as the End</w:t>
                            </w:r>
                            <w:r w:rsidR="002A4C9B">
                              <w:rPr>
                                <w:bCs/>
                                <w:szCs w:val="22"/>
                                <w:lang w:val="en-US"/>
                              </w:rPr>
                              <w:t>-</w:t>
                            </w:r>
                            <w:r w:rsidRPr="001A2CBE">
                              <w:rPr>
                                <w:bCs/>
                                <w:szCs w:val="22"/>
                                <w:lang w:val="en-US"/>
                              </w:rPr>
                              <w:t>of</w:t>
                            </w:r>
                            <w:r w:rsidR="002A4C9B">
                              <w:rPr>
                                <w:bCs/>
                                <w:szCs w:val="22"/>
                                <w:lang w:val="en-US"/>
                              </w:rPr>
                              <w:t>-</w:t>
                            </w:r>
                            <w:r w:rsidRPr="001A2CBE">
                              <w:rPr>
                                <w:bCs/>
                                <w:szCs w:val="22"/>
                                <w:lang w:val="en-US"/>
                              </w:rPr>
                              <w:t xml:space="preserve">Life Pathway (median </w:t>
                            </w:r>
                            <w:r w:rsidR="000C3F2A">
                              <w:rPr>
                                <w:bCs/>
                                <w:szCs w:val="22"/>
                                <w:lang w:val="en-US"/>
                              </w:rPr>
                              <w:t>less than 1</w:t>
                            </w:r>
                            <w:r w:rsidR="004452D6">
                              <w:rPr>
                                <w:bCs/>
                                <w:szCs w:val="22"/>
                                <w:lang w:val="en-US"/>
                              </w:rPr>
                              <w:t xml:space="preserve"> month</w:t>
                            </w:r>
                            <w:r w:rsidRPr="001A2CBE">
                              <w:rPr>
                                <w:bCs/>
                                <w:szCs w:val="22"/>
                                <w:lang w:val="en-US"/>
                              </w:rPr>
                              <w:t xml:space="preserve">) and </w:t>
                            </w:r>
                            <w:r w:rsidR="00C95AFC" w:rsidRPr="001A2CBE">
                              <w:rPr>
                                <w:bCs/>
                                <w:szCs w:val="22"/>
                                <w:lang w:val="en-US"/>
                              </w:rPr>
                              <w:t xml:space="preserve">Assistive Technology and Home Modifications </w:t>
                            </w:r>
                            <w:r w:rsidRPr="001A2CBE">
                              <w:rPr>
                                <w:bCs/>
                                <w:szCs w:val="22"/>
                                <w:lang w:val="en-US"/>
                              </w:rPr>
                              <w:t>(medians of around 3 months).</w:t>
                            </w:r>
                          </w:p>
                          <w:p w14:paraId="5F334320" w14:textId="7465814F" w:rsidR="00AD59E1" w:rsidRDefault="001A2CBE">
                            <w:pPr>
                              <w:pStyle w:val="ListParagraph"/>
                              <w:numPr>
                                <w:ilvl w:val="0"/>
                                <w:numId w:val="20"/>
                              </w:numPr>
                              <w:rPr>
                                <w:bCs/>
                                <w:szCs w:val="22"/>
                                <w:lang w:val="en-US"/>
                              </w:rPr>
                            </w:pPr>
                            <w:r w:rsidRPr="001A2CBE">
                              <w:rPr>
                                <w:bCs/>
                                <w:szCs w:val="22"/>
                                <w:lang w:val="en-US"/>
                              </w:rPr>
                              <w:t>Overall, service setting is a key driver of variation in time to care, reflecting differences in prioritisation, funding models, service availability, and participant choice between residential and home</w:t>
                            </w:r>
                            <w:r w:rsidRPr="001A2CBE">
                              <w:rPr>
                                <w:rFonts w:ascii="Cambria Math" w:hAnsi="Cambria Math" w:cs="Cambria Math"/>
                                <w:bCs/>
                                <w:szCs w:val="22"/>
                                <w:lang w:val="en-US"/>
                              </w:rPr>
                              <w:t>‑</w:t>
                            </w:r>
                            <w:r w:rsidRPr="001A2CBE">
                              <w:rPr>
                                <w:bCs/>
                                <w:szCs w:val="22"/>
                                <w:lang w:val="en-US"/>
                              </w:rPr>
                              <w:t>based care.</w:t>
                            </w:r>
                          </w:p>
                          <w:p w14:paraId="23A7BAE2" w14:textId="33D0C29C" w:rsidR="00AD59E1" w:rsidRPr="00B00F85" w:rsidRDefault="008046A9" w:rsidP="00B305CF">
                            <w:pPr>
                              <w:pStyle w:val="ListParagraph"/>
                              <w:numPr>
                                <w:ilvl w:val="0"/>
                                <w:numId w:val="20"/>
                              </w:numPr>
                              <w:rPr>
                                <w:bCs/>
                                <w:szCs w:val="22"/>
                                <w:lang w:val="en-US"/>
                              </w:rPr>
                            </w:pPr>
                            <w:r w:rsidRPr="00796DDD">
                              <w:rPr>
                                <w:bCs/>
                                <w:szCs w:val="22"/>
                                <w:lang w:val="en-US"/>
                              </w:rPr>
                              <w:t>For the immediate</w:t>
                            </w:r>
                            <w:r w:rsidRPr="00796DDD">
                              <w:rPr>
                                <w:rFonts w:ascii="Cambria Math" w:hAnsi="Cambria Math" w:cs="Cambria Math"/>
                                <w:bCs/>
                                <w:szCs w:val="22"/>
                                <w:lang w:val="en-US"/>
                              </w:rPr>
                              <w:t>‑</w:t>
                            </w:r>
                            <w:r w:rsidRPr="00796DDD">
                              <w:rPr>
                                <w:bCs/>
                                <w:szCs w:val="22"/>
                                <w:lang w:val="en-US"/>
                              </w:rPr>
                              <w:t>access care types End</w:t>
                            </w:r>
                            <w:r w:rsidR="002A4C9B" w:rsidRPr="00796DDD">
                              <w:rPr>
                                <w:bCs/>
                                <w:szCs w:val="22"/>
                                <w:lang w:val="en-US"/>
                              </w:rPr>
                              <w:t>-</w:t>
                            </w:r>
                            <w:r w:rsidRPr="00796DDD">
                              <w:rPr>
                                <w:bCs/>
                                <w:szCs w:val="22"/>
                                <w:lang w:val="en-US"/>
                              </w:rPr>
                              <w:t>of</w:t>
                            </w:r>
                            <w:r w:rsidR="002A4C9B" w:rsidRPr="00796DDD">
                              <w:rPr>
                                <w:bCs/>
                                <w:szCs w:val="22"/>
                                <w:lang w:val="en-US"/>
                              </w:rPr>
                              <w:t>-</w:t>
                            </w:r>
                            <w:r w:rsidRPr="00796DDD">
                              <w:rPr>
                                <w:bCs/>
                                <w:szCs w:val="22"/>
                                <w:lang w:val="en-US"/>
                              </w:rPr>
                              <w:t xml:space="preserve">Life and Restorative Care </w:t>
                            </w:r>
                            <w:r w:rsidR="002A4C9B" w:rsidRPr="00796DDD">
                              <w:rPr>
                                <w:bCs/>
                                <w:szCs w:val="22"/>
                                <w:lang w:val="en-US"/>
                              </w:rPr>
                              <w:t>Pathways</w:t>
                            </w:r>
                            <w:r w:rsidRPr="00796DDD">
                              <w:rPr>
                                <w:bCs/>
                                <w:szCs w:val="22"/>
                                <w:lang w:val="en-US"/>
                              </w:rPr>
                              <w:t xml:space="preserve">, the elapsed time to commence the Restorative Care </w:t>
                            </w:r>
                            <w:r w:rsidR="002A4C9B" w:rsidRPr="00796DDD">
                              <w:rPr>
                                <w:bCs/>
                                <w:szCs w:val="22"/>
                                <w:lang w:val="en-US"/>
                              </w:rPr>
                              <w:t xml:space="preserve">Pathway </w:t>
                            </w:r>
                            <w:r w:rsidRPr="00796DDD">
                              <w:rPr>
                                <w:bCs/>
                                <w:szCs w:val="22"/>
                                <w:lang w:val="en-US"/>
                              </w:rPr>
                              <w:t>is likely to be longer compared to End</w:t>
                            </w:r>
                            <w:r w:rsidR="002A4C9B" w:rsidRPr="00796DDD">
                              <w:rPr>
                                <w:bCs/>
                                <w:szCs w:val="22"/>
                                <w:lang w:val="en-US"/>
                              </w:rPr>
                              <w:t>-</w:t>
                            </w:r>
                            <w:r w:rsidRPr="00796DDD">
                              <w:rPr>
                                <w:bCs/>
                                <w:szCs w:val="22"/>
                                <w:lang w:val="en-US"/>
                              </w:rPr>
                              <w:t>of</w:t>
                            </w:r>
                            <w:r w:rsidR="002A4C9B" w:rsidRPr="00796DDD">
                              <w:rPr>
                                <w:bCs/>
                                <w:szCs w:val="22"/>
                                <w:lang w:val="en-US"/>
                              </w:rPr>
                              <w:t>-</w:t>
                            </w:r>
                            <w:r w:rsidRPr="00796DDD">
                              <w:rPr>
                                <w:bCs/>
                                <w:szCs w:val="22"/>
                                <w:lang w:val="en-US"/>
                              </w:rPr>
                              <w:t>Life. This is due to many participants holding converted approvals under the Short</w:t>
                            </w:r>
                            <w:r w:rsidRPr="00796DDD">
                              <w:rPr>
                                <w:rFonts w:ascii="Cambria Math" w:hAnsi="Cambria Math" w:cs="Cambria Math"/>
                                <w:bCs/>
                                <w:szCs w:val="22"/>
                                <w:lang w:val="en-US"/>
                              </w:rPr>
                              <w:t>‑</w:t>
                            </w:r>
                            <w:r w:rsidRPr="00796DDD">
                              <w:rPr>
                                <w:bCs/>
                                <w:szCs w:val="22"/>
                                <w:lang w:val="en-US"/>
                              </w:rPr>
                              <w:t>Term Restorative Care Programme, which operated under the Aged Care Act 1997 and ceased on 31 October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840656" id="Text Box 2" o:spid="_x0000_s1043" type="#_x0000_t202" style="position:absolute;margin-left:73.7pt;margin-top:26.85pt;width:454.5pt;height:275.3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" fillcolor="#bfe7ff [662]">
                <v:textbox>
                  <w:txbxContent>
                    <w:p w14:paraId="03D08AA2" w14:textId="77777777" w:rsidR="009D15AA" w:rsidRPr="00AE4B20" w:rsidRDefault="009D15AA" w:rsidP="009D15AA">
                      <w:pPr>
                        <w:rPr>
                          <w:szCs w:val="22"/>
                          <w:u w:val="single"/>
                        </w:rPr>
                      </w:pPr>
                      <w:r w:rsidRPr="00AE4B20">
                        <w:rPr>
                          <w:szCs w:val="22"/>
                          <w:u w:val="single"/>
                        </w:rPr>
                        <w:t>Key points</w:t>
                      </w:r>
                    </w:p>
                    <w:p w14:paraId="0220BD25" w14:textId="77777777" w:rsidR="00406AC9" w:rsidRDefault="00406AC9" w:rsidP="001A2CBE">
                      <w:pPr>
                        <w:pStyle w:val="ListParagraph"/>
                        <w:numPr>
                          <w:ilvl w:val="0"/>
                          <w:numId w:val="20"/>
                        </w:numPr>
                        <w:rPr>
                          <w:bCs/>
                          <w:szCs w:val="22"/>
                          <w:lang w:val="en-US"/>
                        </w:rPr>
                      </w:pPr>
                      <w:r w:rsidRPr="00406AC9">
                        <w:rPr>
                          <w:bCs/>
                          <w:szCs w:val="22"/>
                          <w:lang w:val="en-US"/>
                        </w:rPr>
                        <w:t xml:space="preserve">Residential care recorded the longest average elapsed times, at around 13–14 months, reflecting longer durations for a subset of people commencing care. </w:t>
                      </w:r>
                    </w:p>
                    <w:p w14:paraId="18188E78" w14:textId="445B6AE5" w:rsidR="001A2CBE" w:rsidRPr="001A2CBE" w:rsidRDefault="001A2CBE" w:rsidP="001A2CBE">
                      <w:pPr>
                        <w:pStyle w:val="ListParagraph"/>
                        <w:numPr>
                          <w:ilvl w:val="0"/>
                          <w:numId w:val="20"/>
                        </w:numPr>
                        <w:rPr>
                          <w:bCs/>
                          <w:szCs w:val="22"/>
                          <w:lang w:val="en-US"/>
                        </w:rPr>
                      </w:pPr>
                      <w:r w:rsidRPr="001A2CBE">
                        <w:rPr>
                          <w:bCs/>
                          <w:szCs w:val="22"/>
                          <w:lang w:val="en-US"/>
                        </w:rPr>
                        <w:t>Median waiting times in residential care are shorter (around 6 months), indicating that longer average waits are driven by outliers rather than typical experiences.</w:t>
                      </w:r>
                    </w:p>
                    <w:p w14:paraId="62709A2D" w14:textId="30EE37E9" w:rsidR="001A2CBE" w:rsidRPr="001A2CBE" w:rsidRDefault="001A2CBE" w:rsidP="001A2CBE">
                      <w:pPr>
                        <w:pStyle w:val="ListParagraph"/>
                        <w:numPr>
                          <w:ilvl w:val="0"/>
                          <w:numId w:val="20"/>
                        </w:numPr>
                        <w:rPr>
                          <w:bCs/>
                          <w:szCs w:val="22"/>
                          <w:lang w:val="en-US"/>
                        </w:rPr>
                      </w:pPr>
                      <w:r w:rsidRPr="001A2CBE">
                        <w:rPr>
                          <w:bCs/>
                          <w:szCs w:val="22"/>
                          <w:lang w:val="en-US"/>
                        </w:rPr>
                        <w:t>Home and community</w:t>
                      </w:r>
                      <w:r w:rsidRPr="001A2CBE">
                        <w:rPr>
                          <w:rFonts w:ascii="Cambria Math" w:hAnsi="Cambria Math" w:cs="Cambria Math"/>
                          <w:bCs/>
                          <w:szCs w:val="22"/>
                          <w:lang w:val="en-US"/>
                        </w:rPr>
                        <w:t>‑</w:t>
                      </w:r>
                      <w:r w:rsidRPr="001A2CBE">
                        <w:rPr>
                          <w:bCs/>
                          <w:szCs w:val="22"/>
                          <w:lang w:val="en-US"/>
                        </w:rPr>
                        <w:t>based services generally commence</w:t>
                      </w:r>
                      <w:r w:rsidR="00E738C8">
                        <w:rPr>
                          <w:bCs/>
                          <w:szCs w:val="22"/>
                          <w:lang w:val="en-US"/>
                        </w:rPr>
                        <w:t>d</w:t>
                      </w:r>
                      <w:r w:rsidRPr="001A2CBE">
                        <w:rPr>
                          <w:bCs/>
                          <w:szCs w:val="22"/>
                          <w:lang w:val="en-US"/>
                        </w:rPr>
                        <w:t xml:space="preserve"> more quickly, particularly priority pathways such as the End</w:t>
                      </w:r>
                      <w:r w:rsidR="002A4C9B">
                        <w:rPr>
                          <w:bCs/>
                          <w:szCs w:val="22"/>
                          <w:lang w:val="en-US"/>
                        </w:rPr>
                        <w:t>-</w:t>
                      </w:r>
                      <w:r w:rsidRPr="001A2CBE">
                        <w:rPr>
                          <w:bCs/>
                          <w:szCs w:val="22"/>
                          <w:lang w:val="en-US"/>
                        </w:rPr>
                        <w:t>of</w:t>
                      </w:r>
                      <w:r w:rsidR="002A4C9B">
                        <w:rPr>
                          <w:bCs/>
                          <w:szCs w:val="22"/>
                          <w:lang w:val="en-US"/>
                        </w:rPr>
                        <w:t>-</w:t>
                      </w:r>
                      <w:r w:rsidRPr="001A2CBE">
                        <w:rPr>
                          <w:bCs/>
                          <w:szCs w:val="22"/>
                          <w:lang w:val="en-US"/>
                        </w:rPr>
                        <w:t xml:space="preserve">Life Pathway (median </w:t>
                      </w:r>
                      <w:r w:rsidR="000C3F2A">
                        <w:rPr>
                          <w:bCs/>
                          <w:szCs w:val="22"/>
                          <w:lang w:val="en-US"/>
                        </w:rPr>
                        <w:t>less than 1</w:t>
                      </w:r>
                      <w:r w:rsidR="004452D6">
                        <w:rPr>
                          <w:bCs/>
                          <w:szCs w:val="22"/>
                          <w:lang w:val="en-US"/>
                        </w:rPr>
                        <w:t xml:space="preserve"> month</w:t>
                      </w:r>
                      <w:r w:rsidRPr="001A2CBE">
                        <w:rPr>
                          <w:bCs/>
                          <w:szCs w:val="22"/>
                          <w:lang w:val="en-US"/>
                        </w:rPr>
                        <w:t xml:space="preserve">) and </w:t>
                      </w:r>
                      <w:r w:rsidR="00C95AFC" w:rsidRPr="001A2CBE">
                        <w:rPr>
                          <w:bCs/>
                          <w:szCs w:val="22"/>
                          <w:lang w:val="en-US"/>
                        </w:rPr>
                        <w:t xml:space="preserve">Assistive Technology and Home Modifications </w:t>
                      </w:r>
                      <w:r w:rsidRPr="001A2CBE">
                        <w:rPr>
                          <w:bCs/>
                          <w:szCs w:val="22"/>
                          <w:lang w:val="en-US"/>
                        </w:rPr>
                        <w:t>(medians of around 3 months).</w:t>
                      </w:r>
                    </w:p>
                    <w:p w14:paraId="5F334320" w14:textId="7465814F" w:rsidR="00AD59E1" w:rsidRDefault="001A2CBE">
                      <w:pPr>
                        <w:pStyle w:val="ListParagraph"/>
                        <w:numPr>
                          <w:ilvl w:val="0"/>
                          <w:numId w:val="20"/>
                        </w:numPr>
                        <w:rPr>
                          <w:bCs/>
                          <w:szCs w:val="22"/>
                          <w:lang w:val="en-US"/>
                        </w:rPr>
                      </w:pPr>
                      <w:r w:rsidRPr="001A2CBE">
                        <w:rPr>
                          <w:bCs/>
                          <w:szCs w:val="22"/>
                          <w:lang w:val="en-US"/>
                        </w:rPr>
                        <w:t>Overall, service setting is a key driver of variation in time to care, reflecting differences in prioritisation, funding models, service availability, and participant choice between residential and home</w:t>
                      </w:r>
                      <w:r w:rsidRPr="001A2CBE">
                        <w:rPr>
                          <w:rFonts w:ascii="Cambria Math" w:hAnsi="Cambria Math" w:cs="Cambria Math"/>
                          <w:bCs/>
                          <w:szCs w:val="22"/>
                          <w:lang w:val="en-US"/>
                        </w:rPr>
                        <w:t>‑</w:t>
                      </w:r>
                      <w:r w:rsidRPr="001A2CBE">
                        <w:rPr>
                          <w:bCs/>
                          <w:szCs w:val="22"/>
                          <w:lang w:val="en-US"/>
                        </w:rPr>
                        <w:t>based care.</w:t>
                      </w:r>
                    </w:p>
                    <w:p w14:paraId="23A7BAE2" w14:textId="33D0C29C" w:rsidR="00AD59E1" w:rsidRPr="00B00F85" w:rsidRDefault="008046A9" w:rsidP="00B305CF">
                      <w:pPr>
                        <w:pStyle w:val="ListParagraph"/>
                        <w:numPr>
                          <w:ilvl w:val="0"/>
                          <w:numId w:val="20"/>
                        </w:numPr>
                        <w:rPr>
                          <w:bCs/>
                          <w:szCs w:val="22"/>
                          <w:lang w:val="en-US"/>
                        </w:rPr>
                      </w:pPr>
                      <w:r w:rsidRPr="00796DDD">
                        <w:rPr>
                          <w:bCs/>
                          <w:szCs w:val="22"/>
                          <w:lang w:val="en-US"/>
                        </w:rPr>
                        <w:t>For the immediate</w:t>
                      </w:r>
                      <w:r w:rsidRPr="00796DDD">
                        <w:rPr>
                          <w:rFonts w:ascii="Cambria Math" w:hAnsi="Cambria Math" w:cs="Cambria Math"/>
                          <w:bCs/>
                          <w:szCs w:val="22"/>
                          <w:lang w:val="en-US"/>
                        </w:rPr>
                        <w:t>‑</w:t>
                      </w:r>
                      <w:r w:rsidRPr="00796DDD">
                        <w:rPr>
                          <w:bCs/>
                          <w:szCs w:val="22"/>
                          <w:lang w:val="en-US"/>
                        </w:rPr>
                        <w:t>access care types End</w:t>
                      </w:r>
                      <w:r w:rsidR="002A4C9B" w:rsidRPr="00796DDD">
                        <w:rPr>
                          <w:bCs/>
                          <w:szCs w:val="22"/>
                          <w:lang w:val="en-US"/>
                        </w:rPr>
                        <w:t>-</w:t>
                      </w:r>
                      <w:r w:rsidRPr="00796DDD">
                        <w:rPr>
                          <w:bCs/>
                          <w:szCs w:val="22"/>
                          <w:lang w:val="en-US"/>
                        </w:rPr>
                        <w:t>of</w:t>
                      </w:r>
                      <w:r w:rsidR="002A4C9B" w:rsidRPr="00796DDD">
                        <w:rPr>
                          <w:bCs/>
                          <w:szCs w:val="22"/>
                          <w:lang w:val="en-US"/>
                        </w:rPr>
                        <w:t>-</w:t>
                      </w:r>
                      <w:r w:rsidRPr="00796DDD">
                        <w:rPr>
                          <w:bCs/>
                          <w:szCs w:val="22"/>
                          <w:lang w:val="en-US"/>
                        </w:rPr>
                        <w:t xml:space="preserve">Life and Restorative Care </w:t>
                      </w:r>
                      <w:r w:rsidR="002A4C9B" w:rsidRPr="00796DDD">
                        <w:rPr>
                          <w:bCs/>
                          <w:szCs w:val="22"/>
                          <w:lang w:val="en-US"/>
                        </w:rPr>
                        <w:t>Pathways</w:t>
                      </w:r>
                      <w:r w:rsidRPr="00796DDD">
                        <w:rPr>
                          <w:bCs/>
                          <w:szCs w:val="22"/>
                          <w:lang w:val="en-US"/>
                        </w:rPr>
                        <w:t xml:space="preserve">, the elapsed time to commence the Restorative Care </w:t>
                      </w:r>
                      <w:r w:rsidR="002A4C9B" w:rsidRPr="00796DDD">
                        <w:rPr>
                          <w:bCs/>
                          <w:szCs w:val="22"/>
                          <w:lang w:val="en-US"/>
                        </w:rPr>
                        <w:t xml:space="preserve">Pathway </w:t>
                      </w:r>
                      <w:r w:rsidRPr="00796DDD">
                        <w:rPr>
                          <w:bCs/>
                          <w:szCs w:val="22"/>
                          <w:lang w:val="en-US"/>
                        </w:rPr>
                        <w:t>is likely to be longer compared to End</w:t>
                      </w:r>
                      <w:r w:rsidR="002A4C9B" w:rsidRPr="00796DDD">
                        <w:rPr>
                          <w:bCs/>
                          <w:szCs w:val="22"/>
                          <w:lang w:val="en-US"/>
                        </w:rPr>
                        <w:t>-</w:t>
                      </w:r>
                      <w:r w:rsidRPr="00796DDD">
                        <w:rPr>
                          <w:bCs/>
                          <w:szCs w:val="22"/>
                          <w:lang w:val="en-US"/>
                        </w:rPr>
                        <w:t>of</w:t>
                      </w:r>
                      <w:r w:rsidR="002A4C9B" w:rsidRPr="00796DDD">
                        <w:rPr>
                          <w:bCs/>
                          <w:szCs w:val="22"/>
                          <w:lang w:val="en-US"/>
                        </w:rPr>
                        <w:t>-</w:t>
                      </w:r>
                      <w:r w:rsidRPr="00796DDD">
                        <w:rPr>
                          <w:bCs/>
                          <w:szCs w:val="22"/>
                          <w:lang w:val="en-US"/>
                        </w:rPr>
                        <w:t>Life. This is due to many participants holding converted approvals under the Short</w:t>
                      </w:r>
                      <w:r w:rsidRPr="00796DDD">
                        <w:rPr>
                          <w:rFonts w:ascii="Cambria Math" w:hAnsi="Cambria Math" w:cs="Cambria Math"/>
                          <w:bCs/>
                          <w:szCs w:val="22"/>
                          <w:lang w:val="en-US"/>
                        </w:rPr>
                        <w:t>‑</w:t>
                      </w:r>
                      <w:r w:rsidRPr="00796DDD">
                        <w:rPr>
                          <w:bCs/>
                          <w:szCs w:val="22"/>
                          <w:lang w:val="en-US"/>
                        </w:rPr>
                        <w:t>Term Restorative Care Programme, which operated under the Aged Care Act 1997 and ceased on 31 October 2025.</w:t>
                      </w:r>
                    </w:p>
                  </w:txbxContent>
                </v:textbox>
                <w10:wrap type="square" anchorx="page"/>
              </v:shape>
            </w:pict>
          </mc:Fallback>
        </mc:AlternateContent>
      </w:r>
    </w:p>
    <w:p w14:paraId="2D5308A1" w14:textId="129E4055" w:rsidR="00205C23" w:rsidRPr="00A74B06" w:rsidRDefault="00A74B06" w:rsidP="00A74B06">
      <w:pPr>
        <w:pStyle w:val="Heading1"/>
        <w:numPr>
          <w:ilvl w:val="0"/>
          <w:numId w:val="26"/>
        </w:numPr>
        <w:ind w:left="567" w:hanging="567"/>
      </w:pPr>
      <w:bookmarkStart w:id="32" w:name="_Toc229480663"/>
      <w:r w:rsidRPr="00A74B06">
        <w:lastRenderedPageBreak/>
        <w:t>Assessment of differences by State or Territory</w:t>
      </w:r>
      <w:bookmarkEnd w:id="32"/>
      <w:r w:rsidRPr="00A74B06">
        <w:t xml:space="preserve"> </w:t>
      </w:r>
    </w:p>
    <w:p w14:paraId="6BCCC0F2" w14:textId="00F17B9F" w:rsidR="00E85922" w:rsidRDefault="00ED3D4B" w:rsidP="00CA0247">
      <w:pPr>
        <w:pStyle w:val="Heading2"/>
        <w:numPr>
          <w:ilvl w:val="1"/>
          <w:numId w:val="26"/>
        </w:numPr>
      </w:pPr>
      <w:bookmarkStart w:id="33" w:name="_Toc229480664"/>
      <w:r>
        <w:t>Elapsed time</w:t>
      </w:r>
      <w:r w:rsidRPr="00201BFE">
        <w:t xml:space="preserve"> </w:t>
      </w:r>
      <w:r w:rsidR="00201BFE" w:rsidRPr="00201BFE">
        <w:t>by State and Territory of service delivery</w:t>
      </w:r>
      <w:r w:rsidR="00201BFE">
        <w:t xml:space="preserve"> </w:t>
      </w:r>
      <w:r w:rsidR="00E85922" w:rsidRPr="00E85922">
        <w:t>(342A(2)(e))</w:t>
      </w:r>
      <w:bookmarkEnd w:id="33"/>
    </w:p>
    <w:p w14:paraId="1E115972" w14:textId="77777777" w:rsidR="00D16821" w:rsidRDefault="00ED3D4B" w:rsidP="00D16821">
      <w:pPr>
        <w:pStyle w:val="Boxtype"/>
        <w:pBdr>
          <w:right w:val="single" w:sz="6" w:space="0" w:color="358189"/>
        </w:pBdr>
        <w:rPr>
          <w:szCs w:val="22"/>
          <w:lang w:val="en-AU"/>
        </w:rPr>
      </w:pPr>
      <w:r w:rsidRPr="00ED3D4B">
        <w:rPr>
          <w:szCs w:val="22"/>
          <w:lang w:val="en-AU"/>
        </w:rPr>
        <w:t>This section compares elapsed time for non</w:t>
      </w:r>
      <w:r w:rsidRPr="00ED3D4B">
        <w:rPr>
          <w:rFonts w:ascii="Cambria Math" w:hAnsi="Cambria Math" w:cs="Cambria Math"/>
          <w:szCs w:val="22"/>
          <w:lang w:val="en-AU"/>
        </w:rPr>
        <w:t>‑</w:t>
      </w:r>
      <w:r w:rsidRPr="00ED3D4B">
        <w:rPr>
          <w:szCs w:val="22"/>
          <w:lang w:val="en-AU"/>
        </w:rPr>
        <w:t>specialist services across Australian jurisdictions, including average and median days between application and service commencement.</w:t>
      </w:r>
      <w:r w:rsidR="00D16821" w:rsidRPr="00D16821">
        <w:rPr>
          <w:szCs w:val="22"/>
          <w:lang w:val="en-AU"/>
        </w:rPr>
        <w:t xml:space="preserve"> </w:t>
      </w:r>
    </w:p>
    <w:p w14:paraId="2D4B1967" w14:textId="7E0EEFC5" w:rsidR="00D16821" w:rsidRPr="00646260" w:rsidRDefault="00D16821" w:rsidP="00D16821">
      <w:pPr>
        <w:pStyle w:val="Boxtype"/>
        <w:pBdr>
          <w:right w:val="single" w:sz="6" w:space="0" w:color="358189"/>
        </w:pBdr>
        <w:rPr>
          <w:szCs w:val="22"/>
          <w:lang w:val="en-AU"/>
        </w:rPr>
      </w:pPr>
      <w:r w:rsidRPr="00646260">
        <w:rPr>
          <w:szCs w:val="22"/>
          <w:lang w:val="en-AU"/>
        </w:rPr>
        <w:t xml:space="preserve">The data below presents the elapsed time for this cohort from applying through </w:t>
      </w:r>
      <w:r w:rsidRPr="00F21DFB">
        <w:rPr>
          <w:i/>
          <w:iCs/>
          <w:szCs w:val="22"/>
          <w:lang w:val="en-AU"/>
        </w:rPr>
        <w:t>My Aged Care</w:t>
      </w:r>
      <w:r w:rsidRPr="00646260">
        <w:rPr>
          <w:szCs w:val="22"/>
          <w:lang w:val="en-AU"/>
        </w:rPr>
        <w:t xml:space="preserve"> to assessment, allocation of funded services, and commencement of care.</w:t>
      </w:r>
    </w:p>
    <w:p w14:paraId="376F7D67" w14:textId="02C245CC" w:rsidR="00D16821" w:rsidRPr="00D16821" w:rsidRDefault="00D16821" w:rsidP="00D16821">
      <w:pPr>
        <w:pStyle w:val="Boxtype"/>
        <w:pBdr>
          <w:right w:val="single" w:sz="6" w:space="0" w:color="358189"/>
        </w:pBdr>
        <w:rPr>
          <w:szCs w:val="22"/>
          <w:lang w:val="en-AU"/>
        </w:rPr>
      </w:pPr>
      <w:r w:rsidRPr="00646260">
        <w:rPr>
          <w:szCs w:val="22"/>
          <w:lang w:val="en-AU"/>
        </w:rPr>
        <w:t>Please note: Time from allocation to service commencement may be influenced by individual choice, provider availability, and system-level factors.</w:t>
      </w:r>
    </w:p>
    <w:p w14:paraId="601D42D6" w14:textId="0C08AD97" w:rsidR="00CC7B68" w:rsidRDefault="00CC7B68" w:rsidP="0031040B">
      <w:pPr>
        <w:pStyle w:val="Heading4"/>
      </w:pPr>
      <w:bookmarkStart w:id="34" w:name="_Toc229480665"/>
      <w:r>
        <w:t xml:space="preserve">Table </w:t>
      </w:r>
      <w:r w:rsidR="00AA56A4">
        <w:t>5</w:t>
      </w:r>
      <w:r>
        <w:t xml:space="preserve">: </w:t>
      </w:r>
      <w:r w:rsidRPr="00D80F94">
        <w:t xml:space="preserve">Average </w:t>
      </w:r>
      <w:r>
        <w:t xml:space="preserve">and median </w:t>
      </w:r>
      <w:r w:rsidRPr="00D80F94">
        <w:t>number of days between application and commencement of services</w:t>
      </w:r>
      <w:r>
        <w:t xml:space="preserve"> by jurisdiction</w:t>
      </w:r>
      <w:bookmarkEnd w:id="34"/>
    </w:p>
    <w:tbl>
      <w:tblPr>
        <w:tblpPr w:leftFromText="180" w:rightFromText="180" w:vertAnchor="text" w:horzAnchor="margin" w:tblpY="181"/>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20"/>
        <w:gridCol w:w="696"/>
        <w:gridCol w:w="697"/>
        <w:gridCol w:w="696"/>
        <w:gridCol w:w="697"/>
        <w:gridCol w:w="696"/>
        <w:gridCol w:w="697"/>
        <w:gridCol w:w="696"/>
        <w:gridCol w:w="697"/>
        <w:gridCol w:w="697"/>
      </w:tblGrid>
      <w:tr w:rsidR="009549CC" w:rsidRPr="004E3CD4" w14:paraId="6EEAA4D7" w14:textId="77777777" w:rsidTr="000C3F2A">
        <w:trPr>
          <w:trHeight w:val="369"/>
        </w:trPr>
        <w:tc>
          <w:tcPr>
            <w:tcW w:w="1271" w:type="dxa"/>
            <w:vMerge w:val="restart"/>
            <w:shd w:val="clear" w:color="auto" w:fill="3F4A75" w:themeFill="accent1"/>
          </w:tcPr>
          <w:p w14:paraId="6E89066F" w14:textId="77777777" w:rsidR="009549CC" w:rsidRPr="004E3CD4" w:rsidRDefault="009549CC" w:rsidP="000C3F2A">
            <w:pPr>
              <w:spacing w:line="240" w:lineRule="auto"/>
              <w:rPr>
                <w:b/>
                <w:color w:val="FFFFFF" w:themeColor="background1"/>
                <w:sz w:val="20"/>
                <w:szCs w:val="20"/>
                <w:lang w:val="en-US"/>
              </w:rPr>
            </w:pPr>
            <w:r w:rsidRPr="004E3CD4">
              <w:rPr>
                <w:b/>
                <w:color w:val="FFFFFF" w:themeColor="background1"/>
                <w:sz w:val="20"/>
                <w:szCs w:val="20"/>
                <w:lang w:val="en-US"/>
              </w:rPr>
              <w:t>Service Type</w:t>
            </w:r>
          </w:p>
        </w:tc>
        <w:tc>
          <w:tcPr>
            <w:tcW w:w="1520" w:type="dxa"/>
            <w:vMerge w:val="restart"/>
            <w:shd w:val="clear" w:color="auto" w:fill="3F4A75" w:themeFill="accent1"/>
          </w:tcPr>
          <w:p w14:paraId="19C8C776" w14:textId="50FB56E2" w:rsidR="009549CC" w:rsidRDefault="009549CC" w:rsidP="000C3F2A">
            <w:pPr>
              <w:spacing w:line="240" w:lineRule="auto"/>
              <w:rPr>
                <w:b/>
                <w:color w:val="FFFFFF" w:themeColor="background1"/>
                <w:sz w:val="20"/>
                <w:szCs w:val="20"/>
                <w:lang w:val="en-US"/>
              </w:rPr>
            </w:pPr>
            <w:r>
              <w:rPr>
                <w:b/>
                <w:color w:val="FFFFFF" w:themeColor="background1"/>
                <w:sz w:val="20"/>
                <w:szCs w:val="20"/>
                <w:lang w:val="en-US"/>
              </w:rPr>
              <w:t>Measurement</w:t>
            </w:r>
          </w:p>
        </w:tc>
        <w:tc>
          <w:tcPr>
            <w:tcW w:w="6269" w:type="dxa"/>
            <w:gridSpan w:val="9"/>
            <w:tcBorders>
              <w:bottom w:val="single" w:sz="4" w:space="0" w:color="auto"/>
            </w:tcBorders>
            <w:shd w:val="clear" w:color="auto" w:fill="3F4A75" w:themeFill="accent1"/>
          </w:tcPr>
          <w:p w14:paraId="4698CC83" w14:textId="2075C7C5" w:rsidR="009549CC" w:rsidRPr="004E3CD4" w:rsidRDefault="009549CC" w:rsidP="000C3F2A">
            <w:pPr>
              <w:spacing w:line="240" w:lineRule="auto"/>
              <w:jc w:val="center"/>
              <w:rPr>
                <w:b/>
                <w:color w:val="FFFFFF" w:themeColor="background1"/>
                <w:sz w:val="20"/>
                <w:szCs w:val="20"/>
                <w:lang w:val="en-US"/>
              </w:rPr>
            </w:pPr>
            <w:r>
              <w:rPr>
                <w:b/>
                <w:color w:val="FFFFFF" w:themeColor="background1"/>
                <w:sz w:val="20"/>
                <w:szCs w:val="20"/>
                <w:lang w:val="en-US"/>
              </w:rPr>
              <w:t>Days</w:t>
            </w:r>
          </w:p>
        </w:tc>
      </w:tr>
      <w:tr w:rsidR="009549CC" w:rsidRPr="004E3CD4" w14:paraId="1B9BB966" w14:textId="77777777" w:rsidTr="000C3F2A">
        <w:trPr>
          <w:trHeight w:val="369"/>
        </w:trPr>
        <w:tc>
          <w:tcPr>
            <w:tcW w:w="1271" w:type="dxa"/>
            <w:vMerge/>
          </w:tcPr>
          <w:p w14:paraId="3AC2B17C" w14:textId="77777777" w:rsidR="009549CC" w:rsidRPr="004E3CD4" w:rsidRDefault="009549CC" w:rsidP="000C3F2A">
            <w:pPr>
              <w:spacing w:line="240" w:lineRule="auto"/>
              <w:rPr>
                <w:b/>
                <w:color w:val="FFFFFF" w:themeColor="background1"/>
                <w:sz w:val="20"/>
                <w:szCs w:val="20"/>
                <w:lang w:val="en-US"/>
              </w:rPr>
            </w:pPr>
          </w:p>
        </w:tc>
        <w:tc>
          <w:tcPr>
            <w:tcW w:w="1520" w:type="dxa"/>
            <w:vMerge/>
          </w:tcPr>
          <w:p w14:paraId="5A1FB2BE" w14:textId="77777777" w:rsidR="009549CC" w:rsidRPr="004E3CD4" w:rsidRDefault="009549CC" w:rsidP="000C3F2A">
            <w:pPr>
              <w:spacing w:line="240" w:lineRule="auto"/>
              <w:rPr>
                <w:b/>
                <w:color w:val="FFFFFF" w:themeColor="background1"/>
                <w:sz w:val="20"/>
                <w:szCs w:val="20"/>
                <w:lang w:val="en-US"/>
              </w:rPr>
            </w:pPr>
          </w:p>
        </w:tc>
        <w:tc>
          <w:tcPr>
            <w:tcW w:w="696" w:type="dxa"/>
            <w:tcBorders>
              <w:bottom w:val="single" w:sz="4" w:space="0" w:color="auto"/>
            </w:tcBorders>
            <w:shd w:val="clear" w:color="auto" w:fill="3F4A75" w:themeFill="accent1"/>
          </w:tcPr>
          <w:p w14:paraId="0D1914EB" w14:textId="5ED19989" w:rsidR="009549CC" w:rsidRPr="004E3CD4" w:rsidRDefault="009549CC" w:rsidP="000C3F2A">
            <w:pPr>
              <w:spacing w:line="240" w:lineRule="auto"/>
              <w:jc w:val="center"/>
              <w:rPr>
                <w:b/>
                <w:color w:val="FFFFFF" w:themeColor="background1"/>
                <w:sz w:val="20"/>
                <w:szCs w:val="20"/>
                <w:lang w:val="en-US"/>
              </w:rPr>
            </w:pPr>
            <w:r>
              <w:rPr>
                <w:b/>
                <w:color w:val="FFFFFF" w:themeColor="background1"/>
                <w:sz w:val="20"/>
                <w:szCs w:val="20"/>
                <w:lang w:val="en-US"/>
              </w:rPr>
              <w:t>NSW</w:t>
            </w:r>
          </w:p>
        </w:tc>
        <w:tc>
          <w:tcPr>
            <w:tcW w:w="697" w:type="dxa"/>
            <w:tcBorders>
              <w:bottom w:val="single" w:sz="4" w:space="0" w:color="auto"/>
            </w:tcBorders>
            <w:shd w:val="clear" w:color="auto" w:fill="3F4A75" w:themeFill="accent1"/>
          </w:tcPr>
          <w:p w14:paraId="16443272" w14:textId="590E8026" w:rsidR="009549CC" w:rsidRPr="004E3CD4" w:rsidRDefault="009549CC" w:rsidP="000C3F2A">
            <w:pPr>
              <w:spacing w:line="240" w:lineRule="auto"/>
              <w:jc w:val="center"/>
              <w:rPr>
                <w:b/>
                <w:color w:val="FFFFFF" w:themeColor="background1"/>
                <w:sz w:val="20"/>
                <w:szCs w:val="20"/>
                <w:lang w:val="en-US"/>
              </w:rPr>
            </w:pPr>
            <w:r>
              <w:rPr>
                <w:b/>
                <w:color w:val="FFFFFF" w:themeColor="background1"/>
                <w:sz w:val="20"/>
                <w:szCs w:val="20"/>
                <w:lang w:val="en-US"/>
              </w:rPr>
              <w:t>Vic</w:t>
            </w:r>
          </w:p>
        </w:tc>
        <w:tc>
          <w:tcPr>
            <w:tcW w:w="696" w:type="dxa"/>
            <w:tcBorders>
              <w:bottom w:val="single" w:sz="4" w:space="0" w:color="auto"/>
            </w:tcBorders>
            <w:shd w:val="clear" w:color="auto" w:fill="3F4A75" w:themeFill="accent1"/>
          </w:tcPr>
          <w:p w14:paraId="5150064C" w14:textId="50431EAC" w:rsidR="009549CC" w:rsidRPr="004E3CD4" w:rsidRDefault="009549CC" w:rsidP="000C3F2A">
            <w:pPr>
              <w:spacing w:line="240" w:lineRule="auto"/>
              <w:jc w:val="center"/>
              <w:rPr>
                <w:b/>
                <w:color w:val="FFFFFF" w:themeColor="background1"/>
                <w:sz w:val="20"/>
                <w:szCs w:val="20"/>
                <w:lang w:val="en-US"/>
              </w:rPr>
            </w:pPr>
            <w:r>
              <w:rPr>
                <w:b/>
                <w:color w:val="FFFFFF" w:themeColor="background1"/>
                <w:sz w:val="20"/>
                <w:szCs w:val="20"/>
                <w:lang w:val="en-US"/>
              </w:rPr>
              <w:t>Qld</w:t>
            </w:r>
          </w:p>
        </w:tc>
        <w:tc>
          <w:tcPr>
            <w:tcW w:w="697" w:type="dxa"/>
            <w:tcBorders>
              <w:bottom w:val="single" w:sz="4" w:space="0" w:color="auto"/>
            </w:tcBorders>
            <w:shd w:val="clear" w:color="auto" w:fill="3F4A75" w:themeFill="accent1"/>
          </w:tcPr>
          <w:p w14:paraId="060E6502" w14:textId="15A3D462" w:rsidR="009549CC" w:rsidRPr="004E3CD4" w:rsidRDefault="009549CC" w:rsidP="000C3F2A">
            <w:pPr>
              <w:spacing w:line="240" w:lineRule="auto"/>
              <w:jc w:val="center"/>
              <w:rPr>
                <w:b/>
                <w:color w:val="FFFFFF" w:themeColor="background1"/>
                <w:sz w:val="20"/>
                <w:szCs w:val="20"/>
                <w:lang w:val="en-US"/>
              </w:rPr>
            </w:pPr>
            <w:r>
              <w:rPr>
                <w:b/>
                <w:color w:val="FFFFFF" w:themeColor="background1"/>
                <w:sz w:val="20"/>
                <w:szCs w:val="20"/>
                <w:lang w:val="en-US"/>
              </w:rPr>
              <w:t>WA</w:t>
            </w:r>
          </w:p>
        </w:tc>
        <w:tc>
          <w:tcPr>
            <w:tcW w:w="696" w:type="dxa"/>
            <w:tcBorders>
              <w:bottom w:val="single" w:sz="4" w:space="0" w:color="auto"/>
            </w:tcBorders>
            <w:shd w:val="clear" w:color="auto" w:fill="3F4A75" w:themeFill="accent1"/>
          </w:tcPr>
          <w:p w14:paraId="7145B792" w14:textId="5D776142" w:rsidR="009549CC" w:rsidRPr="004E3CD4" w:rsidRDefault="009549CC" w:rsidP="000C3F2A">
            <w:pPr>
              <w:spacing w:line="240" w:lineRule="auto"/>
              <w:jc w:val="center"/>
              <w:rPr>
                <w:b/>
                <w:color w:val="FFFFFF" w:themeColor="background1"/>
                <w:sz w:val="20"/>
                <w:szCs w:val="20"/>
                <w:lang w:val="en-US"/>
              </w:rPr>
            </w:pPr>
            <w:r>
              <w:rPr>
                <w:b/>
                <w:color w:val="FFFFFF" w:themeColor="background1"/>
                <w:sz w:val="20"/>
                <w:szCs w:val="20"/>
                <w:lang w:val="en-US"/>
              </w:rPr>
              <w:t>SA</w:t>
            </w:r>
          </w:p>
        </w:tc>
        <w:tc>
          <w:tcPr>
            <w:tcW w:w="697" w:type="dxa"/>
            <w:tcBorders>
              <w:bottom w:val="single" w:sz="4" w:space="0" w:color="auto"/>
            </w:tcBorders>
            <w:shd w:val="clear" w:color="auto" w:fill="3F4A75" w:themeFill="accent1"/>
          </w:tcPr>
          <w:p w14:paraId="1AA03E93" w14:textId="563EC134" w:rsidR="009549CC" w:rsidRPr="004E3CD4" w:rsidRDefault="009549CC" w:rsidP="000C3F2A">
            <w:pPr>
              <w:spacing w:line="240" w:lineRule="auto"/>
              <w:jc w:val="center"/>
              <w:rPr>
                <w:b/>
                <w:color w:val="FFFFFF" w:themeColor="background1"/>
                <w:sz w:val="20"/>
                <w:szCs w:val="20"/>
                <w:lang w:val="en-US"/>
              </w:rPr>
            </w:pPr>
            <w:r>
              <w:rPr>
                <w:b/>
                <w:color w:val="FFFFFF" w:themeColor="background1"/>
                <w:sz w:val="20"/>
                <w:szCs w:val="20"/>
                <w:lang w:val="en-US"/>
              </w:rPr>
              <w:t>Tas</w:t>
            </w:r>
          </w:p>
        </w:tc>
        <w:tc>
          <w:tcPr>
            <w:tcW w:w="696" w:type="dxa"/>
            <w:tcBorders>
              <w:bottom w:val="single" w:sz="4" w:space="0" w:color="auto"/>
            </w:tcBorders>
            <w:shd w:val="clear" w:color="auto" w:fill="3F4A75" w:themeFill="accent1"/>
          </w:tcPr>
          <w:p w14:paraId="108D3B7D" w14:textId="36E79AA2" w:rsidR="009549CC" w:rsidRPr="004E3CD4" w:rsidRDefault="009549CC" w:rsidP="000C3F2A">
            <w:pPr>
              <w:spacing w:line="240" w:lineRule="auto"/>
              <w:jc w:val="center"/>
              <w:rPr>
                <w:b/>
                <w:color w:val="FFFFFF" w:themeColor="background1"/>
                <w:sz w:val="20"/>
                <w:szCs w:val="20"/>
                <w:lang w:val="en-US"/>
              </w:rPr>
            </w:pPr>
            <w:r>
              <w:rPr>
                <w:b/>
                <w:color w:val="FFFFFF" w:themeColor="background1"/>
                <w:sz w:val="20"/>
                <w:szCs w:val="20"/>
                <w:lang w:val="en-US"/>
              </w:rPr>
              <w:t>ACT</w:t>
            </w:r>
          </w:p>
        </w:tc>
        <w:tc>
          <w:tcPr>
            <w:tcW w:w="697" w:type="dxa"/>
            <w:tcBorders>
              <w:bottom w:val="single" w:sz="4" w:space="0" w:color="auto"/>
            </w:tcBorders>
            <w:shd w:val="clear" w:color="auto" w:fill="3F4A75" w:themeFill="accent1"/>
          </w:tcPr>
          <w:p w14:paraId="152FD2B9" w14:textId="47E4E26C" w:rsidR="009549CC" w:rsidRPr="004E3CD4" w:rsidRDefault="009549CC" w:rsidP="000C3F2A">
            <w:pPr>
              <w:spacing w:line="240" w:lineRule="auto"/>
              <w:jc w:val="center"/>
              <w:rPr>
                <w:b/>
                <w:color w:val="FFFFFF" w:themeColor="background1"/>
                <w:sz w:val="20"/>
                <w:szCs w:val="20"/>
                <w:lang w:val="en-US"/>
              </w:rPr>
            </w:pPr>
            <w:r>
              <w:rPr>
                <w:b/>
                <w:color w:val="FFFFFF" w:themeColor="background1"/>
                <w:sz w:val="20"/>
                <w:szCs w:val="20"/>
                <w:lang w:val="en-US"/>
              </w:rPr>
              <w:t>NT</w:t>
            </w:r>
          </w:p>
        </w:tc>
        <w:tc>
          <w:tcPr>
            <w:tcW w:w="697" w:type="dxa"/>
            <w:tcBorders>
              <w:bottom w:val="single" w:sz="4" w:space="0" w:color="auto"/>
            </w:tcBorders>
            <w:shd w:val="clear" w:color="auto" w:fill="3F4A75" w:themeFill="accent1"/>
          </w:tcPr>
          <w:p w14:paraId="66B3D267" w14:textId="433E8EFD" w:rsidR="009549CC" w:rsidRPr="004E3CD4" w:rsidRDefault="008B7AB0" w:rsidP="000C3F2A">
            <w:pPr>
              <w:spacing w:line="240" w:lineRule="auto"/>
              <w:jc w:val="center"/>
              <w:rPr>
                <w:b/>
                <w:color w:val="FFFFFF" w:themeColor="background1"/>
                <w:sz w:val="20"/>
                <w:szCs w:val="20"/>
                <w:lang w:val="en-US"/>
              </w:rPr>
            </w:pPr>
            <w:r>
              <w:rPr>
                <w:b/>
                <w:color w:val="FFFFFF" w:themeColor="background1"/>
                <w:sz w:val="20"/>
                <w:szCs w:val="20"/>
                <w:lang w:val="en-US"/>
              </w:rPr>
              <w:t>Aust</w:t>
            </w:r>
          </w:p>
        </w:tc>
      </w:tr>
      <w:tr w:rsidR="009549CC" w:rsidRPr="004E3CD4" w14:paraId="5DF97D3C" w14:textId="77777777" w:rsidTr="000C3F2A">
        <w:trPr>
          <w:trHeight w:val="369"/>
        </w:trPr>
        <w:tc>
          <w:tcPr>
            <w:tcW w:w="1271" w:type="dxa"/>
            <w:vMerge w:val="restart"/>
            <w:vAlign w:val="center"/>
          </w:tcPr>
          <w:p w14:paraId="40243AD2" w14:textId="77777777" w:rsidR="009549CC" w:rsidRPr="004E3CD4" w:rsidRDefault="009549CC" w:rsidP="000C3F2A">
            <w:pPr>
              <w:spacing w:line="240" w:lineRule="auto"/>
              <w:rPr>
                <w:b/>
                <w:sz w:val="20"/>
                <w:szCs w:val="20"/>
                <w:lang w:val="en-US"/>
              </w:rPr>
            </w:pPr>
            <w:r w:rsidRPr="004E3CD4">
              <w:rPr>
                <w:b/>
                <w:sz w:val="20"/>
                <w:szCs w:val="20"/>
                <w:lang w:val="en-US"/>
              </w:rPr>
              <w:t>All non-specialist</w:t>
            </w:r>
          </w:p>
        </w:tc>
        <w:tc>
          <w:tcPr>
            <w:tcW w:w="1520" w:type="dxa"/>
          </w:tcPr>
          <w:p w14:paraId="48F1700B" w14:textId="77777777" w:rsidR="009549CC" w:rsidRPr="004E3CD4" w:rsidRDefault="009549CC" w:rsidP="000C3F2A">
            <w:pPr>
              <w:spacing w:line="240" w:lineRule="auto"/>
              <w:rPr>
                <w:bCs/>
                <w:sz w:val="20"/>
                <w:szCs w:val="20"/>
                <w:lang w:val="en-US"/>
              </w:rPr>
            </w:pPr>
            <w:r w:rsidRPr="004E3CD4">
              <w:rPr>
                <w:bCs/>
                <w:sz w:val="20"/>
                <w:szCs w:val="20"/>
                <w:lang w:val="en-US"/>
              </w:rPr>
              <w:t>Average</w:t>
            </w:r>
          </w:p>
        </w:tc>
        <w:tc>
          <w:tcPr>
            <w:tcW w:w="696" w:type="dxa"/>
            <w:tcBorders>
              <w:top w:val="single" w:sz="4" w:space="0" w:color="auto"/>
              <w:left w:val="nil"/>
              <w:bottom w:val="single" w:sz="4" w:space="0" w:color="auto"/>
              <w:right w:val="single" w:sz="4" w:space="0" w:color="auto"/>
            </w:tcBorders>
            <w:tcMar>
              <w:left w:w="170" w:type="dxa"/>
              <w:right w:w="170" w:type="dxa"/>
            </w:tcMar>
            <w:vAlign w:val="center"/>
          </w:tcPr>
          <w:p w14:paraId="71642318" w14:textId="0A7A19A1" w:rsidR="009549CC" w:rsidRPr="004E3CD4" w:rsidRDefault="009A3F55" w:rsidP="000C3F2A">
            <w:pPr>
              <w:spacing w:line="240" w:lineRule="auto"/>
              <w:jc w:val="right"/>
              <w:rPr>
                <w:sz w:val="20"/>
                <w:szCs w:val="20"/>
                <w:lang w:val="en-US"/>
              </w:rPr>
            </w:pPr>
            <w:r>
              <w:rPr>
                <w:rFonts w:cs="Arial"/>
                <w:color w:val="000000"/>
                <w:sz w:val="20"/>
                <w:szCs w:val="20"/>
              </w:rPr>
              <w:t>358</w:t>
            </w:r>
          </w:p>
        </w:tc>
        <w:tc>
          <w:tcPr>
            <w:tcW w:w="697" w:type="dxa"/>
            <w:tcBorders>
              <w:top w:val="single" w:sz="4" w:space="0" w:color="auto"/>
              <w:left w:val="single" w:sz="4" w:space="0" w:color="auto"/>
              <w:bottom w:val="single" w:sz="4" w:space="0" w:color="auto"/>
              <w:right w:val="single" w:sz="4" w:space="0" w:color="auto"/>
            </w:tcBorders>
            <w:tcMar>
              <w:left w:w="170" w:type="dxa"/>
              <w:right w:w="170" w:type="dxa"/>
            </w:tcMar>
            <w:vAlign w:val="center"/>
          </w:tcPr>
          <w:p w14:paraId="29A34C67" w14:textId="5C18BFD2" w:rsidR="009549CC" w:rsidRPr="004E3CD4" w:rsidRDefault="003571E3" w:rsidP="000C3F2A">
            <w:pPr>
              <w:spacing w:line="240" w:lineRule="auto"/>
              <w:jc w:val="right"/>
              <w:rPr>
                <w:sz w:val="20"/>
                <w:szCs w:val="20"/>
                <w:lang w:val="en-US"/>
              </w:rPr>
            </w:pPr>
            <w:r>
              <w:rPr>
                <w:rFonts w:cs="Arial"/>
                <w:color w:val="000000"/>
                <w:sz w:val="20"/>
                <w:szCs w:val="20"/>
              </w:rPr>
              <w:t>354</w:t>
            </w:r>
          </w:p>
        </w:tc>
        <w:tc>
          <w:tcPr>
            <w:tcW w:w="696" w:type="dxa"/>
            <w:tcBorders>
              <w:top w:val="single" w:sz="4" w:space="0" w:color="auto"/>
              <w:left w:val="single" w:sz="4" w:space="0" w:color="auto"/>
              <w:bottom w:val="single" w:sz="4" w:space="0" w:color="auto"/>
              <w:right w:val="single" w:sz="4" w:space="0" w:color="auto"/>
            </w:tcBorders>
            <w:tcMar>
              <w:left w:w="170" w:type="dxa"/>
              <w:right w:w="170" w:type="dxa"/>
            </w:tcMar>
            <w:vAlign w:val="center"/>
          </w:tcPr>
          <w:p w14:paraId="78B6C87B" w14:textId="306FA1A0" w:rsidR="009549CC" w:rsidRPr="004E3CD4" w:rsidRDefault="003571E3" w:rsidP="000C3F2A">
            <w:pPr>
              <w:spacing w:line="240" w:lineRule="auto"/>
              <w:jc w:val="right"/>
              <w:rPr>
                <w:sz w:val="20"/>
                <w:szCs w:val="20"/>
                <w:lang w:val="en-US"/>
              </w:rPr>
            </w:pPr>
            <w:r>
              <w:rPr>
                <w:rFonts w:cs="Arial"/>
                <w:color w:val="000000"/>
                <w:sz w:val="20"/>
                <w:szCs w:val="20"/>
              </w:rPr>
              <w:t>374</w:t>
            </w:r>
          </w:p>
        </w:tc>
        <w:tc>
          <w:tcPr>
            <w:tcW w:w="697" w:type="dxa"/>
            <w:tcBorders>
              <w:top w:val="single" w:sz="4" w:space="0" w:color="auto"/>
              <w:left w:val="single" w:sz="4" w:space="0" w:color="auto"/>
              <w:bottom w:val="single" w:sz="4" w:space="0" w:color="auto"/>
              <w:right w:val="single" w:sz="4" w:space="0" w:color="auto"/>
            </w:tcBorders>
            <w:tcMar>
              <w:left w:w="170" w:type="dxa"/>
              <w:right w:w="170" w:type="dxa"/>
            </w:tcMar>
            <w:vAlign w:val="center"/>
          </w:tcPr>
          <w:p w14:paraId="17361850" w14:textId="59AD02B4" w:rsidR="009549CC" w:rsidRPr="004E3CD4" w:rsidRDefault="003571E3" w:rsidP="000C3F2A">
            <w:pPr>
              <w:spacing w:line="240" w:lineRule="auto"/>
              <w:jc w:val="right"/>
              <w:rPr>
                <w:sz w:val="20"/>
                <w:szCs w:val="20"/>
                <w:lang w:val="en-US"/>
              </w:rPr>
            </w:pPr>
            <w:r>
              <w:rPr>
                <w:rFonts w:cs="Arial"/>
                <w:color w:val="000000"/>
                <w:sz w:val="20"/>
                <w:szCs w:val="20"/>
              </w:rPr>
              <w:t>331</w:t>
            </w:r>
          </w:p>
        </w:tc>
        <w:tc>
          <w:tcPr>
            <w:tcW w:w="696" w:type="dxa"/>
            <w:tcBorders>
              <w:top w:val="single" w:sz="4" w:space="0" w:color="auto"/>
              <w:left w:val="single" w:sz="4" w:space="0" w:color="auto"/>
              <w:bottom w:val="single" w:sz="4" w:space="0" w:color="auto"/>
              <w:right w:val="single" w:sz="4" w:space="0" w:color="auto"/>
            </w:tcBorders>
            <w:tcMar>
              <w:left w:w="170" w:type="dxa"/>
              <w:right w:w="170" w:type="dxa"/>
            </w:tcMar>
            <w:vAlign w:val="center"/>
          </w:tcPr>
          <w:p w14:paraId="114F71D5" w14:textId="77777777" w:rsidR="009549CC" w:rsidRPr="004E3CD4" w:rsidRDefault="009549CC" w:rsidP="000C3F2A">
            <w:pPr>
              <w:spacing w:line="240" w:lineRule="auto"/>
              <w:jc w:val="right"/>
              <w:rPr>
                <w:sz w:val="20"/>
                <w:szCs w:val="20"/>
                <w:lang w:val="en-US"/>
              </w:rPr>
            </w:pPr>
            <w:r>
              <w:rPr>
                <w:rFonts w:cs="Arial"/>
                <w:color w:val="000000"/>
                <w:sz w:val="20"/>
                <w:szCs w:val="20"/>
              </w:rPr>
              <w:t>374</w:t>
            </w:r>
          </w:p>
        </w:tc>
        <w:tc>
          <w:tcPr>
            <w:tcW w:w="697" w:type="dxa"/>
            <w:tcBorders>
              <w:top w:val="single" w:sz="4" w:space="0" w:color="auto"/>
              <w:left w:val="single" w:sz="4" w:space="0" w:color="auto"/>
              <w:bottom w:val="single" w:sz="4" w:space="0" w:color="auto"/>
              <w:right w:val="single" w:sz="4" w:space="0" w:color="auto"/>
            </w:tcBorders>
            <w:tcMar>
              <w:left w:w="170" w:type="dxa"/>
              <w:right w:w="170" w:type="dxa"/>
            </w:tcMar>
            <w:vAlign w:val="center"/>
          </w:tcPr>
          <w:p w14:paraId="2FCEB7C5" w14:textId="77777777" w:rsidR="009549CC" w:rsidRPr="004E3CD4" w:rsidRDefault="009549CC" w:rsidP="000C3F2A">
            <w:pPr>
              <w:spacing w:line="240" w:lineRule="auto"/>
              <w:jc w:val="right"/>
              <w:rPr>
                <w:sz w:val="20"/>
                <w:szCs w:val="20"/>
                <w:lang w:val="en-US"/>
              </w:rPr>
            </w:pPr>
            <w:r>
              <w:rPr>
                <w:rFonts w:cs="Arial"/>
                <w:color w:val="000000"/>
                <w:sz w:val="20"/>
                <w:szCs w:val="20"/>
              </w:rPr>
              <w:t>372</w:t>
            </w:r>
          </w:p>
        </w:tc>
        <w:tc>
          <w:tcPr>
            <w:tcW w:w="696" w:type="dxa"/>
            <w:tcBorders>
              <w:top w:val="single" w:sz="4" w:space="0" w:color="auto"/>
              <w:left w:val="single" w:sz="4" w:space="0" w:color="auto"/>
              <w:bottom w:val="single" w:sz="4" w:space="0" w:color="auto"/>
              <w:right w:val="single" w:sz="4" w:space="0" w:color="auto"/>
            </w:tcBorders>
            <w:tcMar>
              <w:left w:w="170" w:type="dxa"/>
              <w:right w:w="170" w:type="dxa"/>
            </w:tcMar>
            <w:vAlign w:val="center"/>
          </w:tcPr>
          <w:p w14:paraId="286CCDAB" w14:textId="3A8A464E" w:rsidR="009549CC" w:rsidRPr="004E3CD4" w:rsidRDefault="003571E3" w:rsidP="000C3F2A">
            <w:pPr>
              <w:spacing w:line="240" w:lineRule="auto"/>
              <w:jc w:val="right"/>
              <w:rPr>
                <w:sz w:val="20"/>
                <w:szCs w:val="20"/>
                <w:lang w:val="en-US"/>
              </w:rPr>
            </w:pPr>
            <w:r>
              <w:rPr>
                <w:rFonts w:cs="Arial"/>
                <w:color w:val="000000"/>
                <w:sz w:val="20"/>
                <w:szCs w:val="20"/>
              </w:rPr>
              <w:t>386</w:t>
            </w:r>
          </w:p>
        </w:tc>
        <w:tc>
          <w:tcPr>
            <w:tcW w:w="697" w:type="dxa"/>
            <w:tcBorders>
              <w:top w:val="single" w:sz="4" w:space="0" w:color="auto"/>
              <w:left w:val="single" w:sz="4" w:space="0" w:color="auto"/>
              <w:bottom w:val="single" w:sz="4" w:space="0" w:color="auto"/>
              <w:right w:val="single" w:sz="4" w:space="0" w:color="auto"/>
            </w:tcBorders>
            <w:tcMar>
              <w:left w:w="170" w:type="dxa"/>
              <w:right w:w="170" w:type="dxa"/>
            </w:tcMar>
            <w:vAlign w:val="center"/>
          </w:tcPr>
          <w:p w14:paraId="711AEF70" w14:textId="0EF3A92C" w:rsidR="009549CC" w:rsidRPr="004E3CD4" w:rsidRDefault="003571E3" w:rsidP="000C3F2A">
            <w:pPr>
              <w:spacing w:line="240" w:lineRule="auto"/>
              <w:jc w:val="right"/>
              <w:rPr>
                <w:sz w:val="20"/>
                <w:szCs w:val="20"/>
                <w:lang w:val="en-US"/>
              </w:rPr>
            </w:pPr>
            <w:r>
              <w:rPr>
                <w:rFonts w:cs="Arial"/>
                <w:color w:val="000000"/>
                <w:sz w:val="20"/>
                <w:szCs w:val="20"/>
              </w:rPr>
              <w:t>320</w:t>
            </w:r>
          </w:p>
        </w:tc>
        <w:tc>
          <w:tcPr>
            <w:tcW w:w="697" w:type="dxa"/>
            <w:tcBorders>
              <w:top w:val="single" w:sz="4" w:space="0" w:color="auto"/>
              <w:left w:val="single" w:sz="4" w:space="0" w:color="auto"/>
              <w:bottom w:val="single" w:sz="4" w:space="0" w:color="auto"/>
              <w:right w:val="single" w:sz="4" w:space="0" w:color="auto"/>
            </w:tcBorders>
            <w:tcMar>
              <w:left w:w="170" w:type="dxa"/>
              <w:right w:w="170" w:type="dxa"/>
            </w:tcMar>
            <w:vAlign w:val="center"/>
          </w:tcPr>
          <w:p w14:paraId="31607F1E" w14:textId="77777777" w:rsidR="009549CC" w:rsidRPr="004E3CD4" w:rsidRDefault="009549CC" w:rsidP="000C3F2A">
            <w:pPr>
              <w:spacing w:line="240" w:lineRule="auto"/>
              <w:jc w:val="right"/>
              <w:rPr>
                <w:sz w:val="20"/>
                <w:szCs w:val="20"/>
                <w:lang w:val="en-US"/>
              </w:rPr>
            </w:pPr>
            <w:r>
              <w:rPr>
                <w:rFonts w:cs="Arial"/>
                <w:color w:val="000000"/>
                <w:sz w:val="20"/>
                <w:szCs w:val="20"/>
              </w:rPr>
              <w:t>360</w:t>
            </w:r>
          </w:p>
        </w:tc>
      </w:tr>
      <w:tr w:rsidR="009549CC" w:rsidRPr="004E3CD4" w14:paraId="00CF1F20" w14:textId="77777777" w:rsidTr="000C3F2A">
        <w:trPr>
          <w:trHeight w:val="369"/>
        </w:trPr>
        <w:tc>
          <w:tcPr>
            <w:tcW w:w="1271" w:type="dxa"/>
            <w:vMerge/>
          </w:tcPr>
          <w:p w14:paraId="474650BF" w14:textId="77777777" w:rsidR="009549CC" w:rsidRPr="004E3CD4" w:rsidRDefault="009549CC" w:rsidP="000C3F2A">
            <w:pPr>
              <w:spacing w:line="240" w:lineRule="auto"/>
              <w:rPr>
                <w:b/>
                <w:sz w:val="20"/>
                <w:szCs w:val="20"/>
                <w:lang w:val="en-US"/>
              </w:rPr>
            </w:pPr>
          </w:p>
        </w:tc>
        <w:tc>
          <w:tcPr>
            <w:tcW w:w="1520" w:type="dxa"/>
            <w:vAlign w:val="center"/>
          </w:tcPr>
          <w:p w14:paraId="6F948314" w14:textId="77777777" w:rsidR="009549CC" w:rsidRPr="004E3CD4" w:rsidRDefault="009549CC" w:rsidP="000C3F2A">
            <w:pPr>
              <w:spacing w:line="240" w:lineRule="auto"/>
              <w:rPr>
                <w:bCs/>
                <w:sz w:val="20"/>
                <w:szCs w:val="20"/>
                <w:lang w:val="en-US"/>
              </w:rPr>
            </w:pPr>
            <w:r w:rsidRPr="004E3CD4">
              <w:rPr>
                <w:bCs/>
                <w:sz w:val="20"/>
                <w:szCs w:val="20"/>
                <w:lang w:val="en-US"/>
              </w:rPr>
              <w:t>Median</w:t>
            </w:r>
          </w:p>
        </w:tc>
        <w:tc>
          <w:tcPr>
            <w:tcW w:w="696" w:type="dxa"/>
            <w:tcBorders>
              <w:top w:val="single" w:sz="4" w:space="0" w:color="auto"/>
              <w:left w:val="nil"/>
              <w:bottom w:val="single" w:sz="4" w:space="0" w:color="auto"/>
              <w:right w:val="single" w:sz="4" w:space="0" w:color="auto"/>
            </w:tcBorders>
            <w:tcMar>
              <w:left w:w="170" w:type="dxa"/>
              <w:right w:w="170" w:type="dxa"/>
            </w:tcMar>
            <w:vAlign w:val="center"/>
          </w:tcPr>
          <w:p w14:paraId="2F759259" w14:textId="77777777" w:rsidR="009549CC" w:rsidRPr="004E3CD4" w:rsidRDefault="009549CC" w:rsidP="000C3F2A">
            <w:pPr>
              <w:spacing w:line="240" w:lineRule="auto"/>
              <w:jc w:val="right"/>
              <w:rPr>
                <w:sz w:val="20"/>
                <w:szCs w:val="20"/>
                <w:lang w:val="en-US"/>
              </w:rPr>
            </w:pPr>
            <w:r>
              <w:rPr>
                <w:rFonts w:cs="Arial"/>
                <w:color w:val="000000"/>
                <w:sz w:val="20"/>
                <w:szCs w:val="20"/>
              </w:rPr>
              <w:t>300</w:t>
            </w:r>
          </w:p>
        </w:tc>
        <w:tc>
          <w:tcPr>
            <w:tcW w:w="697" w:type="dxa"/>
            <w:tcBorders>
              <w:top w:val="single" w:sz="4" w:space="0" w:color="auto"/>
              <w:left w:val="single" w:sz="4" w:space="0" w:color="auto"/>
              <w:bottom w:val="single" w:sz="4" w:space="0" w:color="auto"/>
              <w:right w:val="single" w:sz="4" w:space="0" w:color="auto"/>
            </w:tcBorders>
            <w:tcMar>
              <w:left w:w="170" w:type="dxa"/>
              <w:right w:w="170" w:type="dxa"/>
            </w:tcMar>
            <w:vAlign w:val="center"/>
          </w:tcPr>
          <w:p w14:paraId="4C7C3261" w14:textId="620FE72E" w:rsidR="009549CC" w:rsidRPr="004E3CD4" w:rsidRDefault="003571E3" w:rsidP="000C3F2A">
            <w:pPr>
              <w:spacing w:line="240" w:lineRule="auto"/>
              <w:jc w:val="right"/>
            </w:pPr>
            <w:r>
              <w:rPr>
                <w:rFonts w:cs="Arial"/>
                <w:color w:val="000000"/>
                <w:sz w:val="20"/>
                <w:szCs w:val="20"/>
              </w:rPr>
              <w:t>273</w:t>
            </w:r>
          </w:p>
        </w:tc>
        <w:tc>
          <w:tcPr>
            <w:tcW w:w="696" w:type="dxa"/>
            <w:tcBorders>
              <w:top w:val="single" w:sz="4" w:space="0" w:color="auto"/>
              <w:left w:val="single" w:sz="4" w:space="0" w:color="auto"/>
              <w:bottom w:val="single" w:sz="4" w:space="0" w:color="auto"/>
              <w:right w:val="single" w:sz="4" w:space="0" w:color="auto"/>
            </w:tcBorders>
            <w:tcMar>
              <w:left w:w="170" w:type="dxa"/>
              <w:right w:w="170" w:type="dxa"/>
            </w:tcMar>
            <w:vAlign w:val="center"/>
          </w:tcPr>
          <w:p w14:paraId="53A5891B" w14:textId="778336DB" w:rsidR="009549CC" w:rsidRPr="004E3CD4" w:rsidRDefault="003571E3" w:rsidP="000C3F2A">
            <w:pPr>
              <w:spacing w:line="240" w:lineRule="auto"/>
              <w:jc w:val="right"/>
            </w:pPr>
            <w:r>
              <w:rPr>
                <w:rFonts w:cs="Arial"/>
                <w:color w:val="000000"/>
                <w:sz w:val="20"/>
                <w:szCs w:val="20"/>
              </w:rPr>
              <w:t>322</w:t>
            </w:r>
          </w:p>
        </w:tc>
        <w:tc>
          <w:tcPr>
            <w:tcW w:w="697" w:type="dxa"/>
            <w:tcBorders>
              <w:top w:val="single" w:sz="4" w:space="0" w:color="auto"/>
              <w:left w:val="single" w:sz="4" w:space="0" w:color="auto"/>
              <w:bottom w:val="single" w:sz="4" w:space="0" w:color="auto"/>
              <w:right w:val="single" w:sz="4" w:space="0" w:color="auto"/>
            </w:tcBorders>
            <w:tcMar>
              <w:left w:w="170" w:type="dxa"/>
              <w:right w:w="170" w:type="dxa"/>
            </w:tcMar>
            <w:vAlign w:val="center"/>
          </w:tcPr>
          <w:p w14:paraId="1089B0CC" w14:textId="025E7F15" w:rsidR="009549CC" w:rsidRPr="004E3CD4" w:rsidRDefault="003571E3" w:rsidP="000C3F2A">
            <w:pPr>
              <w:spacing w:line="240" w:lineRule="auto"/>
              <w:jc w:val="right"/>
              <w:rPr>
                <w:sz w:val="20"/>
                <w:szCs w:val="20"/>
                <w:lang w:val="en-US"/>
              </w:rPr>
            </w:pPr>
            <w:r>
              <w:rPr>
                <w:rFonts w:cs="Arial"/>
                <w:color w:val="000000"/>
                <w:sz w:val="20"/>
                <w:szCs w:val="20"/>
              </w:rPr>
              <w:t>298</w:t>
            </w:r>
          </w:p>
        </w:tc>
        <w:tc>
          <w:tcPr>
            <w:tcW w:w="696" w:type="dxa"/>
            <w:tcBorders>
              <w:top w:val="single" w:sz="4" w:space="0" w:color="auto"/>
              <w:left w:val="single" w:sz="4" w:space="0" w:color="auto"/>
              <w:bottom w:val="single" w:sz="4" w:space="0" w:color="auto"/>
              <w:right w:val="single" w:sz="4" w:space="0" w:color="auto"/>
            </w:tcBorders>
            <w:tcMar>
              <w:left w:w="170" w:type="dxa"/>
              <w:right w:w="170" w:type="dxa"/>
            </w:tcMar>
            <w:vAlign w:val="center"/>
          </w:tcPr>
          <w:p w14:paraId="0D502960" w14:textId="77777777" w:rsidR="009549CC" w:rsidRPr="004E3CD4" w:rsidRDefault="009549CC" w:rsidP="000C3F2A">
            <w:pPr>
              <w:spacing w:line="240" w:lineRule="auto"/>
              <w:jc w:val="right"/>
              <w:rPr>
                <w:sz w:val="20"/>
                <w:szCs w:val="20"/>
                <w:lang w:val="en-US"/>
              </w:rPr>
            </w:pPr>
            <w:r>
              <w:rPr>
                <w:rFonts w:cs="Arial"/>
                <w:color w:val="000000"/>
                <w:sz w:val="20"/>
                <w:szCs w:val="20"/>
              </w:rPr>
              <w:t>286</w:t>
            </w:r>
          </w:p>
        </w:tc>
        <w:tc>
          <w:tcPr>
            <w:tcW w:w="697" w:type="dxa"/>
            <w:tcBorders>
              <w:top w:val="single" w:sz="4" w:space="0" w:color="auto"/>
              <w:left w:val="single" w:sz="4" w:space="0" w:color="auto"/>
              <w:bottom w:val="single" w:sz="4" w:space="0" w:color="auto"/>
              <w:right w:val="single" w:sz="4" w:space="0" w:color="auto"/>
            </w:tcBorders>
            <w:tcMar>
              <w:left w:w="170" w:type="dxa"/>
              <w:right w:w="170" w:type="dxa"/>
            </w:tcMar>
            <w:vAlign w:val="center"/>
          </w:tcPr>
          <w:p w14:paraId="5750023E" w14:textId="77777777" w:rsidR="009549CC" w:rsidRPr="004E3CD4" w:rsidRDefault="009549CC" w:rsidP="000C3F2A">
            <w:pPr>
              <w:spacing w:line="240" w:lineRule="auto"/>
              <w:jc w:val="right"/>
            </w:pPr>
            <w:r>
              <w:rPr>
                <w:rFonts w:cs="Arial"/>
                <w:color w:val="000000"/>
                <w:sz w:val="20"/>
                <w:szCs w:val="20"/>
              </w:rPr>
              <w:t>302</w:t>
            </w:r>
          </w:p>
        </w:tc>
        <w:tc>
          <w:tcPr>
            <w:tcW w:w="696" w:type="dxa"/>
            <w:tcBorders>
              <w:top w:val="single" w:sz="4" w:space="0" w:color="auto"/>
              <w:left w:val="single" w:sz="4" w:space="0" w:color="auto"/>
              <w:bottom w:val="single" w:sz="4" w:space="0" w:color="auto"/>
              <w:right w:val="single" w:sz="4" w:space="0" w:color="auto"/>
            </w:tcBorders>
            <w:tcMar>
              <w:left w:w="170" w:type="dxa"/>
              <w:right w:w="170" w:type="dxa"/>
            </w:tcMar>
            <w:vAlign w:val="center"/>
          </w:tcPr>
          <w:p w14:paraId="3372F178" w14:textId="0C9EC3BF" w:rsidR="009549CC" w:rsidRPr="004E3CD4" w:rsidRDefault="003571E3" w:rsidP="000C3F2A">
            <w:pPr>
              <w:spacing w:line="240" w:lineRule="auto"/>
              <w:jc w:val="right"/>
            </w:pPr>
            <w:r>
              <w:rPr>
                <w:rFonts w:cs="Arial"/>
                <w:color w:val="000000"/>
                <w:sz w:val="20"/>
                <w:szCs w:val="20"/>
              </w:rPr>
              <w:t>300</w:t>
            </w:r>
          </w:p>
        </w:tc>
        <w:tc>
          <w:tcPr>
            <w:tcW w:w="697" w:type="dxa"/>
            <w:tcBorders>
              <w:top w:val="single" w:sz="4" w:space="0" w:color="auto"/>
              <w:left w:val="single" w:sz="4" w:space="0" w:color="auto"/>
              <w:bottom w:val="single" w:sz="4" w:space="0" w:color="auto"/>
              <w:right w:val="single" w:sz="4" w:space="0" w:color="auto"/>
            </w:tcBorders>
            <w:tcMar>
              <w:left w:w="170" w:type="dxa"/>
              <w:right w:w="170" w:type="dxa"/>
            </w:tcMar>
            <w:vAlign w:val="center"/>
          </w:tcPr>
          <w:p w14:paraId="5BA6667A" w14:textId="0884A53F" w:rsidR="009549CC" w:rsidRPr="004E3CD4" w:rsidRDefault="003571E3" w:rsidP="000C3F2A">
            <w:pPr>
              <w:spacing w:line="240" w:lineRule="auto"/>
              <w:jc w:val="right"/>
              <w:rPr>
                <w:sz w:val="20"/>
                <w:szCs w:val="20"/>
                <w:lang w:val="en-US"/>
              </w:rPr>
            </w:pPr>
            <w:r>
              <w:rPr>
                <w:rFonts w:cs="Arial"/>
                <w:color w:val="000000"/>
                <w:sz w:val="20"/>
                <w:szCs w:val="20"/>
              </w:rPr>
              <w:t>285</w:t>
            </w:r>
          </w:p>
        </w:tc>
        <w:tc>
          <w:tcPr>
            <w:tcW w:w="697" w:type="dxa"/>
            <w:tcBorders>
              <w:top w:val="single" w:sz="4" w:space="0" w:color="auto"/>
              <w:left w:val="single" w:sz="4" w:space="0" w:color="auto"/>
              <w:bottom w:val="single" w:sz="4" w:space="0" w:color="auto"/>
              <w:right w:val="single" w:sz="4" w:space="0" w:color="auto"/>
            </w:tcBorders>
            <w:tcMar>
              <w:left w:w="170" w:type="dxa"/>
              <w:right w:w="170" w:type="dxa"/>
            </w:tcMar>
            <w:vAlign w:val="center"/>
          </w:tcPr>
          <w:p w14:paraId="19B64704" w14:textId="77777777" w:rsidR="009549CC" w:rsidRPr="004E3CD4" w:rsidRDefault="009549CC" w:rsidP="000C3F2A">
            <w:pPr>
              <w:spacing w:line="240" w:lineRule="auto"/>
              <w:jc w:val="right"/>
              <w:rPr>
                <w:sz w:val="20"/>
                <w:szCs w:val="20"/>
                <w:lang w:val="en-US"/>
              </w:rPr>
            </w:pPr>
            <w:r>
              <w:rPr>
                <w:rFonts w:cs="Arial"/>
                <w:color w:val="000000"/>
                <w:sz w:val="20"/>
                <w:szCs w:val="20"/>
              </w:rPr>
              <w:t>294</w:t>
            </w:r>
          </w:p>
        </w:tc>
      </w:tr>
    </w:tbl>
    <w:p w14:paraId="42C92C86" w14:textId="2B1432C6" w:rsidR="009549CC" w:rsidRPr="00CC7B68" w:rsidRDefault="009549CC" w:rsidP="00CC7B68"/>
    <w:p w14:paraId="7FBC63D7" w14:textId="5B11236F" w:rsidR="008035E7" w:rsidRPr="008035E7" w:rsidRDefault="00AB6D51" w:rsidP="00201BFE">
      <w:pPr>
        <w:pStyle w:val="Heading2"/>
        <w:rPr>
          <w:b w:val="0"/>
          <w:bCs w:val="0"/>
          <w:iCs w:val="0"/>
          <w:color w:val="000000" w:themeColor="text1"/>
          <w:sz w:val="22"/>
          <w:szCs w:val="24"/>
          <w:lang w:val="en-US"/>
        </w:rPr>
      </w:pPr>
      <w:bookmarkStart w:id="35" w:name="_Toc229477894"/>
      <w:bookmarkStart w:id="36" w:name="_Toc229480666"/>
      <w:r>
        <w:rPr>
          <w:noProof/>
        </w:rPr>
        <w:lastRenderedPageBreak/>
        <mc:AlternateContent>
          <mc:Choice Requires="wps">
            <w:drawing>
              <wp:anchor distT="45720" distB="45720" distL="114300" distR="114300" simplePos="0" relativeHeight="251658243" behindDoc="0" locked="0" layoutInCell="1" allowOverlap="1" wp14:anchorId="08D63F44" wp14:editId="1CA50166">
                <wp:simplePos x="0" y="0"/>
                <wp:positionH relativeFrom="margin">
                  <wp:align>center</wp:align>
                </wp:positionH>
                <wp:positionV relativeFrom="paragraph">
                  <wp:posOffset>0</wp:posOffset>
                </wp:positionV>
                <wp:extent cx="5781675" cy="3898900"/>
                <wp:effectExtent l="0" t="0" r="28575" b="25400"/>
                <wp:wrapSquare wrapText="bothSides"/>
                <wp:docPr id="19194825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898900"/>
                        </a:xfrm>
                        <a:prstGeom prst="rect">
                          <a:avLst/>
                        </a:prstGeom>
                        <a:solidFill>
                          <a:schemeClr val="accent3">
                            <a:lumMod val="20000"/>
                            <a:lumOff val="80000"/>
                          </a:schemeClr>
                        </a:solidFill>
                        <a:ln w="9525">
                          <a:solidFill>
                            <a:srgbClr val="000000"/>
                          </a:solidFill>
                          <a:miter lim="800000"/>
                          <a:headEnd/>
                          <a:tailEnd/>
                        </a:ln>
                      </wps:spPr>
                      <wps:txbx>
                        <w:txbxContent>
                          <w:p w14:paraId="3DB86147" w14:textId="77777777" w:rsidR="00860853" w:rsidRPr="00570578" w:rsidRDefault="00860853" w:rsidP="00570578">
                            <w:pPr>
                              <w:jc w:val="both"/>
                              <w:rPr>
                                <w:u w:val="single"/>
                              </w:rPr>
                            </w:pPr>
                            <w:r w:rsidRPr="00570578">
                              <w:rPr>
                                <w:u w:val="single"/>
                              </w:rPr>
                              <w:t>Key points</w:t>
                            </w:r>
                          </w:p>
                          <w:p w14:paraId="164A1CBD" w14:textId="3A6C4A70" w:rsidR="006923CB" w:rsidRPr="00F12F03" w:rsidRDefault="006923CB" w:rsidP="00F12F03">
                            <w:pPr>
                              <w:pStyle w:val="ListParagraph"/>
                              <w:numPr>
                                <w:ilvl w:val="0"/>
                                <w:numId w:val="44"/>
                              </w:numPr>
                              <w:rPr>
                                <w:bCs/>
                                <w:szCs w:val="22"/>
                                <w:lang w:val="en-US"/>
                              </w:rPr>
                            </w:pPr>
                            <w:r w:rsidRPr="00F12F03">
                              <w:rPr>
                                <w:bCs/>
                                <w:szCs w:val="22"/>
                                <w:lang w:val="en-US"/>
                              </w:rPr>
                              <w:t xml:space="preserve">Median </w:t>
                            </w:r>
                            <w:r w:rsidR="00ED3D4B">
                              <w:rPr>
                                <w:bCs/>
                                <w:szCs w:val="22"/>
                                <w:lang w:val="en-US"/>
                              </w:rPr>
                              <w:t>elapsed</w:t>
                            </w:r>
                            <w:r w:rsidR="00ED3D4B" w:rsidRPr="00F12F03">
                              <w:rPr>
                                <w:bCs/>
                                <w:szCs w:val="22"/>
                                <w:lang w:val="en-US"/>
                              </w:rPr>
                              <w:t xml:space="preserve"> </w:t>
                            </w:r>
                            <w:r w:rsidRPr="00F12F03">
                              <w:rPr>
                                <w:bCs/>
                                <w:szCs w:val="22"/>
                                <w:lang w:val="en-US"/>
                              </w:rPr>
                              <w:t>times for non</w:t>
                            </w:r>
                            <w:r w:rsidRPr="00F12F03">
                              <w:rPr>
                                <w:rFonts w:ascii="Cambria Math" w:hAnsi="Cambria Math" w:cs="Cambria Math"/>
                                <w:bCs/>
                                <w:szCs w:val="22"/>
                                <w:lang w:val="en-US"/>
                              </w:rPr>
                              <w:t>‑</w:t>
                            </w:r>
                            <w:r w:rsidRPr="00F12F03">
                              <w:rPr>
                                <w:bCs/>
                                <w:szCs w:val="22"/>
                                <w:lang w:val="en-US"/>
                              </w:rPr>
                              <w:t xml:space="preserve">specialist aged care services varied across jurisdictions, ranging from 273 days in Victoria (approximately 9 months) to 322 days in Queensland (approximately </w:t>
                            </w:r>
                            <w:r w:rsidR="00BE0CE1">
                              <w:rPr>
                                <w:bCs/>
                                <w:szCs w:val="22"/>
                                <w:lang w:val="en-US"/>
                              </w:rPr>
                              <w:t>11</w:t>
                            </w:r>
                            <w:r w:rsidRPr="00F12F03">
                              <w:rPr>
                                <w:bCs/>
                                <w:szCs w:val="22"/>
                                <w:lang w:val="en-US"/>
                              </w:rPr>
                              <w:t xml:space="preserve"> months).</w:t>
                            </w:r>
                          </w:p>
                          <w:p w14:paraId="1B14DC1F" w14:textId="677074CA" w:rsidR="006923CB" w:rsidRPr="00F12F03" w:rsidRDefault="006923CB" w:rsidP="00F12F03">
                            <w:pPr>
                              <w:pStyle w:val="ListParagraph"/>
                              <w:numPr>
                                <w:ilvl w:val="0"/>
                                <w:numId w:val="44"/>
                              </w:numPr>
                              <w:rPr>
                                <w:bCs/>
                                <w:szCs w:val="22"/>
                                <w:lang w:val="en-US"/>
                              </w:rPr>
                            </w:pPr>
                            <w:r w:rsidRPr="00F12F03">
                              <w:rPr>
                                <w:bCs/>
                                <w:szCs w:val="22"/>
                                <w:lang w:val="en-US"/>
                              </w:rPr>
                              <w:t xml:space="preserve">Most jurisdictions recorded median </w:t>
                            </w:r>
                            <w:r w:rsidR="00B24478">
                              <w:rPr>
                                <w:bCs/>
                                <w:szCs w:val="22"/>
                                <w:lang w:val="en-US"/>
                              </w:rPr>
                              <w:t>elapsed</w:t>
                            </w:r>
                            <w:r w:rsidR="00B24478" w:rsidRPr="00F12F03">
                              <w:rPr>
                                <w:bCs/>
                                <w:szCs w:val="22"/>
                                <w:lang w:val="en-US"/>
                              </w:rPr>
                              <w:t xml:space="preserve"> </w:t>
                            </w:r>
                            <w:r w:rsidRPr="00F12F03">
                              <w:rPr>
                                <w:bCs/>
                                <w:szCs w:val="22"/>
                                <w:lang w:val="en-US"/>
                              </w:rPr>
                              <w:t>times clustered around 9 to 10 months, including New South Wales, the Australian Capital Territory, Western Australia, Tasmania and South Australia.</w:t>
                            </w:r>
                          </w:p>
                          <w:p w14:paraId="26D33F10" w14:textId="603D5BDF" w:rsidR="006923CB" w:rsidRPr="00F12F03" w:rsidRDefault="006923CB" w:rsidP="00F12F03">
                            <w:pPr>
                              <w:pStyle w:val="ListParagraph"/>
                              <w:numPr>
                                <w:ilvl w:val="0"/>
                                <w:numId w:val="44"/>
                              </w:numPr>
                              <w:rPr>
                                <w:bCs/>
                                <w:szCs w:val="22"/>
                                <w:lang w:val="en-US"/>
                              </w:rPr>
                            </w:pPr>
                            <w:r w:rsidRPr="00F12F03">
                              <w:rPr>
                                <w:bCs/>
                                <w:szCs w:val="22"/>
                                <w:lang w:val="en-US"/>
                              </w:rPr>
                              <w:t xml:space="preserve">Average </w:t>
                            </w:r>
                            <w:r w:rsidR="00B24478">
                              <w:rPr>
                                <w:bCs/>
                                <w:szCs w:val="22"/>
                                <w:lang w:val="en-US"/>
                              </w:rPr>
                              <w:t>elapsed</w:t>
                            </w:r>
                            <w:r w:rsidR="00B24478" w:rsidRPr="00F12F03">
                              <w:rPr>
                                <w:bCs/>
                                <w:szCs w:val="22"/>
                                <w:lang w:val="en-US"/>
                              </w:rPr>
                              <w:t xml:space="preserve"> </w:t>
                            </w:r>
                            <w:r w:rsidRPr="00F12F03">
                              <w:rPr>
                                <w:bCs/>
                                <w:szCs w:val="22"/>
                                <w:lang w:val="en-US"/>
                              </w:rPr>
                              <w:t>times followed a similar pattern, ranging from 331 days in Western Australia to 386 days in the Australian Capital Territory, indicating differing distributions of longer waits across jurisdictions.</w:t>
                            </w:r>
                          </w:p>
                          <w:p w14:paraId="6B758BD9" w14:textId="1D947FA9" w:rsidR="006923CB" w:rsidRPr="00F12F03" w:rsidRDefault="006923CB" w:rsidP="00F12F03">
                            <w:pPr>
                              <w:pStyle w:val="ListParagraph"/>
                              <w:numPr>
                                <w:ilvl w:val="0"/>
                                <w:numId w:val="44"/>
                              </w:numPr>
                              <w:rPr>
                                <w:bCs/>
                                <w:szCs w:val="22"/>
                                <w:lang w:val="en-US"/>
                              </w:rPr>
                            </w:pPr>
                            <w:r w:rsidRPr="00F12F03">
                              <w:rPr>
                                <w:bCs/>
                                <w:szCs w:val="22"/>
                                <w:lang w:val="en-US"/>
                              </w:rPr>
                              <w:t xml:space="preserve">In all jurisdictions, average </w:t>
                            </w:r>
                            <w:r w:rsidR="00B24478">
                              <w:rPr>
                                <w:bCs/>
                                <w:szCs w:val="22"/>
                                <w:lang w:val="en-US"/>
                              </w:rPr>
                              <w:t>elapsed</w:t>
                            </w:r>
                            <w:r w:rsidR="00B24478" w:rsidRPr="00F12F03">
                              <w:rPr>
                                <w:bCs/>
                                <w:szCs w:val="22"/>
                                <w:lang w:val="en-US"/>
                              </w:rPr>
                              <w:t xml:space="preserve"> </w:t>
                            </w:r>
                            <w:r w:rsidRPr="00F12F03">
                              <w:rPr>
                                <w:bCs/>
                                <w:szCs w:val="22"/>
                                <w:lang w:val="en-US"/>
                              </w:rPr>
                              <w:t xml:space="preserve">times exceeded median waiting times, reflecting that a subset of individuals experienced longer </w:t>
                            </w:r>
                            <w:r w:rsidR="00B24478">
                              <w:rPr>
                                <w:bCs/>
                                <w:szCs w:val="22"/>
                                <w:lang w:val="en-US"/>
                              </w:rPr>
                              <w:t>durations of time after application</w:t>
                            </w:r>
                            <w:r w:rsidRPr="00F12F03">
                              <w:rPr>
                                <w:bCs/>
                                <w:szCs w:val="22"/>
                                <w:lang w:val="en-US"/>
                              </w:rPr>
                              <w:t xml:space="preserve"> to service commencement.</w:t>
                            </w:r>
                          </w:p>
                          <w:p w14:paraId="08336210" w14:textId="64F2266C" w:rsidR="006923CB" w:rsidRPr="00F12F03" w:rsidRDefault="006923CB" w:rsidP="00F12F03">
                            <w:pPr>
                              <w:pStyle w:val="ListParagraph"/>
                              <w:numPr>
                                <w:ilvl w:val="0"/>
                                <w:numId w:val="44"/>
                              </w:numPr>
                              <w:rPr>
                                <w:bCs/>
                                <w:szCs w:val="22"/>
                                <w:lang w:val="en-US"/>
                              </w:rPr>
                            </w:pPr>
                            <w:r w:rsidRPr="00F12F03">
                              <w:rPr>
                                <w:bCs/>
                                <w:szCs w:val="22"/>
                                <w:lang w:val="en-US"/>
                              </w:rPr>
                              <w:t xml:space="preserve">The national median </w:t>
                            </w:r>
                            <w:r w:rsidR="00B24478">
                              <w:rPr>
                                <w:bCs/>
                                <w:szCs w:val="22"/>
                                <w:lang w:val="en-US"/>
                              </w:rPr>
                              <w:t>elapsed</w:t>
                            </w:r>
                            <w:r w:rsidR="00B24478" w:rsidRPr="00F12F03">
                              <w:rPr>
                                <w:bCs/>
                                <w:szCs w:val="22"/>
                                <w:lang w:val="en-US"/>
                              </w:rPr>
                              <w:t xml:space="preserve"> </w:t>
                            </w:r>
                            <w:r w:rsidRPr="00F12F03">
                              <w:rPr>
                                <w:bCs/>
                                <w:szCs w:val="22"/>
                                <w:lang w:val="en-US"/>
                              </w:rPr>
                              <w:t xml:space="preserve">time was 294 days (approximately </w:t>
                            </w:r>
                            <w:r w:rsidR="00070966">
                              <w:rPr>
                                <w:bCs/>
                                <w:szCs w:val="22"/>
                                <w:lang w:val="en-US"/>
                              </w:rPr>
                              <w:t>10</w:t>
                            </w:r>
                            <w:r w:rsidRPr="00F12F03">
                              <w:rPr>
                                <w:bCs/>
                                <w:szCs w:val="22"/>
                                <w:lang w:val="en-US"/>
                              </w:rPr>
                              <w:t xml:space="preserve"> months), with several jurisdictions recording median wait times above and below this national figure.</w:t>
                            </w:r>
                          </w:p>
                          <w:p w14:paraId="6578A6A0" w14:textId="5EB4DBA0" w:rsidR="00860853" w:rsidRPr="00F12F03" w:rsidRDefault="006923CB" w:rsidP="00F12F03">
                            <w:pPr>
                              <w:pStyle w:val="ListParagraph"/>
                              <w:numPr>
                                <w:ilvl w:val="0"/>
                                <w:numId w:val="44"/>
                              </w:numPr>
                              <w:rPr>
                                <w:bCs/>
                                <w:szCs w:val="22"/>
                                <w:lang w:val="en-US"/>
                              </w:rPr>
                            </w:pPr>
                            <w:r w:rsidRPr="00F12F03">
                              <w:rPr>
                                <w:bCs/>
                                <w:szCs w:val="22"/>
                                <w:lang w:val="en-US"/>
                              </w:rPr>
                              <w:t>These results indicate that</w:t>
                            </w:r>
                            <w:r w:rsidR="00B24478">
                              <w:rPr>
                                <w:bCs/>
                                <w:szCs w:val="22"/>
                                <w:lang w:val="en-US"/>
                              </w:rPr>
                              <w:t xml:space="preserve"> the</w:t>
                            </w:r>
                            <w:r w:rsidRPr="00F12F03">
                              <w:rPr>
                                <w:bCs/>
                                <w:szCs w:val="22"/>
                                <w:lang w:val="en-US"/>
                              </w:rPr>
                              <w:t xml:space="preserve"> </w:t>
                            </w:r>
                            <w:r w:rsidR="00B24478">
                              <w:rPr>
                                <w:bCs/>
                                <w:szCs w:val="22"/>
                                <w:lang w:val="en-US"/>
                              </w:rPr>
                              <w:t>s</w:t>
                            </w:r>
                            <w:r w:rsidRPr="00F12F03">
                              <w:rPr>
                                <w:bCs/>
                                <w:szCs w:val="22"/>
                                <w:lang w:val="en-US"/>
                              </w:rPr>
                              <w:t xml:space="preserve">tate and </w:t>
                            </w:r>
                            <w:r w:rsidR="00B24478">
                              <w:rPr>
                                <w:bCs/>
                                <w:szCs w:val="22"/>
                                <w:lang w:val="en-US"/>
                              </w:rPr>
                              <w:t>t</w:t>
                            </w:r>
                            <w:r w:rsidRPr="00F12F03">
                              <w:rPr>
                                <w:bCs/>
                                <w:szCs w:val="22"/>
                                <w:lang w:val="en-US"/>
                              </w:rPr>
                              <w:t>erritory of service delivery contributes to differences in time to care, although further variation exists at the local</w:t>
                            </w:r>
                            <w:r w:rsidR="00B24478">
                              <w:rPr>
                                <w:rFonts w:ascii="Cambria Math" w:hAnsi="Cambria Math" w:cs="Cambria Math"/>
                                <w:bCs/>
                                <w:szCs w:val="22"/>
                                <w:lang w:val="en-US"/>
                              </w:rPr>
                              <w:t xml:space="preserve"> </w:t>
                            </w:r>
                            <w:r w:rsidRPr="00F12F03">
                              <w:rPr>
                                <w:bCs/>
                                <w:szCs w:val="22"/>
                                <w:lang w:val="en-US"/>
                              </w:rPr>
                              <w:t>region level.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63F44" id="_x0000_s1044" type="#_x0000_t202" style="position:absolute;margin-left:0;margin-top:0;width:455.25pt;height:307pt;z-index:25165824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" fillcolor="#bfe7ff [662]">
                <v:textbox>
                  <w:txbxContent>
                    <w:p w14:paraId="3DB86147" w14:textId="77777777" w:rsidR="00860853" w:rsidRPr="00570578" w:rsidRDefault="00860853" w:rsidP="00570578">
                      <w:pPr>
                        <w:jc w:val="both"/>
                        <w:rPr>
                          <w:u w:val="single"/>
                        </w:rPr>
                      </w:pPr>
                      <w:r w:rsidRPr="00570578">
                        <w:rPr>
                          <w:u w:val="single"/>
                        </w:rPr>
                        <w:t>Key points</w:t>
                      </w:r>
                    </w:p>
                    <w:p w14:paraId="164A1CBD" w14:textId="3A6C4A70" w:rsidR="006923CB" w:rsidRPr="00F12F03" w:rsidRDefault="006923CB" w:rsidP="00F12F03">
                      <w:pPr>
                        <w:pStyle w:val="ListParagraph"/>
                        <w:numPr>
                          <w:ilvl w:val="0"/>
                          <w:numId w:val="44"/>
                        </w:numPr>
                        <w:rPr>
                          <w:bCs/>
                          <w:szCs w:val="22"/>
                          <w:lang w:val="en-US"/>
                        </w:rPr>
                      </w:pPr>
                      <w:r w:rsidRPr="00F12F03">
                        <w:rPr>
                          <w:bCs/>
                          <w:szCs w:val="22"/>
                          <w:lang w:val="en-US"/>
                        </w:rPr>
                        <w:t xml:space="preserve">Median </w:t>
                      </w:r>
                      <w:r w:rsidR="00ED3D4B">
                        <w:rPr>
                          <w:bCs/>
                          <w:szCs w:val="22"/>
                          <w:lang w:val="en-US"/>
                        </w:rPr>
                        <w:t>elapsed</w:t>
                      </w:r>
                      <w:r w:rsidR="00ED3D4B" w:rsidRPr="00F12F03">
                        <w:rPr>
                          <w:bCs/>
                          <w:szCs w:val="22"/>
                          <w:lang w:val="en-US"/>
                        </w:rPr>
                        <w:t xml:space="preserve"> </w:t>
                      </w:r>
                      <w:r w:rsidRPr="00F12F03">
                        <w:rPr>
                          <w:bCs/>
                          <w:szCs w:val="22"/>
                          <w:lang w:val="en-US"/>
                        </w:rPr>
                        <w:t>times for non</w:t>
                      </w:r>
                      <w:r w:rsidRPr="00F12F03">
                        <w:rPr>
                          <w:rFonts w:ascii="Cambria Math" w:hAnsi="Cambria Math" w:cs="Cambria Math"/>
                          <w:bCs/>
                          <w:szCs w:val="22"/>
                          <w:lang w:val="en-US"/>
                        </w:rPr>
                        <w:t>‑</w:t>
                      </w:r>
                      <w:r w:rsidRPr="00F12F03">
                        <w:rPr>
                          <w:bCs/>
                          <w:szCs w:val="22"/>
                          <w:lang w:val="en-US"/>
                        </w:rPr>
                        <w:t xml:space="preserve">specialist aged care services varied across jurisdictions, ranging from 273 days in Victoria (approximately 9 months) to 322 days in Queensland (approximately </w:t>
                      </w:r>
                      <w:r w:rsidR="00BE0CE1">
                        <w:rPr>
                          <w:bCs/>
                          <w:szCs w:val="22"/>
                          <w:lang w:val="en-US"/>
                        </w:rPr>
                        <w:t>11</w:t>
                      </w:r>
                      <w:r w:rsidRPr="00F12F03">
                        <w:rPr>
                          <w:bCs/>
                          <w:szCs w:val="22"/>
                          <w:lang w:val="en-US"/>
                        </w:rPr>
                        <w:t xml:space="preserve"> months).</w:t>
                      </w:r>
                    </w:p>
                    <w:p w14:paraId="1B14DC1F" w14:textId="677074CA" w:rsidR="006923CB" w:rsidRPr="00F12F03" w:rsidRDefault="006923CB" w:rsidP="00F12F03">
                      <w:pPr>
                        <w:pStyle w:val="ListParagraph"/>
                        <w:numPr>
                          <w:ilvl w:val="0"/>
                          <w:numId w:val="44"/>
                        </w:numPr>
                        <w:rPr>
                          <w:bCs/>
                          <w:szCs w:val="22"/>
                          <w:lang w:val="en-US"/>
                        </w:rPr>
                      </w:pPr>
                      <w:r w:rsidRPr="00F12F03">
                        <w:rPr>
                          <w:bCs/>
                          <w:szCs w:val="22"/>
                          <w:lang w:val="en-US"/>
                        </w:rPr>
                        <w:t xml:space="preserve">Most jurisdictions recorded median </w:t>
                      </w:r>
                      <w:r w:rsidR="00B24478">
                        <w:rPr>
                          <w:bCs/>
                          <w:szCs w:val="22"/>
                          <w:lang w:val="en-US"/>
                        </w:rPr>
                        <w:t>elapsed</w:t>
                      </w:r>
                      <w:r w:rsidR="00B24478" w:rsidRPr="00F12F03">
                        <w:rPr>
                          <w:bCs/>
                          <w:szCs w:val="22"/>
                          <w:lang w:val="en-US"/>
                        </w:rPr>
                        <w:t xml:space="preserve"> </w:t>
                      </w:r>
                      <w:r w:rsidRPr="00F12F03">
                        <w:rPr>
                          <w:bCs/>
                          <w:szCs w:val="22"/>
                          <w:lang w:val="en-US"/>
                        </w:rPr>
                        <w:t>times clustered around 9 to 10 months, including New South Wales, the Australian Capital Territory, Western Australia, Tasmania and South Australia.</w:t>
                      </w:r>
                    </w:p>
                    <w:p w14:paraId="26D33F10" w14:textId="603D5BDF" w:rsidR="006923CB" w:rsidRPr="00F12F03" w:rsidRDefault="006923CB" w:rsidP="00F12F03">
                      <w:pPr>
                        <w:pStyle w:val="ListParagraph"/>
                        <w:numPr>
                          <w:ilvl w:val="0"/>
                          <w:numId w:val="44"/>
                        </w:numPr>
                        <w:rPr>
                          <w:bCs/>
                          <w:szCs w:val="22"/>
                          <w:lang w:val="en-US"/>
                        </w:rPr>
                      </w:pPr>
                      <w:r w:rsidRPr="00F12F03">
                        <w:rPr>
                          <w:bCs/>
                          <w:szCs w:val="22"/>
                          <w:lang w:val="en-US"/>
                        </w:rPr>
                        <w:t xml:space="preserve">Average </w:t>
                      </w:r>
                      <w:r w:rsidR="00B24478">
                        <w:rPr>
                          <w:bCs/>
                          <w:szCs w:val="22"/>
                          <w:lang w:val="en-US"/>
                        </w:rPr>
                        <w:t>elapsed</w:t>
                      </w:r>
                      <w:r w:rsidR="00B24478" w:rsidRPr="00F12F03">
                        <w:rPr>
                          <w:bCs/>
                          <w:szCs w:val="22"/>
                          <w:lang w:val="en-US"/>
                        </w:rPr>
                        <w:t xml:space="preserve"> </w:t>
                      </w:r>
                      <w:r w:rsidRPr="00F12F03">
                        <w:rPr>
                          <w:bCs/>
                          <w:szCs w:val="22"/>
                          <w:lang w:val="en-US"/>
                        </w:rPr>
                        <w:t>times followed a similar pattern, ranging from 331 days in Western Australia to 386 days in the Australian Capital Territory, indicating differing distributions of longer waits across jurisdictions.</w:t>
                      </w:r>
                    </w:p>
                    <w:p w14:paraId="6B758BD9" w14:textId="1D947FA9" w:rsidR="006923CB" w:rsidRPr="00F12F03" w:rsidRDefault="006923CB" w:rsidP="00F12F03">
                      <w:pPr>
                        <w:pStyle w:val="ListParagraph"/>
                        <w:numPr>
                          <w:ilvl w:val="0"/>
                          <w:numId w:val="44"/>
                        </w:numPr>
                        <w:rPr>
                          <w:bCs/>
                          <w:szCs w:val="22"/>
                          <w:lang w:val="en-US"/>
                        </w:rPr>
                      </w:pPr>
                      <w:r w:rsidRPr="00F12F03">
                        <w:rPr>
                          <w:bCs/>
                          <w:szCs w:val="22"/>
                          <w:lang w:val="en-US"/>
                        </w:rPr>
                        <w:t xml:space="preserve">In all jurisdictions, average </w:t>
                      </w:r>
                      <w:r w:rsidR="00B24478">
                        <w:rPr>
                          <w:bCs/>
                          <w:szCs w:val="22"/>
                          <w:lang w:val="en-US"/>
                        </w:rPr>
                        <w:t>elapsed</w:t>
                      </w:r>
                      <w:r w:rsidR="00B24478" w:rsidRPr="00F12F03">
                        <w:rPr>
                          <w:bCs/>
                          <w:szCs w:val="22"/>
                          <w:lang w:val="en-US"/>
                        </w:rPr>
                        <w:t xml:space="preserve"> </w:t>
                      </w:r>
                      <w:r w:rsidRPr="00F12F03">
                        <w:rPr>
                          <w:bCs/>
                          <w:szCs w:val="22"/>
                          <w:lang w:val="en-US"/>
                        </w:rPr>
                        <w:t xml:space="preserve">times exceeded median waiting times, reflecting that a subset of individuals experienced longer </w:t>
                      </w:r>
                      <w:r w:rsidR="00B24478">
                        <w:rPr>
                          <w:bCs/>
                          <w:szCs w:val="22"/>
                          <w:lang w:val="en-US"/>
                        </w:rPr>
                        <w:t>durations of time after application</w:t>
                      </w:r>
                      <w:r w:rsidRPr="00F12F03">
                        <w:rPr>
                          <w:bCs/>
                          <w:szCs w:val="22"/>
                          <w:lang w:val="en-US"/>
                        </w:rPr>
                        <w:t xml:space="preserve"> to service commencement.</w:t>
                      </w:r>
                    </w:p>
                    <w:p w14:paraId="08336210" w14:textId="64F2266C" w:rsidR="006923CB" w:rsidRPr="00F12F03" w:rsidRDefault="006923CB" w:rsidP="00F12F03">
                      <w:pPr>
                        <w:pStyle w:val="ListParagraph"/>
                        <w:numPr>
                          <w:ilvl w:val="0"/>
                          <w:numId w:val="44"/>
                        </w:numPr>
                        <w:rPr>
                          <w:bCs/>
                          <w:szCs w:val="22"/>
                          <w:lang w:val="en-US"/>
                        </w:rPr>
                      </w:pPr>
                      <w:r w:rsidRPr="00F12F03">
                        <w:rPr>
                          <w:bCs/>
                          <w:szCs w:val="22"/>
                          <w:lang w:val="en-US"/>
                        </w:rPr>
                        <w:t xml:space="preserve">The national median </w:t>
                      </w:r>
                      <w:r w:rsidR="00B24478">
                        <w:rPr>
                          <w:bCs/>
                          <w:szCs w:val="22"/>
                          <w:lang w:val="en-US"/>
                        </w:rPr>
                        <w:t>elapsed</w:t>
                      </w:r>
                      <w:r w:rsidR="00B24478" w:rsidRPr="00F12F03">
                        <w:rPr>
                          <w:bCs/>
                          <w:szCs w:val="22"/>
                          <w:lang w:val="en-US"/>
                        </w:rPr>
                        <w:t xml:space="preserve"> </w:t>
                      </w:r>
                      <w:r w:rsidRPr="00F12F03">
                        <w:rPr>
                          <w:bCs/>
                          <w:szCs w:val="22"/>
                          <w:lang w:val="en-US"/>
                        </w:rPr>
                        <w:t xml:space="preserve">time was 294 days (approximately </w:t>
                      </w:r>
                      <w:r w:rsidR="00070966">
                        <w:rPr>
                          <w:bCs/>
                          <w:szCs w:val="22"/>
                          <w:lang w:val="en-US"/>
                        </w:rPr>
                        <w:t>10</w:t>
                      </w:r>
                      <w:r w:rsidRPr="00F12F03">
                        <w:rPr>
                          <w:bCs/>
                          <w:szCs w:val="22"/>
                          <w:lang w:val="en-US"/>
                        </w:rPr>
                        <w:t xml:space="preserve"> months), with several jurisdictions recording median wait times above and below this national figure.</w:t>
                      </w:r>
                    </w:p>
                    <w:p w14:paraId="6578A6A0" w14:textId="5EB4DBA0" w:rsidR="00860853" w:rsidRPr="00F12F03" w:rsidRDefault="006923CB" w:rsidP="00F12F03">
                      <w:pPr>
                        <w:pStyle w:val="ListParagraph"/>
                        <w:numPr>
                          <w:ilvl w:val="0"/>
                          <w:numId w:val="44"/>
                        </w:numPr>
                        <w:rPr>
                          <w:bCs/>
                          <w:szCs w:val="22"/>
                          <w:lang w:val="en-US"/>
                        </w:rPr>
                      </w:pPr>
                      <w:r w:rsidRPr="00F12F03">
                        <w:rPr>
                          <w:bCs/>
                          <w:szCs w:val="22"/>
                          <w:lang w:val="en-US"/>
                        </w:rPr>
                        <w:t>These results indicate that</w:t>
                      </w:r>
                      <w:r w:rsidR="00B24478">
                        <w:rPr>
                          <w:bCs/>
                          <w:szCs w:val="22"/>
                          <w:lang w:val="en-US"/>
                        </w:rPr>
                        <w:t xml:space="preserve"> the</w:t>
                      </w:r>
                      <w:r w:rsidRPr="00F12F03">
                        <w:rPr>
                          <w:bCs/>
                          <w:szCs w:val="22"/>
                          <w:lang w:val="en-US"/>
                        </w:rPr>
                        <w:t xml:space="preserve"> </w:t>
                      </w:r>
                      <w:r w:rsidR="00B24478">
                        <w:rPr>
                          <w:bCs/>
                          <w:szCs w:val="22"/>
                          <w:lang w:val="en-US"/>
                        </w:rPr>
                        <w:t>s</w:t>
                      </w:r>
                      <w:r w:rsidRPr="00F12F03">
                        <w:rPr>
                          <w:bCs/>
                          <w:szCs w:val="22"/>
                          <w:lang w:val="en-US"/>
                        </w:rPr>
                        <w:t xml:space="preserve">tate and </w:t>
                      </w:r>
                      <w:r w:rsidR="00B24478">
                        <w:rPr>
                          <w:bCs/>
                          <w:szCs w:val="22"/>
                          <w:lang w:val="en-US"/>
                        </w:rPr>
                        <w:t>t</w:t>
                      </w:r>
                      <w:r w:rsidRPr="00F12F03">
                        <w:rPr>
                          <w:bCs/>
                          <w:szCs w:val="22"/>
                          <w:lang w:val="en-US"/>
                        </w:rPr>
                        <w:t>erritory of service delivery contributes to differences in time to care, although further variation exists at the local</w:t>
                      </w:r>
                      <w:r w:rsidR="00B24478">
                        <w:rPr>
                          <w:rFonts w:ascii="Cambria Math" w:hAnsi="Cambria Math" w:cs="Cambria Math"/>
                          <w:bCs/>
                          <w:szCs w:val="22"/>
                          <w:lang w:val="en-US"/>
                        </w:rPr>
                        <w:t xml:space="preserve"> </w:t>
                      </w:r>
                      <w:r w:rsidRPr="00F12F03">
                        <w:rPr>
                          <w:bCs/>
                          <w:szCs w:val="22"/>
                          <w:lang w:val="en-US"/>
                        </w:rPr>
                        <w:t>region level.</w:t>
                      </w:r>
                    </w:p>
                  </w:txbxContent>
                </v:textbox>
                <w10:wrap type="square" anchorx="margin"/>
              </v:shape>
            </w:pict>
          </mc:Fallback>
        </mc:AlternateContent>
      </w:r>
      <w:bookmarkEnd w:id="35"/>
      <w:bookmarkEnd w:id="36"/>
    </w:p>
    <w:p w14:paraId="538C8B0D" w14:textId="5D0D1CA7" w:rsidR="008035E7" w:rsidRPr="008035E7" w:rsidRDefault="008035E7">
      <w:pPr>
        <w:spacing w:before="0" w:after="0" w:line="240" w:lineRule="auto"/>
        <w:rPr>
          <w:rFonts w:cs="Arial"/>
          <w:lang w:val="en-US"/>
        </w:rPr>
      </w:pPr>
      <w:r w:rsidRPr="008035E7">
        <w:rPr>
          <w:rFonts w:cs="Arial"/>
          <w:lang w:val="en-US"/>
        </w:rPr>
        <w:br w:type="page"/>
      </w:r>
    </w:p>
    <w:p w14:paraId="33AF0E37" w14:textId="26190368" w:rsidR="00201BFE" w:rsidRDefault="00CC7B68" w:rsidP="00CC7B68">
      <w:pPr>
        <w:pStyle w:val="Heading1"/>
        <w:numPr>
          <w:ilvl w:val="0"/>
          <w:numId w:val="26"/>
        </w:numPr>
        <w:ind w:left="567" w:hanging="567"/>
      </w:pPr>
      <w:bookmarkStart w:id="37" w:name="_Toc229480667"/>
      <w:r w:rsidRPr="00CC7B68">
        <w:lastRenderedPageBreak/>
        <w:t>Assessment of differences by local region</w:t>
      </w:r>
      <w:bookmarkEnd w:id="37"/>
    </w:p>
    <w:p w14:paraId="68E42207" w14:textId="1BA38062" w:rsidR="00CC7B68" w:rsidRDefault="00B00A44" w:rsidP="00CA0247">
      <w:pPr>
        <w:pStyle w:val="Heading2"/>
        <w:numPr>
          <w:ilvl w:val="1"/>
          <w:numId w:val="26"/>
        </w:numPr>
      </w:pPr>
      <w:r>
        <w:t xml:space="preserve"> </w:t>
      </w:r>
      <w:bookmarkStart w:id="38" w:name="_Toc229480668"/>
      <w:r w:rsidR="00A64264">
        <w:t>Elapsed time</w:t>
      </w:r>
      <w:r w:rsidR="00B57BB3" w:rsidRPr="00B57BB3">
        <w:t xml:space="preserve"> by local region</w:t>
      </w:r>
      <w:r w:rsidR="00B57BB3">
        <w:t xml:space="preserve"> by Aged Care Planning Region (ACPR) </w:t>
      </w:r>
      <w:r w:rsidR="00B57BB3" w:rsidRPr="00B57BB3">
        <w:t>(342A(2)(f)).</w:t>
      </w:r>
      <w:bookmarkEnd w:id="38"/>
    </w:p>
    <w:p w14:paraId="2EF97E4F" w14:textId="595A3DE3" w:rsidR="00ED3D4B" w:rsidRPr="00ED3D4B" w:rsidRDefault="00ED3D4B" w:rsidP="003138B7"/>
    <w:p w14:paraId="6B800FA0" w14:textId="77777777" w:rsidR="00D16821" w:rsidRDefault="00ED3D4B" w:rsidP="00D16821">
      <w:pPr>
        <w:pStyle w:val="Boxtype"/>
        <w:pBdr>
          <w:right w:val="single" w:sz="6" w:space="0" w:color="358189"/>
        </w:pBdr>
        <w:rPr>
          <w:szCs w:val="22"/>
          <w:lang w:val="en-AU"/>
        </w:rPr>
      </w:pPr>
      <w:r w:rsidRPr="00ED3D4B">
        <w:rPr>
          <w:szCs w:val="22"/>
          <w:lang w:val="en-AU"/>
        </w:rPr>
        <w:t>This section compares elapsed time for non</w:t>
      </w:r>
      <w:r w:rsidRPr="00ED3D4B">
        <w:rPr>
          <w:rFonts w:ascii="Cambria Math" w:hAnsi="Cambria Math" w:cs="Cambria Math"/>
          <w:szCs w:val="22"/>
          <w:lang w:val="en-AU"/>
        </w:rPr>
        <w:t>‑</w:t>
      </w:r>
      <w:r w:rsidRPr="00ED3D4B">
        <w:rPr>
          <w:szCs w:val="22"/>
          <w:lang w:val="en-AU"/>
        </w:rPr>
        <w:t xml:space="preserve">specialist services </w:t>
      </w:r>
      <w:r>
        <w:rPr>
          <w:szCs w:val="22"/>
          <w:lang w:val="en-AU"/>
        </w:rPr>
        <w:t>by Aged Care Planning Region</w:t>
      </w:r>
      <w:r w:rsidR="00B24478">
        <w:rPr>
          <w:szCs w:val="22"/>
          <w:lang w:val="en-AU"/>
        </w:rPr>
        <w:t>,</w:t>
      </w:r>
      <w:r>
        <w:rPr>
          <w:szCs w:val="22"/>
          <w:lang w:val="en-AU"/>
        </w:rPr>
        <w:t xml:space="preserve"> as per the definition of the local region in section 5-5 of the </w:t>
      </w:r>
      <w:r w:rsidRPr="003138B7">
        <w:rPr>
          <w:i/>
          <w:iCs/>
          <w:szCs w:val="22"/>
          <w:lang w:val="en-AU"/>
        </w:rPr>
        <w:t>Aged Care Rules 2025</w:t>
      </w:r>
      <w:r w:rsidR="00B24478">
        <w:rPr>
          <w:i/>
          <w:iCs/>
          <w:szCs w:val="22"/>
          <w:lang w:val="en-AU"/>
        </w:rPr>
        <w:t xml:space="preserve"> </w:t>
      </w:r>
      <w:r w:rsidR="00B24478" w:rsidRPr="003138B7">
        <w:rPr>
          <w:szCs w:val="22"/>
          <w:lang w:val="en-AU"/>
        </w:rPr>
        <w:t xml:space="preserve">and </w:t>
      </w:r>
      <w:r w:rsidR="00B24478" w:rsidRPr="003138B7">
        <w:rPr>
          <w:b/>
          <w:bCs/>
          <w:szCs w:val="22"/>
          <w:lang w:val="en-AU"/>
        </w:rPr>
        <w:t>Glossary</w:t>
      </w:r>
      <w:r w:rsidR="00B24478" w:rsidRPr="003138B7">
        <w:rPr>
          <w:szCs w:val="22"/>
          <w:lang w:val="en-AU"/>
        </w:rPr>
        <w:t xml:space="preserve"> below</w:t>
      </w:r>
      <w:r w:rsidRPr="00B24478">
        <w:rPr>
          <w:szCs w:val="22"/>
          <w:lang w:val="en-AU"/>
        </w:rPr>
        <w:t>.</w:t>
      </w:r>
      <w:r w:rsidR="00D16821" w:rsidRPr="00D16821">
        <w:rPr>
          <w:szCs w:val="22"/>
          <w:lang w:val="en-AU"/>
        </w:rPr>
        <w:t xml:space="preserve"> </w:t>
      </w:r>
    </w:p>
    <w:p w14:paraId="6E1E3005" w14:textId="22FD53AE" w:rsidR="00D16821" w:rsidRPr="00646260" w:rsidRDefault="00D16821" w:rsidP="00D16821">
      <w:pPr>
        <w:pStyle w:val="Boxtype"/>
        <w:pBdr>
          <w:right w:val="single" w:sz="6" w:space="0" w:color="358189"/>
        </w:pBdr>
        <w:rPr>
          <w:szCs w:val="22"/>
          <w:lang w:val="en-AU"/>
        </w:rPr>
      </w:pPr>
      <w:r w:rsidRPr="00646260">
        <w:rPr>
          <w:szCs w:val="22"/>
          <w:lang w:val="en-AU"/>
        </w:rPr>
        <w:t xml:space="preserve">The data below presents the elapsed time for this cohort from applying through </w:t>
      </w:r>
      <w:r w:rsidRPr="00F21DFB">
        <w:rPr>
          <w:i/>
          <w:iCs/>
          <w:szCs w:val="22"/>
          <w:lang w:val="en-AU"/>
        </w:rPr>
        <w:t>My Aged Care</w:t>
      </w:r>
      <w:r w:rsidRPr="00646260">
        <w:rPr>
          <w:szCs w:val="22"/>
          <w:lang w:val="en-AU"/>
        </w:rPr>
        <w:t xml:space="preserve"> to assessment, allocation of funded services, and commencement of care.</w:t>
      </w:r>
    </w:p>
    <w:p w14:paraId="3ACF68FE" w14:textId="0060097D" w:rsidR="00ED3D4B" w:rsidRPr="00ED3D4B" w:rsidRDefault="00D16821" w:rsidP="00D16821">
      <w:pPr>
        <w:pStyle w:val="Boxtype"/>
        <w:pBdr>
          <w:right w:val="single" w:sz="6" w:space="0" w:color="358189"/>
        </w:pBdr>
        <w:rPr>
          <w:szCs w:val="22"/>
          <w:lang w:val="en-AU"/>
        </w:rPr>
      </w:pPr>
      <w:r w:rsidRPr="00646260">
        <w:rPr>
          <w:szCs w:val="22"/>
          <w:lang w:val="en-AU"/>
        </w:rPr>
        <w:t>Please note: Time from allocation to service commencement may be influenced by individual choice, provider availability, and system-level factors.</w:t>
      </w:r>
    </w:p>
    <w:p w14:paraId="281BD46F" w14:textId="77777777" w:rsidR="00B24478" w:rsidRPr="00D57E2A" w:rsidRDefault="00B24478" w:rsidP="0031040B">
      <w:pPr>
        <w:pStyle w:val="Heading3"/>
      </w:pPr>
      <w:bookmarkStart w:id="39" w:name="_Toc229480669"/>
      <w:r>
        <w:t>New South Wales</w:t>
      </w:r>
      <w:bookmarkEnd w:id="39"/>
    </w:p>
    <w:p w14:paraId="7AC61C7F" w14:textId="2BEEAB31" w:rsidR="003571E3" w:rsidRDefault="003571E3" w:rsidP="0031040B">
      <w:pPr>
        <w:pStyle w:val="Heading4"/>
      </w:pPr>
      <w:bookmarkStart w:id="40" w:name="_Toc229480670"/>
      <w:r>
        <w:t>Table 6: Average (avg)/Median (</w:t>
      </w:r>
      <w:proofErr w:type="spellStart"/>
      <w:r>
        <w:t>mdn</w:t>
      </w:r>
      <w:proofErr w:type="spellEnd"/>
      <w:r>
        <w:t>) number of days</w:t>
      </w:r>
      <w:r w:rsidRPr="00235D3A">
        <w:t>/months</w:t>
      </w:r>
      <w:r>
        <w:t xml:space="preserve"> between an application for aged care and service commencement for services commenced in the reporting period.</w:t>
      </w:r>
      <w:bookmarkEnd w:id="40"/>
    </w:p>
    <w:tbl>
      <w:tblPr>
        <w:tblW w:w="477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1"/>
        <w:gridCol w:w="1525"/>
        <w:gridCol w:w="1525"/>
        <w:gridCol w:w="1525"/>
        <w:gridCol w:w="1523"/>
      </w:tblGrid>
      <w:tr w:rsidR="008E29D8" w:rsidRPr="00151BBD" w14:paraId="53FE098C" w14:textId="77777777" w:rsidTr="00FB28E5">
        <w:trPr>
          <w:trHeight w:val="369"/>
          <w:tblHeader/>
        </w:trPr>
        <w:tc>
          <w:tcPr>
            <w:tcW w:w="1417"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4909F798" w14:textId="77777777" w:rsidR="008E29D8" w:rsidRPr="00151BBD" w:rsidRDefault="008E29D8" w:rsidP="00FB28E5">
            <w:pPr>
              <w:pStyle w:val="TableTitle"/>
              <w:rPr>
                <w:color w:val="FFFFFF" w:themeColor="background1"/>
                <w:sz w:val="20"/>
                <w:szCs w:val="20"/>
              </w:rPr>
            </w:pPr>
            <w:r>
              <w:rPr>
                <w:color w:val="FFFFFF" w:themeColor="background1"/>
                <w:sz w:val="20"/>
                <w:szCs w:val="20"/>
              </w:rPr>
              <w:t xml:space="preserve">  </w:t>
            </w:r>
            <w:r w:rsidRPr="00151BBD">
              <w:rPr>
                <w:color w:val="FFFFFF" w:themeColor="background1"/>
                <w:sz w:val="20"/>
                <w:szCs w:val="20"/>
              </w:rPr>
              <w:t>Region </w:t>
            </w:r>
          </w:p>
        </w:tc>
        <w:tc>
          <w:tcPr>
            <w:tcW w:w="89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1E6C516C" w14:textId="77777777" w:rsidR="008E29D8" w:rsidRPr="00151BBD" w:rsidRDefault="008E29D8" w:rsidP="00FB28E5">
            <w:pPr>
              <w:pStyle w:val="TableTitle"/>
              <w:jc w:val="right"/>
              <w:rPr>
                <w:color w:val="FFFFFF" w:themeColor="background1"/>
                <w:sz w:val="20"/>
                <w:szCs w:val="20"/>
              </w:rPr>
            </w:pPr>
            <w:r w:rsidRPr="00151BBD">
              <w:rPr>
                <w:color w:val="FFFFFF" w:themeColor="background1"/>
                <w:sz w:val="20"/>
                <w:szCs w:val="20"/>
              </w:rPr>
              <w:t>Avg (days) </w:t>
            </w:r>
          </w:p>
        </w:tc>
        <w:tc>
          <w:tcPr>
            <w:tcW w:w="89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3C7C4F7C" w14:textId="77777777" w:rsidR="008E29D8" w:rsidRPr="00151BBD" w:rsidRDefault="008E29D8" w:rsidP="00FB28E5">
            <w:pPr>
              <w:pStyle w:val="TableTitle"/>
              <w:jc w:val="right"/>
              <w:rPr>
                <w:color w:val="FFFFFF" w:themeColor="background1"/>
                <w:sz w:val="20"/>
                <w:szCs w:val="20"/>
              </w:rPr>
            </w:pPr>
            <w:r w:rsidRPr="00151BBD">
              <w:rPr>
                <w:color w:val="FFFFFF" w:themeColor="background1"/>
                <w:sz w:val="20"/>
                <w:szCs w:val="20"/>
              </w:rPr>
              <w:t>Avg (months) </w:t>
            </w:r>
          </w:p>
        </w:tc>
        <w:tc>
          <w:tcPr>
            <w:tcW w:w="89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08022B2E" w14:textId="77777777" w:rsidR="008E29D8" w:rsidRPr="00151BBD" w:rsidRDefault="008E29D8" w:rsidP="00FB28E5">
            <w:pPr>
              <w:pStyle w:val="TableTitle"/>
              <w:jc w:val="right"/>
              <w:rPr>
                <w:color w:val="FFFFFF" w:themeColor="background1"/>
                <w:sz w:val="20"/>
                <w:szCs w:val="20"/>
              </w:rPr>
            </w:pPr>
            <w:r w:rsidRPr="00151BBD">
              <w:rPr>
                <w:color w:val="FFFFFF" w:themeColor="background1"/>
                <w:sz w:val="20"/>
                <w:szCs w:val="20"/>
              </w:rPr>
              <w:t>Mdn (days) </w:t>
            </w:r>
          </w:p>
        </w:tc>
        <w:tc>
          <w:tcPr>
            <w:tcW w:w="89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563F4319" w14:textId="77777777" w:rsidR="008E29D8" w:rsidRPr="00151BBD" w:rsidRDefault="008E29D8" w:rsidP="00FB28E5">
            <w:pPr>
              <w:pStyle w:val="TableTitle"/>
              <w:jc w:val="right"/>
              <w:rPr>
                <w:color w:val="FFFFFF" w:themeColor="background1"/>
                <w:sz w:val="20"/>
                <w:szCs w:val="20"/>
              </w:rPr>
            </w:pPr>
            <w:r w:rsidRPr="00151BBD">
              <w:rPr>
                <w:color w:val="FFFFFF" w:themeColor="background1"/>
                <w:sz w:val="20"/>
                <w:szCs w:val="20"/>
              </w:rPr>
              <w:t>Mdn (months) </w:t>
            </w:r>
          </w:p>
        </w:tc>
      </w:tr>
    </w:tbl>
    <w:tbl>
      <w:tblPr>
        <w:tblW w:w="850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09"/>
        <w:gridCol w:w="1525"/>
        <w:gridCol w:w="1525"/>
        <w:gridCol w:w="1525"/>
        <w:gridCol w:w="1525"/>
      </w:tblGrid>
      <w:tr w:rsidR="007975AC" w:rsidRPr="00A24453" w14:paraId="54C9B5B0" w14:textId="77777777" w:rsidTr="00FB28E5">
        <w:trPr>
          <w:trHeight w:val="369"/>
          <w:tblHeader/>
        </w:trPr>
        <w:tc>
          <w:tcPr>
            <w:tcW w:w="240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476389AA" w14:textId="77777777" w:rsidR="007975AC" w:rsidRPr="00AE4F8E" w:rsidRDefault="007975AC" w:rsidP="00FB28E5">
            <w:pPr>
              <w:pStyle w:val="TableTitle"/>
              <w:rPr>
                <w:bCs/>
                <w:sz w:val="20"/>
                <w:szCs w:val="20"/>
              </w:rPr>
            </w:pPr>
            <w:r w:rsidRPr="00AE4F8E">
              <w:rPr>
                <w:bCs/>
                <w:sz w:val="20"/>
                <w:szCs w:val="20"/>
              </w:rPr>
              <w:t>Central Coast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0A51659" w14:textId="77777777" w:rsidR="007975AC" w:rsidRPr="00A24453" w:rsidRDefault="007975AC" w:rsidP="00FB28E5">
            <w:pPr>
              <w:pStyle w:val="TableTitle"/>
              <w:jc w:val="right"/>
              <w:rPr>
                <w:sz w:val="20"/>
                <w:szCs w:val="20"/>
              </w:rPr>
            </w:pPr>
            <w:r w:rsidRPr="00A24453">
              <w:rPr>
                <w:rFonts w:cs="Arial"/>
                <w:color w:val="000000"/>
                <w:sz w:val="20"/>
                <w:szCs w:val="20"/>
              </w:rPr>
              <w:t>314</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8573B22" w14:textId="77777777" w:rsidR="007975AC" w:rsidRPr="00A24453" w:rsidRDefault="007975AC" w:rsidP="00FB28E5">
            <w:pPr>
              <w:pStyle w:val="TableTitle"/>
              <w:jc w:val="right"/>
              <w:rPr>
                <w:sz w:val="20"/>
                <w:szCs w:val="20"/>
              </w:rPr>
            </w:pPr>
            <w:r w:rsidRPr="00A24453">
              <w:rPr>
                <w:rFonts w:cs="Arial"/>
                <w:color w:val="000000"/>
                <w:sz w:val="20"/>
                <w:szCs w:val="20"/>
              </w:rPr>
              <w:t>10</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5846948" w14:textId="77777777" w:rsidR="007975AC" w:rsidRPr="00A24453" w:rsidRDefault="007975AC" w:rsidP="00FB28E5">
            <w:pPr>
              <w:pStyle w:val="TableTitle"/>
              <w:jc w:val="right"/>
              <w:rPr>
                <w:sz w:val="20"/>
                <w:szCs w:val="20"/>
              </w:rPr>
            </w:pPr>
            <w:r w:rsidRPr="00A24453">
              <w:rPr>
                <w:rFonts w:cs="Arial"/>
                <w:color w:val="000000"/>
                <w:sz w:val="20"/>
                <w:szCs w:val="20"/>
              </w:rPr>
              <w:t>295</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3C7D881" w14:textId="77777777" w:rsidR="007975AC" w:rsidRPr="00A24453" w:rsidRDefault="007975AC" w:rsidP="00FB28E5">
            <w:pPr>
              <w:pStyle w:val="TableTitle"/>
              <w:jc w:val="right"/>
              <w:rPr>
                <w:sz w:val="20"/>
                <w:szCs w:val="20"/>
              </w:rPr>
            </w:pPr>
            <w:r w:rsidRPr="00A24453">
              <w:rPr>
                <w:rFonts w:cs="Arial"/>
                <w:color w:val="000000"/>
                <w:sz w:val="20"/>
                <w:szCs w:val="20"/>
              </w:rPr>
              <w:t>10</w:t>
            </w:r>
          </w:p>
        </w:tc>
      </w:tr>
      <w:tr w:rsidR="007975AC" w:rsidRPr="00A24453" w14:paraId="4716F19F" w14:textId="77777777" w:rsidTr="00FB28E5">
        <w:trPr>
          <w:trHeight w:val="369"/>
          <w:tblHeader/>
        </w:trPr>
        <w:tc>
          <w:tcPr>
            <w:tcW w:w="240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594BFF45" w14:textId="77777777" w:rsidR="007975AC" w:rsidRPr="00AE4F8E" w:rsidRDefault="007975AC" w:rsidP="00FB28E5">
            <w:pPr>
              <w:pStyle w:val="TableTitle"/>
              <w:rPr>
                <w:bCs/>
                <w:sz w:val="20"/>
                <w:szCs w:val="20"/>
              </w:rPr>
            </w:pPr>
            <w:r w:rsidRPr="00AE4F8E">
              <w:rPr>
                <w:bCs/>
                <w:sz w:val="20"/>
                <w:szCs w:val="20"/>
              </w:rPr>
              <w:t>Central West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38CEE34" w14:textId="77777777" w:rsidR="007975AC" w:rsidRPr="00A24453" w:rsidRDefault="007975AC" w:rsidP="00FB28E5">
            <w:pPr>
              <w:pStyle w:val="TableTitle"/>
              <w:jc w:val="right"/>
              <w:rPr>
                <w:sz w:val="20"/>
                <w:szCs w:val="20"/>
              </w:rPr>
            </w:pPr>
            <w:r w:rsidRPr="00A24453">
              <w:rPr>
                <w:rFonts w:cs="Arial"/>
                <w:color w:val="000000"/>
                <w:sz w:val="20"/>
                <w:szCs w:val="20"/>
              </w:rPr>
              <w:t>288</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09B2F8F" w14:textId="77777777" w:rsidR="007975AC" w:rsidRPr="00A24453" w:rsidRDefault="007975AC" w:rsidP="00FB28E5">
            <w:pPr>
              <w:pStyle w:val="TableTitle"/>
              <w:jc w:val="right"/>
              <w:rPr>
                <w:sz w:val="20"/>
                <w:szCs w:val="20"/>
              </w:rPr>
            </w:pPr>
            <w:r w:rsidRPr="00A24453">
              <w:rPr>
                <w:rFonts w:cs="Arial"/>
                <w:color w:val="000000"/>
                <w:sz w:val="20"/>
                <w:szCs w:val="20"/>
              </w:rPr>
              <w:t>10</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C7C65A7" w14:textId="77777777" w:rsidR="007975AC" w:rsidRPr="00A24453" w:rsidRDefault="007975AC" w:rsidP="00FB28E5">
            <w:pPr>
              <w:pStyle w:val="TableTitle"/>
              <w:jc w:val="right"/>
              <w:rPr>
                <w:sz w:val="20"/>
                <w:szCs w:val="20"/>
              </w:rPr>
            </w:pPr>
            <w:r w:rsidRPr="00A24453">
              <w:rPr>
                <w:rFonts w:cs="Arial"/>
                <w:color w:val="000000"/>
                <w:sz w:val="20"/>
                <w:szCs w:val="20"/>
              </w:rPr>
              <w:t>271</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B54964E" w14:textId="77777777" w:rsidR="007975AC" w:rsidRPr="00A24453" w:rsidRDefault="007975AC" w:rsidP="00FB28E5">
            <w:pPr>
              <w:pStyle w:val="TableTitle"/>
              <w:jc w:val="right"/>
              <w:rPr>
                <w:sz w:val="20"/>
                <w:szCs w:val="20"/>
              </w:rPr>
            </w:pPr>
            <w:r w:rsidRPr="00A24453">
              <w:rPr>
                <w:rFonts w:cs="Arial"/>
                <w:color w:val="000000"/>
                <w:sz w:val="20"/>
                <w:szCs w:val="20"/>
              </w:rPr>
              <w:t>9</w:t>
            </w:r>
          </w:p>
        </w:tc>
      </w:tr>
      <w:tr w:rsidR="007975AC" w:rsidRPr="00A24453" w14:paraId="25F8E031" w14:textId="77777777" w:rsidTr="00FB28E5">
        <w:trPr>
          <w:trHeight w:val="369"/>
          <w:tblHeader/>
        </w:trPr>
        <w:tc>
          <w:tcPr>
            <w:tcW w:w="240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56403EF2" w14:textId="77777777" w:rsidR="007975AC" w:rsidRPr="00AE4F8E" w:rsidRDefault="007975AC" w:rsidP="00FB28E5">
            <w:pPr>
              <w:pStyle w:val="TableTitle"/>
              <w:rPr>
                <w:bCs/>
                <w:sz w:val="20"/>
                <w:szCs w:val="20"/>
              </w:rPr>
            </w:pPr>
            <w:r w:rsidRPr="00AE4F8E">
              <w:rPr>
                <w:bCs/>
                <w:sz w:val="20"/>
                <w:szCs w:val="20"/>
              </w:rPr>
              <w:t>Far North Coast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9BBB01D" w14:textId="77777777" w:rsidR="007975AC" w:rsidRPr="00A24453" w:rsidRDefault="007975AC" w:rsidP="00FB28E5">
            <w:pPr>
              <w:pStyle w:val="TableTitle"/>
              <w:jc w:val="right"/>
              <w:rPr>
                <w:sz w:val="20"/>
                <w:szCs w:val="20"/>
              </w:rPr>
            </w:pPr>
            <w:r w:rsidRPr="00A24453">
              <w:rPr>
                <w:rFonts w:cs="Arial"/>
                <w:color w:val="000000"/>
                <w:sz w:val="20"/>
                <w:szCs w:val="20"/>
              </w:rPr>
              <w:t>341</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0603F73" w14:textId="77777777" w:rsidR="007975AC" w:rsidRPr="00A24453" w:rsidRDefault="007975AC" w:rsidP="00FB28E5">
            <w:pPr>
              <w:pStyle w:val="TableTitle"/>
              <w:jc w:val="right"/>
              <w:rPr>
                <w:sz w:val="20"/>
                <w:szCs w:val="20"/>
              </w:rPr>
            </w:pPr>
            <w:r w:rsidRPr="00A24453">
              <w:rPr>
                <w:rFonts w:cs="Arial"/>
                <w:color w:val="000000"/>
                <w:sz w:val="20"/>
                <w:szCs w:val="20"/>
              </w:rPr>
              <w:t>11</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76EDC71" w14:textId="77777777" w:rsidR="007975AC" w:rsidRPr="00A24453" w:rsidRDefault="007975AC" w:rsidP="00FB28E5">
            <w:pPr>
              <w:pStyle w:val="TableTitle"/>
              <w:jc w:val="right"/>
              <w:rPr>
                <w:sz w:val="20"/>
                <w:szCs w:val="20"/>
              </w:rPr>
            </w:pPr>
            <w:r w:rsidRPr="00A24453">
              <w:rPr>
                <w:rFonts w:cs="Arial"/>
                <w:color w:val="000000"/>
                <w:sz w:val="20"/>
                <w:szCs w:val="20"/>
              </w:rPr>
              <w:t>285</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30BC7B2" w14:textId="77777777" w:rsidR="007975AC" w:rsidRPr="00A24453" w:rsidRDefault="007975AC" w:rsidP="00FB28E5">
            <w:pPr>
              <w:pStyle w:val="TableTitle"/>
              <w:jc w:val="right"/>
              <w:rPr>
                <w:sz w:val="20"/>
                <w:szCs w:val="20"/>
              </w:rPr>
            </w:pPr>
            <w:r w:rsidRPr="00A24453">
              <w:rPr>
                <w:rFonts w:cs="Arial"/>
                <w:color w:val="000000"/>
                <w:sz w:val="20"/>
                <w:szCs w:val="20"/>
              </w:rPr>
              <w:t>10</w:t>
            </w:r>
          </w:p>
        </w:tc>
      </w:tr>
      <w:tr w:rsidR="007975AC" w:rsidRPr="00A24453" w14:paraId="33A6AF06" w14:textId="77777777" w:rsidTr="00FB28E5">
        <w:trPr>
          <w:trHeight w:val="369"/>
          <w:tblHeader/>
        </w:trPr>
        <w:tc>
          <w:tcPr>
            <w:tcW w:w="240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57BD7A43" w14:textId="77777777" w:rsidR="007975AC" w:rsidRPr="00AE4F8E" w:rsidRDefault="007975AC" w:rsidP="00FB28E5">
            <w:pPr>
              <w:pStyle w:val="TableTitle"/>
              <w:rPr>
                <w:bCs/>
                <w:sz w:val="20"/>
                <w:szCs w:val="20"/>
              </w:rPr>
            </w:pPr>
            <w:r w:rsidRPr="00AE4F8E">
              <w:rPr>
                <w:bCs/>
                <w:sz w:val="20"/>
                <w:szCs w:val="20"/>
              </w:rPr>
              <w:t>Hunter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B083A9A" w14:textId="77777777" w:rsidR="007975AC" w:rsidRPr="00A24453" w:rsidRDefault="007975AC" w:rsidP="00FB28E5">
            <w:pPr>
              <w:pStyle w:val="TableTitle"/>
              <w:jc w:val="right"/>
              <w:rPr>
                <w:sz w:val="20"/>
                <w:szCs w:val="20"/>
              </w:rPr>
            </w:pPr>
            <w:r w:rsidRPr="00A24453">
              <w:rPr>
                <w:rFonts w:cs="Arial"/>
                <w:color w:val="000000"/>
                <w:sz w:val="20"/>
                <w:szCs w:val="20"/>
              </w:rPr>
              <w:t>347</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5BCECC1" w14:textId="77777777" w:rsidR="007975AC" w:rsidRPr="00A24453" w:rsidRDefault="007975AC" w:rsidP="00FB28E5">
            <w:pPr>
              <w:pStyle w:val="TableTitle"/>
              <w:jc w:val="right"/>
              <w:rPr>
                <w:sz w:val="20"/>
                <w:szCs w:val="20"/>
              </w:rPr>
            </w:pPr>
            <w:r w:rsidRPr="00A24453">
              <w:rPr>
                <w:rFonts w:cs="Arial"/>
                <w:color w:val="000000"/>
                <w:sz w:val="20"/>
                <w:szCs w:val="20"/>
              </w:rPr>
              <w:t>12</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BD3748A" w14:textId="77777777" w:rsidR="007975AC" w:rsidRPr="00A24453" w:rsidRDefault="007975AC" w:rsidP="00FB28E5">
            <w:pPr>
              <w:pStyle w:val="TableTitle"/>
              <w:jc w:val="right"/>
              <w:rPr>
                <w:sz w:val="20"/>
                <w:szCs w:val="20"/>
              </w:rPr>
            </w:pPr>
            <w:r w:rsidRPr="00A24453">
              <w:rPr>
                <w:rFonts w:cs="Arial"/>
                <w:color w:val="000000"/>
                <w:sz w:val="20"/>
                <w:szCs w:val="20"/>
              </w:rPr>
              <w:t>304</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A2AB676" w14:textId="77777777" w:rsidR="007975AC" w:rsidRPr="00A24453" w:rsidRDefault="007975AC" w:rsidP="00FB28E5">
            <w:pPr>
              <w:pStyle w:val="TableTitle"/>
              <w:jc w:val="right"/>
              <w:rPr>
                <w:sz w:val="20"/>
                <w:szCs w:val="20"/>
              </w:rPr>
            </w:pPr>
            <w:r w:rsidRPr="00A24453">
              <w:rPr>
                <w:rFonts w:cs="Arial"/>
                <w:color w:val="000000"/>
                <w:sz w:val="20"/>
                <w:szCs w:val="20"/>
              </w:rPr>
              <w:t>10</w:t>
            </w:r>
          </w:p>
        </w:tc>
      </w:tr>
      <w:tr w:rsidR="007975AC" w:rsidRPr="00A24453" w14:paraId="5494B111" w14:textId="77777777" w:rsidTr="00FB28E5">
        <w:trPr>
          <w:trHeight w:val="369"/>
          <w:tblHeader/>
        </w:trPr>
        <w:tc>
          <w:tcPr>
            <w:tcW w:w="240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1C955113" w14:textId="77777777" w:rsidR="007975AC" w:rsidRPr="00AE4F8E" w:rsidRDefault="007975AC" w:rsidP="00FB28E5">
            <w:pPr>
              <w:pStyle w:val="TableTitle"/>
              <w:rPr>
                <w:bCs/>
                <w:sz w:val="20"/>
                <w:szCs w:val="20"/>
              </w:rPr>
            </w:pPr>
            <w:r w:rsidRPr="00AE4F8E">
              <w:rPr>
                <w:bCs/>
                <w:sz w:val="20"/>
                <w:szCs w:val="20"/>
              </w:rPr>
              <w:t>Illawarra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753FBDA" w14:textId="77777777" w:rsidR="007975AC" w:rsidRPr="00A24453" w:rsidRDefault="007975AC" w:rsidP="00FB28E5">
            <w:pPr>
              <w:pStyle w:val="TableTitle"/>
              <w:jc w:val="right"/>
              <w:rPr>
                <w:sz w:val="20"/>
                <w:szCs w:val="20"/>
              </w:rPr>
            </w:pPr>
            <w:r w:rsidRPr="00A24453">
              <w:rPr>
                <w:rFonts w:cs="Arial"/>
                <w:color w:val="000000"/>
                <w:sz w:val="20"/>
                <w:szCs w:val="20"/>
              </w:rPr>
              <w:t>308</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BF1ABA4" w14:textId="77777777" w:rsidR="007975AC" w:rsidRPr="00A24453" w:rsidRDefault="007975AC" w:rsidP="00FB28E5">
            <w:pPr>
              <w:pStyle w:val="TableTitle"/>
              <w:jc w:val="right"/>
              <w:rPr>
                <w:sz w:val="20"/>
                <w:szCs w:val="20"/>
              </w:rPr>
            </w:pPr>
            <w:r w:rsidRPr="00A24453">
              <w:rPr>
                <w:rFonts w:cs="Arial"/>
                <w:color w:val="000000"/>
                <w:sz w:val="20"/>
                <w:szCs w:val="20"/>
              </w:rPr>
              <w:t>10</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1529D6D" w14:textId="77777777" w:rsidR="007975AC" w:rsidRPr="00A24453" w:rsidRDefault="007975AC" w:rsidP="00FB28E5">
            <w:pPr>
              <w:pStyle w:val="TableTitle"/>
              <w:jc w:val="right"/>
              <w:rPr>
                <w:sz w:val="20"/>
                <w:szCs w:val="20"/>
              </w:rPr>
            </w:pPr>
            <w:r w:rsidRPr="00A24453">
              <w:rPr>
                <w:rFonts w:cs="Arial"/>
                <w:color w:val="000000"/>
                <w:sz w:val="20"/>
                <w:szCs w:val="20"/>
              </w:rPr>
              <w:t>281</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96E3930" w14:textId="77777777" w:rsidR="007975AC" w:rsidRPr="00A24453" w:rsidRDefault="007975AC" w:rsidP="00FB28E5">
            <w:pPr>
              <w:pStyle w:val="TableTitle"/>
              <w:jc w:val="right"/>
              <w:rPr>
                <w:sz w:val="20"/>
                <w:szCs w:val="20"/>
              </w:rPr>
            </w:pPr>
            <w:r w:rsidRPr="00A24453">
              <w:rPr>
                <w:rFonts w:cs="Arial"/>
                <w:color w:val="000000"/>
                <w:sz w:val="20"/>
                <w:szCs w:val="20"/>
              </w:rPr>
              <w:t>9</w:t>
            </w:r>
          </w:p>
        </w:tc>
      </w:tr>
      <w:tr w:rsidR="007975AC" w:rsidRPr="00A24453" w14:paraId="184889B8" w14:textId="77777777" w:rsidTr="00FB28E5">
        <w:trPr>
          <w:trHeight w:val="369"/>
          <w:tblHeader/>
        </w:trPr>
        <w:tc>
          <w:tcPr>
            <w:tcW w:w="240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6759AFB7" w14:textId="77777777" w:rsidR="007975AC" w:rsidRPr="00AE4F8E" w:rsidRDefault="007975AC" w:rsidP="00FB28E5">
            <w:pPr>
              <w:pStyle w:val="TableTitle"/>
              <w:rPr>
                <w:bCs/>
                <w:sz w:val="20"/>
                <w:szCs w:val="20"/>
              </w:rPr>
            </w:pPr>
            <w:r w:rsidRPr="00AE4F8E">
              <w:rPr>
                <w:bCs/>
                <w:sz w:val="20"/>
                <w:szCs w:val="20"/>
              </w:rPr>
              <w:t>Inner West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6B6F7D0" w14:textId="77777777" w:rsidR="007975AC" w:rsidRPr="00A24453" w:rsidRDefault="007975AC" w:rsidP="00FB28E5">
            <w:pPr>
              <w:pStyle w:val="TableTitle"/>
              <w:jc w:val="right"/>
              <w:rPr>
                <w:sz w:val="20"/>
                <w:szCs w:val="20"/>
              </w:rPr>
            </w:pPr>
            <w:r w:rsidRPr="00A24453">
              <w:rPr>
                <w:rFonts w:cs="Arial"/>
                <w:color w:val="000000"/>
                <w:sz w:val="20"/>
                <w:szCs w:val="20"/>
              </w:rPr>
              <w:t>387</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44DDBD3" w14:textId="77777777" w:rsidR="007975AC" w:rsidRPr="00A24453" w:rsidRDefault="007975AC" w:rsidP="00FB28E5">
            <w:pPr>
              <w:pStyle w:val="TableTitle"/>
              <w:jc w:val="right"/>
              <w:rPr>
                <w:sz w:val="20"/>
                <w:szCs w:val="20"/>
              </w:rPr>
            </w:pPr>
            <w:r w:rsidRPr="00A24453">
              <w:rPr>
                <w:rFonts w:cs="Arial"/>
                <w:color w:val="000000"/>
                <w:sz w:val="20"/>
                <w:szCs w:val="20"/>
              </w:rPr>
              <w:t>13</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9F711D6" w14:textId="77777777" w:rsidR="007975AC" w:rsidRPr="00A24453" w:rsidRDefault="007975AC" w:rsidP="00FB28E5">
            <w:pPr>
              <w:pStyle w:val="TableTitle"/>
              <w:jc w:val="right"/>
              <w:rPr>
                <w:sz w:val="20"/>
                <w:szCs w:val="20"/>
              </w:rPr>
            </w:pPr>
            <w:r w:rsidRPr="00A24453">
              <w:rPr>
                <w:rFonts w:cs="Arial"/>
                <w:color w:val="000000"/>
                <w:sz w:val="20"/>
                <w:szCs w:val="20"/>
              </w:rPr>
              <w:t>291</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673EC99" w14:textId="77777777" w:rsidR="007975AC" w:rsidRPr="00A24453" w:rsidRDefault="007975AC" w:rsidP="00FB28E5">
            <w:pPr>
              <w:pStyle w:val="TableTitle"/>
              <w:jc w:val="right"/>
              <w:rPr>
                <w:sz w:val="20"/>
                <w:szCs w:val="20"/>
              </w:rPr>
            </w:pPr>
            <w:r w:rsidRPr="00A24453">
              <w:rPr>
                <w:rFonts w:cs="Arial"/>
                <w:color w:val="000000"/>
                <w:sz w:val="20"/>
                <w:szCs w:val="20"/>
              </w:rPr>
              <w:t>10</w:t>
            </w:r>
          </w:p>
        </w:tc>
      </w:tr>
      <w:tr w:rsidR="007975AC" w:rsidRPr="00A24453" w14:paraId="2F9D8AA4" w14:textId="77777777" w:rsidTr="00FB28E5">
        <w:trPr>
          <w:trHeight w:val="369"/>
          <w:tblHeader/>
        </w:trPr>
        <w:tc>
          <w:tcPr>
            <w:tcW w:w="240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31D80D0B" w14:textId="77777777" w:rsidR="007975AC" w:rsidRPr="00AE4F8E" w:rsidRDefault="007975AC" w:rsidP="00FB28E5">
            <w:pPr>
              <w:pStyle w:val="TableTitle"/>
              <w:rPr>
                <w:bCs/>
                <w:sz w:val="20"/>
                <w:szCs w:val="20"/>
              </w:rPr>
            </w:pPr>
            <w:r w:rsidRPr="00AE4F8E">
              <w:rPr>
                <w:bCs/>
                <w:sz w:val="20"/>
                <w:szCs w:val="20"/>
              </w:rPr>
              <w:t>Mid North Coast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879377C" w14:textId="77777777" w:rsidR="007975AC" w:rsidRPr="00A24453" w:rsidRDefault="007975AC" w:rsidP="00FB28E5">
            <w:pPr>
              <w:pStyle w:val="TableTitle"/>
              <w:jc w:val="right"/>
              <w:rPr>
                <w:sz w:val="20"/>
                <w:szCs w:val="20"/>
              </w:rPr>
            </w:pPr>
            <w:r w:rsidRPr="00A24453">
              <w:rPr>
                <w:rFonts w:cs="Arial"/>
                <w:color w:val="000000"/>
                <w:sz w:val="20"/>
                <w:szCs w:val="20"/>
              </w:rPr>
              <w:t>375</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D527DBD" w14:textId="77777777" w:rsidR="007975AC" w:rsidRPr="00A24453" w:rsidRDefault="007975AC" w:rsidP="00FB28E5">
            <w:pPr>
              <w:pStyle w:val="TableTitle"/>
              <w:jc w:val="right"/>
              <w:rPr>
                <w:sz w:val="20"/>
                <w:szCs w:val="20"/>
              </w:rPr>
            </w:pPr>
            <w:r w:rsidRPr="00A24453">
              <w:rPr>
                <w:rFonts w:cs="Arial"/>
                <w:color w:val="000000"/>
                <w:sz w:val="20"/>
                <w:szCs w:val="20"/>
              </w:rPr>
              <w:t>13</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0AEB8DE" w14:textId="77777777" w:rsidR="007975AC" w:rsidRPr="00A24453" w:rsidRDefault="007975AC" w:rsidP="00FB28E5">
            <w:pPr>
              <w:pStyle w:val="TableTitle"/>
              <w:jc w:val="right"/>
              <w:rPr>
                <w:sz w:val="20"/>
                <w:szCs w:val="20"/>
              </w:rPr>
            </w:pPr>
            <w:r w:rsidRPr="00A24453">
              <w:rPr>
                <w:rFonts w:cs="Arial"/>
                <w:color w:val="000000"/>
                <w:sz w:val="20"/>
                <w:szCs w:val="20"/>
              </w:rPr>
              <w:t>307</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9F6E435" w14:textId="77777777" w:rsidR="007975AC" w:rsidRPr="00A24453" w:rsidRDefault="007975AC" w:rsidP="00FB28E5">
            <w:pPr>
              <w:pStyle w:val="TableTitle"/>
              <w:jc w:val="right"/>
              <w:rPr>
                <w:sz w:val="20"/>
                <w:szCs w:val="20"/>
              </w:rPr>
            </w:pPr>
            <w:r w:rsidRPr="00A24453">
              <w:rPr>
                <w:rFonts w:cs="Arial"/>
                <w:color w:val="000000"/>
                <w:sz w:val="20"/>
                <w:szCs w:val="20"/>
              </w:rPr>
              <w:t>10</w:t>
            </w:r>
          </w:p>
        </w:tc>
      </w:tr>
      <w:tr w:rsidR="007975AC" w:rsidRPr="00A24453" w14:paraId="69D2276C" w14:textId="77777777" w:rsidTr="00FB28E5">
        <w:trPr>
          <w:trHeight w:val="369"/>
          <w:tblHeader/>
        </w:trPr>
        <w:tc>
          <w:tcPr>
            <w:tcW w:w="240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49DC70B2" w14:textId="77777777" w:rsidR="007975AC" w:rsidRPr="00AE4F8E" w:rsidRDefault="007975AC" w:rsidP="00FB28E5">
            <w:pPr>
              <w:pStyle w:val="TableTitle"/>
              <w:rPr>
                <w:bCs/>
                <w:sz w:val="20"/>
                <w:szCs w:val="20"/>
              </w:rPr>
            </w:pPr>
            <w:r w:rsidRPr="00AE4F8E">
              <w:rPr>
                <w:bCs/>
                <w:sz w:val="20"/>
                <w:szCs w:val="20"/>
              </w:rPr>
              <w:t>Nepean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8DC4291" w14:textId="77777777" w:rsidR="007975AC" w:rsidRPr="00A24453" w:rsidRDefault="007975AC" w:rsidP="00FB28E5">
            <w:pPr>
              <w:pStyle w:val="TableTitle"/>
              <w:jc w:val="right"/>
              <w:rPr>
                <w:sz w:val="20"/>
                <w:szCs w:val="20"/>
              </w:rPr>
            </w:pPr>
            <w:r w:rsidRPr="00A24453">
              <w:rPr>
                <w:rFonts w:cs="Arial"/>
                <w:color w:val="000000"/>
                <w:sz w:val="20"/>
                <w:szCs w:val="20"/>
              </w:rPr>
              <w:t>323</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4F28FB7" w14:textId="77777777" w:rsidR="007975AC" w:rsidRPr="00A24453" w:rsidRDefault="007975AC" w:rsidP="00FB28E5">
            <w:pPr>
              <w:pStyle w:val="TableTitle"/>
              <w:jc w:val="right"/>
              <w:rPr>
                <w:sz w:val="20"/>
                <w:szCs w:val="20"/>
              </w:rPr>
            </w:pPr>
            <w:r w:rsidRPr="00A24453">
              <w:rPr>
                <w:rFonts w:cs="Arial"/>
                <w:color w:val="000000"/>
                <w:sz w:val="20"/>
                <w:szCs w:val="20"/>
              </w:rPr>
              <w:t>11</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8802D8F" w14:textId="77777777" w:rsidR="007975AC" w:rsidRPr="00A24453" w:rsidRDefault="007975AC" w:rsidP="00FB28E5">
            <w:pPr>
              <w:pStyle w:val="TableTitle"/>
              <w:jc w:val="right"/>
              <w:rPr>
                <w:sz w:val="20"/>
                <w:szCs w:val="20"/>
              </w:rPr>
            </w:pPr>
            <w:r w:rsidRPr="00A24453">
              <w:rPr>
                <w:rFonts w:cs="Arial"/>
                <w:color w:val="000000"/>
                <w:sz w:val="20"/>
                <w:szCs w:val="20"/>
              </w:rPr>
              <w:t>276</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86084C4" w14:textId="77777777" w:rsidR="007975AC" w:rsidRPr="00A24453" w:rsidRDefault="007975AC" w:rsidP="00FB28E5">
            <w:pPr>
              <w:pStyle w:val="TableTitle"/>
              <w:jc w:val="right"/>
              <w:rPr>
                <w:sz w:val="20"/>
                <w:szCs w:val="20"/>
              </w:rPr>
            </w:pPr>
            <w:r w:rsidRPr="00A24453">
              <w:rPr>
                <w:rFonts w:cs="Arial"/>
                <w:color w:val="000000"/>
                <w:sz w:val="20"/>
                <w:szCs w:val="20"/>
              </w:rPr>
              <w:t>9</w:t>
            </w:r>
          </w:p>
        </w:tc>
      </w:tr>
      <w:tr w:rsidR="007975AC" w:rsidRPr="00A24453" w14:paraId="619512BC" w14:textId="77777777" w:rsidTr="00FB28E5">
        <w:trPr>
          <w:trHeight w:val="369"/>
        </w:trPr>
        <w:tc>
          <w:tcPr>
            <w:tcW w:w="240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3E3F3A5E" w14:textId="77777777" w:rsidR="007975AC" w:rsidRPr="00AE4F8E" w:rsidRDefault="007975AC" w:rsidP="00FB28E5">
            <w:pPr>
              <w:pStyle w:val="TableTitle"/>
              <w:rPr>
                <w:bCs/>
                <w:sz w:val="20"/>
                <w:szCs w:val="20"/>
              </w:rPr>
            </w:pPr>
            <w:r w:rsidRPr="00AE4F8E">
              <w:rPr>
                <w:bCs/>
                <w:sz w:val="20"/>
                <w:szCs w:val="20"/>
              </w:rPr>
              <w:t>New England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AAF03B7" w14:textId="77777777" w:rsidR="007975AC" w:rsidRPr="00A24453" w:rsidRDefault="007975AC" w:rsidP="00FB28E5">
            <w:pPr>
              <w:pStyle w:val="TableTitle"/>
              <w:jc w:val="right"/>
              <w:rPr>
                <w:sz w:val="20"/>
                <w:szCs w:val="20"/>
              </w:rPr>
            </w:pPr>
            <w:r w:rsidRPr="00A24453">
              <w:rPr>
                <w:rFonts w:cs="Arial"/>
                <w:color w:val="000000"/>
                <w:sz w:val="20"/>
                <w:szCs w:val="20"/>
              </w:rPr>
              <w:t>314</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72E359B" w14:textId="77777777" w:rsidR="007975AC" w:rsidRPr="00A24453" w:rsidRDefault="007975AC" w:rsidP="00FB28E5">
            <w:pPr>
              <w:pStyle w:val="TableTitle"/>
              <w:jc w:val="right"/>
              <w:rPr>
                <w:sz w:val="20"/>
                <w:szCs w:val="20"/>
              </w:rPr>
            </w:pPr>
            <w:r w:rsidRPr="00A24453">
              <w:rPr>
                <w:rFonts w:cs="Arial"/>
                <w:color w:val="000000"/>
                <w:sz w:val="20"/>
                <w:szCs w:val="20"/>
              </w:rPr>
              <w:t>10</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2CB6901" w14:textId="77777777" w:rsidR="007975AC" w:rsidRPr="00A24453" w:rsidRDefault="007975AC" w:rsidP="00FB28E5">
            <w:pPr>
              <w:pStyle w:val="TableTitle"/>
              <w:jc w:val="right"/>
              <w:rPr>
                <w:sz w:val="20"/>
                <w:szCs w:val="20"/>
              </w:rPr>
            </w:pPr>
            <w:r w:rsidRPr="00A24453">
              <w:rPr>
                <w:rFonts w:cs="Arial"/>
                <w:color w:val="000000"/>
                <w:sz w:val="20"/>
                <w:szCs w:val="20"/>
              </w:rPr>
              <w:t>267</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0882234" w14:textId="77777777" w:rsidR="007975AC" w:rsidRPr="00A24453" w:rsidRDefault="007975AC" w:rsidP="00FB28E5">
            <w:pPr>
              <w:pStyle w:val="TableTitle"/>
              <w:jc w:val="right"/>
              <w:rPr>
                <w:sz w:val="20"/>
                <w:szCs w:val="20"/>
              </w:rPr>
            </w:pPr>
            <w:r w:rsidRPr="00A24453">
              <w:rPr>
                <w:rFonts w:cs="Arial"/>
                <w:color w:val="000000"/>
                <w:sz w:val="20"/>
                <w:szCs w:val="20"/>
              </w:rPr>
              <w:t>9</w:t>
            </w:r>
          </w:p>
        </w:tc>
      </w:tr>
      <w:tr w:rsidR="007975AC" w:rsidRPr="00A24453" w14:paraId="7C2341BE" w14:textId="77777777" w:rsidTr="00FB28E5">
        <w:trPr>
          <w:trHeight w:val="369"/>
        </w:trPr>
        <w:tc>
          <w:tcPr>
            <w:tcW w:w="240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2EFC9B14" w14:textId="77777777" w:rsidR="007975AC" w:rsidRPr="00AE4F8E" w:rsidRDefault="007975AC" w:rsidP="00FB28E5">
            <w:pPr>
              <w:pStyle w:val="TableTitle"/>
              <w:rPr>
                <w:bCs/>
                <w:sz w:val="20"/>
                <w:szCs w:val="20"/>
              </w:rPr>
            </w:pPr>
            <w:r w:rsidRPr="00AE4F8E">
              <w:rPr>
                <w:bCs/>
                <w:sz w:val="20"/>
                <w:szCs w:val="20"/>
              </w:rPr>
              <w:t>Northern Sydney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BD60D82" w14:textId="77777777" w:rsidR="007975AC" w:rsidRPr="00A24453" w:rsidRDefault="007975AC" w:rsidP="00FB28E5">
            <w:pPr>
              <w:pStyle w:val="TableTitle"/>
              <w:jc w:val="right"/>
              <w:rPr>
                <w:sz w:val="20"/>
                <w:szCs w:val="20"/>
              </w:rPr>
            </w:pPr>
            <w:r w:rsidRPr="00A24453">
              <w:rPr>
                <w:rFonts w:cs="Arial"/>
                <w:color w:val="000000"/>
                <w:sz w:val="20"/>
                <w:szCs w:val="20"/>
              </w:rPr>
              <w:t>385</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DD0F364" w14:textId="77777777" w:rsidR="007975AC" w:rsidRPr="00A24453" w:rsidRDefault="007975AC" w:rsidP="00FB28E5">
            <w:pPr>
              <w:pStyle w:val="TableTitle"/>
              <w:jc w:val="right"/>
              <w:rPr>
                <w:sz w:val="20"/>
                <w:szCs w:val="20"/>
              </w:rPr>
            </w:pPr>
            <w:r w:rsidRPr="00A24453">
              <w:rPr>
                <w:rFonts w:cs="Arial"/>
                <w:color w:val="000000"/>
                <w:sz w:val="20"/>
                <w:szCs w:val="20"/>
              </w:rPr>
              <w:t>13</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41621E3" w14:textId="77777777" w:rsidR="007975AC" w:rsidRPr="00A24453" w:rsidRDefault="007975AC" w:rsidP="00FB28E5">
            <w:pPr>
              <w:pStyle w:val="TableTitle"/>
              <w:jc w:val="right"/>
              <w:rPr>
                <w:sz w:val="20"/>
                <w:szCs w:val="20"/>
              </w:rPr>
            </w:pPr>
            <w:r w:rsidRPr="00A24453">
              <w:rPr>
                <w:rFonts w:cs="Arial"/>
                <w:color w:val="000000"/>
                <w:sz w:val="20"/>
                <w:szCs w:val="20"/>
              </w:rPr>
              <w:t>299</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01EE425" w14:textId="77777777" w:rsidR="007975AC" w:rsidRPr="00A24453" w:rsidRDefault="007975AC" w:rsidP="00FB28E5">
            <w:pPr>
              <w:pStyle w:val="TableTitle"/>
              <w:jc w:val="right"/>
              <w:rPr>
                <w:sz w:val="20"/>
                <w:szCs w:val="20"/>
              </w:rPr>
            </w:pPr>
            <w:r w:rsidRPr="00A24453">
              <w:rPr>
                <w:rFonts w:cs="Arial"/>
                <w:color w:val="000000"/>
                <w:sz w:val="20"/>
                <w:szCs w:val="20"/>
              </w:rPr>
              <w:t>10</w:t>
            </w:r>
          </w:p>
        </w:tc>
      </w:tr>
      <w:tr w:rsidR="007975AC" w:rsidRPr="00A24453" w14:paraId="6A4C194D" w14:textId="77777777" w:rsidTr="00FB28E5">
        <w:trPr>
          <w:trHeight w:val="369"/>
        </w:trPr>
        <w:tc>
          <w:tcPr>
            <w:tcW w:w="240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6F9E2236" w14:textId="77777777" w:rsidR="007975AC" w:rsidRPr="00AE4F8E" w:rsidRDefault="007975AC" w:rsidP="00FB28E5">
            <w:pPr>
              <w:pStyle w:val="TableTitle"/>
              <w:rPr>
                <w:bCs/>
                <w:sz w:val="20"/>
                <w:szCs w:val="20"/>
              </w:rPr>
            </w:pPr>
            <w:proofErr w:type="spellStart"/>
            <w:r w:rsidRPr="00AE4F8E">
              <w:rPr>
                <w:bCs/>
                <w:sz w:val="20"/>
                <w:szCs w:val="20"/>
              </w:rPr>
              <w:t>Orana</w:t>
            </w:r>
            <w:proofErr w:type="spellEnd"/>
            <w:r w:rsidRPr="00AE4F8E">
              <w:rPr>
                <w:bCs/>
                <w:sz w:val="20"/>
                <w:szCs w:val="20"/>
              </w:rPr>
              <w:t> Far West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0936C21" w14:textId="77777777" w:rsidR="007975AC" w:rsidRPr="00A24453" w:rsidRDefault="007975AC" w:rsidP="00FB28E5">
            <w:pPr>
              <w:pStyle w:val="TableTitle"/>
              <w:jc w:val="right"/>
              <w:rPr>
                <w:sz w:val="20"/>
                <w:szCs w:val="20"/>
              </w:rPr>
            </w:pPr>
            <w:r w:rsidRPr="00A24453">
              <w:rPr>
                <w:rFonts w:cs="Arial"/>
                <w:color w:val="000000"/>
                <w:sz w:val="20"/>
                <w:szCs w:val="20"/>
              </w:rPr>
              <w:t>286</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2A7E0DD" w14:textId="77777777" w:rsidR="007975AC" w:rsidRPr="00A24453" w:rsidRDefault="007975AC" w:rsidP="00FB28E5">
            <w:pPr>
              <w:pStyle w:val="TableTitle"/>
              <w:jc w:val="right"/>
              <w:rPr>
                <w:sz w:val="20"/>
                <w:szCs w:val="20"/>
              </w:rPr>
            </w:pPr>
            <w:r w:rsidRPr="00A24453">
              <w:rPr>
                <w:rFonts w:cs="Arial"/>
                <w:color w:val="000000"/>
                <w:sz w:val="20"/>
                <w:szCs w:val="20"/>
              </w:rPr>
              <w:t>10</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D6A64F1" w14:textId="77777777" w:rsidR="007975AC" w:rsidRPr="00A24453" w:rsidRDefault="007975AC" w:rsidP="00FB28E5">
            <w:pPr>
              <w:pStyle w:val="TableTitle"/>
              <w:jc w:val="right"/>
              <w:rPr>
                <w:sz w:val="20"/>
                <w:szCs w:val="20"/>
              </w:rPr>
            </w:pPr>
            <w:r w:rsidRPr="00A24453">
              <w:rPr>
                <w:rFonts w:cs="Arial"/>
                <w:color w:val="000000"/>
                <w:sz w:val="20"/>
                <w:szCs w:val="20"/>
              </w:rPr>
              <w:t>272</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5AF1F2F" w14:textId="77777777" w:rsidR="007975AC" w:rsidRPr="00A24453" w:rsidRDefault="007975AC" w:rsidP="00FB28E5">
            <w:pPr>
              <w:pStyle w:val="TableTitle"/>
              <w:jc w:val="right"/>
              <w:rPr>
                <w:sz w:val="20"/>
                <w:szCs w:val="20"/>
              </w:rPr>
            </w:pPr>
            <w:r w:rsidRPr="00A24453">
              <w:rPr>
                <w:rFonts w:cs="Arial"/>
                <w:color w:val="000000"/>
                <w:sz w:val="20"/>
                <w:szCs w:val="20"/>
              </w:rPr>
              <w:t>9</w:t>
            </w:r>
          </w:p>
        </w:tc>
      </w:tr>
      <w:tr w:rsidR="007975AC" w:rsidRPr="00A24453" w14:paraId="6174AFFA" w14:textId="77777777" w:rsidTr="00FB28E5">
        <w:trPr>
          <w:trHeight w:val="369"/>
        </w:trPr>
        <w:tc>
          <w:tcPr>
            <w:tcW w:w="240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047386E7" w14:textId="77777777" w:rsidR="007975AC" w:rsidRPr="00AE4F8E" w:rsidRDefault="007975AC" w:rsidP="00FB28E5">
            <w:pPr>
              <w:pStyle w:val="TableTitle"/>
              <w:rPr>
                <w:bCs/>
                <w:sz w:val="20"/>
                <w:szCs w:val="20"/>
              </w:rPr>
            </w:pPr>
            <w:r w:rsidRPr="00AE4F8E">
              <w:rPr>
                <w:bCs/>
                <w:sz w:val="20"/>
                <w:szCs w:val="20"/>
              </w:rPr>
              <w:t>Riverina/Murray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F0AFCEB" w14:textId="77777777" w:rsidR="007975AC" w:rsidRPr="00A24453" w:rsidRDefault="007975AC" w:rsidP="00FB28E5">
            <w:pPr>
              <w:pStyle w:val="TableTitle"/>
              <w:jc w:val="right"/>
              <w:rPr>
                <w:sz w:val="20"/>
                <w:szCs w:val="20"/>
              </w:rPr>
            </w:pPr>
            <w:r w:rsidRPr="00A24453">
              <w:rPr>
                <w:rFonts w:cs="Arial"/>
                <w:color w:val="000000"/>
                <w:sz w:val="20"/>
                <w:szCs w:val="20"/>
              </w:rPr>
              <w:t>392</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395BBA2" w14:textId="77777777" w:rsidR="007975AC" w:rsidRPr="00A24453" w:rsidRDefault="007975AC" w:rsidP="00FB28E5">
            <w:pPr>
              <w:pStyle w:val="TableTitle"/>
              <w:jc w:val="right"/>
              <w:rPr>
                <w:sz w:val="20"/>
                <w:szCs w:val="20"/>
              </w:rPr>
            </w:pPr>
            <w:r w:rsidRPr="00A24453">
              <w:rPr>
                <w:rFonts w:cs="Arial"/>
                <w:color w:val="000000"/>
                <w:sz w:val="20"/>
                <w:szCs w:val="20"/>
              </w:rPr>
              <w:t>13</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24BFDC8" w14:textId="77777777" w:rsidR="007975AC" w:rsidRPr="00A24453" w:rsidRDefault="007975AC" w:rsidP="00FB28E5">
            <w:pPr>
              <w:pStyle w:val="TableTitle"/>
              <w:jc w:val="right"/>
              <w:rPr>
                <w:sz w:val="20"/>
                <w:szCs w:val="20"/>
              </w:rPr>
            </w:pPr>
            <w:r w:rsidRPr="00A24453">
              <w:rPr>
                <w:rFonts w:cs="Arial"/>
                <w:color w:val="000000"/>
                <w:sz w:val="20"/>
                <w:szCs w:val="20"/>
              </w:rPr>
              <w:t>263</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853C9E2" w14:textId="77777777" w:rsidR="007975AC" w:rsidRPr="00A24453" w:rsidRDefault="007975AC" w:rsidP="00FB28E5">
            <w:pPr>
              <w:pStyle w:val="TableTitle"/>
              <w:jc w:val="right"/>
              <w:rPr>
                <w:sz w:val="20"/>
                <w:szCs w:val="20"/>
              </w:rPr>
            </w:pPr>
            <w:r w:rsidRPr="00A24453">
              <w:rPr>
                <w:rFonts w:cs="Arial"/>
                <w:color w:val="000000"/>
                <w:sz w:val="20"/>
                <w:szCs w:val="20"/>
              </w:rPr>
              <w:t>9</w:t>
            </w:r>
          </w:p>
        </w:tc>
      </w:tr>
      <w:tr w:rsidR="007975AC" w:rsidRPr="00A24453" w14:paraId="11EC7110" w14:textId="77777777" w:rsidTr="00FB28E5">
        <w:trPr>
          <w:trHeight w:val="369"/>
        </w:trPr>
        <w:tc>
          <w:tcPr>
            <w:tcW w:w="240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548FF198" w14:textId="77777777" w:rsidR="007975AC" w:rsidRPr="00AE4F8E" w:rsidRDefault="007975AC" w:rsidP="00FB28E5">
            <w:pPr>
              <w:pStyle w:val="TableTitle"/>
              <w:rPr>
                <w:bCs/>
                <w:sz w:val="20"/>
                <w:szCs w:val="20"/>
              </w:rPr>
            </w:pPr>
            <w:proofErr w:type="gramStart"/>
            <w:r w:rsidRPr="00AE4F8E">
              <w:rPr>
                <w:bCs/>
                <w:sz w:val="20"/>
                <w:szCs w:val="20"/>
              </w:rPr>
              <w:t>South East</w:t>
            </w:r>
            <w:proofErr w:type="gramEnd"/>
            <w:r w:rsidRPr="00AE4F8E">
              <w:rPr>
                <w:bCs/>
                <w:sz w:val="20"/>
                <w:szCs w:val="20"/>
              </w:rPr>
              <w:t> Sydney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1344403" w14:textId="77777777" w:rsidR="007975AC" w:rsidRPr="00A24453" w:rsidRDefault="007975AC" w:rsidP="00FB28E5">
            <w:pPr>
              <w:pStyle w:val="TableTitle"/>
              <w:jc w:val="right"/>
              <w:rPr>
                <w:sz w:val="20"/>
                <w:szCs w:val="20"/>
              </w:rPr>
            </w:pPr>
            <w:r w:rsidRPr="00A24453">
              <w:rPr>
                <w:rFonts w:cs="Arial"/>
                <w:color w:val="000000"/>
                <w:sz w:val="20"/>
                <w:szCs w:val="20"/>
              </w:rPr>
              <w:t>367</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D22013B" w14:textId="77777777" w:rsidR="007975AC" w:rsidRPr="00A24453" w:rsidRDefault="007975AC" w:rsidP="00FB28E5">
            <w:pPr>
              <w:pStyle w:val="TableTitle"/>
              <w:jc w:val="right"/>
              <w:rPr>
                <w:sz w:val="20"/>
                <w:szCs w:val="20"/>
              </w:rPr>
            </w:pPr>
            <w:r w:rsidRPr="00A24453">
              <w:rPr>
                <w:rFonts w:cs="Arial"/>
                <w:color w:val="000000"/>
                <w:sz w:val="20"/>
                <w:szCs w:val="20"/>
              </w:rPr>
              <w:t>12</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C95FB9D" w14:textId="77777777" w:rsidR="007975AC" w:rsidRPr="00A24453" w:rsidRDefault="007975AC" w:rsidP="00FB28E5">
            <w:pPr>
              <w:pStyle w:val="TableTitle"/>
              <w:jc w:val="right"/>
              <w:rPr>
                <w:sz w:val="20"/>
                <w:szCs w:val="20"/>
              </w:rPr>
            </w:pPr>
            <w:r w:rsidRPr="00A24453">
              <w:rPr>
                <w:rFonts w:cs="Arial"/>
                <w:color w:val="000000"/>
                <w:sz w:val="20"/>
                <w:szCs w:val="20"/>
              </w:rPr>
              <w:t>292</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0E2A54F" w14:textId="77777777" w:rsidR="007975AC" w:rsidRPr="00A24453" w:rsidRDefault="007975AC" w:rsidP="00FB28E5">
            <w:pPr>
              <w:pStyle w:val="TableTitle"/>
              <w:jc w:val="right"/>
              <w:rPr>
                <w:sz w:val="20"/>
                <w:szCs w:val="20"/>
              </w:rPr>
            </w:pPr>
            <w:r w:rsidRPr="00A24453">
              <w:rPr>
                <w:rFonts w:cs="Arial"/>
                <w:color w:val="000000"/>
                <w:sz w:val="20"/>
                <w:szCs w:val="20"/>
              </w:rPr>
              <w:t>10</w:t>
            </w:r>
          </w:p>
        </w:tc>
      </w:tr>
    </w:tbl>
    <w:p w14:paraId="1FE2AB59" w14:textId="77777777" w:rsidR="001E651B" w:rsidRDefault="001E651B" w:rsidP="001E651B"/>
    <w:tbl>
      <w:tblPr>
        <w:tblW w:w="477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1"/>
        <w:gridCol w:w="1525"/>
        <w:gridCol w:w="1525"/>
        <w:gridCol w:w="1525"/>
        <w:gridCol w:w="1523"/>
      </w:tblGrid>
      <w:tr w:rsidR="00E274C8" w:rsidRPr="00151BBD" w14:paraId="011A82C6" w14:textId="77777777" w:rsidTr="00FB28E5">
        <w:trPr>
          <w:trHeight w:val="369"/>
          <w:tblHeader/>
        </w:trPr>
        <w:tc>
          <w:tcPr>
            <w:tcW w:w="1417"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219F983D" w14:textId="77777777" w:rsidR="00E274C8" w:rsidRPr="00151BBD" w:rsidRDefault="00E274C8" w:rsidP="00FB28E5">
            <w:pPr>
              <w:pStyle w:val="TableTitle"/>
              <w:rPr>
                <w:color w:val="FFFFFF" w:themeColor="background1"/>
                <w:sz w:val="20"/>
                <w:szCs w:val="20"/>
              </w:rPr>
            </w:pPr>
            <w:r>
              <w:rPr>
                <w:color w:val="FFFFFF" w:themeColor="background1"/>
                <w:sz w:val="20"/>
                <w:szCs w:val="20"/>
              </w:rPr>
              <w:t xml:space="preserve">  </w:t>
            </w:r>
            <w:r w:rsidRPr="00151BBD">
              <w:rPr>
                <w:color w:val="FFFFFF" w:themeColor="background1"/>
                <w:sz w:val="20"/>
                <w:szCs w:val="20"/>
              </w:rPr>
              <w:t>Region </w:t>
            </w:r>
          </w:p>
        </w:tc>
        <w:tc>
          <w:tcPr>
            <w:tcW w:w="89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02A0261E" w14:textId="77777777" w:rsidR="00E274C8" w:rsidRPr="00151BBD" w:rsidRDefault="00E274C8" w:rsidP="00FB28E5">
            <w:pPr>
              <w:pStyle w:val="TableTitle"/>
              <w:jc w:val="right"/>
              <w:rPr>
                <w:color w:val="FFFFFF" w:themeColor="background1"/>
                <w:sz w:val="20"/>
                <w:szCs w:val="20"/>
              </w:rPr>
            </w:pPr>
            <w:r w:rsidRPr="00151BBD">
              <w:rPr>
                <w:color w:val="FFFFFF" w:themeColor="background1"/>
                <w:sz w:val="20"/>
                <w:szCs w:val="20"/>
              </w:rPr>
              <w:t>Avg (days) </w:t>
            </w:r>
          </w:p>
        </w:tc>
        <w:tc>
          <w:tcPr>
            <w:tcW w:w="89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54E30B17" w14:textId="77777777" w:rsidR="00E274C8" w:rsidRPr="00151BBD" w:rsidRDefault="00E274C8" w:rsidP="00FB28E5">
            <w:pPr>
              <w:pStyle w:val="TableTitle"/>
              <w:jc w:val="right"/>
              <w:rPr>
                <w:color w:val="FFFFFF" w:themeColor="background1"/>
                <w:sz w:val="20"/>
                <w:szCs w:val="20"/>
              </w:rPr>
            </w:pPr>
            <w:r w:rsidRPr="00151BBD">
              <w:rPr>
                <w:color w:val="FFFFFF" w:themeColor="background1"/>
                <w:sz w:val="20"/>
                <w:szCs w:val="20"/>
              </w:rPr>
              <w:t>Avg (months) </w:t>
            </w:r>
          </w:p>
        </w:tc>
        <w:tc>
          <w:tcPr>
            <w:tcW w:w="89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252D420F" w14:textId="77777777" w:rsidR="00E274C8" w:rsidRPr="00151BBD" w:rsidRDefault="00E274C8" w:rsidP="00FB28E5">
            <w:pPr>
              <w:pStyle w:val="TableTitle"/>
              <w:jc w:val="right"/>
              <w:rPr>
                <w:color w:val="FFFFFF" w:themeColor="background1"/>
                <w:sz w:val="20"/>
                <w:szCs w:val="20"/>
              </w:rPr>
            </w:pPr>
            <w:r w:rsidRPr="00151BBD">
              <w:rPr>
                <w:color w:val="FFFFFF" w:themeColor="background1"/>
                <w:sz w:val="20"/>
                <w:szCs w:val="20"/>
              </w:rPr>
              <w:t>Mdn (days) </w:t>
            </w:r>
          </w:p>
        </w:tc>
        <w:tc>
          <w:tcPr>
            <w:tcW w:w="89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544BF59E" w14:textId="77777777" w:rsidR="00E274C8" w:rsidRPr="00151BBD" w:rsidRDefault="00E274C8" w:rsidP="00FB28E5">
            <w:pPr>
              <w:pStyle w:val="TableTitle"/>
              <w:jc w:val="right"/>
              <w:rPr>
                <w:color w:val="FFFFFF" w:themeColor="background1"/>
                <w:sz w:val="20"/>
                <w:szCs w:val="20"/>
              </w:rPr>
            </w:pPr>
            <w:r w:rsidRPr="00151BBD">
              <w:rPr>
                <w:color w:val="FFFFFF" w:themeColor="background1"/>
                <w:sz w:val="20"/>
                <w:szCs w:val="20"/>
              </w:rPr>
              <w:t>Mdn (months) </w:t>
            </w:r>
          </w:p>
        </w:tc>
      </w:tr>
    </w:tbl>
    <w:tbl>
      <w:tblPr>
        <w:tblW w:w="850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09"/>
        <w:gridCol w:w="1525"/>
        <w:gridCol w:w="1525"/>
        <w:gridCol w:w="1525"/>
        <w:gridCol w:w="1525"/>
      </w:tblGrid>
      <w:tr w:rsidR="008B2E64" w:rsidRPr="00A24453" w14:paraId="12A62509" w14:textId="77777777" w:rsidTr="00FB28E5">
        <w:trPr>
          <w:trHeight w:val="369"/>
        </w:trPr>
        <w:tc>
          <w:tcPr>
            <w:tcW w:w="240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2C6B916D" w14:textId="77777777" w:rsidR="008B2E64" w:rsidRPr="00AE4F8E" w:rsidRDefault="008B2E64" w:rsidP="00FB28E5">
            <w:pPr>
              <w:pStyle w:val="TableTitle"/>
              <w:rPr>
                <w:bCs/>
                <w:sz w:val="20"/>
                <w:szCs w:val="20"/>
              </w:rPr>
            </w:pPr>
            <w:proofErr w:type="gramStart"/>
            <w:r w:rsidRPr="00AE4F8E">
              <w:rPr>
                <w:bCs/>
                <w:sz w:val="20"/>
                <w:szCs w:val="20"/>
              </w:rPr>
              <w:t>South West</w:t>
            </w:r>
            <w:proofErr w:type="gramEnd"/>
            <w:r w:rsidRPr="00AE4F8E">
              <w:rPr>
                <w:bCs/>
                <w:sz w:val="20"/>
                <w:szCs w:val="20"/>
              </w:rPr>
              <w:t> Sydney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5B6D5EB" w14:textId="77777777" w:rsidR="008B2E64" w:rsidRPr="00A24453" w:rsidRDefault="008B2E64" w:rsidP="00FB28E5">
            <w:pPr>
              <w:pStyle w:val="TableTitle"/>
              <w:jc w:val="right"/>
              <w:rPr>
                <w:sz w:val="20"/>
                <w:szCs w:val="20"/>
              </w:rPr>
            </w:pPr>
            <w:r w:rsidRPr="00A24453">
              <w:rPr>
                <w:rFonts w:cs="Arial"/>
                <w:color w:val="000000"/>
                <w:sz w:val="20"/>
                <w:szCs w:val="20"/>
              </w:rPr>
              <w:t>367</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239719C" w14:textId="77777777" w:rsidR="008B2E64" w:rsidRPr="00A24453" w:rsidRDefault="008B2E64" w:rsidP="00FB28E5">
            <w:pPr>
              <w:pStyle w:val="TableTitle"/>
              <w:jc w:val="right"/>
              <w:rPr>
                <w:sz w:val="20"/>
                <w:szCs w:val="20"/>
              </w:rPr>
            </w:pPr>
            <w:r w:rsidRPr="00A24453">
              <w:rPr>
                <w:rFonts w:cs="Arial"/>
                <w:color w:val="000000"/>
                <w:sz w:val="20"/>
                <w:szCs w:val="20"/>
              </w:rPr>
              <w:t>12</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0C85453" w14:textId="77777777" w:rsidR="008B2E64" w:rsidRPr="00A24453" w:rsidRDefault="008B2E64" w:rsidP="00FB28E5">
            <w:pPr>
              <w:pStyle w:val="TableTitle"/>
              <w:jc w:val="right"/>
              <w:rPr>
                <w:sz w:val="20"/>
                <w:szCs w:val="20"/>
              </w:rPr>
            </w:pPr>
            <w:r w:rsidRPr="00A24453">
              <w:rPr>
                <w:rFonts w:cs="Arial"/>
                <w:color w:val="000000"/>
                <w:sz w:val="20"/>
                <w:szCs w:val="20"/>
              </w:rPr>
              <w:t>334</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057C826" w14:textId="77777777" w:rsidR="008B2E64" w:rsidRPr="00A24453" w:rsidRDefault="008B2E64" w:rsidP="00FB28E5">
            <w:pPr>
              <w:pStyle w:val="TableTitle"/>
              <w:jc w:val="right"/>
              <w:rPr>
                <w:sz w:val="20"/>
                <w:szCs w:val="20"/>
              </w:rPr>
            </w:pPr>
            <w:r w:rsidRPr="00A24453">
              <w:rPr>
                <w:rFonts w:cs="Arial"/>
                <w:color w:val="000000"/>
                <w:sz w:val="20"/>
                <w:szCs w:val="20"/>
              </w:rPr>
              <w:t>11</w:t>
            </w:r>
          </w:p>
        </w:tc>
      </w:tr>
      <w:tr w:rsidR="008B2E64" w:rsidRPr="00A24453" w14:paraId="06352F22" w14:textId="77777777" w:rsidTr="00FB28E5">
        <w:trPr>
          <w:trHeight w:val="369"/>
        </w:trPr>
        <w:tc>
          <w:tcPr>
            <w:tcW w:w="240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0AE78BD6" w14:textId="77777777" w:rsidR="008B2E64" w:rsidRPr="00AE4F8E" w:rsidRDefault="008B2E64" w:rsidP="00FB28E5">
            <w:pPr>
              <w:pStyle w:val="TableTitle"/>
              <w:rPr>
                <w:bCs/>
                <w:sz w:val="20"/>
                <w:szCs w:val="20"/>
              </w:rPr>
            </w:pPr>
            <w:r w:rsidRPr="00AE4F8E">
              <w:rPr>
                <w:bCs/>
                <w:sz w:val="20"/>
                <w:szCs w:val="20"/>
              </w:rPr>
              <w:t>Southern Highlands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FEC41BE" w14:textId="77777777" w:rsidR="008B2E64" w:rsidRPr="00A24453" w:rsidRDefault="008B2E64" w:rsidP="00FB28E5">
            <w:pPr>
              <w:pStyle w:val="TableTitle"/>
              <w:jc w:val="right"/>
              <w:rPr>
                <w:sz w:val="20"/>
                <w:szCs w:val="20"/>
              </w:rPr>
            </w:pPr>
            <w:r w:rsidRPr="00A24453">
              <w:rPr>
                <w:rFonts w:cs="Arial"/>
                <w:color w:val="000000"/>
                <w:sz w:val="20"/>
                <w:szCs w:val="20"/>
              </w:rPr>
              <w:t>416</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5A30E48" w14:textId="77777777" w:rsidR="008B2E64" w:rsidRPr="00A24453" w:rsidRDefault="008B2E64" w:rsidP="00FB28E5">
            <w:pPr>
              <w:pStyle w:val="TableTitle"/>
              <w:jc w:val="right"/>
              <w:rPr>
                <w:sz w:val="20"/>
                <w:szCs w:val="20"/>
              </w:rPr>
            </w:pPr>
            <w:r w:rsidRPr="00A24453">
              <w:rPr>
                <w:rFonts w:cs="Arial"/>
                <w:color w:val="000000"/>
                <w:sz w:val="20"/>
                <w:szCs w:val="20"/>
              </w:rPr>
              <w:t>14</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B67CE86" w14:textId="77777777" w:rsidR="008B2E64" w:rsidRPr="00A24453" w:rsidRDefault="008B2E64" w:rsidP="00FB28E5">
            <w:pPr>
              <w:pStyle w:val="TableTitle"/>
              <w:jc w:val="right"/>
              <w:rPr>
                <w:sz w:val="20"/>
                <w:szCs w:val="20"/>
              </w:rPr>
            </w:pPr>
            <w:r w:rsidRPr="00A24453">
              <w:rPr>
                <w:rFonts w:cs="Arial"/>
                <w:color w:val="000000"/>
                <w:sz w:val="20"/>
                <w:szCs w:val="20"/>
              </w:rPr>
              <w:t>360</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86AD9E1" w14:textId="77777777" w:rsidR="008B2E64" w:rsidRPr="00A24453" w:rsidRDefault="008B2E64" w:rsidP="00FB28E5">
            <w:pPr>
              <w:pStyle w:val="TableTitle"/>
              <w:jc w:val="right"/>
              <w:rPr>
                <w:sz w:val="20"/>
                <w:szCs w:val="20"/>
              </w:rPr>
            </w:pPr>
            <w:r w:rsidRPr="00A24453">
              <w:rPr>
                <w:rFonts w:cs="Arial"/>
                <w:color w:val="000000"/>
                <w:sz w:val="20"/>
                <w:szCs w:val="20"/>
              </w:rPr>
              <w:t>12</w:t>
            </w:r>
          </w:p>
        </w:tc>
      </w:tr>
      <w:tr w:rsidR="008B2E64" w:rsidRPr="00A24453" w14:paraId="1D4ADA68" w14:textId="77777777" w:rsidTr="00FB28E5">
        <w:trPr>
          <w:trHeight w:val="369"/>
        </w:trPr>
        <w:tc>
          <w:tcPr>
            <w:tcW w:w="240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415DED24" w14:textId="77777777" w:rsidR="008B2E64" w:rsidRPr="00AE4F8E" w:rsidRDefault="008B2E64" w:rsidP="00FB28E5">
            <w:pPr>
              <w:pStyle w:val="TableTitle"/>
              <w:rPr>
                <w:bCs/>
                <w:sz w:val="20"/>
                <w:szCs w:val="20"/>
              </w:rPr>
            </w:pPr>
            <w:r w:rsidRPr="00AE4F8E">
              <w:rPr>
                <w:bCs/>
                <w:sz w:val="20"/>
                <w:szCs w:val="20"/>
              </w:rPr>
              <w:t>Western Sydney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B5F43FC" w14:textId="77777777" w:rsidR="008B2E64" w:rsidRPr="00A24453" w:rsidRDefault="008B2E64" w:rsidP="00FB28E5">
            <w:pPr>
              <w:pStyle w:val="TableTitle"/>
              <w:jc w:val="right"/>
              <w:rPr>
                <w:sz w:val="20"/>
                <w:szCs w:val="20"/>
              </w:rPr>
            </w:pPr>
            <w:r w:rsidRPr="00A24453">
              <w:rPr>
                <w:rFonts w:cs="Arial"/>
                <w:color w:val="000000"/>
                <w:sz w:val="20"/>
                <w:szCs w:val="20"/>
              </w:rPr>
              <w:t>383</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0C00672" w14:textId="77777777" w:rsidR="008B2E64" w:rsidRPr="00A24453" w:rsidRDefault="008B2E64" w:rsidP="00FB28E5">
            <w:pPr>
              <w:pStyle w:val="TableTitle"/>
              <w:jc w:val="right"/>
              <w:rPr>
                <w:sz w:val="20"/>
                <w:szCs w:val="20"/>
              </w:rPr>
            </w:pPr>
            <w:r w:rsidRPr="00A24453">
              <w:rPr>
                <w:rFonts w:cs="Arial"/>
                <w:color w:val="000000"/>
                <w:sz w:val="20"/>
                <w:szCs w:val="20"/>
              </w:rPr>
              <w:t>13</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1C40C79" w14:textId="77777777" w:rsidR="008B2E64" w:rsidRPr="00A24453" w:rsidRDefault="008B2E64" w:rsidP="00FB28E5">
            <w:pPr>
              <w:pStyle w:val="TableTitle"/>
              <w:jc w:val="right"/>
              <w:rPr>
                <w:sz w:val="20"/>
                <w:szCs w:val="20"/>
              </w:rPr>
            </w:pPr>
            <w:r w:rsidRPr="00A24453">
              <w:rPr>
                <w:rFonts w:cs="Arial"/>
                <w:color w:val="000000"/>
                <w:sz w:val="20"/>
                <w:szCs w:val="20"/>
              </w:rPr>
              <w:t>331</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91F3541" w14:textId="77777777" w:rsidR="008B2E64" w:rsidRPr="00A24453" w:rsidRDefault="008B2E64" w:rsidP="00FB28E5">
            <w:pPr>
              <w:pStyle w:val="TableTitle"/>
              <w:jc w:val="right"/>
              <w:rPr>
                <w:sz w:val="20"/>
                <w:szCs w:val="20"/>
              </w:rPr>
            </w:pPr>
            <w:r w:rsidRPr="00A24453">
              <w:rPr>
                <w:rFonts w:cs="Arial"/>
                <w:color w:val="000000"/>
                <w:sz w:val="20"/>
                <w:szCs w:val="20"/>
              </w:rPr>
              <w:t>11</w:t>
            </w:r>
          </w:p>
        </w:tc>
      </w:tr>
    </w:tbl>
    <w:p w14:paraId="40B275AE" w14:textId="77777777" w:rsidR="007E4DCF" w:rsidRDefault="007E4DCF" w:rsidP="0031040B">
      <w:pPr>
        <w:pStyle w:val="Heading3"/>
      </w:pPr>
    </w:p>
    <w:p w14:paraId="583A8F13" w14:textId="1F2745EE" w:rsidR="003571E3" w:rsidRDefault="003571E3" w:rsidP="0031040B">
      <w:pPr>
        <w:pStyle w:val="Heading3"/>
      </w:pPr>
      <w:bookmarkStart w:id="41" w:name="_Toc229480671"/>
      <w:r>
        <w:t>Victoria</w:t>
      </w:r>
      <w:bookmarkEnd w:id="41"/>
      <w:r>
        <w:t xml:space="preserve"> </w:t>
      </w:r>
    </w:p>
    <w:p w14:paraId="598FC0B7" w14:textId="5736E2C4" w:rsidR="003571E3" w:rsidRDefault="003571E3" w:rsidP="0031040B">
      <w:pPr>
        <w:pStyle w:val="Heading4"/>
      </w:pPr>
      <w:bookmarkStart w:id="42" w:name="_Toc229480672"/>
      <w:r>
        <w:t>Table 7: Average (avg)/Median (</w:t>
      </w:r>
      <w:proofErr w:type="spellStart"/>
      <w:r>
        <w:t>mdn</w:t>
      </w:r>
      <w:proofErr w:type="spellEnd"/>
      <w:r>
        <w:t>) number of days</w:t>
      </w:r>
      <w:r w:rsidRPr="003D3D2C">
        <w:t>/months</w:t>
      </w:r>
      <w:r>
        <w:t xml:space="preserve"> between an application for aged care and service commencement for services commenced in the reporting period.</w:t>
      </w:r>
      <w:bookmarkEnd w:id="42"/>
    </w:p>
    <w:tbl>
      <w:tblPr>
        <w:tblW w:w="477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9"/>
        <w:gridCol w:w="1525"/>
        <w:gridCol w:w="1525"/>
        <w:gridCol w:w="1525"/>
        <w:gridCol w:w="1525"/>
      </w:tblGrid>
      <w:tr w:rsidR="003571E3" w:rsidRPr="00151BBD" w14:paraId="3DB51F9C" w14:textId="77777777" w:rsidTr="000C3F2A">
        <w:trPr>
          <w:trHeight w:val="369"/>
          <w:tblHeader/>
        </w:trPr>
        <w:tc>
          <w:tcPr>
            <w:tcW w:w="141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7AE10D22" w14:textId="77777777" w:rsidR="003571E3" w:rsidRPr="00151BBD" w:rsidRDefault="003571E3" w:rsidP="000C3F2A">
            <w:pPr>
              <w:pStyle w:val="TableTitle"/>
              <w:rPr>
                <w:color w:val="FFFFFF" w:themeColor="background1"/>
                <w:sz w:val="20"/>
                <w:szCs w:val="20"/>
              </w:rPr>
            </w:pPr>
            <w:r>
              <w:rPr>
                <w:color w:val="FFFFFF" w:themeColor="background1"/>
                <w:sz w:val="20"/>
                <w:szCs w:val="20"/>
              </w:rPr>
              <w:t xml:space="preserve">  </w:t>
            </w:r>
            <w:r w:rsidRPr="00151BBD">
              <w:rPr>
                <w:color w:val="FFFFFF" w:themeColor="background1"/>
                <w:sz w:val="20"/>
                <w:szCs w:val="20"/>
              </w:rPr>
              <w:t>Region </w:t>
            </w:r>
          </w:p>
        </w:tc>
        <w:tc>
          <w:tcPr>
            <w:tcW w:w="89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26C1DDB2" w14:textId="77777777" w:rsidR="003571E3" w:rsidRPr="00151BBD" w:rsidRDefault="003571E3" w:rsidP="000C3F2A">
            <w:pPr>
              <w:pStyle w:val="TableTitle"/>
              <w:jc w:val="right"/>
              <w:rPr>
                <w:color w:val="FFFFFF" w:themeColor="background1"/>
                <w:sz w:val="20"/>
                <w:szCs w:val="20"/>
              </w:rPr>
            </w:pPr>
            <w:r w:rsidRPr="00151BBD">
              <w:rPr>
                <w:color w:val="FFFFFF" w:themeColor="background1"/>
                <w:sz w:val="20"/>
                <w:szCs w:val="20"/>
              </w:rPr>
              <w:t>Avg (days) </w:t>
            </w:r>
          </w:p>
        </w:tc>
        <w:tc>
          <w:tcPr>
            <w:tcW w:w="89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7662B161" w14:textId="77777777" w:rsidR="003571E3" w:rsidRPr="00151BBD" w:rsidRDefault="003571E3" w:rsidP="000C3F2A">
            <w:pPr>
              <w:pStyle w:val="TableTitle"/>
              <w:jc w:val="right"/>
              <w:rPr>
                <w:color w:val="FFFFFF" w:themeColor="background1"/>
                <w:sz w:val="20"/>
                <w:szCs w:val="20"/>
              </w:rPr>
            </w:pPr>
            <w:r w:rsidRPr="00151BBD">
              <w:rPr>
                <w:color w:val="FFFFFF" w:themeColor="background1"/>
                <w:sz w:val="20"/>
                <w:szCs w:val="20"/>
              </w:rPr>
              <w:t>Avg (months) </w:t>
            </w:r>
          </w:p>
        </w:tc>
        <w:tc>
          <w:tcPr>
            <w:tcW w:w="89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433BCD86" w14:textId="77777777" w:rsidR="003571E3" w:rsidRPr="00151BBD" w:rsidRDefault="003571E3" w:rsidP="000C3F2A">
            <w:pPr>
              <w:pStyle w:val="TableTitle"/>
              <w:jc w:val="right"/>
              <w:rPr>
                <w:color w:val="FFFFFF" w:themeColor="background1"/>
                <w:sz w:val="20"/>
                <w:szCs w:val="20"/>
              </w:rPr>
            </w:pPr>
            <w:r w:rsidRPr="00151BBD">
              <w:rPr>
                <w:color w:val="FFFFFF" w:themeColor="background1"/>
                <w:sz w:val="20"/>
                <w:szCs w:val="20"/>
              </w:rPr>
              <w:t>Mdn (days) </w:t>
            </w:r>
          </w:p>
        </w:tc>
        <w:tc>
          <w:tcPr>
            <w:tcW w:w="89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68486E1C" w14:textId="77777777" w:rsidR="003571E3" w:rsidRPr="00151BBD" w:rsidRDefault="003571E3" w:rsidP="000C3F2A">
            <w:pPr>
              <w:pStyle w:val="TableTitle"/>
              <w:jc w:val="right"/>
              <w:rPr>
                <w:color w:val="FFFFFF" w:themeColor="background1"/>
                <w:sz w:val="20"/>
                <w:szCs w:val="20"/>
              </w:rPr>
            </w:pPr>
            <w:r w:rsidRPr="00151BBD">
              <w:rPr>
                <w:color w:val="FFFFFF" w:themeColor="background1"/>
                <w:sz w:val="20"/>
                <w:szCs w:val="20"/>
              </w:rPr>
              <w:t>Mdn (months) </w:t>
            </w:r>
          </w:p>
        </w:tc>
      </w:tr>
      <w:tr w:rsidR="003571E3" w:rsidRPr="00151BBD" w14:paraId="1CB6278D" w14:textId="77777777" w:rsidTr="000C531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688A6BAD" w14:textId="638D6AB6" w:rsidR="003571E3" w:rsidRPr="00151BBD" w:rsidRDefault="003571E3" w:rsidP="000C3F2A">
            <w:pPr>
              <w:pStyle w:val="TableTitle"/>
              <w:rPr>
                <w:sz w:val="20"/>
                <w:szCs w:val="20"/>
              </w:rPr>
            </w:pPr>
            <w:r w:rsidRPr="00151BBD">
              <w:rPr>
                <w:sz w:val="20"/>
                <w:szCs w:val="20"/>
              </w:rPr>
              <w:t>Barwon</w:t>
            </w:r>
            <w:r>
              <w:noBreakHyphen/>
            </w:r>
            <w:proofErr w:type="gramStart"/>
            <w:r w:rsidRPr="00151BBD">
              <w:rPr>
                <w:sz w:val="20"/>
                <w:szCs w:val="20"/>
              </w:rPr>
              <w:t>Sout</w:t>
            </w:r>
            <w:r>
              <w:rPr>
                <w:sz w:val="20"/>
                <w:szCs w:val="20"/>
              </w:rPr>
              <w:t xml:space="preserve">h </w:t>
            </w:r>
            <w:r w:rsidRPr="00151BBD">
              <w:rPr>
                <w:sz w:val="20"/>
                <w:szCs w:val="20"/>
              </w:rPr>
              <w:t>Western</w:t>
            </w:r>
            <w:proofErr w:type="gramEnd"/>
            <w:r w:rsidRPr="00151BBD">
              <w:rPr>
                <w:sz w:val="20"/>
                <w:szCs w:val="20"/>
              </w:rPr>
              <w:t>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151BB0B" w14:textId="77777777" w:rsidR="003571E3" w:rsidRPr="00DD5FEE" w:rsidRDefault="003571E3" w:rsidP="000C3F2A">
            <w:pPr>
              <w:pStyle w:val="TableTitle"/>
              <w:jc w:val="right"/>
              <w:rPr>
                <w:sz w:val="20"/>
                <w:szCs w:val="20"/>
              </w:rPr>
            </w:pPr>
            <w:r w:rsidRPr="00DD5FEE">
              <w:rPr>
                <w:rFonts w:cs="Arial"/>
                <w:color w:val="000000"/>
                <w:sz w:val="20"/>
                <w:szCs w:val="20"/>
              </w:rPr>
              <w:t>429</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7815DC0" w14:textId="77777777" w:rsidR="003571E3" w:rsidRPr="00DD5FEE" w:rsidRDefault="003571E3" w:rsidP="000C3F2A">
            <w:pPr>
              <w:pStyle w:val="TableTitle"/>
              <w:jc w:val="right"/>
              <w:rPr>
                <w:sz w:val="20"/>
                <w:szCs w:val="20"/>
              </w:rPr>
            </w:pPr>
            <w:r w:rsidRPr="00DD5FEE">
              <w:rPr>
                <w:rFonts w:cs="Arial"/>
                <w:color w:val="000000"/>
                <w:sz w:val="20"/>
                <w:szCs w:val="20"/>
              </w:rPr>
              <w:t>14</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8F676E7" w14:textId="77777777" w:rsidR="003571E3" w:rsidRPr="00DD5FEE" w:rsidRDefault="003571E3" w:rsidP="000C3F2A">
            <w:pPr>
              <w:pStyle w:val="TableTitle"/>
              <w:jc w:val="right"/>
              <w:rPr>
                <w:sz w:val="20"/>
                <w:szCs w:val="20"/>
              </w:rPr>
            </w:pPr>
            <w:r w:rsidRPr="00DD5FEE">
              <w:rPr>
                <w:rFonts w:cs="Arial"/>
                <w:color w:val="000000"/>
                <w:sz w:val="20"/>
                <w:szCs w:val="20"/>
              </w:rPr>
              <w:t>348</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23C41D4" w14:textId="77777777" w:rsidR="003571E3" w:rsidRPr="00DD5FEE" w:rsidRDefault="003571E3" w:rsidP="000C3F2A">
            <w:pPr>
              <w:pStyle w:val="TableTitle"/>
              <w:jc w:val="right"/>
              <w:rPr>
                <w:sz w:val="20"/>
                <w:szCs w:val="20"/>
              </w:rPr>
            </w:pPr>
            <w:r w:rsidRPr="00DD5FEE">
              <w:rPr>
                <w:rFonts w:cs="Arial"/>
                <w:color w:val="000000"/>
                <w:sz w:val="20"/>
                <w:szCs w:val="20"/>
              </w:rPr>
              <w:t>12</w:t>
            </w:r>
          </w:p>
        </w:tc>
      </w:tr>
      <w:tr w:rsidR="003571E3" w:rsidRPr="00151BBD" w14:paraId="5C1066C6" w14:textId="77777777" w:rsidTr="000C531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13181548" w14:textId="17BF821D" w:rsidR="003571E3" w:rsidRPr="00151BBD" w:rsidRDefault="003571E3" w:rsidP="000C3F2A">
            <w:pPr>
              <w:pStyle w:val="TableTitle"/>
              <w:rPr>
                <w:sz w:val="20"/>
                <w:szCs w:val="20"/>
              </w:rPr>
            </w:pPr>
            <w:r w:rsidRPr="00151BBD">
              <w:rPr>
                <w:sz w:val="20"/>
                <w:szCs w:val="20"/>
              </w:rPr>
              <w:t>Eastern Metro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DF52275" w14:textId="77777777" w:rsidR="003571E3" w:rsidRPr="00DD5FEE" w:rsidRDefault="003571E3" w:rsidP="000C3F2A">
            <w:pPr>
              <w:pStyle w:val="TableTitle"/>
              <w:jc w:val="right"/>
              <w:rPr>
                <w:sz w:val="20"/>
                <w:szCs w:val="20"/>
              </w:rPr>
            </w:pPr>
            <w:r w:rsidRPr="00DD5FEE">
              <w:rPr>
                <w:rFonts w:cs="Arial"/>
                <w:color w:val="000000"/>
                <w:sz w:val="20"/>
                <w:szCs w:val="20"/>
              </w:rPr>
              <w:t>375</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03797ED" w14:textId="77777777" w:rsidR="003571E3" w:rsidRPr="00DD5FEE" w:rsidRDefault="003571E3" w:rsidP="000C3F2A">
            <w:pPr>
              <w:pStyle w:val="TableTitle"/>
              <w:jc w:val="right"/>
              <w:rPr>
                <w:sz w:val="20"/>
                <w:szCs w:val="20"/>
              </w:rPr>
            </w:pPr>
            <w:r w:rsidRPr="00DD5FEE">
              <w:rPr>
                <w:rFonts w:cs="Arial"/>
                <w:color w:val="000000"/>
                <w:sz w:val="20"/>
                <w:szCs w:val="20"/>
              </w:rPr>
              <w:t>13</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FCC4C7E" w14:textId="77777777" w:rsidR="003571E3" w:rsidRPr="00DD5FEE" w:rsidRDefault="003571E3" w:rsidP="000C3F2A">
            <w:pPr>
              <w:pStyle w:val="TableTitle"/>
              <w:jc w:val="right"/>
              <w:rPr>
                <w:sz w:val="20"/>
                <w:szCs w:val="20"/>
              </w:rPr>
            </w:pPr>
            <w:r w:rsidRPr="00DD5FEE">
              <w:rPr>
                <w:rFonts w:cs="Arial"/>
                <w:color w:val="000000"/>
                <w:sz w:val="20"/>
                <w:szCs w:val="20"/>
              </w:rPr>
              <w:t>290</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B9F5F1A" w14:textId="77777777" w:rsidR="003571E3" w:rsidRPr="00DD5FEE" w:rsidRDefault="003571E3" w:rsidP="000C3F2A">
            <w:pPr>
              <w:pStyle w:val="TableTitle"/>
              <w:jc w:val="right"/>
              <w:rPr>
                <w:sz w:val="20"/>
                <w:szCs w:val="20"/>
              </w:rPr>
            </w:pPr>
            <w:r w:rsidRPr="00DD5FEE">
              <w:rPr>
                <w:rFonts w:cs="Arial"/>
                <w:color w:val="000000"/>
                <w:sz w:val="20"/>
                <w:szCs w:val="20"/>
              </w:rPr>
              <w:t>10</w:t>
            </w:r>
          </w:p>
        </w:tc>
      </w:tr>
      <w:tr w:rsidR="003571E3" w:rsidRPr="00151BBD" w14:paraId="371082D0" w14:textId="77777777" w:rsidTr="000C531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7C439D5B" w14:textId="00EFF526" w:rsidR="003571E3" w:rsidRPr="00151BBD" w:rsidRDefault="003571E3" w:rsidP="000C3F2A">
            <w:pPr>
              <w:pStyle w:val="TableTitle"/>
              <w:rPr>
                <w:sz w:val="20"/>
                <w:szCs w:val="20"/>
              </w:rPr>
            </w:pPr>
            <w:r w:rsidRPr="00151BBD">
              <w:rPr>
                <w:sz w:val="20"/>
                <w:szCs w:val="20"/>
              </w:rPr>
              <w:t>Gippsland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8F8ADAF" w14:textId="77777777" w:rsidR="003571E3" w:rsidRPr="00DD5FEE" w:rsidRDefault="003571E3" w:rsidP="000C3F2A">
            <w:pPr>
              <w:pStyle w:val="TableTitle"/>
              <w:jc w:val="right"/>
              <w:rPr>
                <w:sz w:val="20"/>
                <w:szCs w:val="20"/>
              </w:rPr>
            </w:pPr>
            <w:r w:rsidRPr="00DD5FEE">
              <w:rPr>
                <w:rFonts w:cs="Arial"/>
                <w:color w:val="000000"/>
                <w:sz w:val="20"/>
                <w:szCs w:val="20"/>
              </w:rPr>
              <w:t>383</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72BF5B5" w14:textId="77777777" w:rsidR="003571E3" w:rsidRPr="00DD5FEE" w:rsidRDefault="003571E3" w:rsidP="000C3F2A">
            <w:pPr>
              <w:pStyle w:val="TableTitle"/>
              <w:jc w:val="right"/>
              <w:rPr>
                <w:sz w:val="20"/>
                <w:szCs w:val="20"/>
              </w:rPr>
            </w:pPr>
            <w:r w:rsidRPr="00DD5FEE">
              <w:rPr>
                <w:rFonts w:cs="Arial"/>
                <w:color w:val="000000"/>
                <w:sz w:val="20"/>
                <w:szCs w:val="20"/>
              </w:rPr>
              <w:t>13</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C7DE025" w14:textId="77777777" w:rsidR="003571E3" w:rsidRPr="00DD5FEE" w:rsidRDefault="003571E3" w:rsidP="000C3F2A">
            <w:pPr>
              <w:pStyle w:val="TableTitle"/>
              <w:jc w:val="right"/>
              <w:rPr>
                <w:sz w:val="20"/>
                <w:szCs w:val="20"/>
              </w:rPr>
            </w:pPr>
            <w:r w:rsidRPr="00DD5FEE">
              <w:rPr>
                <w:rFonts w:cs="Arial"/>
                <w:color w:val="000000"/>
                <w:sz w:val="20"/>
                <w:szCs w:val="20"/>
              </w:rPr>
              <w:t>282</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40CB88B" w14:textId="77777777" w:rsidR="003571E3" w:rsidRPr="00DD5FEE" w:rsidRDefault="003571E3" w:rsidP="000C3F2A">
            <w:pPr>
              <w:pStyle w:val="TableTitle"/>
              <w:jc w:val="right"/>
              <w:rPr>
                <w:sz w:val="20"/>
                <w:szCs w:val="20"/>
              </w:rPr>
            </w:pPr>
            <w:r w:rsidRPr="00DD5FEE">
              <w:rPr>
                <w:rFonts w:cs="Arial"/>
                <w:color w:val="000000"/>
                <w:sz w:val="20"/>
                <w:szCs w:val="20"/>
              </w:rPr>
              <w:t>9</w:t>
            </w:r>
          </w:p>
        </w:tc>
      </w:tr>
      <w:tr w:rsidR="003571E3" w:rsidRPr="00151BBD" w14:paraId="21BE0926" w14:textId="77777777" w:rsidTr="000C531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0F7748FF" w14:textId="5D48B018" w:rsidR="003571E3" w:rsidRPr="00151BBD" w:rsidRDefault="003571E3" w:rsidP="000C3F2A">
            <w:pPr>
              <w:pStyle w:val="TableTitle"/>
              <w:rPr>
                <w:sz w:val="20"/>
                <w:szCs w:val="20"/>
              </w:rPr>
            </w:pPr>
            <w:r w:rsidRPr="00151BBD">
              <w:rPr>
                <w:sz w:val="20"/>
                <w:szCs w:val="20"/>
              </w:rPr>
              <w:t>Grampians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E381389" w14:textId="77777777" w:rsidR="003571E3" w:rsidRPr="00DD5FEE" w:rsidRDefault="003571E3" w:rsidP="000C3F2A">
            <w:pPr>
              <w:pStyle w:val="TableTitle"/>
              <w:jc w:val="right"/>
              <w:rPr>
                <w:sz w:val="20"/>
                <w:szCs w:val="20"/>
              </w:rPr>
            </w:pPr>
            <w:r w:rsidRPr="00DD5FEE">
              <w:rPr>
                <w:rFonts w:cs="Arial"/>
                <w:color w:val="000000"/>
                <w:sz w:val="20"/>
                <w:szCs w:val="20"/>
              </w:rPr>
              <w:t>388</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85251BF" w14:textId="77777777" w:rsidR="003571E3" w:rsidRPr="00DD5FEE" w:rsidRDefault="003571E3" w:rsidP="000C3F2A">
            <w:pPr>
              <w:pStyle w:val="TableTitle"/>
              <w:jc w:val="right"/>
              <w:rPr>
                <w:sz w:val="20"/>
                <w:szCs w:val="20"/>
              </w:rPr>
            </w:pPr>
            <w:r w:rsidRPr="00DD5FEE">
              <w:rPr>
                <w:rFonts w:cs="Arial"/>
                <w:color w:val="000000"/>
                <w:sz w:val="20"/>
                <w:szCs w:val="20"/>
              </w:rPr>
              <w:t>13</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9170AA5" w14:textId="77777777" w:rsidR="003571E3" w:rsidRPr="00DD5FEE" w:rsidRDefault="003571E3" w:rsidP="000C3F2A">
            <w:pPr>
              <w:pStyle w:val="TableTitle"/>
              <w:jc w:val="right"/>
              <w:rPr>
                <w:sz w:val="20"/>
                <w:szCs w:val="20"/>
              </w:rPr>
            </w:pPr>
            <w:r w:rsidRPr="00DD5FEE">
              <w:rPr>
                <w:rFonts w:cs="Arial"/>
                <w:color w:val="000000"/>
                <w:sz w:val="20"/>
                <w:szCs w:val="20"/>
              </w:rPr>
              <w:t>295</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40011F7" w14:textId="77777777" w:rsidR="003571E3" w:rsidRPr="00DD5FEE" w:rsidRDefault="003571E3" w:rsidP="000C3F2A">
            <w:pPr>
              <w:pStyle w:val="TableTitle"/>
              <w:jc w:val="right"/>
              <w:rPr>
                <w:sz w:val="20"/>
                <w:szCs w:val="20"/>
              </w:rPr>
            </w:pPr>
            <w:r w:rsidRPr="00DD5FEE">
              <w:rPr>
                <w:rFonts w:cs="Arial"/>
                <w:color w:val="000000"/>
                <w:sz w:val="20"/>
                <w:szCs w:val="20"/>
              </w:rPr>
              <w:t>10</w:t>
            </w:r>
          </w:p>
        </w:tc>
      </w:tr>
      <w:tr w:rsidR="003571E3" w:rsidRPr="00151BBD" w14:paraId="13486DA6" w14:textId="77777777" w:rsidTr="000C531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1271B72C" w14:textId="18870F78" w:rsidR="003571E3" w:rsidRPr="00151BBD" w:rsidRDefault="003571E3" w:rsidP="000C3F2A">
            <w:pPr>
              <w:pStyle w:val="TableTitle"/>
              <w:rPr>
                <w:sz w:val="20"/>
                <w:szCs w:val="20"/>
              </w:rPr>
            </w:pPr>
            <w:r w:rsidRPr="00151BBD">
              <w:rPr>
                <w:sz w:val="20"/>
                <w:szCs w:val="20"/>
              </w:rPr>
              <w:t>Hume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F8CC796" w14:textId="77777777" w:rsidR="003571E3" w:rsidRPr="00DD5FEE" w:rsidRDefault="003571E3" w:rsidP="000C3F2A">
            <w:pPr>
              <w:pStyle w:val="TableTitle"/>
              <w:jc w:val="right"/>
              <w:rPr>
                <w:sz w:val="20"/>
                <w:szCs w:val="20"/>
              </w:rPr>
            </w:pPr>
            <w:r w:rsidRPr="00DD5FEE">
              <w:rPr>
                <w:rFonts w:cs="Arial"/>
                <w:color w:val="000000"/>
                <w:sz w:val="20"/>
                <w:szCs w:val="20"/>
              </w:rPr>
              <w:t>358</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6D18C99" w14:textId="77777777" w:rsidR="003571E3" w:rsidRPr="00DD5FEE" w:rsidRDefault="003571E3" w:rsidP="000C3F2A">
            <w:pPr>
              <w:pStyle w:val="TableTitle"/>
              <w:jc w:val="right"/>
              <w:rPr>
                <w:sz w:val="20"/>
                <w:szCs w:val="20"/>
              </w:rPr>
            </w:pPr>
            <w:r w:rsidRPr="00DD5FEE">
              <w:rPr>
                <w:rFonts w:cs="Arial"/>
                <w:color w:val="000000"/>
                <w:sz w:val="20"/>
                <w:szCs w:val="20"/>
              </w:rPr>
              <w:t>12</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00BB1E1" w14:textId="77777777" w:rsidR="003571E3" w:rsidRPr="00DD5FEE" w:rsidRDefault="003571E3" w:rsidP="000C3F2A">
            <w:pPr>
              <w:pStyle w:val="TableTitle"/>
              <w:jc w:val="right"/>
              <w:rPr>
                <w:sz w:val="20"/>
                <w:szCs w:val="20"/>
              </w:rPr>
            </w:pPr>
            <w:r w:rsidRPr="00DD5FEE">
              <w:rPr>
                <w:rFonts w:cs="Arial"/>
                <w:color w:val="000000"/>
                <w:sz w:val="20"/>
                <w:szCs w:val="20"/>
              </w:rPr>
              <w:t>281</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BB3FEF3" w14:textId="77777777" w:rsidR="003571E3" w:rsidRPr="00DD5FEE" w:rsidRDefault="003571E3" w:rsidP="000C3F2A">
            <w:pPr>
              <w:pStyle w:val="TableTitle"/>
              <w:jc w:val="right"/>
              <w:rPr>
                <w:sz w:val="20"/>
                <w:szCs w:val="20"/>
              </w:rPr>
            </w:pPr>
            <w:r w:rsidRPr="00DD5FEE">
              <w:rPr>
                <w:rFonts w:cs="Arial"/>
                <w:color w:val="000000"/>
                <w:sz w:val="20"/>
                <w:szCs w:val="20"/>
              </w:rPr>
              <w:t>9</w:t>
            </w:r>
          </w:p>
        </w:tc>
      </w:tr>
      <w:tr w:rsidR="003571E3" w:rsidRPr="00151BBD" w14:paraId="74E9AA7B" w14:textId="77777777" w:rsidTr="000C531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5CA323B6" w14:textId="30D06A39" w:rsidR="003571E3" w:rsidRPr="00151BBD" w:rsidRDefault="003571E3" w:rsidP="000C3F2A">
            <w:pPr>
              <w:pStyle w:val="TableTitle"/>
              <w:rPr>
                <w:sz w:val="20"/>
                <w:szCs w:val="20"/>
              </w:rPr>
            </w:pPr>
            <w:r w:rsidRPr="00151BBD">
              <w:rPr>
                <w:sz w:val="20"/>
                <w:szCs w:val="20"/>
              </w:rPr>
              <w:t>Loddon</w:t>
            </w:r>
            <w:r w:rsidRPr="00151BBD">
              <w:rPr>
                <w:sz w:val="20"/>
                <w:szCs w:val="20"/>
              </w:rPr>
              <w:noBreakHyphen/>
              <w:t>Mallee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99DF5F9" w14:textId="77777777" w:rsidR="003571E3" w:rsidRPr="00DD5FEE" w:rsidRDefault="003571E3" w:rsidP="000C3F2A">
            <w:pPr>
              <w:pStyle w:val="TableTitle"/>
              <w:jc w:val="right"/>
              <w:rPr>
                <w:sz w:val="20"/>
                <w:szCs w:val="20"/>
              </w:rPr>
            </w:pPr>
            <w:r w:rsidRPr="00DD5FEE">
              <w:rPr>
                <w:rFonts w:cs="Arial"/>
                <w:color w:val="000000"/>
                <w:sz w:val="20"/>
                <w:szCs w:val="20"/>
              </w:rPr>
              <w:t>295</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BF25123" w14:textId="77777777" w:rsidR="003571E3" w:rsidRPr="00DD5FEE" w:rsidRDefault="003571E3" w:rsidP="000C3F2A">
            <w:pPr>
              <w:pStyle w:val="TableTitle"/>
              <w:jc w:val="right"/>
              <w:rPr>
                <w:sz w:val="20"/>
                <w:szCs w:val="20"/>
              </w:rPr>
            </w:pPr>
            <w:r w:rsidRPr="00DD5FEE">
              <w:rPr>
                <w:rFonts w:cs="Arial"/>
                <w:color w:val="000000"/>
                <w:sz w:val="20"/>
                <w:szCs w:val="20"/>
              </w:rPr>
              <w:t>10</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A1F72F8" w14:textId="77777777" w:rsidR="003571E3" w:rsidRPr="00DD5FEE" w:rsidRDefault="003571E3" w:rsidP="000C3F2A">
            <w:pPr>
              <w:pStyle w:val="TableTitle"/>
              <w:jc w:val="right"/>
              <w:rPr>
                <w:sz w:val="20"/>
                <w:szCs w:val="20"/>
              </w:rPr>
            </w:pPr>
            <w:r w:rsidRPr="00DD5FEE">
              <w:rPr>
                <w:rFonts w:cs="Arial"/>
                <w:color w:val="000000"/>
                <w:sz w:val="20"/>
                <w:szCs w:val="20"/>
              </w:rPr>
              <w:t>218</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38A8A56" w14:textId="77777777" w:rsidR="003571E3" w:rsidRPr="00DD5FEE" w:rsidRDefault="003571E3" w:rsidP="000C3F2A">
            <w:pPr>
              <w:pStyle w:val="TableTitle"/>
              <w:jc w:val="right"/>
              <w:rPr>
                <w:sz w:val="20"/>
                <w:szCs w:val="20"/>
              </w:rPr>
            </w:pPr>
            <w:r w:rsidRPr="00DD5FEE">
              <w:rPr>
                <w:rFonts w:cs="Arial"/>
                <w:color w:val="000000"/>
                <w:sz w:val="20"/>
                <w:szCs w:val="20"/>
              </w:rPr>
              <w:t>7</w:t>
            </w:r>
          </w:p>
        </w:tc>
      </w:tr>
      <w:tr w:rsidR="003571E3" w:rsidRPr="00151BBD" w14:paraId="3AECF4DE" w14:textId="77777777" w:rsidTr="000C531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433E1516" w14:textId="6584E776" w:rsidR="003571E3" w:rsidRPr="00151BBD" w:rsidRDefault="003571E3" w:rsidP="000C3F2A">
            <w:pPr>
              <w:pStyle w:val="TableTitle"/>
              <w:rPr>
                <w:sz w:val="20"/>
                <w:szCs w:val="20"/>
              </w:rPr>
            </w:pPr>
            <w:r w:rsidRPr="00151BBD">
              <w:rPr>
                <w:sz w:val="20"/>
                <w:szCs w:val="20"/>
              </w:rPr>
              <w:t>Northern Metro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FBBD61E" w14:textId="77777777" w:rsidR="003571E3" w:rsidRPr="00DD5FEE" w:rsidRDefault="003571E3" w:rsidP="000C3F2A">
            <w:pPr>
              <w:pStyle w:val="TableTitle"/>
              <w:jc w:val="right"/>
              <w:rPr>
                <w:sz w:val="20"/>
                <w:szCs w:val="20"/>
              </w:rPr>
            </w:pPr>
            <w:r w:rsidRPr="00DD5FEE">
              <w:rPr>
                <w:rFonts w:cs="Arial"/>
                <w:color w:val="000000"/>
                <w:sz w:val="20"/>
                <w:szCs w:val="20"/>
              </w:rPr>
              <w:t>338</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41210AC" w14:textId="77777777" w:rsidR="003571E3" w:rsidRPr="00DD5FEE" w:rsidRDefault="003571E3" w:rsidP="000C3F2A">
            <w:pPr>
              <w:pStyle w:val="TableTitle"/>
              <w:jc w:val="right"/>
              <w:rPr>
                <w:sz w:val="20"/>
                <w:szCs w:val="20"/>
              </w:rPr>
            </w:pPr>
            <w:r w:rsidRPr="00DD5FEE">
              <w:rPr>
                <w:rFonts w:cs="Arial"/>
                <w:color w:val="000000"/>
                <w:sz w:val="20"/>
                <w:szCs w:val="20"/>
              </w:rPr>
              <w:t>11</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4164CCE" w14:textId="77777777" w:rsidR="003571E3" w:rsidRPr="00DD5FEE" w:rsidRDefault="003571E3" w:rsidP="000C3F2A">
            <w:pPr>
              <w:pStyle w:val="TableTitle"/>
              <w:jc w:val="right"/>
              <w:rPr>
                <w:sz w:val="20"/>
                <w:szCs w:val="20"/>
              </w:rPr>
            </w:pPr>
            <w:r w:rsidRPr="00DD5FEE">
              <w:rPr>
                <w:rFonts w:cs="Arial"/>
                <w:color w:val="000000"/>
                <w:sz w:val="20"/>
                <w:szCs w:val="20"/>
              </w:rPr>
              <w:t>267</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68D6F20" w14:textId="77777777" w:rsidR="003571E3" w:rsidRPr="00DD5FEE" w:rsidRDefault="003571E3" w:rsidP="000C3F2A">
            <w:pPr>
              <w:pStyle w:val="TableTitle"/>
              <w:jc w:val="right"/>
              <w:rPr>
                <w:sz w:val="20"/>
                <w:szCs w:val="20"/>
              </w:rPr>
            </w:pPr>
            <w:r w:rsidRPr="00DD5FEE">
              <w:rPr>
                <w:rFonts w:cs="Arial"/>
                <w:color w:val="000000"/>
                <w:sz w:val="20"/>
                <w:szCs w:val="20"/>
              </w:rPr>
              <w:t>9</w:t>
            </w:r>
          </w:p>
        </w:tc>
      </w:tr>
      <w:tr w:rsidR="003571E3" w:rsidRPr="00151BBD" w14:paraId="4CC6F474" w14:textId="77777777" w:rsidTr="000C531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2F7AC51C" w14:textId="2E86C80F" w:rsidR="003571E3" w:rsidRPr="00151BBD" w:rsidRDefault="003571E3" w:rsidP="000C3F2A">
            <w:pPr>
              <w:pStyle w:val="TableTitle"/>
              <w:rPr>
                <w:sz w:val="20"/>
                <w:szCs w:val="20"/>
              </w:rPr>
            </w:pPr>
            <w:r w:rsidRPr="00151BBD">
              <w:rPr>
                <w:sz w:val="20"/>
                <w:szCs w:val="20"/>
              </w:rPr>
              <w:t>Southern Metro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3E8A28F" w14:textId="77777777" w:rsidR="003571E3" w:rsidRPr="00DD5FEE" w:rsidRDefault="003571E3" w:rsidP="000C3F2A">
            <w:pPr>
              <w:pStyle w:val="TableTitle"/>
              <w:jc w:val="right"/>
              <w:rPr>
                <w:sz w:val="20"/>
                <w:szCs w:val="20"/>
              </w:rPr>
            </w:pPr>
            <w:r w:rsidRPr="00DD5FEE">
              <w:rPr>
                <w:rFonts w:cs="Arial"/>
                <w:color w:val="000000"/>
                <w:sz w:val="20"/>
                <w:szCs w:val="20"/>
              </w:rPr>
              <w:t>333</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EB10431" w14:textId="77777777" w:rsidR="003571E3" w:rsidRPr="00DD5FEE" w:rsidRDefault="003571E3" w:rsidP="000C3F2A">
            <w:pPr>
              <w:pStyle w:val="TableTitle"/>
              <w:jc w:val="right"/>
              <w:rPr>
                <w:sz w:val="20"/>
                <w:szCs w:val="20"/>
              </w:rPr>
            </w:pPr>
            <w:r w:rsidRPr="00DD5FEE">
              <w:rPr>
                <w:rFonts w:cs="Arial"/>
                <w:color w:val="000000"/>
                <w:sz w:val="20"/>
                <w:szCs w:val="20"/>
              </w:rPr>
              <w:t>11</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7FAA723" w14:textId="77777777" w:rsidR="003571E3" w:rsidRPr="00DD5FEE" w:rsidRDefault="003571E3" w:rsidP="000C3F2A">
            <w:pPr>
              <w:pStyle w:val="TableTitle"/>
              <w:jc w:val="right"/>
              <w:rPr>
                <w:sz w:val="20"/>
                <w:szCs w:val="20"/>
              </w:rPr>
            </w:pPr>
            <w:r w:rsidRPr="00DD5FEE">
              <w:rPr>
                <w:rFonts w:cs="Arial"/>
                <w:color w:val="000000"/>
                <w:sz w:val="20"/>
                <w:szCs w:val="20"/>
              </w:rPr>
              <w:t>246</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5EAD3A9" w14:textId="77777777" w:rsidR="003571E3" w:rsidRPr="00DD5FEE" w:rsidRDefault="003571E3" w:rsidP="000C3F2A">
            <w:pPr>
              <w:pStyle w:val="TableTitle"/>
              <w:jc w:val="right"/>
              <w:rPr>
                <w:sz w:val="20"/>
                <w:szCs w:val="20"/>
              </w:rPr>
            </w:pPr>
            <w:r w:rsidRPr="00DD5FEE">
              <w:rPr>
                <w:rFonts w:cs="Arial"/>
                <w:color w:val="000000"/>
                <w:sz w:val="20"/>
                <w:szCs w:val="20"/>
              </w:rPr>
              <w:t>8</w:t>
            </w:r>
          </w:p>
        </w:tc>
      </w:tr>
      <w:tr w:rsidR="003571E3" w:rsidRPr="00151BBD" w14:paraId="501B876D" w14:textId="77777777" w:rsidTr="000C531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079CDBF0" w14:textId="6DB111F8" w:rsidR="003571E3" w:rsidRPr="00151BBD" w:rsidRDefault="003571E3" w:rsidP="000C3F2A">
            <w:pPr>
              <w:pStyle w:val="TableTitle"/>
              <w:rPr>
                <w:sz w:val="20"/>
                <w:szCs w:val="20"/>
              </w:rPr>
            </w:pPr>
            <w:r w:rsidRPr="00151BBD">
              <w:rPr>
                <w:sz w:val="20"/>
                <w:szCs w:val="20"/>
              </w:rPr>
              <w:t>Western Metro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7AE38D7" w14:textId="77777777" w:rsidR="003571E3" w:rsidRPr="00DD5FEE" w:rsidRDefault="003571E3" w:rsidP="000C3F2A">
            <w:pPr>
              <w:pStyle w:val="TableTitle"/>
              <w:jc w:val="right"/>
              <w:rPr>
                <w:sz w:val="20"/>
                <w:szCs w:val="20"/>
              </w:rPr>
            </w:pPr>
            <w:r w:rsidRPr="00DD5FEE">
              <w:rPr>
                <w:rFonts w:cs="Arial"/>
                <w:color w:val="000000"/>
                <w:sz w:val="20"/>
                <w:szCs w:val="20"/>
              </w:rPr>
              <w:t>331</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1C761DA" w14:textId="77777777" w:rsidR="003571E3" w:rsidRPr="00DD5FEE" w:rsidRDefault="003571E3" w:rsidP="000C3F2A">
            <w:pPr>
              <w:pStyle w:val="TableTitle"/>
              <w:jc w:val="right"/>
              <w:rPr>
                <w:sz w:val="20"/>
                <w:szCs w:val="20"/>
              </w:rPr>
            </w:pPr>
            <w:r w:rsidRPr="00DD5FEE">
              <w:rPr>
                <w:rFonts w:cs="Arial"/>
                <w:color w:val="000000"/>
                <w:sz w:val="20"/>
                <w:szCs w:val="20"/>
              </w:rPr>
              <w:t>11</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901C88E" w14:textId="77777777" w:rsidR="003571E3" w:rsidRPr="00DD5FEE" w:rsidRDefault="003571E3" w:rsidP="000C3F2A">
            <w:pPr>
              <w:pStyle w:val="TableTitle"/>
              <w:jc w:val="right"/>
              <w:rPr>
                <w:sz w:val="20"/>
                <w:szCs w:val="20"/>
              </w:rPr>
            </w:pPr>
            <w:r w:rsidRPr="00DD5FEE">
              <w:rPr>
                <w:rFonts w:cs="Arial"/>
                <w:color w:val="000000"/>
                <w:sz w:val="20"/>
                <w:szCs w:val="20"/>
              </w:rPr>
              <w:t>261</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477B9B1" w14:textId="77777777" w:rsidR="003571E3" w:rsidRPr="00DD5FEE" w:rsidRDefault="003571E3" w:rsidP="000C3F2A">
            <w:pPr>
              <w:pStyle w:val="TableTitle"/>
              <w:jc w:val="right"/>
              <w:rPr>
                <w:sz w:val="20"/>
                <w:szCs w:val="20"/>
              </w:rPr>
            </w:pPr>
            <w:r w:rsidRPr="00DD5FEE">
              <w:rPr>
                <w:rFonts w:cs="Arial"/>
                <w:color w:val="000000"/>
                <w:sz w:val="20"/>
                <w:szCs w:val="20"/>
              </w:rPr>
              <w:t>9</w:t>
            </w:r>
          </w:p>
        </w:tc>
      </w:tr>
    </w:tbl>
    <w:p w14:paraId="25AC43DF" w14:textId="77777777" w:rsidR="00C211D5" w:rsidRDefault="00C211D5" w:rsidP="00891249">
      <w:pPr>
        <w:pStyle w:val="Heading4"/>
      </w:pPr>
    </w:p>
    <w:p w14:paraId="1505CBD0" w14:textId="77777777" w:rsidR="00C211D5" w:rsidRDefault="00C211D5">
      <w:pPr>
        <w:spacing w:before="0" w:after="0" w:line="240" w:lineRule="auto"/>
        <w:rPr>
          <w:b/>
          <w:bCs/>
          <w:i/>
          <w:color w:val="358189" w:themeColor="accent2"/>
          <w:sz w:val="28"/>
          <w:szCs w:val="28"/>
        </w:rPr>
      </w:pPr>
      <w:r>
        <w:br w:type="page"/>
      </w:r>
    </w:p>
    <w:p w14:paraId="781B95A7" w14:textId="5CB48958" w:rsidR="003571E3" w:rsidRDefault="00EC0A55" w:rsidP="0031040B">
      <w:pPr>
        <w:pStyle w:val="Heading3"/>
      </w:pPr>
      <w:bookmarkStart w:id="43" w:name="_Toc229480673"/>
      <w:r>
        <w:lastRenderedPageBreak/>
        <w:t>Q</w:t>
      </w:r>
      <w:r w:rsidR="003571E3">
        <w:t>ueensland</w:t>
      </w:r>
      <w:bookmarkEnd w:id="43"/>
    </w:p>
    <w:p w14:paraId="55491B5B" w14:textId="5E19B8A5" w:rsidR="003571E3" w:rsidRDefault="003571E3" w:rsidP="0031040B">
      <w:pPr>
        <w:pStyle w:val="Heading4"/>
      </w:pPr>
      <w:bookmarkStart w:id="44" w:name="_Toc229480674"/>
      <w:r>
        <w:t>Table 8: Average (avg)/Median (</w:t>
      </w:r>
      <w:proofErr w:type="spellStart"/>
      <w:r>
        <w:t>mdn</w:t>
      </w:r>
      <w:proofErr w:type="spellEnd"/>
      <w:r>
        <w:t>) number of days</w:t>
      </w:r>
      <w:r w:rsidRPr="00001B70">
        <w:t>/months</w:t>
      </w:r>
      <w:r>
        <w:t xml:space="preserve"> between an application for aged care and service commencement for services commenced in the reporting period.</w:t>
      </w:r>
      <w:bookmarkEnd w:id="44"/>
    </w:p>
    <w:tbl>
      <w:tblPr>
        <w:tblW w:w="85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8"/>
        <w:gridCol w:w="1525"/>
        <w:gridCol w:w="1525"/>
        <w:gridCol w:w="1525"/>
        <w:gridCol w:w="1525"/>
      </w:tblGrid>
      <w:tr w:rsidR="003571E3" w:rsidRPr="003371FD" w14:paraId="058DCD87" w14:textId="77777777" w:rsidTr="000C3F2A">
        <w:trPr>
          <w:trHeight w:val="369"/>
          <w:tblHeader/>
        </w:trPr>
        <w:tc>
          <w:tcPr>
            <w:tcW w:w="2408" w:type="dxa"/>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70AB5D47" w14:textId="77777777" w:rsidR="003571E3" w:rsidRPr="003371FD" w:rsidRDefault="003571E3" w:rsidP="000C3F2A">
            <w:pPr>
              <w:pStyle w:val="TableTitle"/>
              <w:rPr>
                <w:color w:val="FFFFFF" w:themeColor="background1"/>
                <w:sz w:val="20"/>
                <w:szCs w:val="20"/>
              </w:rPr>
            </w:pPr>
            <w:r>
              <w:rPr>
                <w:color w:val="FFFFFF" w:themeColor="background1"/>
                <w:sz w:val="20"/>
                <w:szCs w:val="20"/>
              </w:rPr>
              <w:t xml:space="preserve">  </w:t>
            </w:r>
            <w:r w:rsidRPr="003371FD">
              <w:rPr>
                <w:color w:val="FFFFFF" w:themeColor="background1"/>
                <w:sz w:val="20"/>
                <w:szCs w:val="20"/>
              </w:rPr>
              <w:t>Region </w:t>
            </w:r>
          </w:p>
        </w:tc>
        <w:tc>
          <w:tcPr>
            <w:tcW w:w="1525" w:type="dxa"/>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79266A38" w14:textId="77777777" w:rsidR="003571E3" w:rsidRPr="003371FD" w:rsidRDefault="003571E3" w:rsidP="000C3F2A">
            <w:pPr>
              <w:pStyle w:val="TableTitle"/>
              <w:jc w:val="right"/>
              <w:rPr>
                <w:color w:val="FFFFFF" w:themeColor="background1"/>
                <w:sz w:val="20"/>
                <w:szCs w:val="20"/>
              </w:rPr>
            </w:pPr>
            <w:r w:rsidRPr="003371FD">
              <w:rPr>
                <w:color w:val="FFFFFF" w:themeColor="background1"/>
                <w:sz w:val="20"/>
                <w:szCs w:val="20"/>
              </w:rPr>
              <w:t>Avg (days) </w:t>
            </w:r>
          </w:p>
        </w:tc>
        <w:tc>
          <w:tcPr>
            <w:tcW w:w="1525" w:type="dxa"/>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51C5E93E" w14:textId="77777777" w:rsidR="003571E3" w:rsidRPr="003371FD" w:rsidRDefault="003571E3" w:rsidP="000C3F2A">
            <w:pPr>
              <w:pStyle w:val="TableTitle"/>
              <w:jc w:val="right"/>
              <w:rPr>
                <w:color w:val="FFFFFF" w:themeColor="background1"/>
                <w:sz w:val="20"/>
                <w:szCs w:val="20"/>
              </w:rPr>
            </w:pPr>
            <w:r w:rsidRPr="003371FD">
              <w:rPr>
                <w:color w:val="FFFFFF" w:themeColor="background1"/>
                <w:sz w:val="20"/>
                <w:szCs w:val="20"/>
              </w:rPr>
              <w:t>Avg (months) </w:t>
            </w:r>
          </w:p>
        </w:tc>
        <w:tc>
          <w:tcPr>
            <w:tcW w:w="1525" w:type="dxa"/>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3091D5F4" w14:textId="77777777" w:rsidR="003571E3" w:rsidRPr="003371FD" w:rsidRDefault="003571E3" w:rsidP="000C3F2A">
            <w:pPr>
              <w:pStyle w:val="TableTitle"/>
              <w:jc w:val="right"/>
              <w:rPr>
                <w:color w:val="FFFFFF" w:themeColor="background1"/>
                <w:sz w:val="20"/>
                <w:szCs w:val="20"/>
              </w:rPr>
            </w:pPr>
            <w:r w:rsidRPr="003371FD">
              <w:rPr>
                <w:color w:val="FFFFFF" w:themeColor="background1"/>
                <w:sz w:val="20"/>
                <w:szCs w:val="20"/>
              </w:rPr>
              <w:t>Mdn (days) </w:t>
            </w:r>
          </w:p>
        </w:tc>
        <w:tc>
          <w:tcPr>
            <w:tcW w:w="1525" w:type="dxa"/>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65C9B0BA" w14:textId="77777777" w:rsidR="003571E3" w:rsidRPr="003371FD" w:rsidRDefault="003571E3" w:rsidP="000C3F2A">
            <w:pPr>
              <w:pStyle w:val="TableTitle"/>
              <w:jc w:val="right"/>
              <w:rPr>
                <w:color w:val="FFFFFF" w:themeColor="background1"/>
                <w:sz w:val="20"/>
                <w:szCs w:val="20"/>
              </w:rPr>
            </w:pPr>
            <w:r w:rsidRPr="003371FD">
              <w:rPr>
                <w:color w:val="FFFFFF" w:themeColor="background1"/>
                <w:sz w:val="20"/>
                <w:szCs w:val="20"/>
              </w:rPr>
              <w:t>Mdn (months) </w:t>
            </w:r>
          </w:p>
        </w:tc>
      </w:tr>
      <w:tr w:rsidR="003571E3" w:rsidRPr="003371FD" w14:paraId="3CECADF3" w14:textId="77777777" w:rsidTr="000C531A">
        <w:trPr>
          <w:trHeight w:val="369"/>
          <w:tblHeader/>
        </w:trPr>
        <w:tc>
          <w:tcPr>
            <w:tcW w:w="2408"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2C12747C" w14:textId="731BBEA7" w:rsidR="003571E3" w:rsidRPr="003371FD" w:rsidRDefault="003571E3" w:rsidP="000C3F2A">
            <w:pPr>
              <w:pStyle w:val="TableTitle"/>
              <w:rPr>
                <w:bCs/>
                <w:sz w:val="20"/>
                <w:szCs w:val="20"/>
              </w:rPr>
            </w:pPr>
            <w:r w:rsidRPr="003371FD">
              <w:rPr>
                <w:bCs/>
                <w:sz w:val="20"/>
                <w:szCs w:val="20"/>
              </w:rPr>
              <w:t>Brisbane North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B0B749D" w14:textId="77777777" w:rsidR="003571E3" w:rsidRPr="001C0369" w:rsidRDefault="003571E3" w:rsidP="000C3F2A">
            <w:pPr>
              <w:pStyle w:val="TableTitle"/>
              <w:jc w:val="right"/>
              <w:rPr>
                <w:sz w:val="20"/>
                <w:szCs w:val="20"/>
              </w:rPr>
            </w:pPr>
            <w:r w:rsidRPr="001C0369">
              <w:rPr>
                <w:rFonts w:cs="Arial"/>
                <w:color w:val="000000"/>
                <w:sz w:val="20"/>
                <w:szCs w:val="20"/>
              </w:rPr>
              <w:t>372</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1859462" w14:textId="77777777" w:rsidR="003571E3" w:rsidRPr="001C0369" w:rsidRDefault="003571E3" w:rsidP="000C3F2A">
            <w:pPr>
              <w:pStyle w:val="TableTitle"/>
              <w:jc w:val="right"/>
              <w:rPr>
                <w:sz w:val="20"/>
                <w:szCs w:val="20"/>
              </w:rPr>
            </w:pPr>
            <w:r w:rsidRPr="001C0369">
              <w:rPr>
                <w:rFonts w:cs="Arial"/>
                <w:color w:val="000000"/>
                <w:sz w:val="20"/>
                <w:szCs w:val="20"/>
              </w:rPr>
              <w:t>12</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C9A5C46" w14:textId="77777777" w:rsidR="003571E3" w:rsidRPr="001C0369" w:rsidRDefault="003571E3" w:rsidP="000C3F2A">
            <w:pPr>
              <w:pStyle w:val="TableTitle"/>
              <w:jc w:val="right"/>
              <w:rPr>
                <w:sz w:val="20"/>
                <w:szCs w:val="20"/>
              </w:rPr>
            </w:pPr>
            <w:r w:rsidRPr="001C0369">
              <w:rPr>
                <w:rFonts w:cs="Arial"/>
                <w:color w:val="000000"/>
                <w:sz w:val="20"/>
                <w:szCs w:val="20"/>
              </w:rPr>
              <w:t>337</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8D2E01E" w14:textId="77777777" w:rsidR="003571E3" w:rsidRPr="001C0369" w:rsidRDefault="003571E3" w:rsidP="000C3F2A">
            <w:pPr>
              <w:pStyle w:val="TableTitle"/>
              <w:jc w:val="right"/>
              <w:rPr>
                <w:sz w:val="20"/>
                <w:szCs w:val="20"/>
              </w:rPr>
            </w:pPr>
            <w:r w:rsidRPr="001C0369">
              <w:rPr>
                <w:rFonts w:cs="Arial"/>
                <w:color w:val="000000"/>
                <w:sz w:val="20"/>
                <w:szCs w:val="20"/>
              </w:rPr>
              <w:t>11</w:t>
            </w:r>
          </w:p>
        </w:tc>
      </w:tr>
      <w:tr w:rsidR="003571E3" w:rsidRPr="003371FD" w14:paraId="4F8F8C76" w14:textId="77777777" w:rsidTr="000C531A">
        <w:trPr>
          <w:trHeight w:val="369"/>
          <w:tblHeader/>
        </w:trPr>
        <w:tc>
          <w:tcPr>
            <w:tcW w:w="2408"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5EDA0EF4" w14:textId="38CB9163" w:rsidR="003571E3" w:rsidRPr="003371FD" w:rsidRDefault="003571E3" w:rsidP="000C3F2A">
            <w:pPr>
              <w:pStyle w:val="TableTitle"/>
              <w:rPr>
                <w:bCs/>
                <w:sz w:val="20"/>
                <w:szCs w:val="20"/>
              </w:rPr>
            </w:pPr>
            <w:r w:rsidRPr="003371FD">
              <w:rPr>
                <w:bCs/>
                <w:sz w:val="20"/>
                <w:szCs w:val="20"/>
              </w:rPr>
              <w:t>Brisbane South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E7C9203" w14:textId="77777777" w:rsidR="003571E3" w:rsidRPr="001C0369" w:rsidRDefault="003571E3" w:rsidP="000C3F2A">
            <w:pPr>
              <w:pStyle w:val="TableTitle"/>
              <w:jc w:val="right"/>
              <w:rPr>
                <w:sz w:val="20"/>
                <w:szCs w:val="20"/>
              </w:rPr>
            </w:pPr>
            <w:r w:rsidRPr="001C0369">
              <w:rPr>
                <w:rFonts w:cs="Arial"/>
                <w:color w:val="000000"/>
                <w:sz w:val="20"/>
                <w:szCs w:val="20"/>
              </w:rPr>
              <w:t>380</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BFA6218" w14:textId="77777777" w:rsidR="003571E3" w:rsidRPr="001C0369" w:rsidRDefault="003571E3" w:rsidP="000C3F2A">
            <w:pPr>
              <w:pStyle w:val="TableTitle"/>
              <w:jc w:val="right"/>
              <w:rPr>
                <w:sz w:val="20"/>
                <w:szCs w:val="20"/>
              </w:rPr>
            </w:pPr>
            <w:r w:rsidRPr="001C0369">
              <w:rPr>
                <w:rFonts w:cs="Arial"/>
                <w:color w:val="000000"/>
                <w:sz w:val="20"/>
                <w:szCs w:val="20"/>
              </w:rPr>
              <w:t>13</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F9206DE" w14:textId="77777777" w:rsidR="003571E3" w:rsidRPr="001C0369" w:rsidRDefault="003571E3" w:rsidP="000C3F2A">
            <w:pPr>
              <w:pStyle w:val="TableTitle"/>
              <w:jc w:val="right"/>
              <w:rPr>
                <w:sz w:val="20"/>
                <w:szCs w:val="20"/>
              </w:rPr>
            </w:pPr>
            <w:r w:rsidRPr="001C0369">
              <w:rPr>
                <w:rFonts w:cs="Arial"/>
                <w:color w:val="000000"/>
                <w:sz w:val="20"/>
                <w:szCs w:val="20"/>
              </w:rPr>
              <w:t>348</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01E2572" w14:textId="77777777" w:rsidR="003571E3" w:rsidRPr="001C0369" w:rsidRDefault="003571E3" w:rsidP="000C3F2A">
            <w:pPr>
              <w:pStyle w:val="TableTitle"/>
              <w:jc w:val="right"/>
              <w:rPr>
                <w:sz w:val="20"/>
                <w:szCs w:val="20"/>
              </w:rPr>
            </w:pPr>
            <w:r w:rsidRPr="001C0369">
              <w:rPr>
                <w:rFonts w:cs="Arial"/>
                <w:color w:val="000000"/>
                <w:sz w:val="20"/>
                <w:szCs w:val="20"/>
              </w:rPr>
              <w:t>12</w:t>
            </w:r>
          </w:p>
        </w:tc>
      </w:tr>
      <w:tr w:rsidR="003571E3" w:rsidRPr="003371FD" w14:paraId="2F065CA1" w14:textId="77777777" w:rsidTr="000C531A">
        <w:trPr>
          <w:trHeight w:val="369"/>
          <w:tblHeader/>
        </w:trPr>
        <w:tc>
          <w:tcPr>
            <w:tcW w:w="2408"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510C630F" w14:textId="1E3EDD3B" w:rsidR="003571E3" w:rsidRPr="003371FD" w:rsidRDefault="003571E3" w:rsidP="000C3F2A">
            <w:pPr>
              <w:pStyle w:val="TableTitle"/>
              <w:rPr>
                <w:bCs/>
                <w:sz w:val="20"/>
                <w:szCs w:val="20"/>
              </w:rPr>
            </w:pPr>
            <w:r w:rsidRPr="003371FD">
              <w:rPr>
                <w:bCs/>
                <w:sz w:val="20"/>
                <w:szCs w:val="20"/>
              </w:rPr>
              <w:t>Caboolture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3410845" w14:textId="77777777" w:rsidR="003571E3" w:rsidRPr="001C0369" w:rsidRDefault="003571E3" w:rsidP="000C3F2A">
            <w:pPr>
              <w:pStyle w:val="TableTitle"/>
              <w:jc w:val="right"/>
              <w:rPr>
                <w:sz w:val="20"/>
                <w:szCs w:val="20"/>
              </w:rPr>
            </w:pPr>
            <w:r w:rsidRPr="001C0369">
              <w:rPr>
                <w:rFonts w:cs="Arial"/>
                <w:color w:val="000000"/>
                <w:sz w:val="20"/>
                <w:szCs w:val="20"/>
              </w:rPr>
              <w:t>361</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0E72664" w14:textId="77777777" w:rsidR="003571E3" w:rsidRPr="001C0369" w:rsidRDefault="003571E3" w:rsidP="000C3F2A">
            <w:pPr>
              <w:pStyle w:val="TableTitle"/>
              <w:jc w:val="right"/>
              <w:rPr>
                <w:sz w:val="20"/>
                <w:szCs w:val="20"/>
              </w:rPr>
            </w:pPr>
            <w:r w:rsidRPr="001C0369">
              <w:rPr>
                <w:rFonts w:cs="Arial"/>
                <w:color w:val="000000"/>
                <w:sz w:val="20"/>
                <w:szCs w:val="20"/>
              </w:rPr>
              <w:t>12</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EB8B6AD" w14:textId="77777777" w:rsidR="003571E3" w:rsidRPr="001C0369" w:rsidRDefault="003571E3" w:rsidP="000C3F2A">
            <w:pPr>
              <w:pStyle w:val="TableTitle"/>
              <w:jc w:val="right"/>
              <w:rPr>
                <w:sz w:val="20"/>
                <w:szCs w:val="20"/>
              </w:rPr>
            </w:pPr>
            <w:r w:rsidRPr="001C0369">
              <w:rPr>
                <w:rFonts w:cs="Arial"/>
                <w:color w:val="000000"/>
                <w:sz w:val="20"/>
                <w:szCs w:val="20"/>
              </w:rPr>
              <w:t>319</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F44D75A" w14:textId="77777777" w:rsidR="003571E3" w:rsidRPr="001C0369" w:rsidRDefault="003571E3" w:rsidP="000C3F2A">
            <w:pPr>
              <w:pStyle w:val="TableTitle"/>
              <w:jc w:val="right"/>
              <w:rPr>
                <w:sz w:val="20"/>
                <w:szCs w:val="20"/>
              </w:rPr>
            </w:pPr>
            <w:r w:rsidRPr="001C0369">
              <w:rPr>
                <w:rFonts w:cs="Arial"/>
                <w:color w:val="000000"/>
                <w:sz w:val="20"/>
                <w:szCs w:val="20"/>
              </w:rPr>
              <w:t>11</w:t>
            </w:r>
          </w:p>
        </w:tc>
      </w:tr>
      <w:tr w:rsidR="003571E3" w:rsidRPr="003371FD" w14:paraId="04430389" w14:textId="77777777" w:rsidTr="000C531A">
        <w:trPr>
          <w:trHeight w:val="369"/>
          <w:tblHeader/>
        </w:trPr>
        <w:tc>
          <w:tcPr>
            <w:tcW w:w="2408"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221C6A87" w14:textId="30FA9832" w:rsidR="003571E3" w:rsidRPr="003371FD" w:rsidRDefault="003571E3" w:rsidP="000C3F2A">
            <w:pPr>
              <w:pStyle w:val="TableTitle"/>
              <w:rPr>
                <w:bCs/>
                <w:sz w:val="20"/>
                <w:szCs w:val="20"/>
              </w:rPr>
            </w:pPr>
            <w:r w:rsidRPr="003371FD">
              <w:rPr>
                <w:bCs/>
                <w:sz w:val="20"/>
                <w:szCs w:val="20"/>
              </w:rPr>
              <w:t>Central West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72F6EF2" w14:textId="77777777" w:rsidR="003571E3" w:rsidRPr="001C0369" w:rsidRDefault="003571E3" w:rsidP="000C3F2A">
            <w:pPr>
              <w:pStyle w:val="TableTitle"/>
              <w:jc w:val="right"/>
              <w:rPr>
                <w:sz w:val="20"/>
                <w:szCs w:val="20"/>
              </w:rPr>
            </w:pPr>
            <w:r w:rsidRPr="001C0369">
              <w:rPr>
                <w:rFonts w:cs="Arial"/>
                <w:color w:val="000000"/>
                <w:sz w:val="20"/>
                <w:szCs w:val="20"/>
              </w:rPr>
              <w:t>416</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1C012B5" w14:textId="77777777" w:rsidR="003571E3" w:rsidRPr="001C0369" w:rsidRDefault="003571E3" w:rsidP="000C3F2A">
            <w:pPr>
              <w:pStyle w:val="TableTitle"/>
              <w:jc w:val="right"/>
              <w:rPr>
                <w:sz w:val="20"/>
                <w:szCs w:val="20"/>
              </w:rPr>
            </w:pPr>
            <w:r w:rsidRPr="001C0369">
              <w:rPr>
                <w:rFonts w:cs="Arial"/>
                <w:color w:val="000000"/>
                <w:sz w:val="20"/>
                <w:szCs w:val="20"/>
              </w:rPr>
              <w:t>14</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09A6699" w14:textId="77777777" w:rsidR="003571E3" w:rsidRPr="001C0369" w:rsidRDefault="003571E3" w:rsidP="000C3F2A">
            <w:pPr>
              <w:pStyle w:val="TableTitle"/>
              <w:jc w:val="right"/>
              <w:rPr>
                <w:sz w:val="20"/>
                <w:szCs w:val="20"/>
              </w:rPr>
            </w:pPr>
            <w:r w:rsidRPr="001C0369">
              <w:rPr>
                <w:rFonts w:cs="Arial"/>
                <w:color w:val="000000"/>
                <w:sz w:val="20"/>
                <w:szCs w:val="20"/>
              </w:rPr>
              <w:t>315</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E5EC1F1" w14:textId="77777777" w:rsidR="003571E3" w:rsidRPr="001C0369" w:rsidRDefault="003571E3" w:rsidP="000C3F2A">
            <w:pPr>
              <w:pStyle w:val="TableTitle"/>
              <w:jc w:val="right"/>
              <w:rPr>
                <w:sz w:val="20"/>
                <w:szCs w:val="20"/>
              </w:rPr>
            </w:pPr>
            <w:r w:rsidRPr="001C0369">
              <w:rPr>
                <w:rFonts w:cs="Arial"/>
                <w:color w:val="000000"/>
                <w:sz w:val="20"/>
                <w:szCs w:val="20"/>
              </w:rPr>
              <w:t>11</w:t>
            </w:r>
          </w:p>
        </w:tc>
      </w:tr>
      <w:tr w:rsidR="003571E3" w:rsidRPr="003371FD" w14:paraId="1FF1AD06" w14:textId="77777777" w:rsidTr="000C531A">
        <w:trPr>
          <w:trHeight w:val="369"/>
          <w:tblHeader/>
        </w:trPr>
        <w:tc>
          <w:tcPr>
            <w:tcW w:w="2408"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19EB4F1A" w14:textId="540A5897" w:rsidR="003571E3" w:rsidRPr="003371FD" w:rsidRDefault="003571E3" w:rsidP="000C3F2A">
            <w:pPr>
              <w:pStyle w:val="TableTitle"/>
              <w:rPr>
                <w:bCs/>
                <w:sz w:val="20"/>
                <w:szCs w:val="20"/>
              </w:rPr>
            </w:pPr>
            <w:r w:rsidRPr="003371FD">
              <w:rPr>
                <w:bCs/>
                <w:sz w:val="20"/>
                <w:szCs w:val="20"/>
              </w:rPr>
              <w:t>Darling Downs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34651FD" w14:textId="77777777" w:rsidR="003571E3" w:rsidRPr="001C0369" w:rsidRDefault="003571E3" w:rsidP="000C3F2A">
            <w:pPr>
              <w:pStyle w:val="TableTitle"/>
              <w:jc w:val="right"/>
              <w:rPr>
                <w:sz w:val="20"/>
                <w:szCs w:val="20"/>
              </w:rPr>
            </w:pPr>
            <w:r w:rsidRPr="001C0369">
              <w:rPr>
                <w:rFonts w:cs="Arial"/>
                <w:color w:val="000000"/>
                <w:sz w:val="20"/>
                <w:szCs w:val="20"/>
              </w:rPr>
              <w:t>438</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BC443EE" w14:textId="77777777" w:rsidR="003571E3" w:rsidRPr="001C0369" w:rsidRDefault="003571E3" w:rsidP="000C3F2A">
            <w:pPr>
              <w:pStyle w:val="TableTitle"/>
              <w:jc w:val="right"/>
              <w:rPr>
                <w:sz w:val="20"/>
                <w:szCs w:val="20"/>
              </w:rPr>
            </w:pPr>
            <w:r w:rsidRPr="001C0369">
              <w:rPr>
                <w:rFonts w:cs="Arial"/>
                <w:color w:val="000000"/>
                <w:sz w:val="20"/>
                <w:szCs w:val="20"/>
              </w:rPr>
              <w:t>15</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36EE663" w14:textId="77777777" w:rsidR="003571E3" w:rsidRPr="001C0369" w:rsidRDefault="003571E3" w:rsidP="000C3F2A">
            <w:pPr>
              <w:pStyle w:val="TableTitle"/>
              <w:jc w:val="right"/>
              <w:rPr>
                <w:sz w:val="20"/>
                <w:szCs w:val="20"/>
              </w:rPr>
            </w:pPr>
            <w:r w:rsidRPr="001C0369">
              <w:rPr>
                <w:rFonts w:cs="Arial"/>
                <w:color w:val="000000"/>
                <w:sz w:val="20"/>
                <w:szCs w:val="20"/>
              </w:rPr>
              <w:t>362</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0895795" w14:textId="77777777" w:rsidR="003571E3" w:rsidRPr="001C0369" w:rsidRDefault="003571E3" w:rsidP="000C3F2A">
            <w:pPr>
              <w:pStyle w:val="TableTitle"/>
              <w:jc w:val="right"/>
              <w:rPr>
                <w:sz w:val="20"/>
                <w:szCs w:val="20"/>
              </w:rPr>
            </w:pPr>
            <w:r w:rsidRPr="001C0369">
              <w:rPr>
                <w:rFonts w:cs="Arial"/>
                <w:color w:val="000000"/>
                <w:sz w:val="20"/>
                <w:szCs w:val="20"/>
              </w:rPr>
              <w:t>12</w:t>
            </w:r>
          </w:p>
        </w:tc>
      </w:tr>
      <w:tr w:rsidR="003571E3" w:rsidRPr="003371FD" w14:paraId="71552ED9" w14:textId="77777777" w:rsidTr="000C531A">
        <w:trPr>
          <w:trHeight w:val="369"/>
          <w:tblHeader/>
        </w:trPr>
        <w:tc>
          <w:tcPr>
            <w:tcW w:w="2408"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15877402" w14:textId="00BCB9AB" w:rsidR="003571E3" w:rsidRPr="003371FD" w:rsidRDefault="003571E3" w:rsidP="000C3F2A">
            <w:pPr>
              <w:pStyle w:val="TableTitle"/>
              <w:rPr>
                <w:bCs/>
                <w:sz w:val="20"/>
                <w:szCs w:val="20"/>
              </w:rPr>
            </w:pPr>
            <w:r w:rsidRPr="003371FD">
              <w:rPr>
                <w:bCs/>
                <w:sz w:val="20"/>
                <w:szCs w:val="20"/>
              </w:rPr>
              <w:t>Far North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87A2661" w14:textId="77777777" w:rsidR="003571E3" w:rsidRPr="001C0369" w:rsidRDefault="003571E3" w:rsidP="000C3F2A">
            <w:pPr>
              <w:pStyle w:val="TableTitle"/>
              <w:jc w:val="right"/>
              <w:rPr>
                <w:sz w:val="20"/>
                <w:szCs w:val="20"/>
              </w:rPr>
            </w:pPr>
            <w:r w:rsidRPr="001C0369">
              <w:rPr>
                <w:rFonts w:cs="Arial"/>
                <w:color w:val="000000"/>
                <w:sz w:val="20"/>
                <w:szCs w:val="20"/>
              </w:rPr>
              <w:t>392</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11F0CD0" w14:textId="77777777" w:rsidR="003571E3" w:rsidRPr="001C0369" w:rsidRDefault="003571E3" w:rsidP="000C3F2A">
            <w:pPr>
              <w:pStyle w:val="TableTitle"/>
              <w:jc w:val="right"/>
              <w:rPr>
                <w:sz w:val="20"/>
                <w:szCs w:val="20"/>
              </w:rPr>
            </w:pPr>
            <w:r w:rsidRPr="001C0369">
              <w:rPr>
                <w:rFonts w:cs="Arial"/>
                <w:color w:val="000000"/>
                <w:sz w:val="20"/>
                <w:szCs w:val="20"/>
              </w:rPr>
              <w:t>13</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F3B5C88" w14:textId="77777777" w:rsidR="003571E3" w:rsidRPr="001C0369" w:rsidRDefault="003571E3" w:rsidP="000C3F2A">
            <w:pPr>
              <w:pStyle w:val="TableTitle"/>
              <w:jc w:val="right"/>
              <w:rPr>
                <w:sz w:val="20"/>
                <w:szCs w:val="20"/>
              </w:rPr>
            </w:pPr>
            <w:r w:rsidRPr="001C0369">
              <w:rPr>
                <w:rFonts w:cs="Arial"/>
                <w:color w:val="000000"/>
                <w:sz w:val="20"/>
                <w:szCs w:val="20"/>
              </w:rPr>
              <w:t>308</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359A680" w14:textId="77777777" w:rsidR="003571E3" w:rsidRPr="001C0369" w:rsidRDefault="003571E3" w:rsidP="000C3F2A">
            <w:pPr>
              <w:pStyle w:val="TableTitle"/>
              <w:jc w:val="right"/>
              <w:rPr>
                <w:sz w:val="20"/>
                <w:szCs w:val="20"/>
              </w:rPr>
            </w:pPr>
            <w:r w:rsidRPr="001C0369">
              <w:rPr>
                <w:rFonts w:cs="Arial"/>
                <w:color w:val="000000"/>
                <w:sz w:val="20"/>
                <w:szCs w:val="20"/>
              </w:rPr>
              <w:t>10</w:t>
            </w:r>
          </w:p>
        </w:tc>
      </w:tr>
      <w:tr w:rsidR="003571E3" w:rsidRPr="003371FD" w14:paraId="5AFE26CE" w14:textId="77777777" w:rsidTr="000C531A">
        <w:trPr>
          <w:trHeight w:val="369"/>
          <w:tblHeader/>
        </w:trPr>
        <w:tc>
          <w:tcPr>
            <w:tcW w:w="2408"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6BF33D6E" w14:textId="1A578DE9" w:rsidR="003571E3" w:rsidRPr="003371FD" w:rsidRDefault="003571E3" w:rsidP="000C3F2A">
            <w:pPr>
              <w:pStyle w:val="TableTitle"/>
              <w:rPr>
                <w:bCs/>
                <w:sz w:val="20"/>
                <w:szCs w:val="20"/>
              </w:rPr>
            </w:pPr>
            <w:r w:rsidRPr="003371FD">
              <w:rPr>
                <w:bCs/>
                <w:sz w:val="20"/>
                <w:szCs w:val="20"/>
              </w:rPr>
              <w:t>Fitzroy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D8895E0" w14:textId="77777777" w:rsidR="003571E3" w:rsidRPr="001C0369" w:rsidRDefault="003571E3" w:rsidP="000C3F2A">
            <w:pPr>
              <w:pStyle w:val="TableTitle"/>
              <w:jc w:val="right"/>
              <w:rPr>
                <w:sz w:val="20"/>
                <w:szCs w:val="20"/>
              </w:rPr>
            </w:pPr>
            <w:r w:rsidRPr="001C0369">
              <w:rPr>
                <w:rFonts w:cs="Arial"/>
                <w:color w:val="000000"/>
                <w:sz w:val="20"/>
                <w:szCs w:val="20"/>
              </w:rPr>
              <w:t>365</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BEAA863" w14:textId="77777777" w:rsidR="003571E3" w:rsidRPr="001C0369" w:rsidRDefault="003571E3" w:rsidP="000C3F2A">
            <w:pPr>
              <w:pStyle w:val="TableTitle"/>
              <w:jc w:val="right"/>
              <w:rPr>
                <w:sz w:val="20"/>
                <w:szCs w:val="20"/>
              </w:rPr>
            </w:pPr>
            <w:r w:rsidRPr="001C0369">
              <w:rPr>
                <w:rFonts w:cs="Arial"/>
                <w:color w:val="000000"/>
                <w:sz w:val="20"/>
                <w:szCs w:val="20"/>
              </w:rPr>
              <w:t>12</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44ABB19" w14:textId="77777777" w:rsidR="003571E3" w:rsidRPr="001C0369" w:rsidRDefault="003571E3" w:rsidP="000C3F2A">
            <w:pPr>
              <w:pStyle w:val="TableTitle"/>
              <w:jc w:val="right"/>
              <w:rPr>
                <w:sz w:val="20"/>
                <w:szCs w:val="20"/>
              </w:rPr>
            </w:pPr>
            <w:r w:rsidRPr="001C0369">
              <w:rPr>
                <w:rFonts w:cs="Arial"/>
                <w:color w:val="000000"/>
                <w:sz w:val="20"/>
                <w:szCs w:val="20"/>
              </w:rPr>
              <w:t>267</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1F8A5D2" w14:textId="77777777" w:rsidR="003571E3" w:rsidRPr="001C0369" w:rsidRDefault="003571E3" w:rsidP="000C3F2A">
            <w:pPr>
              <w:pStyle w:val="TableTitle"/>
              <w:jc w:val="right"/>
              <w:rPr>
                <w:sz w:val="20"/>
                <w:szCs w:val="20"/>
              </w:rPr>
            </w:pPr>
            <w:r w:rsidRPr="001C0369">
              <w:rPr>
                <w:rFonts w:cs="Arial"/>
                <w:color w:val="000000"/>
                <w:sz w:val="20"/>
                <w:szCs w:val="20"/>
              </w:rPr>
              <w:t>9</w:t>
            </w:r>
          </w:p>
        </w:tc>
      </w:tr>
      <w:tr w:rsidR="003571E3" w:rsidRPr="003371FD" w14:paraId="14B3AC16" w14:textId="77777777" w:rsidTr="000C531A">
        <w:trPr>
          <w:trHeight w:val="369"/>
          <w:tblHeader/>
        </w:trPr>
        <w:tc>
          <w:tcPr>
            <w:tcW w:w="2408"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63238B8B" w14:textId="12FEA28C" w:rsidR="003571E3" w:rsidRPr="003371FD" w:rsidRDefault="003571E3" w:rsidP="000C3F2A">
            <w:pPr>
              <w:pStyle w:val="TableTitle"/>
              <w:rPr>
                <w:bCs/>
                <w:sz w:val="20"/>
                <w:szCs w:val="20"/>
              </w:rPr>
            </w:pPr>
            <w:r w:rsidRPr="003371FD">
              <w:rPr>
                <w:bCs/>
                <w:sz w:val="20"/>
                <w:szCs w:val="20"/>
              </w:rPr>
              <w:t>Logan Rive</w:t>
            </w:r>
            <w:r>
              <w:rPr>
                <w:bCs/>
                <w:sz w:val="20"/>
                <w:szCs w:val="20"/>
              </w:rPr>
              <w:t>r V</w:t>
            </w:r>
            <w:r w:rsidRPr="003371FD">
              <w:rPr>
                <w:bCs/>
                <w:sz w:val="20"/>
                <w:szCs w:val="20"/>
              </w:rPr>
              <w:t>alley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5AD441D" w14:textId="77777777" w:rsidR="003571E3" w:rsidRPr="001C0369" w:rsidRDefault="003571E3" w:rsidP="000C3F2A">
            <w:pPr>
              <w:pStyle w:val="TableTitle"/>
              <w:jc w:val="right"/>
              <w:rPr>
                <w:sz w:val="20"/>
                <w:szCs w:val="20"/>
              </w:rPr>
            </w:pPr>
            <w:r w:rsidRPr="001C0369">
              <w:rPr>
                <w:rFonts w:cs="Arial"/>
                <w:color w:val="000000"/>
                <w:sz w:val="20"/>
                <w:szCs w:val="20"/>
              </w:rPr>
              <w:t>374</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31AE699" w14:textId="77777777" w:rsidR="003571E3" w:rsidRPr="001C0369" w:rsidRDefault="003571E3" w:rsidP="000C3F2A">
            <w:pPr>
              <w:pStyle w:val="TableTitle"/>
              <w:jc w:val="right"/>
              <w:rPr>
                <w:sz w:val="20"/>
                <w:szCs w:val="20"/>
              </w:rPr>
            </w:pPr>
            <w:r w:rsidRPr="001C0369">
              <w:rPr>
                <w:rFonts w:cs="Arial"/>
                <w:color w:val="000000"/>
                <w:sz w:val="20"/>
                <w:szCs w:val="20"/>
              </w:rPr>
              <w:t>12</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A0D6228" w14:textId="77777777" w:rsidR="003571E3" w:rsidRPr="001C0369" w:rsidRDefault="003571E3" w:rsidP="000C3F2A">
            <w:pPr>
              <w:pStyle w:val="TableTitle"/>
              <w:jc w:val="right"/>
              <w:rPr>
                <w:sz w:val="20"/>
                <w:szCs w:val="20"/>
              </w:rPr>
            </w:pPr>
            <w:r w:rsidRPr="001C0369">
              <w:rPr>
                <w:rFonts w:cs="Arial"/>
                <w:color w:val="000000"/>
                <w:sz w:val="20"/>
                <w:szCs w:val="20"/>
              </w:rPr>
              <w:t>319</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E7B8BEB" w14:textId="77777777" w:rsidR="003571E3" w:rsidRPr="001C0369" w:rsidRDefault="003571E3" w:rsidP="000C3F2A">
            <w:pPr>
              <w:pStyle w:val="TableTitle"/>
              <w:jc w:val="right"/>
              <w:rPr>
                <w:sz w:val="20"/>
                <w:szCs w:val="20"/>
              </w:rPr>
            </w:pPr>
            <w:r w:rsidRPr="001C0369">
              <w:rPr>
                <w:rFonts w:cs="Arial"/>
                <w:color w:val="000000"/>
                <w:sz w:val="20"/>
                <w:szCs w:val="20"/>
              </w:rPr>
              <w:t>11</w:t>
            </w:r>
          </w:p>
        </w:tc>
      </w:tr>
      <w:tr w:rsidR="003571E3" w:rsidRPr="003371FD" w14:paraId="2D2379E3" w14:textId="77777777" w:rsidTr="000C531A">
        <w:trPr>
          <w:trHeight w:val="369"/>
          <w:tblHeader/>
        </w:trPr>
        <w:tc>
          <w:tcPr>
            <w:tcW w:w="2408"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4BDD8941" w14:textId="3CDEEF56" w:rsidR="003571E3" w:rsidRPr="003371FD" w:rsidRDefault="003571E3" w:rsidP="000C3F2A">
            <w:pPr>
              <w:pStyle w:val="TableTitle"/>
              <w:rPr>
                <w:bCs/>
                <w:sz w:val="20"/>
                <w:szCs w:val="20"/>
              </w:rPr>
            </w:pPr>
            <w:r w:rsidRPr="003371FD">
              <w:rPr>
                <w:bCs/>
                <w:sz w:val="20"/>
                <w:szCs w:val="20"/>
              </w:rPr>
              <w:t>Mackay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CE76479" w14:textId="77777777" w:rsidR="003571E3" w:rsidRPr="001C0369" w:rsidRDefault="003571E3" w:rsidP="000C3F2A">
            <w:pPr>
              <w:pStyle w:val="TableTitle"/>
              <w:jc w:val="right"/>
              <w:rPr>
                <w:sz w:val="20"/>
                <w:szCs w:val="20"/>
              </w:rPr>
            </w:pPr>
            <w:r w:rsidRPr="001C0369">
              <w:rPr>
                <w:rFonts w:cs="Arial"/>
                <w:color w:val="000000"/>
                <w:sz w:val="20"/>
                <w:szCs w:val="20"/>
              </w:rPr>
              <w:t>288</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40631FA" w14:textId="77777777" w:rsidR="003571E3" w:rsidRPr="001C0369" w:rsidRDefault="003571E3" w:rsidP="000C3F2A">
            <w:pPr>
              <w:pStyle w:val="TableTitle"/>
              <w:jc w:val="right"/>
              <w:rPr>
                <w:sz w:val="20"/>
                <w:szCs w:val="20"/>
              </w:rPr>
            </w:pPr>
            <w:r w:rsidRPr="001C0369">
              <w:rPr>
                <w:rFonts w:cs="Arial"/>
                <w:color w:val="000000"/>
                <w:sz w:val="20"/>
                <w:szCs w:val="20"/>
              </w:rPr>
              <w:t>10</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CB80A41" w14:textId="77777777" w:rsidR="003571E3" w:rsidRPr="001C0369" w:rsidRDefault="003571E3" w:rsidP="000C3F2A">
            <w:pPr>
              <w:pStyle w:val="TableTitle"/>
              <w:jc w:val="right"/>
              <w:rPr>
                <w:sz w:val="20"/>
                <w:szCs w:val="20"/>
              </w:rPr>
            </w:pPr>
            <w:r w:rsidRPr="001C0369">
              <w:rPr>
                <w:rFonts w:cs="Arial"/>
                <w:color w:val="000000"/>
                <w:sz w:val="20"/>
                <w:szCs w:val="20"/>
              </w:rPr>
              <w:t>284</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B6E2F8F" w14:textId="77777777" w:rsidR="003571E3" w:rsidRPr="001C0369" w:rsidRDefault="003571E3" w:rsidP="000C3F2A">
            <w:pPr>
              <w:pStyle w:val="TableTitle"/>
              <w:jc w:val="right"/>
              <w:rPr>
                <w:sz w:val="20"/>
                <w:szCs w:val="20"/>
              </w:rPr>
            </w:pPr>
            <w:r w:rsidRPr="001C0369">
              <w:rPr>
                <w:rFonts w:cs="Arial"/>
                <w:color w:val="000000"/>
                <w:sz w:val="20"/>
                <w:szCs w:val="20"/>
              </w:rPr>
              <w:t>9</w:t>
            </w:r>
          </w:p>
        </w:tc>
      </w:tr>
      <w:tr w:rsidR="003571E3" w:rsidRPr="003371FD" w14:paraId="77A645CF" w14:textId="77777777" w:rsidTr="000C531A">
        <w:trPr>
          <w:trHeight w:val="369"/>
          <w:tblHeader/>
        </w:trPr>
        <w:tc>
          <w:tcPr>
            <w:tcW w:w="2408"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4507B362" w14:textId="7647FA91" w:rsidR="003571E3" w:rsidRPr="003371FD" w:rsidRDefault="003571E3" w:rsidP="000C3F2A">
            <w:pPr>
              <w:pStyle w:val="TableTitle"/>
              <w:rPr>
                <w:bCs/>
                <w:sz w:val="20"/>
                <w:szCs w:val="20"/>
              </w:rPr>
            </w:pPr>
            <w:proofErr w:type="gramStart"/>
            <w:r w:rsidRPr="003371FD">
              <w:rPr>
                <w:bCs/>
                <w:sz w:val="20"/>
                <w:szCs w:val="20"/>
              </w:rPr>
              <w:t>North West</w:t>
            </w:r>
            <w:proofErr w:type="gramEnd"/>
            <w:r w:rsidRPr="003371FD">
              <w:rPr>
                <w:bCs/>
                <w:sz w:val="20"/>
                <w:szCs w:val="20"/>
              </w:rPr>
              <w:t>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379A01A" w14:textId="77777777" w:rsidR="003571E3" w:rsidRPr="001C0369" w:rsidRDefault="003571E3" w:rsidP="000C3F2A">
            <w:pPr>
              <w:pStyle w:val="TableTitle"/>
              <w:jc w:val="right"/>
              <w:rPr>
                <w:sz w:val="20"/>
                <w:szCs w:val="20"/>
              </w:rPr>
            </w:pPr>
            <w:r w:rsidRPr="001C0369">
              <w:rPr>
                <w:rFonts w:cs="Arial"/>
                <w:color w:val="000000"/>
                <w:sz w:val="20"/>
                <w:szCs w:val="20"/>
              </w:rPr>
              <w:t>342</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BFFD5B1" w14:textId="77777777" w:rsidR="003571E3" w:rsidRPr="001C0369" w:rsidRDefault="003571E3" w:rsidP="000C3F2A">
            <w:pPr>
              <w:pStyle w:val="TableTitle"/>
              <w:jc w:val="right"/>
              <w:rPr>
                <w:sz w:val="20"/>
                <w:szCs w:val="20"/>
              </w:rPr>
            </w:pPr>
            <w:r w:rsidRPr="001C0369">
              <w:rPr>
                <w:rFonts w:cs="Arial"/>
                <w:color w:val="000000"/>
                <w:sz w:val="20"/>
                <w:szCs w:val="20"/>
              </w:rPr>
              <w:t>11</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0B5D5BF" w14:textId="77777777" w:rsidR="003571E3" w:rsidRPr="001C0369" w:rsidRDefault="003571E3" w:rsidP="000C3F2A">
            <w:pPr>
              <w:pStyle w:val="TableTitle"/>
              <w:jc w:val="right"/>
              <w:rPr>
                <w:sz w:val="20"/>
                <w:szCs w:val="20"/>
              </w:rPr>
            </w:pPr>
            <w:r w:rsidRPr="001C0369">
              <w:rPr>
                <w:rFonts w:cs="Arial"/>
                <w:color w:val="000000"/>
                <w:sz w:val="20"/>
                <w:szCs w:val="20"/>
              </w:rPr>
              <w:t>243</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AD5D055" w14:textId="77777777" w:rsidR="003571E3" w:rsidRPr="001C0369" w:rsidRDefault="003571E3" w:rsidP="000C3F2A">
            <w:pPr>
              <w:pStyle w:val="TableTitle"/>
              <w:jc w:val="right"/>
              <w:rPr>
                <w:sz w:val="20"/>
                <w:szCs w:val="20"/>
              </w:rPr>
            </w:pPr>
            <w:r w:rsidRPr="001C0369">
              <w:rPr>
                <w:rFonts w:cs="Arial"/>
                <w:color w:val="000000"/>
                <w:sz w:val="20"/>
                <w:szCs w:val="20"/>
              </w:rPr>
              <w:t>8</w:t>
            </w:r>
          </w:p>
        </w:tc>
      </w:tr>
      <w:tr w:rsidR="003571E3" w:rsidRPr="003371FD" w14:paraId="362B2D7F" w14:textId="77777777" w:rsidTr="000C531A">
        <w:trPr>
          <w:trHeight w:val="369"/>
          <w:tblHeader/>
        </w:trPr>
        <w:tc>
          <w:tcPr>
            <w:tcW w:w="2408"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40D11CFF" w14:textId="2674C5CD" w:rsidR="003571E3" w:rsidRPr="003371FD" w:rsidRDefault="003571E3" w:rsidP="000C3F2A">
            <w:pPr>
              <w:pStyle w:val="TableTitle"/>
              <w:rPr>
                <w:bCs/>
                <w:sz w:val="20"/>
                <w:szCs w:val="20"/>
              </w:rPr>
            </w:pPr>
            <w:r w:rsidRPr="003371FD">
              <w:rPr>
                <w:bCs/>
                <w:sz w:val="20"/>
                <w:szCs w:val="20"/>
              </w:rPr>
              <w:t>Northern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15233C9" w14:textId="77777777" w:rsidR="003571E3" w:rsidRPr="001C0369" w:rsidRDefault="003571E3" w:rsidP="000C3F2A">
            <w:pPr>
              <w:pStyle w:val="TableTitle"/>
              <w:jc w:val="right"/>
              <w:rPr>
                <w:sz w:val="20"/>
                <w:szCs w:val="20"/>
              </w:rPr>
            </w:pPr>
            <w:r w:rsidRPr="001C0369">
              <w:rPr>
                <w:rFonts w:cs="Arial"/>
                <w:color w:val="000000"/>
                <w:sz w:val="20"/>
                <w:szCs w:val="20"/>
              </w:rPr>
              <w:t>332</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99974FF" w14:textId="77777777" w:rsidR="003571E3" w:rsidRPr="001C0369" w:rsidRDefault="003571E3" w:rsidP="000C3F2A">
            <w:pPr>
              <w:pStyle w:val="TableTitle"/>
              <w:jc w:val="right"/>
              <w:rPr>
                <w:sz w:val="20"/>
                <w:szCs w:val="20"/>
              </w:rPr>
            </w:pPr>
            <w:r w:rsidRPr="001C0369">
              <w:rPr>
                <w:rFonts w:cs="Arial"/>
                <w:color w:val="000000"/>
                <w:sz w:val="20"/>
                <w:szCs w:val="20"/>
              </w:rPr>
              <w:t>11</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F2A1F58" w14:textId="77777777" w:rsidR="003571E3" w:rsidRPr="001C0369" w:rsidRDefault="003571E3" w:rsidP="000C3F2A">
            <w:pPr>
              <w:pStyle w:val="TableTitle"/>
              <w:jc w:val="right"/>
              <w:rPr>
                <w:sz w:val="20"/>
                <w:szCs w:val="20"/>
              </w:rPr>
            </w:pPr>
            <w:r w:rsidRPr="001C0369">
              <w:rPr>
                <w:rFonts w:cs="Arial"/>
                <w:color w:val="000000"/>
                <w:sz w:val="20"/>
                <w:szCs w:val="20"/>
              </w:rPr>
              <w:t>276</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E016277" w14:textId="77777777" w:rsidR="003571E3" w:rsidRPr="001C0369" w:rsidRDefault="003571E3" w:rsidP="000C3F2A">
            <w:pPr>
              <w:pStyle w:val="TableTitle"/>
              <w:jc w:val="right"/>
              <w:rPr>
                <w:sz w:val="20"/>
                <w:szCs w:val="20"/>
              </w:rPr>
            </w:pPr>
            <w:r w:rsidRPr="001C0369">
              <w:rPr>
                <w:rFonts w:cs="Arial"/>
                <w:color w:val="000000"/>
                <w:sz w:val="20"/>
                <w:szCs w:val="20"/>
              </w:rPr>
              <w:t>9</w:t>
            </w:r>
          </w:p>
        </w:tc>
      </w:tr>
      <w:tr w:rsidR="003571E3" w:rsidRPr="003371FD" w14:paraId="01F1922B" w14:textId="77777777" w:rsidTr="000C531A">
        <w:trPr>
          <w:trHeight w:val="369"/>
          <w:tblHeader/>
        </w:trPr>
        <w:tc>
          <w:tcPr>
            <w:tcW w:w="2408"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317D38CE" w14:textId="4FC1D363" w:rsidR="003571E3" w:rsidRPr="003371FD" w:rsidRDefault="003571E3" w:rsidP="000C3F2A">
            <w:pPr>
              <w:pStyle w:val="TableTitle"/>
              <w:rPr>
                <w:bCs/>
                <w:sz w:val="20"/>
                <w:szCs w:val="20"/>
              </w:rPr>
            </w:pPr>
            <w:r w:rsidRPr="003371FD">
              <w:rPr>
                <w:bCs/>
                <w:sz w:val="20"/>
                <w:szCs w:val="20"/>
              </w:rPr>
              <w:t>South Coast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BF8FE3F" w14:textId="77777777" w:rsidR="003571E3" w:rsidRPr="001C0369" w:rsidRDefault="003571E3" w:rsidP="000C3F2A">
            <w:pPr>
              <w:pStyle w:val="TableTitle"/>
              <w:jc w:val="right"/>
              <w:rPr>
                <w:sz w:val="20"/>
                <w:szCs w:val="20"/>
              </w:rPr>
            </w:pPr>
            <w:r w:rsidRPr="001C0369">
              <w:rPr>
                <w:rFonts w:cs="Arial"/>
                <w:color w:val="000000"/>
                <w:sz w:val="20"/>
                <w:szCs w:val="20"/>
              </w:rPr>
              <w:t>379</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A3E6E56" w14:textId="77777777" w:rsidR="003571E3" w:rsidRPr="001C0369" w:rsidRDefault="003571E3" w:rsidP="000C3F2A">
            <w:pPr>
              <w:pStyle w:val="TableTitle"/>
              <w:jc w:val="right"/>
              <w:rPr>
                <w:sz w:val="20"/>
                <w:szCs w:val="20"/>
              </w:rPr>
            </w:pPr>
            <w:r w:rsidRPr="001C0369">
              <w:rPr>
                <w:rFonts w:cs="Arial"/>
                <w:color w:val="000000"/>
                <w:sz w:val="20"/>
                <w:szCs w:val="20"/>
              </w:rPr>
              <w:t>13</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81B9C9B" w14:textId="77777777" w:rsidR="003571E3" w:rsidRPr="001C0369" w:rsidRDefault="003571E3" w:rsidP="000C3F2A">
            <w:pPr>
              <w:pStyle w:val="TableTitle"/>
              <w:jc w:val="right"/>
              <w:rPr>
                <w:sz w:val="20"/>
                <w:szCs w:val="20"/>
              </w:rPr>
            </w:pPr>
            <w:r w:rsidRPr="001C0369">
              <w:rPr>
                <w:rFonts w:cs="Arial"/>
                <w:color w:val="000000"/>
                <w:sz w:val="20"/>
                <w:szCs w:val="20"/>
              </w:rPr>
              <w:t>319</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653A518" w14:textId="77777777" w:rsidR="003571E3" w:rsidRPr="001C0369" w:rsidRDefault="003571E3" w:rsidP="000C3F2A">
            <w:pPr>
              <w:pStyle w:val="TableTitle"/>
              <w:jc w:val="right"/>
              <w:rPr>
                <w:sz w:val="20"/>
                <w:szCs w:val="20"/>
              </w:rPr>
            </w:pPr>
            <w:r w:rsidRPr="001C0369">
              <w:rPr>
                <w:rFonts w:cs="Arial"/>
                <w:color w:val="000000"/>
                <w:sz w:val="20"/>
                <w:szCs w:val="20"/>
              </w:rPr>
              <w:t>11</w:t>
            </w:r>
          </w:p>
        </w:tc>
      </w:tr>
      <w:tr w:rsidR="003571E3" w:rsidRPr="003371FD" w14:paraId="73EA4270" w14:textId="77777777" w:rsidTr="000C531A">
        <w:trPr>
          <w:trHeight w:val="369"/>
          <w:tblHeader/>
        </w:trPr>
        <w:tc>
          <w:tcPr>
            <w:tcW w:w="2408"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2B812642" w14:textId="34A2D496" w:rsidR="003571E3" w:rsidRPr="003371FD" w:rsidRDefault="003571E3" w:rsidP="000C3F2A">
            <w:pPr>
              <w:pStyle w:val="TableTitle"/>
              <w:rPr>
                <w:bCs/>
                <w:sz w:val="20"/>
                <w:szCs w:val="20"/>
              </w:rPr>
            </w:pPr>
            <w:proofErr w:type="gramStart"/>
            <w:r w:rsidRPr="003371FD">
              <w:rPr>
                <w:bCs/>
                <w:sz w:val="20"/>
                <w:szCs w:val="20"/>
              </w:rPr>
              <w:t>South West</w:t>
            </w:r>
            <w:proofErr w:type="gramEnd"/>
            <w:r w:rsidRPr="003371FD">
              <w:rPr>
                <w:bCs/>
                <w:sz w:val="20"/>
                <w:szCs w:val="20"/>
              </w:rPr>
              <w:t>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4A57305" w14:textId="77777777" w:rsidR="003571E3" w:rsidRPr="001C0369" w:rsidRDefault="003571E3" w:rsidP="000C3F2A">
            <w:pPr>
              <w:pStyle w:val="TableTitle"/>
              <w:jc w:val="right"/>
              <w:rPr>
                <w:sz w:val="20"/>
                <w:szCs w:val="20"/>
              </w:rPr>
            </w:pPr>
            <w:r w:rsidRPr="001C0369">
              <w:rPr>
                <w:rFonts w:cs="Arial"/>
                <w:color w:val="000000"/>
                <w:sz w:val="20"/>
                <w:szCs w:val="20"/>
              </w:rPr>
              <w:t>330</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A3A4469" w14:textId="77777777" w:rsidR="003571E3" w:rsidRPr="001C0369" w:rsidRDefault="003571E3" w:rsidP="000C3F2A">
            <w:pPr>
              <w:pStyle w:val="TableTitle"/>
              <w:jc w:val="right"/>
              <w:rPr>
                <w:sz w:val="20"/>
                <w:szCs w:val="20"/>
              </w:rPr>
            </w:pPr>
            <w:r w:rsidRPr="001C0369">
              <w:rPr>
                <w:rFonts w:cs="Arial"/>
                <w:color w:val="000000"/>
                <w:sz w:val="20"/>
                <w:szCs w:val="20"/>
              </w:rPr>
              <w:t>11</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85F2F76" w14:textId="77777777" w:rsidR="003571E3" w:rsidRPr="001C0369" w:rsidRDefault="003571E3" w:rsidP="000C3F2A">
            <w:pPr>
              <w:pStyle w:val="TableTitle"/>
              <w:jc w:val="right"/>
              <w:rPr>
                <w:sz w:val="20"/>
                <w:szCs w:val="20"/>
              </w:rPr>
            </w:pPr>
            <w:r w:rsidRPr="001C0369">
              <w:rPr>
                <w:rFonts w:cs="Arial"/>
                <w:color w:val="000000"/>
                <w:sz w:val="20"/>
                <w:szCs w:val="20"/>
              </w:rPr>
              <w:t>235</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6AC8801" w14:textId="77777777" w:rsidR="003571E3" w:rsidRPr="001C0369" w:rsidRDefault="003571E3" w:rsidP="000C3F2A">
            <w:pPr>
              <w:pStyle w:val="TableTitle"/>
              <w:jc w:val="right"/>
              <w:rPr>
                <w:sz w:val="20"/>
                <w:szCs w:val="20"/>
              </w:rPr>
            </w:pPr>
            <w:r w:rsidRPr="001C0369">
              <w:rPr>
                <w:rFonts w:cs="Arial"/>
                <w:color w:val="000000"/>
                <w:sz w:val="20"/>
                <w:szCs w:val="20"/>
              </w:rPr>
              <w:t>8</w:t>
            </w:r>
          </w:p>
        </w:tc>
      </w:tr>
      <w:tr w:rsidR="003571E3" w:rsidRPr="003371FD" w14:paraId="4519266B" w14:textId="77777777" w:rsidTr="000C531A">
        <w:trPr>
          <w:trHeight w:val="369"/>
          <w:tblHeader/>
        </w:trPr>
        <w:tc>
          <w:tcPr>
            <w:tcW w:w="2408"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7D03A5BD" w14:textId="6BFA2417" w:rsidR="003571E3" w:rsidRPr="003371FD" w:rsidRDefault="003571E3" w:rsidP="000C3F2A">
            <w:pPr>
              <w:pStyle w:val="TableTitle"/>
              <w:rPr>
                <w:bCs/>
                <w:sz w:val="20"/>
                <w:szCs w:val="20"/>
              </w:rPr>
            </w:pPr>
            <w:r w:rsidRPr="003371FD">
              <w:rPr>
                <w:bCs/>
                <w:sz w:val="20"/>
                <w:szCs w:val="20"/>
              </w:rPr>
              <w:t>Sunshine Coast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FFA48F6" w14:textId="77777777" w:rsidR="003571E3" w:rsidRPr="001C0369" w:rsidRDefault="003571E3" w:rsidP="000C3F2A">
            <w:pPr>
              <w:pStyle w:val="TableTitle"/>
              <w:jc w:val="right"/>
              <w:rPr>
                <w:sz w:val="20"/>
                <w:szCs w:val="20"/>
              </w:rPr>
            </w:pPr>
            <w:r w:rsidRPr="001C0369">
              <w:rPr>
                <w:rFonts w:cs="Arial"/>
                <w:color w:val="000000"/>
                <w:sz w:val="20"/>
                <w:szCs w:val="20"/>
              </w:rPr>
              <w:t>374</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FCDBE3E" w14:textId="77777777" w:rsidR="003571E3" w:rsidRPr="001C0369" w:rsidRDefault="003571E3" w:rsidP="000C3F2A">
            <w:pPr>
              <w:pStyle w:val="TableTitle"/>
              <w:jc w:val="right"/>
              <w:rPr>
                <w:sz w:val="20"/>
                <w:szCs w:val="20"/>
              </w:rPr>
            </w:pPr>
            <w:r w:rsidRPr="001C0369">
              <w:rPr>
                <w:rFonts w:cs="Arial"/>
                <w:color w:val="000000"/>
                <w:sz w:val="20"/>
                <w:szCs w:val="20"/>
              </w:rPr>
              <w:t>12</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307FED4" w14:textId="77777777" w:rsidR="003571E3" w:rsidRPr="001C0369" w:rsidRDefault="003571E3" w:rsidP="000C3F2A">
            <w:pPr>
              <w:pStyle w:val="TableTitle"/>
              <w:jc w:val="right"/>
              <w:rPr>
                <w:sz w:val="20"/>
                <w:szCs w:val="20"/>
              </w:rPr>
            </w:pPr>
            <w:r w:rsidRPr="001C0369">
              <w:rPr>
                <w:rFonts w:cs="Arial"/>
                <w:color w:val="000000"/>
                <w:sz w:val="20"/>
                <w:szCs w:val="20"/>
              </w:rPr>
              <w:t>340</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4C7EE98" w14:textId="77777777" w:rsidR="003571E3" w:rsidRPr="001C0369" w:rsidRDefault="003571E3" w:rsidP="000C3F2A">
            <w:pPr>
              <w:pStyle w:val="TableTitle"/>
              <w:jc w:val="right"/>
              <w:rPr>
                <w:sz w:val="20"/>
                <w:szCs w:val="20"/>
              </w:rPr>
            </w:pPr>
            <w:r w:rsidRPr="001C0369">
              <w:rPr>
                <w:rFonts w:cs="Arial"/>
                <w:color w:val="000000"/>
                <w:sz w:val="20"/>
                <w:szCs w:val="20"/>
              </w:rPr>
              <w:t>11</w:t>
            </w:r>
          </w:p>
        </w:tc>
      </w:tr>
      <w:tr w:rsidR="003571E3" w:rsidRPr="003371FD" w14:paraId="5303F8C7" w14:textId="77777777" w:rsidTr="000C531A">
        <w:trPr>
          <w:trHeight w:val="369"/>
          <w:tblHeader/>
        </w:trPr>
        <w:tc>
          <w:tcPr>
            <w:tcW w:w="2408"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70E3B19B" w14:textId="30B4511D" w:rsidR="003571E3" w:rsidRPr="003371FD" w:rsidRDefault="003571E3" w:rsidP="000C3F2A">
            <w:pPr>
              <w:pStyle w:val="TableTitle"/>
              <w:rPr>
                <w:bCs/>
                <w:sz w:val="20"/>
                <w:szCs w:val="20"/>
              </w:rPr>
            </w:pPr>
            <w:r w:rsidRPr="003371FD">
              <w:rPr>
                <w:bCs/>
                <w:sz w:val="20"/>
                <w:szCs w:val="20"/>
              </w:rPr>
              <w:t>West Moreton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A21863C" w14:textId="77777777" w:rsidR="003571E3" w:rsidRPr="001C0369" w:rsidRDefault="003571E3" w:rsidP="000C3F2A">
            <w:pPr>
              <w:pStyle w:val="TableTitle"/>
              <w:jc w:val="right"/>
              <w:rPr>
                <w:sz w:val="20"/>
                <w:szCs w:val="20"/>
              </w:rPr>
            </w:pPr>
            <w:r w:rsidRPr="001C0369">
              <w:rPr>
                <w:rFonts w:cs="Arial"/>
                <w:color w:val="000000"/>
                <w:sz w:val="20"/>
                <w:szCs w:val="20"/>
              </w:rPr>
              <w:t>355</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327A09D" w14:textId="77777777" w:rsidR="003571E3" w:rsidRPr="001C0369" w:rsidRDefault="003571E3" w:rsidP="000C3F2A">
            <w:pPr>
              <w:pStyle w:val="TableTitle"/>
              <w:jc w:val="right"/>
              <w:rPr>
                <w:sz w:val="20"/>
                <w:szCs w:val="20"/>
              </w:rPr>
            </w:pPr>
            <w:r w:rsidRPr="001C0369">
              <w:rPr>
                <w:rFonts w:cs="Arial"/>
                <w:color w:val="000000"/>
                <w:sz w:val="20"/>
                <w:szCs w:val="20"/>
              </w:rPr>
              <w:t>12</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2496154" w14:textId="77777777" w:rsidR="003571E3" w:rsidRPr="001C0369" w:rsidRDefault="003571E3" w:rsidP="000C3F2A">
            <w:pPr>
              <w:pStyle w:val="TableTitle"/>
              <w:jc w:val="right"/>
              <w:rPr>
                <w:sz w:val="20"/>
                <w:szCs w:val="20"/>
              </w:rPr>
            </w:pPr>
            <w:r w:rsidRPr="001C0369">
              <w:rPr>
                <w:rFonts w:cs="Arial"/>
                <w:color w:val="000000"/>
                <w:sz w:val="20"/>
                <w:szCs w:val="20"/>
              </w:rPr>
              <w:t>309</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427B97F" w14:textId="77777777" w:rsidR="003571E3" w:rsidRPr="001C0369" w:rsidRDefault="003571E3" w:rsidP="000C3F2A">
            <w:pPr>
              <w:pStyle w:val="TableTitle"/>
              <w:jc w:val="right"/>
              <w:rPr>
                <w:sz w:val="20"/>
                <w:szCs w:val="20"/>
              </w:rPr>
            </w:pPr>
            <w:r w:rsidRPr="001C0369">
              <w:rPr>
                <w:rFonts w:cs="Arial"/>
                <w:color w:val="000000"/>
                <w:sz w:val="20"/>
                <w:szCs w:val="20"/>
              </w:rPr>
              <w:t>10</w:t>
            </w:r>
          </w:p>
        </w:tc>
      </w:tr>
      <w:tr w:rsidR="003571E3" w:rsidRPr="003371FD" w14:paraId="6E62524D" w14:textId="77777777" w:rsidTr="000C531A">
        <w:trPr>
          <w:trHeight w:val="369"/>
          <w:tblHeader/>
        </w:trPr>
        <w:tc>
          <w:tcPr>
            <w:tcW w:w="2408"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5A6BDA9C" w14:textId="4985FECA" w:rsidR="003571E3" w:rsidRPr="003371FD" w:rsidRDefault="003571E3" w:rsidP="000C3F2A">
            <w:pPr>
              <w:pStyle w:val="TableTitle"/>
              <w:rPr>
                <w:bCs/>
                <w:sz w:val="20"/>
                <w:szCs w:val="20"/>
              </w:rPr>
            </w:pPr>
            <w:r w:rsidRPr="003371FD">
              <w:rPr>
                <w:bCs/>
                <w:sz w:val="20"/>
                <w:szCs w:val="20"/>
              </w:rPr>
              <w:t>Wide Bay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6AE7739" w14:textId="77777777" w:rsidR="003571E3" w:rsidRPr="001C0369" w:rsidRDefault="003571E3" w:rsidP="000C3F2A">
            <w:pPr>
              <w:pStyle w:val="TableTitle"/>
              <w:jc w:val="right"/>
              <w:rPr>
                <w:sz w:val="20"/>
                <w:szCs w:val="20"/>
              </w:rPr>
            </w:pPr>
            <w:r w:rsidRPr="001C0369">
              <w:rPr>
                <w:rFonts w:cs="Arial"/>
                <w:color w:val="000000"/>
                <w:sz w:val="20"/>
                <w:szCs w:val="20"/>
              </w:rPr>
              <w:t>372</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E20BCC5" w14:textId="77777777" w:rsidR="003571E3" w:rsidRPr="001C0369" w:rsidRDefault="003571E3" w:rsidP="000C3F2A">
            <w:pPr>
              <w:pStyle w:val="TableTitle"/>
              <w:jc w:val="right"/>
              <w:rPr>
                <w:sz w:val="20"/>
                <w:szCs w:val="20"/>
              </w:rPr>
            </w:pPr>
            <w:r w:rsidRPr="001C0369">
              <w:rPr>
                <w:rFonts w:cs="Arial"/>
                <w:color w:val="000000"/>
                <w:sz w:val="20"/>
                <w:szCs w:val="20"/>
              </w:rPr>
              <w:t>12</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8F69D2B" w14:textId="77777777" w:rsidR="003571E3" w:rsidRPr="001C0369" w:rsidRDefault="003571E3" w:rsidP="000C3F2A">
            <w:pPr>
              <w:pStyle w:val="TableTitle"/>
              <w:jc w:val="right"/>
              <w:rPr>
                <w:sz w:val="20"/>
                <w:szCs w:val="20"/>
              </w:rPr>
            </w:pPr>
            <w:r w:rsidRPr="001C0369">
              <w:rPr>
                <w:rFonts w:cs="Arial"/>
                <w:color w:val="000000"/>
                <w:sz w:val="20"/>
                <w:szCs w:val="20"/>
              </w:rPr>
              <w:t>342</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7F85F06" w14:textId="77777777" w:rsidR="003571E3" w:rsidRPr="001C0369" w:rsidRDefault="003571E3" w:rsidP="000C3F2A">
            <w:pPr>
              <w:pStyle w:val="TableTitle"/>
              <w:jc w:val="right"/>
              <w:rPr>
                <w:sz w:val="20"/>
                <w:szCs w:val="20"/>
              </w:rPr>
            </w:pPr>
            <w:r w:rsidRPr="001C0369">
              <w:rPr>
                <w:rFonts w:cs="Arial"/>
                <w:color w:val="000000"/>
                <w:sz w:val="20"/>
                <w:szCs w:val="20"/>
              </w:rPr>
              <w:t>11</w:t>
            </w:r>
          </w:p>
        </w:tc>
      </w:tr>
    </w:tbl>
    <w:p w14:paraId="0040F54C" w14:textId="77777777" w:rsidR="00C211D5" w:rsidRDefault="00C211D5" w:rsidP="00891249">
      <w:pPr>
        <w:pStyle w:val="Heading4"/>
      </w:pPr>
    </w:p>
    <w:p w14:paraId="78585E75" w14:textId="77777777" w:rsidR="00C211D5" w:rsidRDefault="00C211D5">
      <w:pPr>
        <w:spacing w:before="0" w:after="0" w:line="240" w:lineRule="auto"/>
        <w:rPr>
          <w:b/>
          <w:bCs/>
          <w:i/>
          <w:color w:val="358189" w:themeColor="accent2"/>
          <w:sz w:val="28"/>
          <w:szCs w:val="28"/>
        </w:rPr>
      </w:pPr>
      <w:r>
        <w:br w:type="page"/>
      </w:r>
    </w:p>
    <w:p w14:paraId="363A6AB9" w14:textId="570F12FD" w:rsidR="003571E3" w:rsidRDefault="003571E3" w:rsidP="0031040B">
      <w:pPr>
        <w:pStyle w:val="Heading3"/>
      </w:pPr>
      <w:bookmarkStart w:id="45" w:name="_Toc229480675"/>
      <w:r>
        <w:lastRenderedPageBreak/>
        <w:t>Western Australia</w:t>
      </w:r>
      <w:bookmarkEnd w:id="45"/>
      <w:r>
        <w:t xml:space="preserve"> </w:t>
      </w:r>
    </w:p>
    <w:p w14:paraId="7A1D05E8" w14:textId="3E1EDE2A" w:rsidR="003571E3" w:rsidRDefault="003571E3" w:rsidP="0031040B">
      <w:pPr>
        <w:pStyle w:val="Heading4"/>
      </w:pPr>
      <w:bookmarkStart w:id="46" w:name="_Toc229480676"/>
      <w:r>
        <w:t xml:space="preserve">Table 9: </w:t>
      </w:r>
      <w:r w:rsidRPr="008766E3">
        <w:t>Average (avg)/Median (</w:t>
      </w:r>
      <w:proofErr w:type="spellStart"/>
      <w:r w:rsidRPr="008766E3">
        <w:t>mdn</w:t>
      </w:r>
      <w:proofErr w:type="spellEnd"/>
      <w:r w:rsidRPr="008766E3">
        <w:t xml:space="preserve">) </w:t>
      </w:r>
      <w:r>
        <w:t>n</w:t>
      </w:r>
      <w:r w:rsidRPr="008766E3">
        <w:t>umber of days</w:t>
      </w:r>
      <w:r w:rsidRPr="003D3D2C">
        <w:t>/months</w:t>
      </w:r>
      <w:r w:rsidRPr="008766E3">
        <w:t xml:space="preserve"> between an application for aged care and service commencement for services commenced in </w:t>
      </w:r>
      <w:r>
        <w:t>the reporting period</w:t>
      </w:r>
      <w:r w:rsidRPr="008766E3">
        <w:t>.</w:t>
      </w:r>
      <w:bookmarkEnd w:id="46"/>
    </w:p>
    <w:tbl>
      <w:tblPr>
        <w:tblW w:w="477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1"/>
        <w:gridCol w:w="1525"/>
        <w:gridCol w:w="1525"/>
        <w:gridCol w:w="1525"/>
        <w:gridCol w:w="1525"/>
      </w:tblGrid>
      <w:tr w:rsidR="003571E3" w:rsidRPr="00BC274C" w14:paraId="1AA03738" w14:textId="77777777" w:rsidTr="000C3F2A">
        <w:trPr>
          <w:trHeight w:val="369"/>
          <w:tblHeader/>
        </w:trPr>
        <w:tc>
          <w:tcPr>
            <w:tcW w:w="141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46789928" w14:textId="77777777" w:rsidR="003571E3" w:rsidRPr="00BC274C" w:rsidRDefault="003571E3" w:rsidP="000C3F2A">
            <w:pPr>
              <w:pStyle w:val="TableTitle"/>
              <w:rPr>
                <w:color w:val="FFFFFF" w:themeColor="background1"/>
                <w:sz w:val="20"/>
                <w:szCs w:val="20"/>
              </w:rPr>
            </w:pPr>
            <w:r>
              <w:rPr>
                <w:color w:val="FFFFFF" w:themeColor="background1"/>
                <w:sz w:val="20"/>
                <w:szCs w:val="20"/>
              </w:rPr>
              <w:t xml:space="preserve">  </w:t>
            </w:r>
            <w:r w:rsidRPr="00BC274C">
              <w:rPr>
                <w:color w:val="FFFFFF" w:themeColor="background1"/>
                <w:sz w:val="20"/>
                <w:szCs w:val="20"/>
              </w:rPr>
              <w:t>Region </w:t>
            </w:r>
          </w:p>
        </w:tc>
        <w:tc>
          <w:tcPr>
            <w:tcW w:w="89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1B986162" w14:textId="77777777" w:rsidR="003571E3" w:rsidRPr="00BC274C" w:rsidRDefault="003571E3" w:rsidP="000C3F2A">
            <w:pPr>
              <w:pStyle w:val="TableTitle"/>
              <w:jc w:val="right"/>
              <w:rPr>
                <w:color w:val="FFFFFF" w:themeColor="background1"/>
                <w:sz w:val="20"/>
                <w:szCs w:val="20"/>
              </w:rPr>
            </w:pPr>
            <w:r w:rsidRPr="00BC274C">
              <w:rPr>
                <w:color w:val="FFFFFF" w:themeColor="background1"/>
                <w:sz w:val="20"/>
                <w:szCs w:val="20"/>
              </w:rPr>
              <w:t>Avg (days) </w:t>
            </w:r>
          </w:p>
        </w:tc>
        <w:tc>
          <w:tcPr>
            <w:tcW w:w="89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3FDCBBE0" w14:textId="77777777" w:rsidR="003571E3" w:rsidRPr="00BC274C" w:rsidRDefault="003571E3" w:rsidP="000C3F2A">
            <w:pPr>
              <w:pStyle w:val="TableTitle"/>
              <w:jc w:val="right"/>
              <w:rPr>
                <w:color w:val="FFFFFF" w:themeColor="background1"/>
                <w:sz w:val="20"/>
                <w:szCs w:val="20"/>
              </w:rPr>
            </w:pPr>
            <w:r w:rsidRPr="00BC274C">
              <w:rPr>
                <w:color w:val="FFFFFF" w:themeColor="background1"/>
                <w:sz w:val="20"/>
                <w:szCs w:val="20"/>
              </w:rPr>
              <w:t>Avg (months) </w:t>
            </w:r>
          </w:p>
        </w:tc>
        <w:tc>
          <w:tcPr>
            <w:tcW w:w="89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122060F6" w14:textId="77777777" w:rsidR="003571E3" w:rsidRPr="00BC274C" w:rsidRDefault="003571E3" w:rsidP="000C3F2A">
            <w:pPr>
              <w:pStyle w:val="TableTitle"/>
              <w:jc w:val="right"/>
              <w:rPr>
                <w:color w:val="FFFFFF" w:themeColor="background1"/>
                <w:sz w:val="20"/>
                <w:szCs w:val="20"/>
              </w:rPr>
            </w:pPr>
            <w:r w:rsidRPr="00BC274C">
              <w:rPr>
                <w:color w:val="FFFFFF" w:themeColor="background1"/>
                <w:sz w:val="20"/>
                <w:szCs w:val="20"/>
              </w:rPr>
              <w:t>Mdn (days) </w:t>
            </w:r>
          </w:p>
        </w:tc>
        <w:tc>
          <w:tcPr>
            <w:tcW w:w="89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7F347602" w14:textId="77777777" w:rsidR="003571E3" w:rsidRPr="00BC274C" w:rsidRDefault="003571E3" w:rsidP="000C3F2A">
            <w:pPr>
              <w:pStyle w:val="TableTitle"/>
              <w:jc w:val="right"/>
              <w:rPr>
                <w:color w:val="FFFFFF" w:themeColor="background1"/>
                <w:sz w:val="20"/>
                <w:szCs w:val="20"/>
              </w:rPr>
            </w:pPr>
            <w:r w:rsidRPr="00BC274C">
              <w:rPr>
                <w:color w:val="FFFFFF" w:themeColor="background1"/>
                <w:sz w:val="20"/>
                <w:szCs w:val="20"/>
              </w:rPr>
              <w:t>Mdn (months) </w:t>
            </w:r>
          </w:p>
        </w:tc>
      </w:tr>
      <w:tr w:rsidR="003571E3" w:rsidRPr="00BC274C" w14:paraId="7FAFF5B9" w14:textId="77777777" w:rsidTr="000C531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0F732900" w14:textId="1E33AA01" w:rsidR="003571E3" w:rsidRPr="00BC274C" w:rsidRDefault="003571E3" w:rsidP="000C3F2A">
            <w:pPr>
              <w:pStyle w:val="TableTitle"/>
              <w:rPr>
                <w:sz w:val="20"/>
                <w:szCs w:val="20"/>
              </w:rPr>
            </w:pPr>
            <w:r w:rsidRPr="00BC274C">
              <w:rPr>
                <w:sz w:val="20"/>
                <w:szCs w:val="20"/>
              </w:rPr>
              <w:t>Goldfields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FF8ADAE" w14:textId="77777777" w:rsidR="003571E3" w:rsidRPr="00D63D49" w:rsidRDefault="003571E3" w:rsidP="000C3F2A">
            <w:pPr>
              <w:pStyle w:val="TableTitle"/>
              <w:jc w:val="right"/>
              <w:rPr>
                <w:sz w:val="20"/>
                <w:szCs w:val="20"/>
              </w:rPr>
            </w:pPr>
            <w:r w:rsidRPr="00D63D49">
              <w:rPr>
                <w:rFonts w:cs="Arial"/>
                <w:color w:val="000000"/>
                <w:sz w:val="20"/>
                <w:szCs w:val="20"/>
              </w:rPr>
              <w:t>305</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22BCD65" w14:textId="77777777" w:rsidR="003571E3" w:rsidRPr="00D63D49" w:rsidRDefault="003571E3" w:rsidP="000C3F2A">
            <w:pPr>
              <w:pStyle w:val="TableTitle"/>
              <w:jc w:val="right"/>
              <w:rPr>
                <w:sz w:val="20"/>
                <w:szCs w:val="20"/>
              </w:rPr>
            </w:pPr>
            <w:r w:rsidRPr="00D63D49">
              <w:rPr>
                <w:rFonts w:cs="Arial"/>
                <w:color w:val="000000"/>
                <w:sz w:val="20"/>
                <w:szCs w:val="20"/>
              </w:rPr>
              <w:t>10</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57365B9" w14:textId="77777777" w:rsidR="003571E3" w:rsidRPr="00D63D49" w:rsidRDefault="003571E3" w:rsidP="000C3F2A">
            <w:pPr>
              <w:pStyle w:val="TableTitle"/>
              <w:jc w:val="right"/>
              <w:rPr>
                <w:sz w:val="20"/>
                <w:szCs w:val="20"/>
              </w:rPr>
            </w:pPr>
            <w:r w:rsidRPr="00D63D49">
              <w:rPr>
                <w:rFonts w:cs="Arial"/>
                <w:color w:val="000000"/>
                <w:sz w:val="20"/>
                <w:szCs w:val="20"/>
              </w:rPr>
              <w:t>239</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7122F5E" w14:textId="77777777" w:rsidR="003571E3" w:rsidRPr="00D63D49" w:rsidRDefault="003571E3" w:rsidP="000C3F2A">
            <w:pPr>
              <w:pStyle w:val="TableTitle"/>
              <w:jc w:val="right"/>
              <w:rPr>
                <w:sz w:val="20"/>
                <w:szCs w:val="20"/>
              </w:rPr>
            </w:pPr>
            <w:r w:rsidRPr="00D63D49">
              <w:rPr>
                <w:rFonts w:cs="Arial"/>
                <w:color w:val="000000"/>
                <w:sz w:val="20"/>
                <w:szCs w:val="20"/>
              </w:rPr>
              <w:t>8</w:t>
            </w:r>
          </w:p>
        </w:tc>
      </w:tr>
      <w:tr w:rsidR="003571E3" w:rsidRPr="00BC274C" w14:paraId="3D29DEFC" w14:textId="77777777" w:rsidTr="000C531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1C72AC7A" w14:textId="090C19AE" w:rsidR="003571E3" w:rsidRPr="00BC274C" w:rsidRDefault="003571E3" w:rsidP="000C3F2A">
            <w:pPr>
              <w:pStyle w:val="TableTitle"/>
              <w:rPr>
                <w:sz w:val="20"/>
                <w:szCs w:val="20"/>
              </w:rPr>
            </w:pPr>
            <w:r w:rsidRPr="00BC274C">
              <w:rPr>
                <w:sz w:val="20"/>
                <w:szCs w:val="20"/>
              </w:rPr>
              <w:t>Great Southern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64F77F1" w14:textId="77777777" w:rsidR="003571E3" w:rsidRPr="00D63D49" w:rsidRDefault="003571E3" w:rsidP="000C3F2A">
            <w:pPr>
              <w:pStyle w:val="TableTitle"/>
              <w:jc w:val="right"/>
              <w:rPr>
                <w:sz w:val="20"/>
                <w:szCs w:val="20"/>
              </w:rPr>
            </w:pPr>
            <w:r w:rsidRPr="00D63D49">
              <w:rPr>
                <w:rFonts w:cs="Arial"/>
                <w:color w:val="000000"/>
                <w:sz w:val="20"/>
                <w:szCs w:val="20"/>
              </w:rPr>
              <w:t>358</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1B95E85" w14:textId="77777777" w:rsidR="003571E3" w:rsidRPr="00D63D49" w:rsidRDefault="003571E3" w:rsidP="000C3F2A">
            <w:pPr>
              <w:pStyle w:val="TableTitle"/>
              <w:jc w:val="right"/>
              <w:rPr>
                <w:sz w:val="20"/>
                <w:szCs w:val="20"/>
              </w:rPr>
            </w:pPr>
            <w:r w:rsidRPr="00D63D49">
              <w:rPr>
                <w:rFonts w:cs="Arial"/>
                <w:color w:val="000000"/>
                <w:sz w:val="20"/>
                <w:szCs w:val="20"/>
              </w:rPr>
              <w:t>12</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F6C0BD4" w14:textId="77777777" w:rsidR="003571E3" w:rsidRPr="00D63D49" w:rsidRDefault="003571E3" w:rsidP="000C3F2A">
            <w:pPr>
              <w:pStyle w:val="TableTitle"/>
              <w:jc w:val="right"/>
              <w:rPr>
                <w:sz w:val="20"/>
                <w:szCs w:val="20"/>
              </w:rPr>
            </w:pPr>
            <w:r w:rsidRPr="00D63D49">
              <w:rPr>
                <w:rFonts w:cs="Arial"/>
                <w:color w:val="000000"/>
                <w:sz w:val="20"/>
                <w:szCs w:val="20"/>
              </w:rPr>
              <w:t>345</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F0E92FE" w14:textId="77777777" w:rsidR="003571E3" w:rsidRPr="00D63D49" w:rsidRDefault="003571E3" w:rsidP="000C3F2A">
            <w:pPr>
              <w:pStyle w:val="TableTitle"/>
              <w:jc w:val="right"/>
              <w:rPr>
                <w:sz w:val="20"/>
                <w:szCs w:val="20"/>
              </w:rPr>
            </w:pPr>
            <w:r w:rsidRPr="00D63D49">
              <w:rPr>
                <w:rFonts w:cs="Arial"/>
                <w:color w:val="000000"/>
                <w:sz w:val="20"/>
                <w:szCs w:val="20"/>
              </w:rPr>
              <w:t>12</w:t>
            </w:r>
          </w:p>
        </w:tc>
      </w:tr>
      <w:tr w:rsidR="003571E3" w:rsidRPr="00BC274C" w14:paraId="1578C386" w14:textId="77777777" w:rsidTr="000C531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0A5C32AE" w14:textId="670EFDB5" w:rsidR="003571E3" w:rsidRPr="00BC274C" w:rsidRDefault="003571E3" w:rsidP="000C3F2A">
            <w:pPr>
              <w:pStyle w:val="TableTitle"/>
              <w:rPr>
                <w:sz w:val="20"/>
                <w:szCs w:val="20"/>
              </w:rPr>
            </w:pPr>
            <w:r w:rsidRPr="00BC274C">
              <w:rPr>
                <w:sz w:val="20"/>
                <w:szCs w:val="20"/>
              </w:rPr>
              <w:t>Kimberley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E10FB7B" w14:textId="77777777" w:rsidR="003571E3" w:rsidRPr="00D63D49" w:rsidRDefault="003571E3" w:rsidP="000C3F2A">
            <w:pPr>
              <w:pStyle w:val="TableTitle"/>
              <w:jc w:val="right"/>
              <w:rPr>
                <w:sz w:val="20"/>
                <w:szCs w:val="20"/>
              </w:rPr>
            </w:pPr>
            <w:r w:rsidRPr="00D63D49">
              <w:rPr>
                <w:rFonts w:cs="Arial"/>
                <w:color w:val="000000"/>
                <w:sz w:val="20"/>
                <w:szCs w:val="20"/>
              </w:rPr>
              <w:t>386</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C8C4EFD" w14:textId="77777777" w:rsidR="003571E3" w:rsidRPr="00D63D49" w:rsidRDefault="003571E3" w:rsidP="000C3F2A">
            <w:pPr>
              <w:pStyle w:val="TableTitle"/>
              <w:jc w:val="right"/>
              <w:rPr>
                <w:sz w:val="20"/>
                <w:szCs w:val="20"/>
              </w:rPr>
            </w:pPr>
            <w:r w:rsidRPr="00D63D49">
              <w:rPr>
                <w:rFonts w:cs="Arial"/>
                <w:color w:val="000000"/>
                <w:sz w:val="20"/>
                <w:szCs w:val="20"/>
              </w:rPr>
              <w:t>13</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DBF0750" w14:textId="77777777" w:rsidR="003571E3" w:rsidRPr="00D63D49" w:rsidRDefault="003571E3" w:rsidP="000C3F2A">
            <w:pPr>
              <w:pStyle w:val="TableTitle"/>
              <w:jc w:val="right"/>
              <w:rPr>
                <w:sz w:val="20"/>
                <w:szCs w:val="20"/>
              </w:rPr>
            </w:pPr>
            <w:r w:rsidRPr="00D63D49">
              <w:rPr>
                <w:rFonts w:cs="Arial"/>
                <w:color w:val="000000"/>
                <w:sz w:val="20"/>
                <w:szCs w:val="20"/>
              </w:rPr>
              <w:t>312</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4888C3C" w14:textId="77777777" w:rsidR="003571E3" w:rsidRPr="00D63D49" w:rsidRDefault="003571E3" w:rsidP="000C3F2A">
            <w:pPr>
              <w:pStyle w:val="TableTitle"/>
              <w:jc w:val="right"/>
              <w:rPr>
                <w:sz w:val="20"/>
                <w:szCs w:val="20"/>
              </w:rPr>
            </w:pPr>
            <w:r w:rsidRPr="00D63D49">
              <w:rPr>
                <w:rFonts w:cs="Arial"/>
                <w:color w:val="000000"/>
                <w:sz w:val="20"/>
                <w:szCs w:val="20"/>
              </w:rPr>
              <w:t>10</w:t>
            </w:r>
          </w:p>
        </w:tc>
      </w:tr>
      <w:tr w:rsidR="003571E3" w:rsidRPr="00BC274C" w14:paraId="7B7203C7" w14:textId="77777777" w:rsidTr="000C531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54F1AA78" w14:textId="2715886B" w:rsidR="003571E3" w:rsidRPr="00BC274C" w:rsidRDefault="003571E3" w:rsidP="000C3F2A">
            <w:pPr>
              <w:pStyle w:val="TableTitle"/>
              <w:rPr>
                <w:sz w:val="20"/>
                <w:szCs w:val="20"/>
              </w:rPr>
            </w:pPr>
            <w:r w:rsidRPr="00BC274C">
              <w:rPr>
                <w:sz w:val="20"/>
                <w:szCs w:val="20"/>
              </w:rPr>
              <w:t>Metropolitan East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6259FAD" w14:textId="77777777" w:rsidR="003571E3" w:rsidRPr="00D63D49" w:rsidRDefault="003571E3" w:rsidP="000C3F2A">
            <w:pPr>
              <w:pStyle w:val="TableTitle"/>
              <w:jc w:val="right"/>
              <w:rPr>
                <w:sz w:val="20"/>
                <w:szCs w:val="20"/>
              </w:rPr>
            </w:pPr>
            <w:r w:rsidRPr="00D63D49">
              <w:rPr>
                <w:rFonts w:cs="Arial"/>
                <w:color w:val="000000"/>
                <w:sz w:val="20"/>
                <w:szCs w:val="20"/>
              </w:rPr>
              <w:t>323</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C6B80C4" w14:textId="77777777" w:rsidR="003571E3" w:rsidRPr="00D63D49" w:rsidRDefault="003571E3" w:rsidP="000C3F2A">
            <w:pPr>
              <w:pStyle w:val="TableTitle"/>
              <w:jc w:val="right"/>
              <w:rPr>
                <w:sz w:val="20"/>
                <w:szCs w:val="20"/>
              </w:rPr>
            </w:pPr>
            <w:r w:rsidRPr="00D63D49">
              <w:rPr>
                <w:rFonts w:cs="Arial"/>
                <w:color w:val="000000"/>
                <w:sz w:val="20"/>
                <w:szCs w:val="20"/>
              </w:rPr>
              <w:t>11</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337E600" w14:textId="77777777" w:rsidR="003571E3" w:rsidRPr="00D63D49" w:rsidRDefault="003571E3" w:rsidP="000C3F2A">
            <w:pPr>
              <w:pStyle w:val="TableTitle"/>
              <w:jc w:val="right"/>
              <w:rPr>
                <w:sz w:val="20"/>
                <w:szCs w:val="20"/>
              </w:rPr>
            </w:pPr>
            <w:r w:rsidRPr="00D63D49">
              <w:rPr>
                <w:rFonts w:cs="Arial"/>
                <w:color w:val="000000"/>
                <w:sz w:val="20"/>
                <w:szCs w:val="20"/>
              </w:rPr>
              <w:t>292</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27F5F26" w14:textId="77777777" w:rsidR="003571E3" w:rsidRPr="00D63D49" w:rsidRDefault="003571E3" w:rsidP="000C3F2A">
            <w:pPr>
              <w:pStyle w:val="TableTitle"/>
              <w:jc w:val="right"/>
              <w:rPr>
                <w:sz w:val="20"/>
                <w:szCs w:val="20"/>
              </w:rPr>
            </w:pPr>
            <w:r w:rsidRPr="00D63D49">
              <w:rPr>
                <w:rFonts w:cs="Arial"/>
                <w:color w:val="000000"/>
                <w:sz w:val="20"/>
                <w:szCs w:val="20"/>
              </w:rPr>
              <w:t>10</w:t>
            </w:r>
          </w:p>
        </w:tc>
      </w:tr>
      <w:tr w:rsidR="003571E3" w:rsidRPr="00BC274C" w14:paraId="4D758755" w14:textId="77777777" w:rsidTr="000C531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6007D45D" w14:textId="4768C8FE" w:rsidR="003571E3" w:rsidRPr="00BC274C" w:rsidRDefault="003571E3" w:rsidP="000C3F2A">
            <w:pPr>
              <w:pStyle w:val="TableTitle"/>
              <w:rPr>
                <w:sz w:val="20"/>
                <w:szCs w:val="20"/>
              </w:rPr>
            </w:pPr>
            <w:r w:rsidRPr="00BC274C">
              <w:rPr>
                <w:sz w:val="20"/>
                <w:szCs w:val="20"/>
              </w:rPr>
              <w:t>Metropolitan North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76AE35B" w14:textId="77777777" w:rsidR="003571E3" w:rsidRPr="00D63D49" w:rsidRDefault="003571E3" w:rsidP="000C3F2A">
            <w:pPr>
              <w:pStyle w:val="TableTitle"/>
              <w:jc w:val="right"/>
              <w:rPr>
                <w:sz w:val="20"/>
                <w:szCs w:val="20"/>
              </w:rPr>
            </w:pPr>
            <w:r w:rsidRPr="00D63D49">
              <w:rPr>
                <w:rFonts w:cs="Arial"/>
                <w:color w:val="000000"/>
                <w:sz w:val="20"/>
                <w:szCs w:val="20"/>
              </w:rPr>
              <w:t>338</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AA0DF4B" w14:textId="77777777" w:rsidR="003571E3" w:rsidRPr="00D63D49" w:rsidRDefault="003571E3" w:rsidP="000C3F2A">
            <w:pPr>
              <w:pStyle w:val="TableTitle"/>
              <w:jc w:val="right"/>
              <w:rPr>
                <w:sz w:val="20"/>
                <w:szCs w:val="20"/>
              </w:rPr>
            </w:pPr>
            <w:r w:rsidRPr="00D63D49">
              <w:rPr>
                <w:rFonts w:cs="Arial"/>
                <w:color w:val="000000"/>
                <w:sz w:val="20"/>
                <w:szCs w:val="20"/>
              </w:rPr>
              <w:t>11</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8A313CB" w14:textId="77777777" w:rsidR="003571E3" w:rsidRPr="00D63D49" w:rsidRDefault="003571E3" w:rsidP="000C3F2A">
            <w:pPr>
              <w:pStyle w:val="TableTitle"/>
              <w:jc w:val="right"/>
              <w:rPr>
                <w:sz w:val="20"/>
                <w:szCs w:val="20"/>
              </w:rPr>
            </w:pPr>
            <w:r w:rsidRPr="00D63D49">
              <w:rPr>
                <w:rFonts w:cs="Arial"/>
                <w:color w:val="000000"/>
                <w:sz w:val="20"/>
                <w:szCs w:val="20"/>
              </w:rPr>
              <w:t>300</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33B1A87" w14:textId="77777777" w:rsidR="003571E3" w:rsidRPr="00D63D49" w:rsidRDefault="003571E3" w:rsidP="000C3F2A">
            <w:pPr>
              <w:pStyle w:val="TableTitle"/>
              <w:jc w:val="right"/>
              <w:rPr>
                <w:sz w:val="20"/>
                <w:szCs w:val="20"/>
              </w:rPr>
            </w:pPr>
            <w:r w:rsidRPr="00D63D49">
              <w:rPr>
                <w:rFonts w:cs="Arial"/>
                <w:color w:val="000000"/>
                <w:sz w:val="20"/>
                <w:szCs w:val="20"/>
              </w:rPr>
              <w:t>10</w:t>
            </w:r>
          </w:p>
        </w:tc>
      </w:tr>
      <w:tr w:rsidR="003571E3" w:rsidRPr="00BC274C" w14:paraId="47CB6C3F" w14:textId="77777777" w:rsidTr="000C531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30D59D00" w14:textId="7B8F14C1" w:rsidR="003571E3" w:rsidRPr="00BC274C" w:rsidRDefault="003571E3" w:rsidP="000C3F2A">
            <w:pPr>
              <w:pStyle w:val="TableTitle"/>
              <w:rPr>
                <w:sz w:val="20"/>
                <w:szCs w:val="20"/>
              </w:rPr>
            </w:pPr>
            <w:r w:rsidRPr="00BC274C">
              <w:rPr>
                <w:sz w:val="20"/>
                <w:szCs w:val="20"/>
              </w:rPr>
              <w:t>Metropolitan </w:t>
            </w:r>
            <w:proofErr w:type="gramStart"/>
            <w:r w:rsidRPr="00BC274C">
              <w:rPr>
                <w:sz w:val="20"/>
                <w:szCs w:val="20"/>
              </w:rPr>
              <w:t>South</w:t>
            </w:r>
            <w:r>
              <w:rPr>
                <w:sz w:val="20"/>
                <w:szCs w:val="20"/>
              </w:rPr>
              <w:t xml:space="preserve"> </w:t>
            </w:r>
            <w:r w:rsidRPr="00BC274C">
              <w:rPr>
                <w:sz w:val="20"/>
                <w:szCs w:val="20"/>
              </w:rPr>
              <w:t>East</w:t>
            </w:r>
            <w:proofErr w:type="gramEnd"/>
            <w:r w:rsidRPr="00BC274C">
              <w:rPr>
                <w:sz w:val="20"/>
                <w:szCs w:val="20"/>
              </w:rPr>
              <w:t>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DF4C9AB" w14:textId="77777777" w:rsidR="003571E3" w:rsidRPr="00D63D49" w:rsidRDefault="003571E3" w:rsidP="000C3F2A">
            <w:pPr>
              <w:pStyle w:val="TableTitle"/>
              <w:jc w:val="right"/>
              <w:rPr>
                <w:sz w:val="20"/>
                <w:szCs w:val="20"/>
              </w:rPr>
            </w:pPr>
            <w:r w:rsidRPr="00D63D49">
              <w:rPr>
                <w:rFonts w:cs="Arial"/>
                <w:color w:val="000000"/>
                <w:sz w:val="20"/>
                <w:szCs w:val="20"/>
              </w:rPr>
              <w:t>319</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2E94F3C" w14:textId="77777777" w:rsidR="003571E3" w:rsidRPr="00D63D49" w:rsidRDefault="003571E3" w:rsidP="000C3F2A">
            <w:pPr>
              <w:pStyle w:val="TableTitle"/>
              <w:jc w:val="right"/>
              <w:rPr>
                <w:sz w:val="20"/>
                <w:szCs w:val="20"/>
              </w:rPr>
            </w:pPr>
            <w:r w:rsidRPr="00D63D49">
              <w:rPr>
                <w:rFonts w:cs="Arial"/>
                <w:color w:val="000000"/>
                <w:sz w:val="20"/>
                <w:szCs w:val="20"/>
              </w:rPr>
              <w:t>11</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B91676B" w14:textId="77777777" w:rsidR="003571E3" w:rsidRPr="00D63D49" w:rsidRDefault="003571E3" w:rsidP="000C3F2A">
            <w:pPr>
              <w:pStyle w:val="TableTitle"/>
              <w:jc w:val="right"/>
              <w:rPr>
                <w:sz w:val="20"/>
                <w:szCs w:val="20"/>
              </w:rPr>
            </w:pPr>
            <w:r w:rsidRPr="00D63D49">
              <w:rPr>
                <w:rFonts w:cs="Arial"/>
                <w:color w:val="000000"/>
                <w:sz w:val="20"/>
                <w:szCs w:val="20"/>
              </w:rPr>
              <w:t>299</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4395DAD" w14:textId="77777777" w:rsidR="003571E3" w:rsidRPr="00D63D49" w:rsidRDefault="003571E3" w:rsidP="000C3F2A">
            <w:pPr>
              <w:pStyle w:val="TableTitle"/>
              <w:jc w:val="right"/>
              <w:rPr>
                <w:sz w:val="20"/>
                <w:szCs w:val="20"/>
              </w:rPr>
            </w:pPr>
            <w:r w:rsidRPr="00D63D49">
              <w:rPr>
                <w:rFonts w:cs="Arial"/>
                <w:color w:val="000000"/>
                <w:sz w:val="20"/>
                <w:szCs w:val="20"/>
              </w:rPr>
              <w:t>10</w:t>
            </w:r>
          </w:p>
        </w:tc>
      </w:tr>
      <w:tr w:rsidR="003571E3" w:rsidRPr="00BC274C" w14:paraId="108C0761" w14:textId="77777777" w:rsidTr="000C531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620481C7" w14:textId="315B9588" w:rsidR="003571E3" w:rsidRPr="00BC274C" w:rsidRDefault="003571E3" w:rsidP="000C3F2A">
            <w:pPr>
              <w:pStyle w:val="TableTitle"/>
              <w:rPr>
                <w:sz w:val="20"/>
                <w:szCs w:val="20"/>
              </w:rPr>
            </w:pPr>
            <w:r w:rsidRPr="00BC274C">
              <w:rPr>
                <w:sz w:val="20"/>
                <w:szCs w:val="20"/>
              </w:rPr>
              <w:t>Metropolitan </w:t>
            </w:r>
            <w:proofErr w:type="gramStart"/>
            <w:r w:rsidRPr="00BC274C">
              <w:rPr>
                <w:sz w:val="20"/>
                <w:szCs w:val="20"/>
              </w:rPr>
              <w:t>South</w:t>
            </w:r>
            <w:r>
              <w:rPr>
                <w:sz w:val="20"/>
                <w:szCs w:val="20"/>
              </w:rPr>
              <w:t xml:space="preserve"> </w:t>
            </w:r>
            <w:r w:rsidRPr="00BC274C">
              <w:rPr>
                <w:sz w:val="20"/>
                <w:szCs w:val="20"/>
              </w:rPr>
              <w:t>West</w:t>
            </w:r>
            <w:proofErr w:type="gramEnd"/>
            <w:r w:rsidRPr="00BC274C">
              <w:rPr>
                <w:sz w:val="20"/>
                <w:szCs w:val="20"/>
              </w:rPr>
              <w:t>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1F3A7C7" w14:textId="77777777" w:rsidR="003571E3" w:rsidRPr="00D63D49" w:rsidRDefault="003571E3" w:rsidP="000C3F2A">
            <w:pPr>
              <w:pStyle w:val="TableTitle"/>
              <w:jc w:val="right"/>
              <w:rPr>
                <w:sz w:val="20"/>
                <w:szCs w:val="20"/>
              </w:rPr>
            </w:pPr>
            <w:r w:rsidRPr="00D63D49">
              <w:rPr>
                <w:rFonts w:cs="Arial"/>
                <w:color w:val="000000"/>
                <w:sz w:val="20"/>
                <w:szCs w:val="20"/>
              </w:rPr>
              <w:t>335</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B785A21" w14:textId="77777777" w:rsidR="003571E3" w:rsidRPr="00D63D49" w:rsidRDefault="003571E3" w:rsidP="000C3F2A">
            <w:pPr>
              <w:pStyle w:val="TableTitle"/>
              <w:jc w:val="right"/>
              <w:rPr>
                <w:sz w:val="20"/>
                <w:szCs w:val="20"/>
              </w:rPr>
            </w:pPr>
            <w:r w:rsidRPr="00D63D49">
              <w:rPr>
                <w:rFonts w:cs="Arial"/>
                <w:color w:val="000000"/>
                <w:sz w:val="20"/>
                <w:szCs w:val="20"/>
              </w:rPr>
              <w:t>11</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3267FDA" w14:textId="77777777" w:rsidR="003571E3" w:rsidRPr="00D63D49" w:rsidRDefault="003571E3" w:rsidP="000C3F2A">
            <w:pPr>
              <w:pStyle w:val="TableTitle"/>
              <w:jc w:val="right"/>
              <w:rPr>
                <w:sz w:val="20"/>
                <w:szCs w:val="20"/>
              </w:rPr>
            </w:pPr>
            <w:r w:rsidRPr="00D63D49">
              <w:rPr>
                <w:rFonts w:cs="Arial"/>
                <w:color w:val="000000"/>
                <w:sz w:val="20"/>
                <w:szCs w:val="20"/>
              </w:rPr>
              <w:t>298</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7039C32" w14:textId="77777777" w:rsidR="003571E3" w:rsidRPr="00D63D49" w:rsidRDefault="003571E3" w:rsidP="000C3F2A">
            <w:pPr>
              <w:pStyle w:val="TableTitle"/>
              <w:jc w:val="right"/>
              <w:rPr>
                <w:sz w:val="20"/>
                <w:szCs w:val="20"/>
              </w:rPr>
            </w:pPr>
            <w:r w:rsidRPr="00D63D49">
              <w:rPr>
                <w:rFonts w:cs="Arial"/>
                <w:color w:val="000000"/>
                <w:sz w:val="20"/>
                <w:szCs w:val="20"/>
              </w:rPr>
              <w:t>10</w:t>
            </w:r>
          </w:p>
        </w:tc>
      </w:tr>
      <w:tr w:rsidR="003571E3" w:rsidRPr="00BC274C" w14:paraId="0FEB034C" w14:textId="77777777" w:rsidTr="000C531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6703C637" w14:textId="6DE7CDA7" w:rsidR="003571E3" w:rsidRPr="00BC274C" w:rsidRDefault="003571E3" w:rsidP="000C3F2A">
            <w:pPr>
              <w:pStyle w:val="TableTitle"/>
              <w:rPr>
                <w:sz w:val="20"/>
                <w:szCs w:val="20"/>
              </w:rPr>
            </w:pPr>
            <w:proofErr w:type="spellStart"/>
            <w:r w:rsidRPr="00BC274C">
              <w:rPr>
                <w:sz w:val="20"/>
                <w:szCs w:val="20"/>
              </w:rPr>
              <w:t>Mid West</w:t>
            </w:r>
            <w:proofErr w:type="spellEnd"/>
            <w:r w:rsidRPr="00BC274C">
              <w:rPr>
                <w:sz w:val="20"/>
                <w:szCs w:val="20"/>
              </w:rPr>
              <w:t>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6D80BBE" w14:textId="77777777" w:rsidR="003571E3" w:rsidRPr="00D63D49" w:rsidRDefault="003571E3" w:rsidP="000C3F2A">
            <w:pPr>
              <w:pStyle w:val="TableTitle"/>
              <w:jc w:val="right"/>
              <w:rPr>
                <w:sz w:val="20"/>
                <w:szCs w:val="20"/>
              </w:rPr>
            </w:pPr>
            <w:r w:rsidRPr="00D63D49">
              <w:rPr>
                <w:rFonts w:cs="Arial"/>
                <w:color w:val="000000"/>
                <w:sz w:val="20"/>
                <w:szCs w:val="20"/>
              </w:rPr>
              <w:t>326</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94730BE" w14:textId="77777777" w:rsidR="003571E3" w:rsidRPr="00D63D49" w:rsidRDefault="003571E3" w:rsidP="000C3F2A">
            <w:pPr>
              <w:pStyle w:val="TableTitle"/>
              <w:jc w:val="right"/>
              <w:rPr>
                <w:sz w:val="20"/>
                <w:szCs w:val="20"/>
              </w:rPr>
            </w:pPr>
            <w:r w:rsidRPr="00D63D49">
              <w:rPr>
                <w:rFonts w:cs="Arial"/>
                <w:color w:val="000000"/>
                <w:sz w:val="20"/>
                <w:szCs w:val="20"/>
              </w:rPr>
              <w:t>11</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B25D61F" w14:textId="77777777" w:rsidR="003571E3" w:rsidRPr="00D63D49" w:rsidRDefault="003571E3" w:rsidP="000C3F2A">
            <w:pPr>
              <w:pStyle w:val="TableTitle"/>
              <w:jc w:val="right"/>
              <w:rPr>
                <w:sz w:val="20"/>
                <w:szCs w:val="20"/>
              </w:rPr>
            </w:pPr>
            <w:r w:rsidRPr="00D63D49">
              <w:rPr>
                <w:rFonts w:cs="Arial"/>
                <w:color w:val="000000"/>
                <w:sz w:val="20"/>
                <w:szCs w:val="20"/>
              </w:rPr>
              <w:t>293</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59428B9" w14:textId="77777777" w:rsidR="003571E3" w:rsidRPr="00D63D49" w:rsidRDefault="003571E3" w:rsidP="000C3F2A">
            <w:pPr>
              <w:pStyle w:val="TableTitle"/>
              <w:jc w:val="right"/>
              <w:rPr>
                <w:sz w:val="20"/>
                <w:szCs w:val="20"/>
              </w:rPr>
            </w:pPr>
            <w:r w:rsidRPr="00D63D49">
              <w:rPr>
                <w:rFonts w:cs="Arial"/>
                <w:color w:val="000000"/>
                <w:sz w:val="20"/>
                <w:szCs w:val="20"/>
              </w:rPr>
              <w:t>10</w:t>
            </w:r>
          </w:p>
        </w:tc>
      </w:tr>
      <w:tr w:rsidR="003571E3" w:rsidRPr="00BC274C" w14:paraId="744C7B74" w14:textId="77777777" w:rsidTr="000C531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45EA3607" w14:textId="78D7723F" w:rsidR="003571E3" w:rsidRPr="00BC274C" w:rsidRDefault="003571E3" w:rsidP="000C3F2A">
            <w:pPr>
              <w:pStyle w:val="TableTitle"/>
              <w:rPr>
                <w:sz w:val="20"/>
                <w:szCs w:val="20"/>
              </w:rPr>
            </w:pPr>
            <w:r w:rsidRPr="00BC274C">
              <w:rPr>
                <w:sz w:val="20"/>
                <w:szCs w:val="20"/>
              </w:rPr>
              <w:t>Pilbara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52785F5" w14:textId="77777777" w:rsidR="003571E3" w:rsidRPr="00D63D49" w:rsidRDefault="003571E3" w:rsidP="000C3F2A">
            <w:pPr>
              <w:pStyle w:val="TableTitle"/>
              <w:jc w:val="right"/>
              <w:rPr>
                <w:sz w:val="20"/>
                <w:szCs w:val="20"/>
              </w:rPr>
            </w:pPr>
            <w:r w:rsidRPr="00D63D49">
              <w:rPr>
                <w:rFonts w:cs="Arial"/>
                <w:color w:val="000000"/>
                <w:sz w:val="20"/>
                <w:szCs w:val="20"/>
              </w:rPr>
              <w:t>285</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84AD28F" w14:textId="77777777" w:rsidR="003571E3" w:rsidRPr="00D63D49" w:rsidRDefault="003571E3" w:rsidP="000C3F2A">
            <w:pPr>
              <w:pStyle w:val="TableTitle"/>
              <w:jc w:val="right"/>
              <w:rPr>
                <w:sz w:val="20"/>
                <w:szCs w:val="20"/>
              </w:rPr>
            </w:pPr>
            <w:r w:rsidRPr="00D63D49">
              <w:rPr>
                <w:rFonts w:cs="Arial"/>
                <w:color w:val="000000"/>
                <w:sz w:val="20"/>
                <w:szCs w:val="20"/>
              </w:rPr>
              <w:t>10</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97C8787" w14:textId="77777777" w:rsidR="003571E3" w:rsidRPr="00D63D49" w:rsidRDefault="003571E3" w:rsidP="000C3F2A">
            <w:pPr>
              <w:pStyle w:val="TableTitle"/>
              <w:jc w:val="right"/>
              <w:rPr>
                <w:sz w:val="20"/>
                <w:szCs w:val="20"/>
              </w:rPr>
            </w:pPr>
            <w:r w:rsidRPr="00D63D49">
              <w:rPr>
                <w:rFonts w:cs="Arial"/>
                <w:color w:val="000000"/>
                <w:sz w:val="20"/>
                <w:szCs w:val="20"/>
              </w:rPr>
              <w:t>231</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967F5C7" w14:textId="77777777" w:rsidR="003571E3" w:rsidRPr="00D63D49" w:rsidRDefault="003571E3" w:rsidP="000C3F2A">
            <w:pPr>
              <w:pStyle w:val="TableTitle"/>
              <w:jc w:val="right"/>
              <w:rPr>
                <w:sz w:val="20"/>
                <w:szCs w:val="20"/>
              </w:rPr>
            </w:pPr>
            <w:r w:rsidRPr="00D63D49">
              <w:rPr>
                <w:rFonts w:cs="Arial"/>
                <w:color w:val="000000"/>
                <w:sz w:val="20"/>
                <w:szCs w:val="20"/>
              </w:rPr>
              <w:t>8</w:t>
            </w:r>
          </w:p>
        </w:tc>
      </w:tr>
      <w:tr w:rsidR="003571E3" w:rsidRPr="00BC274C" w14:paraId="7F15954F" w14:textId="77777777" w:rsidTr="000C531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3528F8C4" w14:textId="4544539F" w:rsidR="003571E3" w:rsidRPr="00BC274C" w:rsidRDefault="003571E3" w:rsidP="000C3F2A">
            <w:pPr>
              <w:pStyle w:val="TableTitle"/>
              <w:rPr>
                <w:sz w:val="20"/>
                <w:szCs w:val="20"/>
              </w:rPr>
            </w:pPr>
            <w:proofErr w:type="gramStart"/>
            <w:r w:rsidRPr="00BC274C">
              <w:rPr>
                <w:sz w:val="20"/>
                <w:szCs w:val="20"/>
              </w:rPr>
              <w:t>South West</w:t>
            </w:r>
            <w:proofErr w:type="gramEnd"/>
            <w:r w:rsidRPr="00BC274C">
              <w:rPr>
                <w:sz w:val="20"/>
                <w:szCs w:val="20"/>
              </w:rPr>
              <w:t>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FDC5921" w14:textId="77777777" w:rsidR="003571E3" w:rsidRPr="00D63D49" w:rsidRDefault="003571E3" w:rsidP="000C3F2A">
            <w:pPr>
              <w:pStyle w:val="TableTitle"/>
              <w:jc w:val="right"/>
              <w:rPr>
                <w:sz w:val="20"/>
                <w:szCs w:val="20"/>
              </w:rPr>
            </w:pPr>
            <w:r w:rsidRPr="00D63D49">
              <w:rPr>
                <w:rFonts w:cs="Arial"/>
                <w:color w:val="000000"/>
                <w:sz w:val="20"/>
                <w:szCs w:val="20"/>
              </w:rPr>
              <w:t>364</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35456B3" w14:textId="77777777" w:rsidR="003571E3" w:rsidRPr="00D63D49" w:rsidRDefault="003571E3" w:rsidP="000C3F2A">
            <w:pPr>
              <w:pStyle w:val="TableTitle"/>
              <w:jc w:val="right"/>
              <w:rPr>
                <w:sz w:val="20"/>
                <w:szCs w:val="20"/>
              </w:rPr>
            </w:pPr>
            <w:r w:rsidRPr="00D63D49">
              <w:rPr>
                <w:rFonts w:cs="Arial"/>
                <w:color w:val="000000"/>
                <w:sz w:val="20"/>
                <w:szCs w:val="20"/>
              </w:rPr>
              <w:t>12</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58EF9DB" w14:textId="77777777" w:rsidR="003571E3" w:rsidRPr="00D63D49" w:rsidRDefault="003571E3" w:rsidP="000C3F2A">
            <w:pPr>
              <w:pStyle w:val="TableTitle"/>
              <w:jc w:val="right"/>
              <w:rPr>
                <w:sz w:val="20"/>
                <w:szCs w:val="20"/>
              </w:rPr>
            </w:pPr>
            <w:r w:rsidRPr="00D63D49">
              <w:rPr>
                <w:rFonts w:cs="Arial"/>
                <w:color w:val="000000"/>
                <w:sz w:val="20"/>
                <w:szCs w:val="20"/>
              </w:rPr>
              <w:t>331</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913FE75" w14:textId="77777777" w:rsidR="003571E3" w:rsidRPr="00D63D49" w:rsidRDefault="003571E3" w:rsidP="000C3F2A">
            <w:pPr>
              <w:pStyle w:val="TableTitle"/>
              <w:jc w:val="right"/>
              <w:rPr>
                <w:sz w:val="20"/>
                <w:szCs w:val="20"/>
              </w:rPr>
            </w:pPr>
            <w:r w:rsidRPr="00D63D49">
              <w:rPr>
                <w:rFonts w:cs="Arial"/>
                <w:color w:val="000000"/>
                <w:sz w:val="20"/>
                <w:szCs w:val="20"/>
              </w:rPr>
              <w:t>11</w:t>
            </w:r>
          </w:p>
        </w:tc>
      </w:tr>
      <w:tr w:rsidR="003571E3" w:rsidRPr="00BC274C" w14:paraId="2B981A1C" w14:textId="77777777" w:rsidTr="000C531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7A0DEA7C" w14:textId="27C68400" w:rsidR="003571E3" w:rsidRPr="00BC274C" w:rsidRDefault="003571E3" w:rsidP="000C3F2A">
            <w:pPr>
              <w:pStyle w:val="TableTitle"/>
              <w:rPr>
                <w:sz w:val="20"/>
                <w:szCs w:val="20"/>
              </w:rPr>
            </w:pPr>
            <w:r w:rsidRPr="00BC274C">
              <w:rPr>
                <w:sz w:val="20"/>
                <w:szCs w:val="20"/>
              </w:rPr>
              <w:t>Wheatbelt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2E9A1BE" w14:textId="77777777" w:rsidR="003571E3" w:rsidRPr="00D63D49" w:rsidRDefault="003571E3" w:rsidP="000C3F2A">
            <w:pPr>
              <w:pStyle w:val="TableTitle"/>
              <w:jc w:val="right"/>
              <w:rPr>
                <w:sz w:val="20"/>
                <w:szCs w:val="20"/>
              </w:rPr>
            </w:pPr>
            <w:r w:rsidRPr="00D63D49">
              <w:rPr>
                <w:rFonts w:cs="Arial"/>
                <w:color w:val="000000"/>
                <w:sz w:val="20"/>
                <w:szCs w:val="20"/>
              </w:rPr>
              <w:t>258</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7EEB1E4" w14:textId="77777777" w:rsidR="003571E3" w:rsidRPr="00D63D49" w:rsidRDefault="003571E3" w:rsidP="000C3F2A">
            <w:pPr>
              <w:pStyle w:val="TableTitle"/>
              <w:jc w:val="right"/>
              <w:rPr>
                <w:sz w:val="20"/>
                <w:szCs w:val="20"/>
              </w:rPr>
            </w:pPr>
            <w:r w:rsidRPr="00D63D49">
              <w:rPr>
                <w:rFonts w:cs="Arial"/>
                <w:color w:val="000000"/>
                <w:sz w:val="20"/>
                <w:szCs w:val="20"/>
              </w:rPr>
              <w:t>9</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B2B56B0" w14:textId="77777777" w:rsidR="003571E3" w:rsidRPr="00D63D49" w:rsidRDefault="003571E3" w:rsidP="000C3F2A">
            <w:pPr>
              <w:pStyle w:val="TableTitle"/>
              <w:jc w:val="right"/>
              <w:rPr>
                <w:sz w:val="20"/>
                <w:szCs w:val="20"/>
              </w:rPr>
            </w:pPr>
            <w:r w:rsidRPr="00D63D49">
              <w:rPr>
                <w:rFonts w:cs="Arial"/>
                <w:color w:val="000000"/>
                <w:sz w:val="20"/>
                <w:szCs w:val="20"/>
              </w:rPr>
              <w:t>219</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8A98D22" w14:textId="77777777" w:rsidR="003571E3" w:rsidRPr="00D63D49" w:rsidRDefault="003571E3" w:rsidP="000C3F2A">
            <w:pPr>
              <w:pStyle w:val="TableTitle"/>
              <w:jc w:val="right"/>
              <w:rPr>
                <w:sz w:val="20"/>
                <w:szCs w:val="20"/>
              </w:rPr>
            </w:pPr>
            <w:r w:rsidRPr="00D63D49">
              <w:rPr>
                <w:rFonts w:cs="Arial"/>
                <w:color w:val="000000"/>
                <w:sz w:val="20"/>
                <w:szCs w:val="20"/>
              </w:rPr>
              <w:t>7</w:t>
            </w:r>
          </w:p>
        </w:tc>
      </w:tr>
      <w:tr w:rsidR="003571E3" w:rsidRPr="00BC274C" w14:paraId="6EC0ECD0" w14:textId="77777777" w:rsidTr="000C531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052E65F6" w14:textId="1CCFC93F" w:rsidR="003571E3" w:rsidRPr="00BC274C" w:rsidRDefault="003571E3" w:rsidP="000C3F2A">
            <w:pPr>
              <w:pStyle w:val="TableTitle"/>
              <w:rPr>
                <w:sz w:val="20"/>
                <w:szCs w:val="20"/>
              </w:rPr>
            </w:pPr>
            <w:r w:rsidRPr="00BC274C">
              <w:rPr>
                <w:sz w:val="20"/>
                <w:szCs w:val="20"/>
              </w:rPr>
              <w:t>Indian Ocean Territories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00A5446" w14:textId="77777777" w:rsidR="003571E3" w:rsidRPr="00D63D49" w:rsidRDefault="003571E3" w:rsidP="000C3F2A">
            <w:pPr>
              <w:pStyle w:val="TableTitle"/>
              <w:jc w:val="right"/>
              <w:rPr>
                <w:sz w:val="20"/>
                <w:szCs w:val="20"/>
              </w:rPr>
            </w:pPr>
            <w:r w:rsidRPr="00D63D49">
              <w:rPr>
                <w:rFonts w:cs="Arial"/>
                <w:color w:val="000000"/>
                <w:sz w:val="20"/>
                <w:szCs w:val="20"/>
              </w:rPr>
              <w:t>-</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74FED55" w14:textId="77777777" w:rsidR="003571E3" w:rsidRPr="00D63D49" w:rsidRDefault="003571E3" w:rsidP="000C3F2A">
            <w:pPr>
              <w:pStyle w:val="TableTitle"/>
              <w:jc w:val="right"/>
              <w:rPr>
                <w:sz w:val="20"/>
                <w:szCs w:val="20"/>
              </w:rPr>
            </w:pPr>
            <w:r w:rsidRPr="00D63D49">
              <w:rPr>
                <w:rFonts w:cs="Arial"/>
                <w:color w:val="000000"/>
                <w:sz w:val="20"/>
                <w:szCs w:val="20"/>
              </w:rPr>
              <w:t>-</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0507893" w14:textId="77777777" w:rsidR="003571E3" w:rsidRPr="00D63D49" w:rsidRDefault="003571E3" w:rsidP="000C3F2A">
            <w:pPr>
              <w:pStyle w:val="TableTitle"/>
              <w:jc w:val="right"/>
              <w:rPr>
                <w:sz w:val="20"/>
                <w:szCs w:val="20"/>
              </w:rPr>
            </w:pPr>
            <w:r w:rsidRPr="00D63D49">
              <w:rPr>
                <w:rFonts w:cs="Arial"/>
                <w:color w:val="000000"/>
                <w:sz w:val="20"/>
                <w:szCs w:val="20"/>
              </w:rPr>
              <w:t>-</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A2E56B3" w14:textId="77777777" w:rsidR="003571E3" w:rsidRPr="00D63D49" w:rsidRDefault="003571E3" w:rsidP="000C3F2A">
            <w:pPr>
              <w:pStyle w:val="TableTitle"/>
              <w:jc w:val="right"/>
              <w:rPr>
                <w:sz w:val="20"/>
                <w:szCs w:val="20"/>
              </w:rPr>
            </w:pPr>
            <w:r w:rsidRPr="00D63D49">
              <w:rPr>
                <w:rFonts w:cs="Arial"/>
                <w:color w:val="000000"/>
                <w:sz w:val="20"/>
                <w:szCs w:val="20"/>
              </w:rPr>
              <w:t>-</w:t>
            </w:r>
          </w:p>
        </w:tc>
      </w:tr>
    </w:tbl>
    <w:p w14:paraId="7A49D4F4" w14:textId="77777777" w:rsidR="003571E3" w:rsidRPr="005341BB" w:rsidRDefault="003571E3" w:rsidP="003571E3">
      <w:pPr>
        <w:rPr>
          <w:sz w:val="18"/>
          <w:szCs w:val="20"/>
        </w:rPr>
      </w:pPr>
      <w:r w:rsidRPr="005341BB">
        <w:rPr>
          <w:sz w:val="18"/>
          <w:szCs w:val="20"/>
        </w:rPr>
        <w:t>Please note: a dash (-), reflects insufficient data was available to generate an average/median due to less than 10 relevant commencements.</w:t>
      </w:r>
    </w:p>
    <w:p w14:paraId="5960EE9A" w14:textId="77777777" w:rsidR="00C211D5" w:rsidRDefault="00C211D5">
      <w:pPr>
        <w:spacing w:before="0" w:after="0" w:line="240" w:lineRule="auto"/>
        <w:rPr>
          <w:b/>
          <w:bCs/>
          <w:i/>
          <w:color w:val="358189" w:themeColor="accent2"/>
          <w:sz w:val="28"/>
          <w:szCs w:val="28"/>
        </w:rPr>
      </w:pPr>
      <w:r>
        <w:br w:type="page"/>
      </w:r>
    </w:p>
    <w:p w14:paraId="381803C9" w14:textId="373723B0" w:rsidR="003571E3" w:rsidRDefault="003571E3" w:rsidP="0031040B">
      <w:pPr>
        <w:pStyle w:val="Heading3"/>
      </w:pPr>
      <w:bookmarkStart w:id="47" w:name="_Toc229480677"/>
      <w:r>
        <w:lastRenderedPageBreak/>
        <w:t>South Australia</w:t>
      </w:r>
      <w:bookmarkEnd w:id="47"/>
      <w:r>
        <w:t xml:space="preserve"> </w:t>
      </w:r>
    </w:p>
    <w:p w14:paraId="0C56170E" w14:textId="77777777" w:rsidR="003571E3" w:rsidRDefault="003571E3" w:rsidP="0031040B">
      <w:pPr>
        <w:pStyle w:val="Heading4"/>
      </w:pPr>
      <w:bookmarkStart w:id="48" w:name="_Toc229480678"/>
      <w:r>
        <w:t xml:space="preserve">Table 10: </w:t>
      </w:r>
      <w:r w:rsidRPr="0049270B">
        <w:t>Average (avg)</w:t>
      </w:r>
      <w:r>
        <w:t>/Median</w:t>
      </w:r>
      <w:r w:rsidRPr="0049270B">
        <w:t xml:space="preserve"> (</w:t>
      </w:r>
      <w:proofErr w:type="spellStart"/>
      <w:r w:rsidRPr="0049270B">
        <w:t>mdn</w:t>
      </w:r>
      <w:proofErr w:type="spellEnd"/>
      <w:r w:rsidRPr="0049270B">
        <w:t xml:space="preserve">) </w:t>
      </w:r>
      <w:r>
        <w:t>n</w:t>
      </w:r>
      <w:r w:rsidRPr="0049270B">
        <w:t>umber of days</w:t>
      </w:r>
      <w:r w:rsidRPr="00001B70">
        <w:t>/months</w:t>
      </w:r>
      <w:r w:rsidRPr="0049270B">
        <w:t xml:space="preserve"> between an application for aged care and service commencement </w:t>
      </w:r>
      <w:r w:rsidRPr="00001B70">
        <w:t>for services commenced</w:t>
      </w:r>
      <w:r w:rsidRPr="0049270B">
        <w:t xml:space="preserve"> </w:t>
      </w:r>
      <w:r>
        <w:t>in</w:t>
      </w:r>
      <w:r w:rsidRPr="0049270B">
        <w:t xml:space="preserve"> </w:t>
      </w:r>
      <w:r>
        <w:t>the reporting period.</w:t>
      </w:r>
      <w:bookmarkEnd w:id="48"/>
    </w:p>
    <w:tbl>
      <w:tblPr>
        <w:tblW w:w="477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9"/>
        <w:gridCol w:w="1525"/>
        <w:gridCol w:w="1525"/>
        <w:gridCol w:w="1525"/>
        <w:gridCol w:w="1525"/>
      </w:tblGrid>
      <w:tr w:rsidR="003571E3" w:rsidRPr="005315FD" w14:paraId="0234436F" w14:textId="77777777" w:rsidTr="000C3F2A">
        <w:trPr>
          <w:trHeight w:val="369"/>
          <w:tblHeader/>
        </w:trPr>
        <w:tc>
          <w:tcPr>
            <w:tcW w:w="141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5DBF302D" w14:textId="77777777" w:rsidR="003571E3" w:rsidRPr="005315FD" w:rsidRDefault="003571E3" w:rsidP="000C3F2A">
            <w:pPr>
              <w:pStyle w:val="TableTitle"/>
              <w:rPr>
                <w:color w:val="FFFFFF" w:themeColor="background1"/>
                <w:sz w:val="20"/>
                <w:szCs w:val="20"/>
              </w:rPr>
            </w:pPr>
            <w:r>
              <w:rPr>
                <w:color w:val="FFFFFF" w:themeColor="background1"/>
                <w:sz w:val="20"/>
                <w:szCs w:val="20"/>
              </w:rPr>
              <w:t xml:space="preserve">  </w:t>
            </w:r>
            <w:r w:rsidRPr="005315FD">
              <w:rPr>
                <w:color w:val="FFFFFF" w:themeColor="background1"/>
                <w:sz w:val="20"/>
                <w:szCs w:val="20"/>
              </w:rPr>
              <w:t>Region </w:t>
            </w:r>
          </w:p>
        </w:tc>
        <w:tc>
          <w:tcPr>
            <w:tcW w:w="89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0AA8221E" w14:textId="77777777" w:rsidR="003571E3" w:rsidRPr="005315FD" w:rsidRDefault="003571E3" w:rsidP="000C3F2A">
            <w:pPr>
              <w:pStyle w:val="TableTitle"/>
              <w:jc w:val="right"/>
              <w:rPr>
                <w:color w:val="FFFFFF" w:themeColor="background1"/>
                <w:sz w:val="20"/>
                <w:szCs w:val="20"/>
              </w:rPr>
            </w:pPr>
            <w:r w:rsidRPr="005315FD">
              <w:rPr>
                <w:color w:val="FFFFFF" w:themeColor="background1"/>
                <w:sz w:val="20"/>
                <w:szCs w:val="20"/>
              </w:rPr>
              <w:t>Avg (days) </w:t>
            </w:r>
          </w:p>
        </w:tc>
        <w:tc>
          <w:tcPr>
            <w:tcW w:w="89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6F317E5C" w14:textId="77777777" w:rsidR="003571E3" w:rsidRPr="005315FD" w:rsidRDefault="003571E3" w:rsidP="000C3F2A">
            <w:pPr>
              <w:pStyle w:val="TableTitle"/>
              <w:jc w:val="right"/>
              <w:rPr>
                <w:color w:val="FFFFFF" w:themeColor="background1"/>
                <w:sz w:val="20"/>
                <w:szCs w:val="20"/>
              </w:rPr>
            </w:pPr>
            <w:r w:rsidRPr="005315FD">
              <w:rPr>
                <w:color w:val="FFFFFF" w:themeColor="background1"/>
                <w:sz w:val="20"/>
                <w:szCs w:val="20"/>
              </w:rPr>
              <w:t>Avg (months) </w:t>
            </w:r>
          </w:p>
        </w:tc>
        <w:tc>
          <w:tcPr>
            <w:tcW w:w="89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58C988BB" w14:textId="77777777" w:rsidR="003571E3" w:rsidRPr="005315FD" w:rsidRDefault="003571E3" w:rsidP="000C3F2A">
            <w:pPr>
              <w:pStyle w:val="TableTitle"/>
              <w:jc w:val="right"/>
              <w:rPr>
                <w:color w:val="FFFFFF" w:themeColor="background1"/>
                <w:sz w:val="20"/>
                <w:szCs w:val="20"/>
              </w:rPr>
            </w:pPr>
            <w:r w:rsidRPr="005315FD">
              <w:rPr>
                <w:color w:val="FFFFFF" w:themeColor="background1"/>
                <w:sz w:val="20"/>
                <w:szCs w:val="20"/>
              </w:rPr>
              <w:t>Mdn (days) </w:t>
            </w:r>
          </w:p>
        </w:tc>
        <w:tc>
          <w:tcPr>
            <w:tcW w:w="896" w:type="pct"/>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468F4AC5" w14:textId="77777777" w:rsidR="003571E3" w:rsidRPr="005315FD" w:rsidRDefault="003571E3" w:rsidP="000C3F2A">
            <w:pPr>
              <w:pStyle w:val="TableTitle"/>
              <w:jc w:val="right"/>
              <w:rPr>
                <w:color w:val="FFFFFF" w:themeColor="background1"/>
                <w:sz w:val="20"/>
                <w:szCs w:val="20"/>
              </w:rPr>
            </w:pPr>
            <w:r w:rsidRPr="005315FD">
              <w:rPr>
                <w:color w:val="FFFFFF" w:themeColor="background1"/>
                <w:sz w:val="20"/>
                <w:szCs w:val="20"/>
              </w:rPr>
              <w:t>Mdn (months) </w:t>
            </w:r>
          </w:p>
        </w:tc>
      </w:tr>
      <w:tr w:rsidR="003571E3" w:rsidRPr="005315FD" w14:paraId="22CE5DD3" w14:textId="77777777" w:rsidTr="002A386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2A0BA0F7" w14:textId="0919CD20" w:rsidR="003571E3" w:rsidRPr="005315FD" w:rsidRDefault="003571E3" w:rsidP="000C3F2A">
            <w:pPr>
              <w:pStyle w:val="TableTitle"/>
              <w:rPr>
                <w:bCs/>
                <w:sz w:val="20"/>
                <w:szCs w:val="20"/>
              </w:rPr>
            </w:pPr>
            <w:r w:rsidRPr="005315FD">
              <w:rPr>
                <w:bCs/>
                <w:sz w:val="20"/>
                <w:szCs w:val="20"/>
              </w:rPr>
              <w:t>Eyre Peninsula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B2ADA95" w14:textId="77777777" w:rsidR="003571E3" w:rsidRPr="00ED61E1" w:rsidRDefault="003571E3" w:rsidP="000C3F2A">
            <w:pPr>
              <w:pStyle w:val="TableTitle"/>
              <w:jc w:val="right"/>
              <w:rPr>
                <w:sz w:val="20"/>
                <w:szCs w:val="20"/>
              </w:rPr>
            </w:pPr>
            <w:r w:rsidRPr="00ED61E1">
              <w:rPr>
                <w:rFonts w:cs="Arial"/>
                <w:color w:val="000000"/>
                <w:sz w:val="20"/>
                <w:szCs w:val="20"/>
              </w:rPr>
              <w:t>382</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6104F1C" w14:textId="77777777" w:rsidR="003571E3" w:rsidRPr="00ED61E1" w:rsidRDefault="003571E3" w:rsidP="000C3F2A">
            <w:pPr>
              <w:pStyle w:val="TableTitle"/>
              <w:jc w:val="right"/>
              <w:rPr>
                <w:sz w:val="20"/>
                <w:szCs w:val="20"/>
              </w:rPr>
            </w:pPr>
            <w:r w:rsidRPr="00ED61E1">
              <w:rPr>
                <w:rFonts w:cs="Arial"/>
                <w:color w:val="000000"/>
                <w:sz w:val="20"/>
                <w:szCs w:val="20"/>
              </w:rPr>
              <w:t>13</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AB7BBDD" w14:textId="77777777" w:rsidR="003571E3" w:rsidRPr="00ED61E1" w:rsidRDefault="003571E3" w:rsidP="000C3F2A">
            <w:pPr>
              <w:pStyle w:val="TableTitle"/>
              <w:jc w:val="right"/>
              <w:rPr>
                <w:sz w:val="20"/>
                <w:szCs w:val="20"/>
              </w:rPr>
            </w:pPr>
            <w:r w:rsidRPr="00ED61E1">
              <w:rPr>
                <w:rFonts w:cs="Arial"/>
                <w:color w:val="000000"/>
                <w:sz w:val="20"/>
                <w:szCs w:val="20"/>
              </w:rPr>
              <w:t>277</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5AEED32" w14:textId="77777777" w:rsidR="003571E3" w:rsidRPr="00ED61E1" w:rsidRDefault="003571E3" w:rsidP="000C3F2A">
            <w:pPr>
              <w:pStyle w:val="TableTitle"/>
              <w:jc w:val="right"/>
              <w:rPr>
                <w:sz w:val="20"/>
                <w:szCs w:val="20"/>
              </w:rPr>
            </w:pPr>
            <w:r w:rsidRPr="00ED61E1">
              <w:rPr>
                <w:rFonts w:cs="Arial"/>
                <w:color w:val="000000"/>
                <w:sz w:val="20"/>
                <w:szCs w:val="20"/>
              </w:rPr>
              <w:t>9</w:t>
            </w:r>
          </w:p>
        </w:tc>
      </w:tr>
      <w:tr w:rsidR="003571E3" w:rsidRPr="005315FD" w14:paraId="3A91B9CE" w14:textId="77777777" w:rsidTr="002A386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61F22624" w14:textId="2C935E1F" w:rsidR="003571E3" w:rsidRPr="005315FD" w:rsidRDefault="003571E3" w:rsidP="000C3F2A">
            <w:pPr>
              <w:pStyle w:val="TableTitle"/>
              <w:rPr>
                <w:bCs/>
                <w:sz w:val="20"/>
                <w:szCs w:val="20"/>
              </w:rPr>
            </w:pPr>
            <w:r w:rsidRPr="005315FD">
              <w:rPr>
                <w:bCs/>
                <w:sz w:val="20"/>
                <w:szCs w:val="20"/>
              </w:rPr>
              <w:t>Flinders &amp; Far North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1AE1FA7" w14:textId="77777777" w:rsidR="003571E3" w:rsidRPr="00ED61E1" w:rsidRDefault="003571E3" w:rsidP="000C3F2A">
            <w:pPr>
              <w:pStyle w:val="TableTitle"/>
              <w:jc w:val="right"/>
              <w:rPr>
                <w:sz w:val="20"/>
                <w:szCs w:val="20"/>
              </w:rPr>
            </w:pPr>
            <w:r w:rsidRPr="00ED61E1">
              <w:rPr>
                <w:rFonts w:cs="Arial"/>
                <w:color w:val="000000"/>
                <w:sz w:val="20"/>
                <w:szCs w:val="20"/>
              </w:rPr>
              <w:t>345</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00104B6" w14:textId="77777777" w:rsidR="003571E3" w:rsidRPr="00ED61E1" w:rsidRDefault="003571E3" w:rsidP="000C3F2A">
            <w:pPr>
              <w:pStyle w:val="TableTitle"/>
              <w:jc w:val="right"/>
              <w:rPr>
                <w:sz w:val="20"/>
                <w:szCs w:val="20"/>
              </w:rPr>
            </w:pPr>
            <w:r w:rsidRPr="00ED61E1">
              <w:rPr>
                <w:rFonts w:cs="Arial"/>
                <w:color w:val="000000"/>
                <w:sz w:val="20"/>
                <w:szCs w:val="20"/>
              </w:rPr>
              <w:t>12</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21E990D" w14:textId="77777777" w:rsidR="003571E3" w:rsidRPr="00ED61E1" w:rsidRDefault="003571E3" w:rsidP="000C3F2A">
            <w:pPr>
              <w:pStyle w:val="TableTitle"/>
              <w:jc w:val="right"/>
              <w:rPr>
                <w:sz w:val="20"/>
                <w:szCs w:val="20"/>
              </w:rPr>
            </w:pPr>
            <w:r w:rsidRPr="00ED61E1">
              <w:rPr>
                <w:rFonts w:cs="Arial"/>
                <w:color w:val="000000"/>
                <w:sz w:val="20"/>
                <w:szCs w:val="20"/>
              </w:rPr>
              <w:t>200</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AE266E1" w14:textId="77777777" w:rsidR="003571E3" w:rsidRPr="00ED61E1" w:rsidRDefault="003571E3" w:rsidP="000C3F2A">
            <w:pPr>
              <w:pStyle w:val="TableTitle"/>
              <w:jc w:val="right"/>
              <w:rPr>
                <w:sz w:val="20"/>
                <w:szCs w:val="20"/>
              </w:rPr>
            </w:pPr>
            <w:r w:rsidRPr="00ED61E1">
              <w:rPr>
                <w:rFonts w:cs="Arial"/>
                <w:color w:val="000000"/>
                <w:sz w:val="20"/>
                <w:szCs w:val="20"/>
              </w:rPr>
              <w:t>7</w:t>
            </w:r>
          </w:p>
        </w:tc>
      </w:tr>
      <w:tr w:rsidR="003571E3" w:rsidRPr="005315FD" w14:paraId="53F693C2" w14:textId="77777777" w:rsidTr="002A386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0391D52D" w14:textId="74360C96" w:rsidR="003571E3" w:rsidRPr="005315FD" w:rsidRDefault="003571E3" w:rsidP="000C3F2A">
            <w:pPr>
              <w:pStyle w:val="TableTitle"/>
              <w:rPr>
                <w:bCs/>
                <w:sz w:val="20"/>
                <w:szCs w:val="20"/>
              </w:rPr>
            </w:pPr>
            <w:r w:rsidRPr="005315FD">
              <w:rPr>
                <w:bCs/>
                <w:sz w:val="20"/>
                <w:szCs w:val="20"/>
              </w:rPr>
              <w:t>Hills, Mallee &amp; Southern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CABE1D0" w14:textId="77777777" w:rsidR="003571E3" w:rsidRPr="00ED61E1" w:rsidRDefault="003571E3" w:rsidP="000C3F2A">
            <w:pPr>
              <w:pStyle w:val="TableTitle"/>
              <w:jc w:val="right"/>
              <w:rPr>
                <w:sz w:val="20"/>
                <w:szCs w:val="20"/>
              </w:rPr>
            </w:pPr>
            <w:r w:rsidRPr="00ED61E1">
              <w:rPr>
                <w:rFonts w:cs="Arial"/>
                <w:color w:val="000000"/>
                <w:sz w:val="20"/>
                <w:szCs w:val="20"/>
              </w:rPr>
              <w:t>343</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902A076" w14:textId="77777777" w:rsidR="003571E3" w:rsidRPr="00ED61E1" w:rsidRDefault="003571E3" w:rsidP="000C3F2A">
            <w:pPr>
              <w:pStyle w:val="TableTitle"/>
              <w:jc w:val="right"/>
              <w:rPr>
                <w:sz w:val="20"/>
                <w:szCs w:val="20"/>
              </w:rPr>
            </w:pPr>
            <w:r w:rsidRPr="00ED61E1">
              <w:rPr>
                <w:rFonts w:cs="Arial"/>
                <w:color w:val="000000"/>
                <w:sz w:val="20"/>
                <w:szCs w:val="20"/>
              </w:rPr>
              <w:t>11</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4D295AD" w14:textId="77777777" w:rsidR="003571E3" w:rsidRPr="00ED61E1" w:rsidRDefault="003571E3" w:rsidP="000C3F2A">
            <w:pPr>
              <w:pStyle w:val="TableTitle"/>
              <w:jc w:val="right"/>
              <w:rPr>
                <w:sz w:val="20"/>
                <w:szCs w:val="20"/>
              </w:rPr>
            </w:pPr>
            <w:r w:rsidRPr="00ED61E1">
              <w:rPr>
                <w:rFonts w:cs="Arial"/>
                <w:color w:val="000000"/>
                <w:sz w:val="20"/>
                <w:szCs w:val="20"/>
              </w:rPr>
              <w:t>283</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DC4DA47" w14:textId="77777777" w:rsidR="003571E3" w:rsidRPr="00ED61E1" w:rsidRDefault="003571E3" w:rsidP="000C3F2A">
            <w:pPr>
              <w:pStyle w:val="TableTitle"/>
              <w:jc w:val="right"/>
              <w:rPr>
                <w:sz w:val="20"/>
                <w:szCs w:val="20"/>
              </w:rPr>
            </w:pPr>
            <w:r w:rsidRPr="00ED61E1">
              <w:rPr>
                <w:rFonts w:cs="Arial"/>
                <w:color w:val="000000"/>
                <w:sz w:val="20"/>
                <w:szCs w:val="20"/>
              </w:rPr>
              <w:t>9</w:t>
            </w:r>
          </w:p>
        </w:tc>
      </w:tr>
      <w:tr w:rsidR="003571E3" w:rsidRPr="005315FD" w14:paraId="4AA0959C" w14:textId="77777777" w:rsidTr="002A386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358F5BA2" w14:textId="50506C01" w:rsidR="003571E3" w:rsidRPr="005315FD" w:rsidRDefault="003571E3" w:rsidP="000C3F2A">
            <w:pPr>
              <w:pStyle w:val="TableTitle"/>
              <w:rPr>
                <w:bCs/>
                <w:sz w:val="20"/>
                <w:szCs w:val="20"/>
              </w:rPr>
            </w:pPr>
            <w:r w:rsidRPr="005315FD">
              <w:rPr>
                <w:bCs/>
                <w:sz w:val="20"/>
                <w:szCs w:val="20"/>
              </w:rPr>
              <w:t>Metropolitan East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7BB2DBE" w14:textId="77777777" w:rsidR="003571E3" w:rsidRPr="00ED61E1" w:rsidRDefault="003571E3" w:rsidP="000C3F2A">
            <w:pPr>
              <w:pStyle w:val="TableTitle"/>
              <w:jc w:val="right"/>
              <w:rPr>
                <w:sz w:val="20"/>
                <w:szCs w:val="20"/>
              </w:rPr>
            </w:pPr>
            <w:r w:rsidRPr="00ED61E1">
              <w:rPr>
                <w:rFonts w:cs="Arial"/>
                <w:color w:val="000000"/>
                <w:sz w:val="20"/>
                <w:szCs w:val="20"/>
              </w:rPr>
              <w:t>378</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2D6AE56" w14:textId="77777777" w:rsidR="003571E3" w:rsidRPr="00ED61E1" w:rsidRDefault="003571E3" w:rsidP="000C3F2A">
            <w:pPr>
              <w:pStyle w:val="TableTitle"/>
              <w:jc w:val="right"/>
              <w:rPr>
                <w:sz w:val="20"/>
                <w:szCs w:val="20"/>
              </w:rPr>
            </w:pPr>
            <w:r w:rsidRPr="00ED61E1">
              <w:rPr>
                <w:rFonts w:cs="Arial"/>
                <w:color w:val="000000"/>
                <w:sz w:val="20"/>
                <w:szCs w:val="20"/>
              </w:rPr>
              <w:t>13</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0EAEAB1" w14:textId="77777777" w:rsidR="003571E3" w:rsidRPr="00ED61E1" w:rsidRDefault="003571E3" w:rsidP="000C3F2A">
            <w:pPr>
              <w:pStyle w:val="TableTitle"/>
              <w:jc w:val="right"/>
              <w:rPr>
                <w:sz w:val="20"/>
                <w:szCs w:val="20"/>
              </w:rPr>
            </w:pPr>
            <w:r w:rsidRPr="00ED61E1">
              <w:rPr>
                <w:rFonts w:cs="Arial"/>
                <w:color w:val="000000"/>
                <w:sz w:val="20"/>
                <w:szCs w:val="20"/>
              </w:rPr>
              <w:t>279</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F3A4CCA" w14:textId="77777777" w:rsidR="003571E3" w:rsidRPr="00ED61E1" w:rsidRDefault="003571E3" w:rsidP="000C3F2A">
            <w:pPr>
              <w:pStyle w:val="TableTitle"/>
              <w:jc w:val="right"/>
              <w:rPr>
                <w:sz w:val="20"/>
                <w:szCs w:val="20"/>
              </w:rPr>
            </w:pPr>
            <w:r w:rsidRPr="00ED61E1">
              <w:rPr>
                <w:rFonts w:cs="Arial"/>
                <w:color w:val="000000"/>
                <w:sz w:val="20"/>
                <w:szCs w:val="20"/>
              </w:rPr>
              <w:t>9</w:t>
            </w:r>
          </w:p>
        </w:tc>
      </w:tr>
      <w:tr w:rsidR="003571E3" w:rsidRPr="005315FD" w14:paraId="638FD346" w14:textId="77777777" w:rsidTr="002A386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0D984C4E" w14:textId="5DF69C59" w:rsidR="003571E3" w:rsidRPr="005315FD" w:rsidRDefault="003571E3" w:rsidP="000C3F2A">
            <w:pPr>
              <w:pStyle w:val="TableTitle"/>
              <w:rPr>
                <w:bCs/>
                <w:sz w:val="20"/>
                <w:szCs w:val="20"/>
              </w:rPr>
            </w:pPr>
            <w:r w:rsidRPr="005315FD">
              <w:rPr>
                <w:bCs/>
                <w:sz w:val="20"/>
                <w:szCs w:val="20"/>
              </w:rPr>
              <w:t>Metropolitan North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6B3FC84" w14:textId="77777777" w:rsidR="003571E3" w:rsidRPr="00ED61E1" w:rsidRDefault="003571E3" w:rsidP="000C3F2A">
            <w:pPr>
              <w:pStyle w:val="TableTitle"/>
              <w:jc w:val="right"/>
              <w:rPr>
                <w:sz w:val="20"/>
                <w:szCs w:val="20"/>
              </w:rPr>
            </w:pPr>
            <w:r w:rsidRPr="00ED61E1">
              <w:rPr>
                <w:rFonts w:cs="Arial"/>
                <w:color w:val="000000"/>
                <w:sz w:val="20"/>
                <w:szCs w:val="20"/>
              </w:rPr>
              <w:t>367</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1EB25EC" w14:textId="77777777" w:rsidR="003571E3" w:rsidRPr="00ED61E1" w:rsidRDefault="003571E3" w:rsidP="000C3F2A">
            <w:pPr>
              <w:pStyle w:val="TableTitle"/>
              <w:jc w:val="right"/>
              <w:rPr>
                <w:sz w:val="20"/>
                <w:szCs w:val="20"/>
              </w:rPr>
            </w:pPr>
            <w:r w:rsidRPr="00ED61E1">
              <w:rPr>
                <w:rFonts w:cs="Arial"/>
                <w:color w:val="000000"/>
                <w:sz w:val="20"/>
                <w:szCs w:val="20"/>
              </w:rPr>
              <w:t>12</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51AC400" w14:textId="77777777" w:rsidR="003571E3" w:rsidRPr="00ED61E1" w:rsidRDefault="003571E3" w:rsidP="000C3F2A">
            <w:pPr>
              <w:pStyle w:val="TableTitle"/>
              <w:jc w:val="right"/>
              <w:rPr>
                <w:sz w:val="20"/>
                <w:szCs w:val="20"/>
              </w:rPr>
            </w:pPr>
            <w:r w:rsidRPr="00ED61E1">
              <w:rPr>
                <w:rFonts w:cs="Arial"/>
                <w:color w:val="000000"/>
                <w:sz w:val="20"/>
                <w:szCs w:val="20"/>
              </w:rPr>
              <w:t>306</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EDDF1BE" w14:textId="77777777" w:rsidR="003571E3" w:rsidRPr="00ED61E1" w:rsidRDefault="003571E3" w:rsidP="000C3F2A">
            <w:pPr>
              <w:pStyle w:val="TableTitle"/>
              <w:jc w:val="right"/>
              <w:rPr>
                <w:sz w:val="20"/>
                <w:szCs w:val="20"/>
              </w:rPr>
            </w:pPr>
            <w:r w:rsidRPr="00ED61E1">
              <w:rPr>
                <w:rFonts w:cs="Arial"/>
                <w:color w:val="000000"/>
                <w:sz w:val="20"/>
                <w:szCs w:val="20"/>
              </w:rPr>
              <w:t>10</w:t>
            </w:r>
          </w:p>
        </w:tc>
      </w:tr>
      <w:tr w:rsidR="003571E3" w:rsidRPr="005315FD" w14:paraId="6EF65AE0" w14:textId="77777777" w:rsidTr="002A386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1FA908B0" w14:textId="14F31998" w:rsidR="003571E3" w:rsidRPr="005315FD" w:rsidRDefault="003571E3" w:rsidP="000C3F2A">
            <w:pPr>
              <w:pStyle w:val="TableTitle"/>
              <w:rPr>
                <w:bCs/>
                <w:sz w:val="20"/>
                <w:szCs w:val="20"/>
              </w:rPr>
            </w:pPr>
            <w:r w:rsidRPr="005315FD">
              <w:rPr>
                <w:bCs/>
                <w:sz w:val="20"/>
                <w:szCs w:val="20"/>
              </w:rPr>
              <w:t>Metropolitan South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2BEFCC3" w14:textId="77777777" w:rsidR="003571E3" w:rsidRPr="00ED61E1" w:rsidRDefault="003571E3" w:rsidP="000C3F2A">
            <w:pPr>
              <w:pStyle w:val="TableTitle"/>
              <w:jc w:val="right"/>
              <w:rPr>
                <w:sz w:val="20"/>
                <w:szCs w:val="20"/>
              </w:rPr>
            </w:pPr>
            <w:r w:rsidRPr="00ED61E1">
              <w:rPr>
                <w:rFonts w:cs="Arial"/>
                <w:color w:val="000000"/>
                <w:sz w:val="20"/>
                <w:szCs w:val="20"/>
              </w:rPr>
              <w:t>374</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3F3A0DA" w14:textId="77777777" w:rsidR="003571E3" w:rsidRPr="00ED61E1" w:rsidRDefault="003571E3" w:rsidP="000C3F2A">
            <w:pPr>
              <w:pStyle w:val="TableTitle"/>
              <w:jc w:val="right"/>
              <w:rPr>
                <w:sz w:val="20"/>
                <w:szCs w:val="20"/>
              </w:rPr>
            </w:pPr>
            <w:r w:rsidRPr="00ED61E1">
              <w:rPr>
                <w:rFonts w:cs="Arial"/>
                <w:color w:val="000000"/>
                <w:sz w:val="20"/>
                <w:szCs w:val="20"/>
              </w:rPr>
              <w:t>12</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46EA723" w14:textId="77777777" w:rsidR="003571E3" w:rsidRPr="00ED61E1" w:rsidRDefault="003571E3" w:rsidP="000C3F2A">
            <w:pPr>
              <w:pStyle w:val="TableTitle"/>
              <w:jc w:val="right"/>
              <w:rPr>
                <w:sz w:val="20"/>
                <w:szCs w:val="20"/>
              </w:rPr>
            </w:pPr>
            <w:r w:rsidRPr="00ED61E1">
              <w:rPr>
                <w:rFonts w:cs="Arial"/>
                <w:color w:val="000000"/>
                <w:sz w:val="20"/>
                <w:szCs w:val="20"/>
              </w:rPr>
              <w:t>286</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40E9851" w14:textId="77777777" w:rsidR="003571E3" w:rsidRPr="00ED61E1" w:rsidRDefault="003571E3" w:rsidP="000C3F2A">
            <w:pPr>
              <w:pStyle w:val="TableTitle"/>
              <w:jc w:val="right"/>
              <w:rPr>
                <w:sz w:val="20"/>
                <w:szCs w:val="20"/>
              </w:rPr>
            </w:pPr>
            <w:r w:rsidRPr="00ED61E1">
              <w:rPr>
                <w:rFonts w:cs="Arial"/>
                <w:color w:val="000000"/>
                <w:sz w:val="20"/>
                <w:szCs w:val="20"/>
              </w:rPr>
              <w:t>10</w:t>
            </w:r>
          </w:p>
        </w:tc>
      </w:tr>
      <w:tr w:rsidR="003571E3" w:rsidRPr="005315FD" w14:paraId="167DB3E8" w14:textId="77777777" w:rsidTr="002A386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7C094286" w14:textId="525FE476" w:rsidR="003571E3" w:rsidRPr="005315FD" w:rsidRDefault="003571E3" w:rsidP="000C3F2A">
            <w:pPr>
              <w:pStyle w:val="TableTitle"/>
              <w:rPr>
                <w:bCs/>
                <w:sz w:val="20"/>
                <w:szCs w:val="20"/>
              </w:rPr>
            </w:pPr>
            <w:r w:rsidRPr="005315FD">
              <w:rPr>
                <w:bCs/>
                <w:sz w:val="20"/>
                <w:szCs w:val="20"/>
              </w:rPr>
              <w:t>Metropolitan West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A4A1854" w14:textId="77777777" w:rsidR="003571E3" w:rsidRPr="00ED61E1" w:rsidRDefault="003571E3" w:rsidP="000C3F2A">
            <w:pPr>
              <w:pStyle w:val="TableTitle"/>
              <w:jc w:val="right"/>
              <w:rPr>
                <w:sz w:val="20"/>
                <w:szCs w:val="20"/>
              </w:rPr>
            </w:pPr>
            <w:r w:rsidRPr="00ED61E1">
              <w:rPr>
                <w:rFonts w:cs="Arial"/>
                <w:color w:val="000000"/>
                <w:sz w:val="20"/>
                <w:szCs w:val="20"/>
              </w:rPr>
              <w:t>415</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793F58D" w14:textId="77777777" w:rsidR="003571E3" w:rsidRPr="00ED61E1" w:rsidRDefault="003571E3" w:rsidP="000C3F2A">
            <w:pPr>
              <w:pStyle w:val="TableTitle"/>
              <w:jc w:val="right"/>
              <w:rPr>
                <w:sz w:val="20"/>
                <w:szCs w:val="20"/>
              </w:rPr>
            </w:pPr>
            <w:r w:rsidRPr="00ED61E1">
              <w:rPr>
                <w:rFonts w:cs="Arial"/>
                <w:color w:val="000000"/>
                <w:sz w:val="20"/>
                <w:szCs w:val="20"/>
              </w:rPr>
              <w:t>14</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2401469" w14:textId="77777777" w:rsidR="003571E3" w:rsidRPr="00ED61E1" w:rsidRDefault="003571E3" w:rsidP="000C3F2A">
            <w:pPr>
              <w:pStyle w:val="TableTitle"/>
              <w:jc w:val="right"/>
              <w:rPr>
                <w:sz w:val="20"/>
                <w:szCs w:val="20"/>
              </w:rPr>
            </w:pPr>
            <w:r w:rsidRPr="00ED61E1">
              <w:rPr>
                <w:rFonts w:cs="Arial"/>
                <w:color w:val="000000"/>
                <w:sz w:val="20"/>
                <w:szCs w:val="20"/>
              </w:rPr>
              <w:t>273</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F5BF974" w14:textId="77777777" w:rsidR="003571E3" w:rsidRPr="00ED61E1" w:rsidRDefault="003571E3" w:rsidP="000C3F2A">
            <w:pPr>
              <w:pStyle w:val="TableTitle"/>
              <w:jc w:val="right"/>
              <w:rPr>
                <w:sz w:val="20"/>
                <w:szCs w:val="20"/>
              </w:rPr>
            </w:pPr>
            <w:r w:rsidRPr="00ED61E1">
              <w:rPr>
                <w:rFonts w:cs="Arial"/>
                <w:color w:val="000000"/>
                <w:sz w:val="20"/>
                <w:szCs w:val="20"/>
              </w:rPr>
              <w:t>9</w:t>
            </w:r>
          </w:p>
        </w:tc>
      </w:tr>
      <w:tr w:rsidR="003571E3" w:rsidRPr="005315FD" w14:paraId="347586C8" w14:textId="77777777" w:rsidTr="002A386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6F6B79CF" w14:textId="1066D071" w:rsidR="003571E3" w:rsidRPr="005315FD" w:rsidRDefault="003571E3" w:rsidP="000C3F2A">
            <w:pPr>
              <w:pStyle w:val="TableTitle"/>
              <w:rPr>
                <w:bCs/>
                <w:sz w:val="20"/>
                <w:szCs w:val="20"/>
              </w:rPr>
            </w:pPr>
            <w:r w:rsidRPr="005315FD">
              <w:rPr>
                <w:bCs/>
                <w:sz w:val="20"/>
                <w:szCs w:val="20"/>
              </w:rPr>
              <w:t>Mid North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92CF2B0" w14:textId="77777777" w:rsidR="003571E3" w:rsidRPr="00ED61E1" w:rsidRDefault="003571E3" w:rsidP="000C3F2A">
            <w:pPr>
              <w:pStyle w:val="TableTitle"/>
              <w:jc w:val="right"/>
              <w:rPr>
                <w:sz w:val="20"/>
                <w:szCs w:val="20"/>
              </w:rPr>
            </w:pPr>
            <w:r w:rsidRPr="00ED61E1">
              <w:rPr>
                <w:rFonts w:cs="Arial"/>
                <w:color w:val="000000"/>
                <w:sz w:val="20"/>
                <w:szCs w:val="20"/>
              </w:rPr>
              <w:t>368</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C67006A" w14:textId="77777777" w:rsidR="003571E3" w:rsidRPr="00ED61E1" w:rsidRDefault="003571E3" w:rsidP="000C3F2A">
            <w:pPr>
              <w:pStyle w:val="TableTitle"/>
              <w:jc w:val="right"/>
              <w:rPr>
                <w:sz w:val="20"/>
                <w:szCs w:val="20"/>
              </w:rPr>
            </w:pPr>
            <w:r w:rsidRPr="00ED61E1">
              <w:rPr>
                <w:rFonts w:cs="Arial"/>
                <w:color w:val="000000"/>
                <w:sz w:val="20"/>
                <w:szCs w:val="20"/>
              </w:rPr>
              <w:t>12</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6879802" w14:textId="77777777" w:rsidR="003571E3" w:rsidRPr="00ED61E1" w:rsidRDefault="003571E3" w:rsidP="000C3F2A">
            <w:pPr>
              <w:pStyle w:val="TableTitle"/>
              <w:jc w:val="right"/>
              <w:rPr>
                <w:sz w:val="20"/>
                <w:szCs w:val="20"/>
              </w:rPr>
            </w:pPr>
            <w:r w:rsidRPr="00ED61E1">
              <w:rPr>
                <w:rFonts w:cs="Arial"/>
                <w:color w:val="000000"/>
                <w:sz w:val="20"/>
                <w:szCs w:val="20"/>
              </w:rPr>
              <w:t>250</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ADF52BB" w14:textId="77777777" w:rsidR="003571E3" w:rsidRPr="00ED61E1" w:rsidRDefault="003571E3" w:rsidP="000C3F2A">
            <w:pPr>
              <w:pStyle w:val="TableTitle"/>
              <w:jc w:val="right"/>
              <w:rPr>
                <w:sz w:val="20"/>
                <w:szCs w:val="20"/>
              </w:rPr>
            </w:pPr>
            <w:r w:rsidRPr="00ED61E1">
              <w:rPr>
                <w:rFonts w:cs="Arial"/>
                <w:color w:val="000000"/>
                <w:sz w:val="20"/>
                <w:szCs w:val="20"/>
              </w:rPr>
              <w:t>8</w:t>
            </w:r>
          </w:p>
        </w:tc>
      </w:tr>
      <w:tr w:rsidR="003571E3" w:rsidRPr="005315FD" w14:paraId="5A44F473" w14:textId="77777777" w:rsidTr="002A386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1BC07F00" w14:textId="51F56554" w:rsidR="003571E3" w:rsidRPr="005315FD" w:rsidRDefault="003571E3" w:rsidP="000C3F2A">
            <w:pPr>
              <w:pStyle w:val="TableTitle"/>
              <w:rPr>
                <w:bCs/>
                <w:sz w:val="20"/>
                <w:szCs w:val="20"/>
              </w:rPr>
            </w:pPr>
            <w:r w:rsidRPr="005315FD">
              <w:rPr>
                <w:bCs/>
                <w:sz w:val="20"/>
                <w:szCs w:val="20"/>
              </w:rPr>
              <w:t>Riverland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2D4DC65" w14:textId="77777777" w:rsidR="003571E3" w:rsidRPr="00ED61E1" w:rsidRDefault="003571E3" w:rsidP="000C3F2A">
            <w:pPr>
              <w:pStyle w:val="TableTitle"/>
              <w:jc w:val="right"/>
              <w:rPr>
                <w:sz w:val="20"/>
                <w:szCs w:val="20"/>
              </w:rPr>
            </w:pPr>
            <w:r w:rsidRPr="00ED61E1">
              <w:rPr>
                <w:rFonts w:cs="Arial"/>
                <w:color w:val="000000"/>
                <w:sz w:val="20"/>
                <w:szCs w:val="20"/>
              </w:rPr>
              <w:t>338</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B17EDC6" w14:textId="77777777" w:rsidR="003571E3" w:rsidRPr="00ED61E1" w:rsidRDefault="003571E3" w:rsidP="000C3F2A">
            <w:pPr>
              <w:pStyle w:val="TableTitle"/>
              <w:jc w:val="right"/>
              <w:rPr>
                <w:sz w:val="20"/>
                <w:szCs w:val="20"/>
              </w:rPr>
            </w:pPr>
            <w:r w:rsidRPr="00ED61E1">
              <w:rPr>
                <w:rFonts w:cs="Arial"/>
                <w:color w:val="000000"/>
                <w:sz w:val="20"/>
                <w:szCs w:val="20"/>
              </w:rPr>
              <w:t>11</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009B206" w14:textId="77777777" w:rsidR="003571E3" w:rsidRPr="00ED61E1" w:rsidRDefault="003571E3" w:rsidP="000C3F2A">
            <w:pPr>
              <w:pStyle w:val="TableTitle"/>
              <w:jc w:val="right"/>
              <w:rPr>
                <w:sz w:val="20"/>
                <w:szCs w:val="20"/>
              </w:rPr>
            </w:pPr>
            <w:r w:rsidRPr="00ED61E1">
              <w:rPr>
                <w:rFonts w:cs="Arial"/>
                <w:color w:val="000000"/>
                <w:sz w:val="20"/>
                <w:szCs w:val="20"/>
              </w:rPr>
              <w:t>276</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EFF7C00" w14:textId="77777777" w:rsidR="003571E3" w:rsidRPr="00ED61E1" w:rsidRDefault="003571E3" w:rsidP="000C3F2A">
            <w:pPr>
              <w:pStyle w:val="TableTitle"/>
              <w:jc w:val="right"/>
              <w:rPr>
                <w:sz w:val="20"/>
                <w:szCs w:val="20"/>
              </w:rPr>
            </w:pPr>
            <w:r w:rsidRPr="00ED61E1">
              <w:rPr>
                <w:rFonts w:cs="Arial"/>
                <w:color w:val="000000"/>
                <w:sz w:val="20"/>
                <w:szCs w:val="20"/>
              </w:rPr>
              <w:t>9</w:t>
            </w:r>
          </w:p>
        </w:tc>
      </w:tr>
      <w:tr w:rsidR="003571E3" w:rsidRPr="005315FD" w14:paraId="059A0E41" w14:textId="77777777" w:rsidTr="002A386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2262C1B6" w14:textId="1AF04954" w:rsidR="003571E3" w:rsidRPr="005315FD" w:rsidRDefault="003571E3" w:rsidP="000C3F2A">
            <w:pPr>
              <w:pStyle w:val="TableTitle"/>
              <w:rPr>
                <w:bCs/>
                <w:sz w:val="20"/>
                <w:szCs w:val="20"/>
              </w:rPr>
            </w:pPr>
            <w:proofErr w:type="gramStart"/>
            <w:r w:rsidRPr="005315FD">
              <w:rPr>
                <w:bCs/>
                <w:sz w:val="20"/>
                <w:szCs w:val="20"/>
              </w:rPr>
              <w:t>South East</w:t>
            </w:r>
            <w:proofErr w:type="gramEnd"/>
            <w:r w:rsidRPr="005315FD">
              <w:rPr>
                <w:bCs/>
                <w:sz w:val="20"/>
                <w:szCs w:val="20"/>
              </w:rPr>
              <w:t>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1AE261A" w14:textId="77777777" w:rsidR="003571E3" w:rsidRPr="00ED61E1" w:rsidRDefault="003571E3" w:rsidP="000C3F2A">
            <w:pPr>
              <w:pStyle w:val="TableTitle"/>
              <w:jc w:val="right"/>
              <w:rPr>
                <w:sz w:val="20"/>
                <w:szCs w:val="20"/>
              </w:rPr>
            </w:pPr>
            <w:r w:rsidRPr="00ED61E1">
              <w:rPr>
                <w:rFonts w:cs="Arial"/>
                <w:color w:val="000000"/>
                <w:sz w:val="20"/>
                <w:szCs w:val="20"/>
              </w:rPr>
              <w:t>386</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0F89C1F" w14:textId="77777777" w:rsidR="003571E3" w:rsidRPr="00ED61E1" w:rsidRDefault="003571E3" w:rsidP="000C3F2A">
            <w:pPr>
              <w:pStyle w:val="TableTitle"/>
              <w:jc w:val="right"/>
              <w:rPr>
                <w:sz w:val="20"/>
                <w:szCs w:val="20"/>
              </w:rPr>
            </w:pPr>
            <w:r w:rsidRPr="00ED61E1">
              <w:rPr>
                <w:rFonts w:cs="Arial"/>
                <w:color w:val="000000"/>
                <w:sz w:val="20"/>
                <w:szCs w:val="20"/>
              </w:rPr>
              <w:t>13</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6C8A2195" w14:textId="77777777" w:rsidR="003571E3" w:rsidRPr="00ED61E1" w:rsidRDefault="003571E3" w:rsidP="000C3F2A">
            <w:pPr>
              <w:pStyle w:val="TableTitle"/>
              <w:jc w:val="right"/>
              <w:rPr>
                <w:sz w:val="20"/>
                <w:szCs w:val="20"/>
              </w:rPr>
            </w:pPr>
            <w:r w:rsidRPr="00ED61E1">
              <w:rPr>
                <w:rFonts w:cs="Arial"/>
                <w:color w:val="000000"/>
                <w:sz w:val="20"/>
                <w:szCs w:val="20"/>
              </w:rPr>
              <w:t>295</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A37468C" w14:textId="77777777" w:rsidR="003571E3" w:rsidRPr="00ED61E1" w:rsidRDefault="003571E3" w:rsidP="000C3F2A">
            <w:pPr>
              <w:pStyle w:val="TableTitle"/>
              <w:jc w:val="right"/>
              <w:rPr>
                <w:sz w:val="20"/>
                <w:szCs w:val="20"/>
              </w:rPr>
            </w:pPr>
            <w:r w:rsidRPr="00ED61E1">
              <w:rPr>
                <w:rFonts w:cs="Arial"/>
                <w:color w:val="000000"/>
                <w:sz w:val="20"/>
                <w:szCs w:val="20"/>
              </w:rPr>
              <w:t>10</w:t>
            </w:r>
          </w:p>
        </w:tc>
      </w:tr>
      <w:tr w:rsidR="003571E3" w:rsidRPr="005315FD" w14:paraId="0AC78C0B" w14:textId="77777777" w:rsidTr="002A386A">
        <w:trPr>
          <w:trHeight w:val="369"/>
          <w:tblHeader/>
        </w:trPr>
        <w:tc>
          <w:tcPr>
            <w:tcW w:w="1416" w:type="pct"/>
            <w:tcBorders>
              <w:top w:val="single" w:sz="6" w:space="0" w:color="auto"/>
              <w:left w:val="single" w:sz="6" w:space="0" w:color="auto"/>
              <w:bottom w:val="single" w:sz="6" w:space="0" w:color="auto"/>
              <w:right w:val="single" w:sz="6" w:space="0" w:color="auto"/>
            </w:tcBorders>
            <w:tcMar>
              <w:left w:w="113" w:type="dxa"/>
            </w:tcMar>
            <w:vAlign w:val="center"/>
            <w:hideMark/>
          </w:tcPr>
          <w:p w14:paraId="0221793B" w14:textId="37CF578F" w:rsidR="003571E3" w:rsidRPr="005315FD" w:rsidRDefault="003571E3" w:rsidP="000C3F2A">
            <w:pPr>
              <w:pStyle w:val="TableTitle"/>
              <w:rPr>
                <w:bCs/>
                <w:sz w:val="20"/>
                <w:szCs w:val="20"/>
              </w:rPr>
            </w:pPr>
            <w:r w:rsidRPr="005315FD">
              <w:rPr>
                <w:bCs/>
                <w:sz w:val="20"/>
                <w:szCs w:val="20"/>
              </w:rPr>
              <w:t>Yorke, Lower North</w:t>
            </w:r>
            <w:r>
              <w:rPr>
                <w:bCs/>
                <w:sz w:val="20"/>
                <w:szCs w:val="20"/>
              </w:rPr>
              <w:t xml:space="preserve"> &amp; </w:t>
            </w:r>
            <w:r w:rsidRPr="005315FD">
              <w:rPr>
                <w:bCs/>
                <w:sz w:val="20"/>
                <w:szCs w:val="20"/>
              </w:rPr>
              <w:t>Barossa </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93486F4" w14:textId="77777777" w:rsidR="003571E3" w:rsidRPr="00ED61E1" w:rsidRDefault="003571E3" w:rsidP="000C3F2A">
            <w:pPr>
              <w:pStyle w:val="TableTitle"/>
              <w:jc w:val="right"/>
              <w:rPr>
                <w:sz w:val="20"/>
                <w:szCs w:val="20"/>
              </w:rPr>
            </w:pPr>
            <w:r w:rsidRPr="00ED61E1">
              <w:rPr>
                <w:rFonts w:cs="Arial"/>
                <w:color w:val="000000"/>
                <w:sz w:val="20"/>
                <w:szCs w:val="20"/>
              </w:rPr>
              <w:t>367</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F2A1329" w14:textId="77777777" w:rsidR="003571E3" w:rsidRPr="00ED61E1" w:rsidRDefault="003571E3" w:rsidP="000C3F2A">
            <w:pPr>
              <w:pStyle w:val="TableTitle"/>
              <w:jc w:val="right"/>
              <w:rPr>
                <w:sz w:val="20"/>
                <w:szCs w:val="20"/>
              </w:rPr>
            </w:pPr>
            <w:r w:rsidRPr="00ED61E1">
              <w:rPr>
                <w:rFonts w:cs="Arial"/>
                <w:color w:val="000000"/>
                <w:sz w:val="20"/>
                <w:szCs w:val="20"/>
              </w:rPr>
              <w:t>12</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C2DF88B" w14:textId="77777777" w:rsidR="003571E3" w:rsidRPr="00ED61E1" w:rsidRDefault="003571E3" w:rsidP="000C3F2A">
            <w:pPr>
              <w:pStyle w:val="TableTitle"/>
              <w:jc w:val="right"/>
              <w:rPr>
                <w:sz w:val="20"/>
                <w:szCs w:val="20"/>
              </w:rPr>
            </w:pPr>
            <w:r w:rsidRPr="00ED61E1">
              <w:rPr>
                <w:rFonts w:cs="Arial"/>
                <w:color w:val="000000"/>
                <w:sz w:val="20"/>
                <w:szCs w:val="20"/>
              </w:rPr>
              <w:t>278</w:t>
            </w:r>
          </w:p>
        </w:tc>
        <w:tc>
          <w:tcPr>
            <w:tcW w:w="896" w:type="pct"/>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AA4AE82" w14:textId="77777777" w:rsidR="003571E3" w:rsidRPr="00ED61E1" w:rsidRDefault="003571E3" w:rsidP="000C3F2A">
            <w:pPr>
              <w:pStyle w:val="TableTitle"/>
              <w:jc w:val="right"/>
              <w:rPr>
                <w:sz w:val="20"/>
                <w:szCs w:val="20"/>
              </w:rPr>
            </w:pPr>
            <w:r w:rsidRPr="00ED61E1">
              <w:rPr>
                <w:rFonts w:cs="Arial"/>
                <w:color w:val="000000"/>
                <w:sz w:val="20"/>
                <w:szCs w:val="20"/>
              </w:rPr>
              <w:t>9</w:t>
            </w:r>
          </w:p>
        </w:tc>
      </w:tr>
    </w:tbl>
    <w:p w14:paraId="1EF037C2" w14:textId="77777777" w:rsidR="003571E3" w:rsidRDefault="003571E3" w:rsidP="00891249">
      <w:pPr>
        <w:pStyle w:val="Heading4"/>
      </w:pPr>
    </w:p>
    <w:p w14:paraId="6FD7501F" w14:textId="623178B2" w:rsidR="003571E3" w:rsidRDefault="003571E3" w:rsidP="0031040B">
      <w:pPr>
        <w:pStyle w:val="Heading3"/>
      </w:pPr>
      <w:bookmarkStart w:id="49" w:name="_Toc229480679"/>
      <w:r>
        <w:t>Tasmania</w:t>
      </w:r>
      <w:bookmarkEnd w:id="49"/>
      <w:r>
        <w:t xml:space="preserve"> </w:t>
      </w:r>
    </w:p>
    <w:p w14:paraId="3229B5C4" w14:textId="77777777" w:rsidR="003571E3" w:rsidRDefault="003571E3" w:rsidP="0031040B">
      <w:pPr>
        <w:pStyle w:val="Heading4"/>
      </w:pPr>
      <w:bookmarkStart w:id="50" w:name="_Toc229480680"/>
      <w:r>
        <w:t>Table 11: Average (avg)/Median (</w:t>
      </w:r>
      <w:proofErr w:type="spellStart"/>
      <w:r>
        <w:t>mdn</w:t>
      </w:r>
      <w:proofErr w:type="spellEnd"/>
      <w:r>
        <w:t xml:space="preserve">) </w:t>
      </w:r>
      <w:r w:rsidRPr="003D3D2C">
        <w:t>number</w:t>
      </w:r>
      <w:r>
        <w:t xml:space="preserve"> of days</w:t>
      </w:r>
      <w:r w:rsidRPr="003D3D2C">
        <w:t>/months</w:t>
      </w:r>
      <w:r>
        <w:t xml:space="preserve"> between an application for aged care and service commencement for services commenced in the reporting period.</w:t>
      </w:r>
      <w:bookmarkEnd w:id="50"/>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9"/>
        <w:gridCol w:w="1520"/>
        <w:gridCol w:w="1534"/>
        <w:gridCol w:w="1554"/>
        <w:gridCol w:w="1560"/>
      </w:tblGrid>
      <w:tr w:rsidR="003571E3" w:rsidRPr="002C4749" w14:paraId="33291E48" w14:textId="77777777" w:rsidTr="000C3F2A">
        <w:trPr>
          <w:trHeight w:val="369"/>
        </w:trPr>
        <w:tc>
          <w:tcPr>
            <w:tcW w:w="2329" w:type="dxa"/>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052EE777" w14:textId="77777777" w:rsidR="003571E3" w:rsidRPr="002C4749" w:rsidRDefault="003571E3" w:rsidP="000C3F2A">
            <w:pPr>
              <w:pStyle w:val="TableTitle"/>
              <w:rPr>
                <w:color w:val="FFFFFF" w:themeColor="background1"/>
                <w:sz w:val="20"/>
                <w:szCs w:val="20"/>
              </w:rPr>
            </w:pPr>
            <w:r>
              <w:rPr>
                <w:color w:val="FFFFFF" w:themeColor="background1"/>
                <w:sz w:val="20"/>
                <w:szCs w:val="20"/>
              </w:rPr>
              <w:t xml:space="preserve">  </w:t>
            </w:r>
            <w:r w:rsidRPr="002C4749">
              <w:rPr>
                <w:color w:val="FFFFFF" w:themeColor="background1"/>
                <w:sz w:val="20"/>
                <w:szCs w:val="20"/>
              </w:rPr>
              <w:t>Region </w:t>
            </w:r>
          </w:p>
        </w:tc>
        <w:tc>
          <w:tcPr>
            <w:tcW w:w="1520" w:type="dxa"/>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737269BD" w14:textId="77777777" w:rsidR="003571E3" w:rsidRPr="002C4749" w:rsidRDefault="003571E3" w:rsidP="000C3F2A">
            <w:pPr>
              <w:pStyle w:val="TableTitle"/>
              <w:jc w:val="right"/>
              <w:rPr>
                <w:color w:val="FFFFFF" w:themeColor="background1"/>
                <w:sz w:val="20"/>
                <w:szCs w:val="20"/>
              </w:rPr>
            </w:pPr>
            <w:r w:rsidRPr="002C4749">
              <w:rPr>
                <w:color w:val="FFFFFF" w:themeColor="background1"/>
                <w:sz w:val="20"/>
                <w:szCs w:val="20"/>
              </w:rPr>
              <w:t>Avg (days) </w:t>
            </w:r>
          </w:p>
        </w:tc>
        <w:tc>
          <w:tcPr>
            <w:tcW w:w="1534" w:type="dxa"/>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074F69A1" w14:textId="77777777" w:rsidR="003571E3" w:rsidRPr="002C4749" w:rsidRDefault="003571E3" w:rsidP="000C3F2A">
            <w:pPr>
              <w:pStyle w:val="TableTitle"/>
              <w:jc w:val="right"/>
              <w:rPr>
                <w:color w:val="FFFFFF" w:themeColor="background1"/>
                <w:sz w:val="20"/>
                <w:szCs w:val="20"/>
              </w:rPr>
            </w:pPr>
            <w:r w:rsidRPr="002C4749">
              <w:rPr>
                <w:color w:val="FFFFFF" w:themeColor="background1"/>
                <w:sz w:val="20"/>
                <w:szCs w:val="20"/>
              </w:rPr>
              <w:t>Avg (months) </w:t>
            </w:r>
          </w:p>
        </w:tc>
        <w:tc>
          <w:tcPr>
            <w:tcW w:w="1554" w:type="dxa"/>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0C94039B" w14:textId="77777777" w:rsidR="003571E3" w:rsidRPr="002C4749" w:rsidRDefault="003571E3" w:rsidP="000C3F2A">
            <w:pPr>
              <w:pStyle w:val="TableTitle"/>
              <w:jc w:val="right"/>
              <w:rPr>
                <w:color w:val="FFFFFF" w:themeColor="background1"/>
                <w:sz w:val="20"/>
                <w:szCs w:val="20"/>
              </w:rPr>
            </w:pPr>
            <w:r w:rsidRPr="002C4749">
              <w:rPr>
                <w:color w:val="FFFFFF" w:themeColor="background1"/>
                <w:sz w:val="20"/>
                <w:szCs w:val="20"/>
              </w:rPr>
              <w:t>Mdn (days) </w:t>
            </w:r>
          </w:p>
        </w:tc>
        <w:tc>
          <w:tcPr>
            <w:tcW w:w="1560" w:type="dxa"/>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255B1B0A" w14:textId="77777777" w:rsidR="003571E3" w:rsidRPr="002C4749" w:rsidRDefault="003571E3" w:rsidP="000C3F2A">
            <w:pPr>
              <w:pStyle w:val="TableTitle"/>
              <w:jc w:val="right"/>
              <w:rPr>
                <w:color w:val="FFFFFF" w:themeColor="background1"/>
                <w:sz w:val="20"/>
                <w:szCs w:val="20"/>
              </w:rPr>
            </w:pPr>
            <w:r w:rsidRPr="002C4749">
              <w:rPr>
                <w:color w:val="FFFFFF" w:themeColor="background1"/>
                <w:sz w:val="20"/>
                <w:szCs w:val="20"/>
              </w:rPr>
              <w:t>Mdn (months) </w:t>
            </w:r>
          </w:p>
        </w:tc>
      </w:tr>
      <w:tr w:rsidR="003571E3" w:rsidRPr="002C4749" w14:paraId="2B91370F" w14:textId="77777777" w:rsidTr="002A386A">
        <w:trPr>
          <w:trHeight w:val="369"/>
        </w:trPr>
        <w:tc>
          <w:tcPr>
            <w:tcW w:w="232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4B7B8D38" w14:textId="4A7B81B0" w:rsidR="003571E3" w:rsidRPr="002C4749" w:rsidRDefault="003571E3" w:rsidP="000C3F2A">
            <w:pPr>
              <w:pStyle w:val="TableTitle"/>
              <w:rPr>
                <w:bCs/>
                <w:sz w:val="20"/>
                <w:szCs w:val="20"/>
              </w:rPr>
            </w:pPr>
            <w:proofErr w:type="gramStart"/>
            <w:r w:rsidRPr="002C4749">
              <w:rPr>
                <w:bCs/>
                <w:sz w:val="20"/>
                <w:szCs w:val="20"/>
              </w:rPr>
              <w:t>North Western</w:t>
            </w:r>
            <w:proofErr w:type="gramEnd"/>
            <w:r w:rsidRPr="002C4749">
              <w:rPr>
                <w:bCs/>
                <w:sz w:val="20"/>
                <w:szCs w:val="20"/>
              </w:rPr>
              <w:t> </w:t>
            </w:r>
          </w:p>
        </w:tc>
        <w:tc>
          <w:tcPr>
            <w:tcW w:w="1520"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DE567BF" w14:textId="77777777" w:rsidR="003571E3" w:rsidRPr="004079E9" w:rsidRDefault="003571E3" w:rsidP="000C3F2A">
            <w:pPr>
              <w:pStyle w:val="TableTitle"/>
              <w:jc w:val="right"/>
              <w:rPr>
                <w:sz w:val="20"/>
                <w:szCs w:val="20"/>
              </w:rPr>
            </w:pPr>
            <w:r w:rsidRPr="004079E9">
              <w:rPr>
                <w:rFonts w:cs="Arial"/>
                <w:color w:val="000000"/>
                <w:sz w:val="20"/>
                <w:szCs w:val="20"/>
              </w:rPr>
              <w:t>356</w:t>
            </w:r>
          </w:p>
        </w:tc>
        <w:tc>
          <w:tcPr>
            <w:tcW w:w="1534"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4C9F263" w14:textId="77777777" w:rsidR="003571E3" w:rsidRPr="004079E9" w:rsidRDefault="003571E3" w:rsidP="000C3F2A">
            <w:pPr>
              <w:pStyle w:val="TableTitle"/>
              <w:jc w:val="right"/>
              <w:rPr>
                <w:sz w:val="20"/>
                <w:szCs w:val="20"/>
              </w:rPr>
            </w:pPr>
            <w:r w:rsidRPr="004079E9">
              <w:rPr>
                <w:rFonts w:cs="Arial"/>
                <w:color w:val="000000"/>
                <w:sz w:val="20"/>
                <w:szCs w:val="20"/>
              </w:rPr>
              <w:t>12</w:t>
            </w:r>
          </w:p>
        </w:tc>
        <w:tc>
          <w:tcPr>
            <w:tcW w:w="1554"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2649E4D" w14:textId="77777777" w:rsidR="003571E3" w:rsidRPr="004079E9" w:rsidRDefault="003571E3" w:rsidP="000C3F2A">
            <w:pPr>
              <w:pStyle w:val="TableTitle"/>
              <w:jc w:val="right"/>
              <w:rPr>
                <w:sz w:val="20"/>
                <w:szCs w:val="20"/>
              </w:rPr>
            </w:pPr>
            <w:r w:rsidRPr="004079E9">
              <w:rPr>
                <w:rFonts w:cs="Arial"/>
                <w:color w:val="000000"/>
                <w:sz w:val="20"/>
                <w:szCs w:val="20"/>
              </w:rPr>
              <w:t>303</w:t>
            </w:r>
          </w:p>
        </w:tc>
        <w:tc>
          <w:tcPr>
            <w:tcW w:w="1560"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3919BDC0" w14:textId="77777777" w:rsidR="003571E3" w:rsidRPr="004079E9" w:rsidRDefault="003571E3" w:rsidP="000C3F2A">
            <w:pPr>
              <w:pStyle w:val="TableTitle"/>
              <w:jc w:val="right"/>
              <w:rPr>
                <w:sz w:val="20"/>
                <w:szCs w:val="20"/>
              </w:rPr>
            </w:pPr>
            <w:r w:rsidRPr="004079E9">
              <w:rPr>
                <w:rFonts w:cs="Arial"/>
                <w:color w:val="000000"/>
                <w:sz w:val="20"/>
                <w:szCs w:val="20"/>
              </w:rPr>
              <w:t>10</w:t>
            </w:r>
          </w:p>
        </w:tc>
      </w:tr>
      <w:tr w:rsidR="003571E3" w:rsidRPr="002C4749" w14:paraId="04C57B0E" w14:textId="77777777" w:rsidTr="002A386A">
        <w:trPr>
          <w:trHeight w:val="369"/>
        </w:trPr>
        <w:tc>
          <w:tcPr>
            <w:tcW w:w="232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7CF9F8C9" w14:textId="3149B6A8" w:rsidR="003571E3" w:rsidRPr="002C4749" w:rsidRDefault="003571E3" w:rsidP="000C3F2A">
            <w:pPr>
              <w:pStyle w:val="TableTitle"/>
              <w:rPr>
                <w:bCs/>
                <w:sz w:val="20"/>
                <w:szCs w:val="20"/>
              </w:rPr>
            </w:pPr>
            <w:r w:rsidRPr="002C4749">
              <w:rPr>
                <w:bCs/>
                <w:sz w:val="20"/>
                <w:szCs w:val="20"/>
              </w:rPr>
              <w:t>Northern </w:t>
            </w:r>
          </w:p>
        </w:tc>
        <w:tc>
          <w:tcPr>
            <w:tcW w:w="1520"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CCA3C05" w14:textId="77777777" w:rsidR="003571E3" w:rsidRPr="004079E9" w:rsidRDefault="003571E3" w:rsidP="000C3F2A">
            <w:pPr>
              <w:pStyle w:val="TableTitle"/>
              <w:jc w:val="right"/>
              <w:rPr>
                <w:sz w:val="20"/>
                <w:szCs w:val="20"/>
              </w:rPr>
            </w:pPr>
            <w:r w:rsidRPr="004079E9">
              <w:rPr>
                <w:rFonts w:cs="Arial"/>
                <w:color w:val="000000"/>
                <w:sz w:val="20"/>
                <w:szCs w:val="20"/>
              </w:rPr>
              <w:t>366</w:t>
            </w:r>
          </w:p>
        </w:tc>
        <w:tc>
          <w:tcPr>
            <w:tcW w:w="1534"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56D4F2E" w14:textId="77777777" w:rsidR="003571E3" w:rsidRPr="004079E9" w:rsidRDefault="003571E3" w:rsidP="000C3F2A">
            <w:pPr>
              <w:pStyle w:val="TableTitle"/>
              <w:jc w:val="right"/>
              <w:rPr>
                <w:sz w:val="20"/>
                <w:szCs w:val="20"/>
              </w:rPr>
            </w:pPr>
            <w:r w:rsidRPr="004079E9">
              <w:rPr>
                <w:rFonts w:cs="Arial"/>
                <w:color w:val="000000"/>
                <w:sz w:val="20"/>
                <w:szCs w:val="20"/>
              </w:rPr>
              <w:t>12</w:t>
            </w:r>
          </w:p>
        </w:tc>
        <w:tc>
          <w:tcPr>
            <w:tcW w:w="1554"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D835681" w14:textId="77777777" w:rsidR="003571E3" w:rsidRPr="004079E9" w:rsidRDefault="003571E3" w:rsidP="000C3F2A">
            <w:pPr>
              <w:pStyle w:val="TableTitle"/>
              <w:jc w:val="right"/>
              <w:rPr>
                <w:sz w:val="20"/>
                <w:szCs w:val="20"/>
              </w:rPr>
            </w:pPr>
            <w:r w:rsidRPr="004079E9">
              <w:rPr>
                <w:rFonts w:cs="Arial"/>
                <w:color w:val="000000"/>
                <w:sz w:val="20"/>
                <w:szCs w:val="20"/>
              </w:rPr>
              <w:t>308</w:t>
            </w:r>
          </w:p>
        </w:tc>
        <w:tc>
          <w:tcPr>
            <w:tcW w:w="1560"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29A4E95" w14:textId="77777777" w:rsidR="003571E3" w:rsidRPr="004079E9" w:rsidRDefault="003571E3" w:rsidP="000C3F2A">
            <w:pPr>
              <w:pStyle w:val="TableTitle"/>
              <w:jc w:val="right"/>
              <w:rPr>
                <w:sz w:val="20"/>
                <w:szCs w:val="20"/>
              </w:rPr>
            </w:pPr>
            <w:r w:rsidRPr="004079E9">
              <w:rPr>
                <w:rFonts w:cs="Arial"/>
                <w:color w:val="000000"/>
                <w:sz w:val="20"/>
                <w:szCs w:val="20"/>
              </w:rPr>
              <w:t>10</w:t>
            </w:r>
          </w:p>
        </w:tc>
      </w:tr>
      <w:tr w:rsidR="003571E3" w:rsidRPr="002C4749" w14:paraId="05CF82FA" w14:textId="77777777" w:rsidTr="002A386A">
        <w:trPr>
          <w:trHeight w:val="369"/>
        </w:trPr>
        <w:tc>
          <w:tcPr>
            <w:tcW w:w="232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270E8228" w14:textId="0628C4CA" w:rsidR="003571E3" w:rsidRPr="002C4749" w:rsidRDefault="003571E3" w:rsidP="000C3F2A">
            <w:pPr>
              <w:pStyle w:val="TableTitle"/>
              <w:rPr>
                <w:bCs/>
                <w:sz w:val="20"/>
                <w:szCs w:val="20"/>
              </w:rPr>
            </w:pPr>
            <w:r w:rsidRPr="002C4749">
              <w:rPr>
                <w:bCs/>
                <w:sz w:val="20"/>
                <w:szCs w:val="20"/>
              </w:rPr>
              <w:t>Southern </w:t>
            </w:r>
          </w:p>
        </w:tc>
        <w:tc>
          <w:tcPr>
            <w:tcW w:w="1520"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2A4099A" w14:textId="77777777" w:rsidR="003571E3" w:rsidRPr="004079E9" w:rsidRDefault="003571E3" w:rsidP="000C3F2A">
            <w:pPr>
              <w:pStyle w:val="TableTitle"/>
              <w:jc w:val="right"/>
              <w:rPr>
                <w:sz w:val="20"/>
                <w:szCs w:val="20"/>
              </w:rPr>
            </w:pPr>
            <w:r w:rsidRPr="004079E9">
              <w:rPr>
                <w:rFonts w:cs="Arial"/>
                <w:color w:val="000000"/>
                <w:sz w:val="20"/>
                <w:szCs w:val="20"/>
              </w:rPr>
              <w:t>381</w:t>
            </w:r>
          </w:p>
        </w:tc>
        <w:tc>
          <w:tcPr>
            <w:tcW w:w="1534"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A114751" w14:textId="77777777" w:rsidR="003571E3" w:rsidRPr="004079E9" w:rsidRDefault="003571E3" w:rsidP="000C3F2A">
            <w:pPr>
              <w:pStyle w:val="TableTitle"/>
              <w:jc w:val="right"/>
              <w:rPr>
                <w:sz w:val="20"/>
                <w:szCs w:val="20"/>
              </w:rPr>
            </w:pPr>
            <w:r w:rsidRPr="004079E9">
              <w:rPr>
                <w:rFonts w:cs="Arial"/>
                <w:color w:val="000000"/>
                <w:sz w:val="20"/>
                <w:szCs w:val="20"/>
              </w:rPr>
              <w:t>13</w:t>
            </w:r>
          </w:p>
        </w:tc>
        <w:tc>
          <w:tcPr>
            <w:tcW w:w="1554"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3E9B755" w14:textId="77777777" w:rsidR="003571E3" w:rsidRPr="004079E9" w:rsidRDefault="003571E3" w:rsidP="000C3F2A">
            <w:pPr>
              <w:pStyle w:val="TableTitle"/>
              <w:jc w:val="right"/>
              <w:rPr>
                <w:sz w:val="20"/>
                <w:szCs w:val="20"/>
              </w:rPr>
            </w:pPr>
            <w:r w:rsidRPr="004079E9">
              <w:rPr>
                <w:rFonts w:cs="Arial"/>
                <w:color w:val="000000"/>
                <w:sz w:val="20"/>
                <w:szCs w:val="20"/>
              </w:rPr>
              <w:t>301</w:t>
            </w:r>
          </w:p>
        </w:tc>
        <w:tc>
          <w:tcPr>
            <w:tcW w:w="1560"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82B079A" w14:textId="77777777" w:rsidR="003571E3" w:rsidRPr="004079E9" w:rsidRDefault="003571E3" w:rsidP="000C3F2A">
            <w:pPr>
              <w:pStyle w:val="TableTitle"/>
              <w:jc w:val="right"/>
              <w:rPr>
                <w:sz w:val="20"/>
                <w:szCs w:val="20"/>
              </w:rPr>
            </w:pPr>
            <w:r w:rsidRPr="004079E9">
              <w:rPr>
                <w:rFonts w:cs="Arial"/>
                <w:color w:val="000000"/>
                <w:sz w:val="20"/>
                <w:szCs w:val="20"/>
              </w:rPr>
              <w:t>10</w:t>
            </w:r>
          </w:p>
        </w:tc>
      </w:tr>
    </w:tbl>
    <w:p w14:paraId="58D22250" w14:textId="77777777" w:rsidR="003571E3" w:rsidRDefault="003571E3" w:rsidP="00891249">
      <w:pPr>
        <w:pStyle w:val="Heading4"/>
      </w:pPr>
    </w:p>
    <w:p w14:paraId="68CD2DED" w14:textId="77777777" w:rsidR="00C211D5" w:rsidRDefault="00C211D5">
      <w:pPr>
        <w:spacing w:before="0" w:after="0" w:line="240" w:lineRule="auto"/>
        <w:rPr>
          <w:b/>
          <w:bCs/>
          <w:i/>
          <w:color w:val="358189" w:themeColor="accent2"/>
          <w:sz w:val="28"/>
          <w:szCs w:val="28"/>
        </w:rPr>
      </w:pPr>
      <w:r>
        <w:br w:type="page"/>
      </w:r>
    </w:p>
    <w:p w14:paraId="206F3006" w14:textId="5FC6CDAC" w:rsidR="003571E3" w:rsidRDefault="003571E3" w:rsidP="0031040B">
      <w:pPr>
        <w:pStyle w:val="Heading3"/>
      </w:pPr>
      <w:bookmarkStart w:id="51" w:name="_Toc229480681"/>
      <w:r>
        <w:lastRenderedPageBreak/>
        <w:t>Australian Capital Territory</w:t>
      </w:r>
      <w:bookmarkEnd w:id="51"/>
      <w:r>
        <w:t xml:space="preserve"> </w:t>
      </w:r>
    </w:p>
    <w:p w14:paraId="6492168B" w14:textId="52B5F9B3" w:rsidR="003571E3" w:rsidRPr="00DE0B2F" w:rsidRDefault="003571E3" w:rsidP="0031040B">
      <w:pPr>
        <w:pStyle w:val="Heading4"/>
      </w:pPr>
      <w:bookmarkStart w:id="52" w:name="_Toc224743092"/>
      <w:bookmarkStart w:id="53" w:name="_Toc229480682"/>
      <w:r w:rsidRPr="00DE0B2F">
        <w:t>Table 12: Average (avg)/Median (</w:t>
      </w:r>
      <w:proofErr w:type="spellStart"/>
      <w:r w:rsidRPr="00DE0B2F">
        <w:t>mdn</w:t>
      </w:r>
      <w:proofErr w:type="spellEnd"/>
      <w:r w:rsidRPr="00DE0B2F">
        <w:t>) number of days/months between an application for aged care and service commencement for services commenced in the reporting period.</w:t>
      </w:r>
      <w:bookmarkEnd w:id="52"/>
      <w:bookmarkEnd w:id="53"/>
    </w:p>
    <w:tbl>
      <w:tblPr>
        <w:tblW w:w="850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09"/>
        <w:gridCol w:w="1525"/>
        <w:gridCol w:w="1525"/>
        <w:gridCol w:w="1525"/>
        <w:gridCol w:w="1525"/>
      </w:tblGrid>
      <w:tr w:rsidR="003571E3" w:rsidRPr="00002EE4" w14:paraId="3C2A7417" w14:textId="77777777" w:rsidTr="000C3F2A">
        <w:trPr>
          <w:trHeight w:val="367"/>
        </w:trPr>
        <w:tc>
          <w:tcPr>
            <w:tcW w:w="2409" w:type="dxa"/>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5377AD75" w14:textId="77777777" w:rsidR="003571E3" w:rsidRPr="00002EE4" w:rsidRDefault="003571E3" w:rsidP="000C3F2A">
            <w:pPr>
              <w:spacing w:line="240" w:lineRule="auto"/>
              <w:ind w:left="129"/>
              <w:jc w:val="both"/>
              <w:rPr>
                <w:color w:val="FFFFFF" w:themeColor="background1"/>
                <w:sz w:val="20"/>
                <w:szCs w:val="20"/>
              </w:rPr>
            </w:pPr>
            <w:r w:rsidRPr="00310479">
              <w:rPr>
                <w:b/>
                <w:color w:val="FFFFFF" w:themeColor="background1"/>
                <w:sz w:val="20"/>
                <w:szCs w:val="20"/>
                <w:lang w:val="en-US"/>
              </w:rPr>
              <w:t>Region </w:t>
            </w:r>
          </w:p>
        </w:tc>
        <w:tc>
          <w:tcPr>
            <w:tcW w:w="1525" w:type="dxa"/>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31464EFA" w14:textId="77777777" w:rsidR="003571E3" w:rsidRPr="00002EE4" w:rsidRDefault="003571E3" w:rsidP="000C3F2A">
            <w:pPr>
              <w:pStyle w:val="TableTitle"/>
              <w:ind w:left="78"/>
              <w:jc w:val="right"/>
              <w:rPr>
                <w:color w:val="FFFFFF" w:themeColor="background1"/>
                <w:sz w:val="20"/>
                <w:szCs w:val="20"/>
              </w:rPr>
            </w:pPr>
            <w:r w:rsidRPr="00002EE4">
              <w:rPr>
                <w:color w:val="FFFFFF" w:themeColor="background1"/>
                <w:sz w:val="20"/>
                <w:szCs w:val="20"/>
              </w:rPr>
              <w:t>Avg (days) </w:t>
            </w:r>
          </w:p>
        </w:tc>
        <w:tc>
          <w:tcPr>
            <w:tcW w:w="1525" w:type="dxa"/>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71508EC1" w14:textId="77777777" w:rsidR="003571E3" w:rsidRPr="00002EE4" w:rsidRDefault="003571E3" w:rsidP="000C3F2A">
            <w:pPr>
              <w:pStyle w:val="TableTitle"/>
              <w:ind w:left="193" w:hanging="51"/>
              <w:jc w:val="right"/>
              <w:rPr>
                <w:color w:val="FFFFFF" w:themeColor="background1"/>
                <w:sz w:val="20"/>
                <w:szCs w:val="20"/>
              </w:rPr>
            </w:pPr>
            <w:r w:rsidRPr="00002EE4">
              <w:rPr>
                <w:color w:val="FFFFFF" w:themeColor="background1"/>
                <w:sz w:val="20"/>
                <w:szCs w:val="20"/>
              </w:rPr>
              <w:t>Avg (months) </w:t>
            </w:r>
          </w:p>
        </w:tc>
        <w:tc>
          <w:tcPr>
            <w:tcW w:w="1525" w:type="dxa"/>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3A817C52" w14:textId="77777777" w:rsidR="003571E3" w:rsidRPr="00002EE4" w:rsidRDefault="003571E3" w:rsidP="000C3F2A">
            <w:pPr>
              <w:pStyle w:val="TableTitle"/>
              <w:ind w:left="141"/>
              <w:jc w:val="right"/>
              <w:rPr>
                <w:color w:val="FFFFFF" w:themeColor="background1"/>
                <w:sz w:val="20"/>
                <w:szCs w:val="20"/>
              </w:rPr>
            </w:pPr>
            <w:r w:rsidRPr="00002EE4">
              <w:rPr>
                <w:color w:val="FFFFFF" w:themeColor="background1"/>
                <w:sz w:val="20"/>
                <w:szCs w:val="20"/>
              </w:rPr>
              <w:t>Mdn (days) </w:t>
            </w:r>
          </w:p>
        </w:tc>
        <w:tc>
          <w:tcPr>
            <w:tcW w:w="1525" w:type="dxa"/>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148B3986" w14:textId="77777777" w:rsidR="003571E3" w:rsidRPr="00002EE4" w:rsidRDefault="003571E3" w:rsidP="000C3F2A">
            <w:pPr>
              <w:pStyle w:val="TableTitle"/>
              <w:ind w:left="88"/>
              <w:jc w:val="right"/>
              <w:rPr>
                <w:color w:val="FFFFFF" w:themeColor="background1"/>
                <w:sz w:val="20"/>
                <w:szCs w:val="20"/>
              </w:rPr>
            </w:pPr>
            <w:r w:rsidRPr="00002EE4">
              <w:rPr>
                <w:color w:val="FFFFFF" w:themeColor="background1"/>
                <w:sz w:val="20"/>
                <w:szCs w:val="20"/>
              </w:rPr>
              <w:t>Mdn (months) </w:t>
            </w:r>
          </w:p>
        </w:tc>
      </w:tr>
      <w:tr w:rsidR="003571E3" w:rsidRPr="00002EE4" w14:paraId="38E9585B" w14:textId="77777777" w:rsidTr="001105F0">
        <w:trPr>
          <w:trHeight w:val="367"/>
        </w:trPr>
        <w:tc>
          <w:tcPr>
            <w:tcW w:w="240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43B468DA" w14:textId="77777777" w:rsidR="003571E3" w:rsidRPr="00002EE4" w:rsidRDefault="003571E3" w:rsidP="001105F0">
            <w:pPr>
              <w:pStyle w:val="TableTitle"/>
              <w:rPr>
                <w:bCs/>
                <w:sz w:val="20"/>
                <w:szCs w:val="20"/>
              </w:rPr>
            </w:pPr>
            <w:r w:rsidRPr="00002EE4">
              <w:rPr>
                <w:bCs/>
                <w:sz w:val="20"/>
                <w:szCs w:val="20"/>
              </w:rPr>
              <w:t>Australian Capital Territory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B274C82" w14:textId="77777777" w:rsidR="003571E3" w:rsidRPr="00695610" w:rsidRDefault="003571E3" w:rsidP="000C3F2A">
            <w:pPr>
              <w:pStyle w:val="TableTitle"/>
              <w:jc w:val="right"/>
              <w:rPr>
                <w:sz w:val="20"/>
                <w:szCs w:val="20"/>
              </w:rPr>
            </w:pPr>
            <w:r w:rsidRPr="000315EE">
              <w:rPr>
                <w:sz w:val="20"/>
                <w:szCs w:val="20"/>
              </w:rPr>
              <w:t>386</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DAF04D9" w14:textId="77777777" w:rsidR="003571E3" w:rsidRPr="000315EE" w:rsidRDefault="003571E3" w:rsidP="000C3F2A">
            <w:pPr>
              <w:pStyle w:val="TableTitle"/>
              <w:spacing w:line="259" w:lineRule="auto"/>
              <w:jc w:val="right"/>
              <w:rPr>
                <w:sz w:val="20"/>
                <w:szCs w:val="20"/>
              </w:rPr>
            </w:pPr>
            <w:r w:rsidRPr="000315EE">
              <w:rPr>
                <w:sz w:val="20"/>
                <w:szCs w:val="20"/>
              </w:rPr>
              <w:t>13</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E59C8C8" w14:textId="77777777" w:rsidR="003571E3" w:rsidRPr="00695610" w:rsidRDefault="003571E3" w:rsidP="000C3F2A">
            <w:pPr>
              <w:pStyle w:val="TableTitle"/>
              <w:jc w:val="right"/>
              <w:rPr>
                <w:sz w:val="20"/>
                <w:szCs w:val="20"/>
              </w:rPr>
            </w:pPr>
            <w:r w:rsidRPr="000315EE">
              <w:rPr>
                <w:sz w:val="20"/>
                <w:szCs w:val="20"/>
              </w:rPr>
              <w:t>300</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578733A" w14:textId="77777777" w:rsidR="003571E3" w:rsidRPr="000315EE" w:rsidRDefault="003571E3" w:rsidP="000C3F2A">
            <w:pPr>
              <w:pStyle w:val="TableTitle"/>
              <w:spacing w:line="259" w:lineRule="auto"/>
              <w:jc w:val="right"/>
              <w:rPr>
                <w:sz w:val="20"/>
                <w:szCs w:val="20"/>
              </w:rPr>
            </w:pPr>
            <w:r w:rsidRPr="000315EE">
              <w:rPr>
                <w:sz w:val="20"/>
                <w:szCs w:val="20"/>
              </w:rPr>
              <w:t>10</w:t>
            </w:r>
          </w:p>
        </w:tc>
      </w:tr>
    </w:tbl>
    <w:p w14:paraId="04183F24" w14:textId="77777777" w:rsidR="003571E3" w:rsidRDefault="003571E3" w:rsidP="00891249">
      <w:pPr>
        <w:pStyle w:val="Heading4"/>
      </w:pPr>
    </w:p>
    <w:p w14:paraId="6FCEE2A3" w14:textId="77777777" w:rsidR="003571E3" w:rsidRDefault="003571E3" w:rsidP="0031040B">
      <w:pPr>
        <w:pStyle w:val="Heading3"/>
      </w:pPr>
      <w:bookmarkStart w:id="54" w:name="_Toc229480683"/>
      <w:r>
        <w:t>Northern Territory</w:t>
      </w:r>
      <w:bookmarkEnd w:id="54"/>
    </w:p>
    <w:p w14:paraId="6ED97C8D" w14:textId="15BBD6F0" w:rsidR="003571E3" w:rsidRDefault="003571E3" w:rsidP="0031040B">
      <w:pPr>
        <w:pStyle w:val="Heading4"/>
      </w:pPr>
      <w:bookmarkStart w:id="55" w:name="_Toc229480684"/>
      <w:r>
        <w:t>Table 13: Average (avg)/Median (</w:t>
      </w:r>
      <w:proofErr w:type="spellStart"/>
      <w:r>
        <w:t>mdn</w:t>
      </w:r>
      <w:proofErr w:type="spellEnd"/>
      <w:r>
        <w:t>) number of days</w:t>
      </w:r>
      <w:r w:rsidRPr="00001B70">
        <w:t>/months</w:t>
      </w:r>
      <w:r>
        <w:t xml:space="preserve"> between an application for aged care and service commencement for services commenced in the reporting period.</w:t>
      </w:r>
      <w:bookmarkEnd w:id="55"/>
    </w:p>
    <w:tbl>
      <w:tblPr>
        <w:tblW w:w="85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9"/>
        <w:gridCol w:w="1525"/>
        <w:gridCol w:w="1525"/>
        <w:gridCol w:w="1525"/>
        <w:gridCol w:w="1525"/>
      </w:tblGrid>
      <w:tr w:rsidR="003571E3" w:rsidRPr="00C02CAA" w14:paraId="3C5BB87B" w14:textId="77777777" w:rsidTr="000C3F2A">
        <w:trPr>
          <w:trHeight w:val="369"/>
          <w:tblHeader/>
        </w:trPr>
        <w:tc>
          <w:tcPr>
            <w:tcW w:w="2409" w:type="dxa"/>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288C1872" w14:textId="77777777" w:rsidR="003571E3" w:rsidRPr="00C02CAA" w:rsidRDefault="003571E3" w:rsidP="000C3F2A">
            <w:pPr>
              <w:pStyle w:val="TableTitle"/>
              <w:rPr>
                <w:color w:val="FFFFFF" w:themeColor="background1"/>
                <w:sz w:val="20"/>
                <w:szCs w:val="20"/>
              </w:rPr>
            </w:pPr>
            <w:r>
              <w:rPr>
                <w:color w:val="FFFFFF" w:themeColor="background1"/>
                <w:sz w:val="20"/>
                <w:szCs w:val="20"/>
              </w:rPr>
              <w:t xml:space="preserve">  </w:t>
            </w:r>
            <w:r w:rsidRPr="00C02CAA">
              <w:rPr>
                <w:color w:val="FFFFFF" w:themeColor="background1"/>
                <w:sz w:val="20"/>
                <w:szCs w:val="20"/>
              </w:rPr>
              <w:t>Region </w:t>
            </w:r>
          </w:p>
        </w:tc>
        <w:tc>
          <w:tcPr>
            <w:tcW w:w="1525" w:type="dxa"/>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2192A48F" w14:textId="77777777" w:rsidR="003571E3" w:rsidRPr="00C02CAA" w:rsidRDefault="003571E3" w:rsidP="000C3F2A">
            <w:pPr>
              <w:pStyle w:val="TableTitle"/>
              <w:jc w:val="right"/>
              <w:rPr>
                <w:color w:val="FFFFFF" w:themeColor="background1"/>
                <w:sz w:val="20"/>
                <w:szCs w:val="20"/>
              </w:rPr>
            </w:pPr>
            <w:r>
              <w:rPr>
                <w:color w:val="FFFFFF" w:themeColor="background1"/>
                <w:sz w:val="20"/>
                <w:szCs w:val="20"/>
              </w:rPr>
              <w:t xml:space="preserve">  </w:t>
            </w:r>
            <w:r w:rsidRPr="00C02CAA">
              <w:rPr>
                <w:color w:val="FFFFFF" w:themeColor="background1"/>
                <w:sz w:val="20"/>
                <w:szCs w:val="20"/>
              </w:rPr>
              <w:t>Avg (days) </w:t>
            </w:r>
          </w:p>
        </w:tc>
        <w:tc>
          <w:tcPr>
            <w:tcW w:w="1525" w:type="dxa"/>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11BFBEF2" w14:textId="77777777" w:rsidR="003571E3" w:rsidRPr="00C02CAA" w:rsidRDefault="003571E3" w:rsidP="000C3F2A">
            <w:pPr>
              <w:pStyle w:val="TableTitle"/>
              <w:jc w:val="right"/>
              <w:rPr>
                <w:color w:val="FFFFFF" w:themeColor="background1"/>
                <w:sz w:val="20"/>
                <w:szCs w:val="20"/>
              </w:rPr>
            </w:pPr>
            <w:r>
              <w:rPr>
                <w:color w:val="FFFFFF" w:themeColor="background1"/>
                <w:sz w:val="20"/>
                <w:szCs w:val="20"/>
              </w:rPr>
              <w:t xml:space="preserve">  </w:t>
            </w:r>
            <w:r w:rsidRPr="00C02CAA">
              <w:rPr>
                <w:color w:val="FFFFFF" w:themeColor="background1"/>
                <w:sz w:val="20"/>
                <w:szCs w:val="20"/>
              </w:rPr>
              <w:t>Avg (months) </w:t>
            </w:r>
          </w:p>
        </w:tc>
        <w:tc>
          <w:tcPr>
            <w:tcW w:w="1525" w:type="dxa"/>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040CF7D9" w14:textId="77777777" w:rsidR="003571E3" w:rsidRPr="00C02CAA" w:rsidRDefault="003571E3" w:rsidP="000C3F2A">
            <w:pPr>
              <w:pStyle w:val="TableTitle"/>
              <w:jc w:val="right"/>
              <w:rPr>
                <w:color w:val="FFFFFF" w:themeColor="background1"/>
                <w:sz w:val="20"/>
                <w:szCs w:val="20"/>
              </w:rPr>
            </w:pPr>
            <w:r>
              <w:rPr>
                <w:color w:val="FFFFFF" w:themeColor="background1"/>
                <w:sz w:val="20"/>
                <w:szCs w:val="20"/>
              </w:rPr>
              <w:t xml:space="preserve">  </w:t>
            </w:r>
            <w:r w:rsidRPr="00C02CAA">
              <w:rPr>
                <w:color w:val="FFFFFF" w:themeColor="background1"/>
                <w:sz w:val="20"/>
                <w:szCs w:val="20"/>
              </w:rPr>
              <w:t>Mdn (days) </w:t>
            </w:r>
          </w:p>
        </w:tc>
        <w:tc>
          <w:tcPr>
            <w:tcW w:w="1525" w:type="dxa"/>
            <w:tcBorders>
              <w:top w:val="single" w:sz="6" w:space="0" w:color="auto"/>
              <w:left w:val="single" w:sz="6" w:space="0" w:color="auto"/>
              <w:bottom w:val="single" w:sz="6" w:space="0" w:color="auto"/>
              <w:right w:val="single" w:sz="6" w:space="0" w:color="auto"/>
            </w:tcBorders>
            <w:shd w:val="clear" w:color="auto" w:fill="3F4A75" w:themeFill="accent1"/>
            <w:vAlign w:val="center"/>
            <w:hideMark/>
          </w:tcPr>
          <w:p w14:paraId="008D0093" w14:textId="77777777" w:rsidR="003571E3" w:rsidRPr="00C02CAA" w:rsidRDefault="003571E3" w:rsidP="000C3F2A">
            <w:pPr>
              <w:pStyle w:val="TableTitle"/>
              <w:jc w:val="right"/>
              <w:rPr>
                <w:color w:val="FFFFFF" w:themeColor="background1"/>
                <w:sz w:val="20"/>
                <w:szCs w:val="20"/>
              </w:rPr>
            </w:pPr>
            <w:r>
              <w:rPr>
                <w:color w:val="FFFFFF" w:themeColor="background1"/>
                <w:sz w:val="20"/>
                <w:szCs w:val="20"/>
              </w:rPr>
              <w:t xml:space="preserve">  </w:t>
            </w:r>
            <w:r w:rsidRPr="00C02CAA">
              <w:rPr>
                <w:color w:val="FFFFFF" w:themeColor="background1"/>
                <w:sz w:val="20"/>
                <w:szCs w:val="20"/>
              </w:rPr>
              <w:t>Mdn (months) </w:t>
            </w:r>
          </w:p>
        </w:tc>
      </w:tr>
      <w:tr w:rsidR="003571E3" w:rsidRPr="00C02CAA" w14:paraId="7D53349F" w14:textId="77777777" w:rsidTr="001105F0">
        <w:trPr>
          <w:trHeight w:val="369"/>
          <w:tblHeader/>
        </w:trPr>
        <w:tc>
          <w:tcPr>
            <w:tcW w:w="240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25C11F8D" w14:textId="4D8CCD9A" w:rsidR="003571E3" w:rsidRPr="00C02CAA" w:rsidRDefault="003571E3" w:rsidP="000C3F2A">
            <w:pPr>
              <w:pStyle w:val="TableTitle"/>
              <w:rPr>
                <w:bCs/>
                <w:sz w:val="20"/>
                <w:szCs w:val="20"/>
              </w:rPr>
            </w:pPr>
            <w:r w:rsidRPr="00C02CAA">
              <w:rPr>
                <w:bCs/>
                <w:sz w:val="20"/>
                <w:szCs w:val="20"/>
              </w:rPr>
              <w:t>Alice Springs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CE4337E" w14:textId="77777777" w:rsidR="003571E3" w:rsidRPr="008F7604" w:rsidRDefault="003571E3" w:rsidP="000C3F2A">
            <w:pPr>
              <w:pStyle w:val="TableTitle"/>
              <w:jc w:val="right"/>
              <w:rPr>
                <w:sz w:val="20"/>
                <w:szCs w:val="20"/>
              </w:rPr>
            </w:pPr>
            <w:r w:rsidRPr="008F7604">
              <w:rPr>
                <w:rFonts w:cs="Arial"/>
                <w:color w:val="000000"/>
                <w:sz w:val="20"/>
                <w:szCs w:val="20"/>
              </w:rPr>
              <w:t>348</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9986FB8" w14:textId="77777777" w:rsidR="003571E3" w:rsidRPr="008F7604" w:rsidRDefault="003571E3" w:rsidP="000C3F2A">
            <w:pPr>
              <w:pStyle w:val="TableTitle"/>
              <w:jc w:val="right"/>
              <w:rPr>
                <w:sz w:val="20"/>
                <w:szCs w:val="20"/>
              </w:rPr>
            </w:pPr>
            <w:r w:rsidRPr="008F7604">
              <w:rPr>
                <w:rFonts w:cs="Arial"/>
                <w:color w:val="000000"/>
                <w:sz w:val="20"/>
                <w:szCs w:val="20"/>
              </w:rPr>
              <w:t>12</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802C4ED" w14:textId="77777777" w:rsidR="003571E3" w:rsidRPr="008F7604" w:rsidRDefault="003571E3" w:rsidP="000C3F2A">
            <w:pPr>
              <w:pStyle w:val="TableTitle"/>
              <w:jc w:val="right"/>
              <w:rPr>
                <w:sz w:val="20"/>
                <w:szCs w:val="20"/>
              </w:rPr>
            </w:pPr>
            <w:r w:rsidRPr="008F7604">
              <w:rPr>
                <w:rFonts w:cs="Arial"/>
                <w:color w:val="000000"/>
                <w:sz w:val="20"/>
                <w:szCs w:val="20"/>
              </w:rPr>
              <w:t>264</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2D49A532" w14:textId="77777777" w:rsidR="003571E3" w:rsidRPr="008F7604" w:rsidRDefault="003571E3" w:rsidP="000C3F2A">
            <w:pPr>
              <w:pStyle w:val="TableTitle"/>
              <w:jc w:val="right"/>
              <w:rPr>
                <w:sz w:val="20"/>
                <w:szCs w:val="20"/>
              </w:rPr>
            </w:pPr>
            <w:r w:rsidRPr="008F7604">
              <w:rPr>
                <w:rFonts w:cs="Arial"/>
                <w:color w:val="000000"/>
                <w:sz w:val="20"/>
                <w:szCs w:val="20"/>
              </w:rPr>
              <w:t>9</w:t>
            </w:r>
          </w:p>
        </w:tc>
      </w:tr>
      <w:tr w:rsidR="003571E3" w:rsidRPr="00C02CAA" w14:paraId="184CCE59" w14:textId="77777777" w:rsidTr="001105F0">
        <w:trPr>
          <w:trHeight w:val="369"/>
          <w:tblHeader/>
        </w:trPr>
        <w:tc>
          <w:tcPr>
            <w:tcW w:w="240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7C16A035" w14:textId="1800EB09" w:rsidR="003571E3" w:rsidRPr="00C02CAA" w:rsidRDefault="003571E3" w:rsidP="000C3F2A">
            <w:pPr>
              <w:pStyle w:val="TableTitle"/>
              <w:rPr>
                <w:bCs/>
                <w:sz w:val="20"/>
                <w:szCs w:val="20"/>
              </w:rPr>
            </w:pPr>
            <w:r w:rsidRPr="00C02CAA">
              <w:rPr>
                <w:bCs/>
                <w:sz w:val="20"/>
                <w:szCs w:val="20"/>
              </w:rPr>
              <w:t>Barkly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B0D198D" w14:textId="77777777" w:rsidR="003571E3" w:rsidRPr="008F7604" w:rsidRDefault="003571E3" w:rsidP="000C3F2A">
            <w:pPr>
              <w:pStyle w:val="TableTitle"/>
              <w:jc w:val="right"/>
              <w:rPr>
                <w:sz w:val="20"/>
                <w:szCs w:val="20"/>
              </w:rPr>
            </w:pPr>
            <w:r w:rsidRPr="008F7604">
              <w:rPr>
                <w:rFonts w:cs="Arial"/>
                <w:color w:val="000000"/>
                <w:sz w:val="20"/>
                <w:szCs w:val="20"/>
              </w:rPr>
              <w:t>-</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099F949" w14:textId="77777777" w:rsidR="003571E3" w:rsidRPr="008F7604" w:rsidRDefault="003571E3" w:rsidP="000C3F2A">
            <w:pPr>
              <w:pStyle w:val="TableTitle"/>
              <w:jc w:val="right"/>
              <w:rPr>
                <w:sz w:val="20"/>
                <w:szCs w:val="20"/>
              </w:rPr>
            </w:pPr>
            <w:r w:rsidRPr="008F7604">
              <w:rPr>
                <w:rFonts w:cs="Arial"/>
                <w:color w:val="000000"/>
                <w:sz w:val="20"/>
                <w:szCs w:val="20"/>
              </w:rPr>
              <w:t>-</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DFD2ECC" w14:textId="77777777" w:rsidR="003571E3" w:rsidRPr="008F7604" w:rsidRDefault="003571E3" w:rsidP="000C3F2A">
            <w:pPr>
              <w:pStyle w:val="TableTitle"/>
              <w:jc w:val="right"/>
              <w:rPr>
                <w:sz w:val="20"/>
                <w:szCs w:val="20"/>
              </w:rPr>
            </w:pPr>
            <w:r w:rsidRPr="008F7604">
              <w:rPr>
                <w:rFonts w:cs="Arial"/>
                <w:color w:val="000000"/>
                <w:sz w:val="20"/>
                <w:szCs w:val="20"/>
              </w:rPr>
              <w:t>-</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4F93AAC" w14:textId="77777777" w:rsidR="003571E3" w:rsidRPr="008F7604" w:rsidRDefault="003571E3" w:rsidP="000C3F2A">
            <w:pPr>
              <w:pStyle w:val="TableTitle"/>
              <w:jc w:val="right"/>
              <w:rPr>
                <w:sz w:val="20"/>
                <w:szCs w:val="20"/>
              </w:rPr>
            </w:pPr>
            <w:r w:rsidRPr="008F7604">
              <w:rPr>
                <w:rFonts w:cs="Arial"/>
                <w:color w:val="000000"/>
                <w:sz w:val="20"/>
                <w:szCs w:val="20"/>
              </w:rPr>
              <w:t>-</w:t>
            </w:r>
          </w:p>
        </w:tc>
      </w:tr>
      <w:tr w:rsidR="003571E3" w:rsidRPr="00C02CAA" w14:paraId="3E09DF06" w14:textId="77777777" w:rsidTr="001105F0">
        <w:trPr>
          <w:trHeight w:val="369"/>
          <w:tblHeader/>
        </w:trPr>
        <w:tc>
          <w:tcPr>
            <w:tcW w:w="240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5594FB88" w14:textId="640EE458" w:rsidR="003571E3" w:rsidRPr="00C02CAA" w:rsidRDefault="003571E3" w:rsidP="000C3F2A">
            <w:pPr>
              <w:pStyle w:val="TableTitle"/>
              <w:rPr>
                <w:bCs/>
                <w:sz w:val="20"/>
                <w:szCs w:val="20"/>
              </w:rPr>
            </w:pPr>
            <w:r w:rsidRPr="00C02CAA">
              <w:rPr>
                <w:bCs/>
                <w:sz w:val="20"/>
                <w:szCs w:val="20"/>
              </w:rPr>
              <w:t>Darwin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F826A05" w14:textId="77777777" w:rsidR="003571E3" w:rsidRPr="008F7604" w:rsidRDefault="003571E3" w:rsidP="000C3F2A">
            <w:pPr>
              <w:pStyle w:val="TableTitle"/>
              <w:jc w:val="right"/>
              <w:rPr>
                <w:sz w:val="20"/>
                <w:szCs w:val="20"/>
              </w:rPr>
            </w:pPr>
            <w:r w:rsidRPr="008F7604">
              <w:rPr>
                <w:rFonts w:cs="Arial"/>
                <w:color w:val="000000"/>
                <w:sz w:val="20"/>
                <w:szCs w:val="20"/>
              </w:rPr>
              <w:t>329</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92A24F2" w14:textId="77777777" w:rsidR="003571E3" w:rsidRPr="008F7604" w:rsidRDefault="003571E3" w:rsidP="000C3F2A">
            <w:pPr>
              <w:pStyle w:val="TableTitle"/>
              <w:jc w:val="right"/>
              <w:rPr>
                <w:sz w:val="20"/>
                <w:szCs w:val="20"/>
              </w:rPr>
            </w:pPr>
            <w:r w:rsidRPr="008F7604">
              <w:rPr>
                <w:rFonts w:cs="Arial"/>
                <w:color w:val="000000"/>
                <w:sz w:val="20"/>
                <w:szCs w:val="20"/>
              </w:rPr>
              <w:t>11</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0D83DAB" w14:textId="77777777" w:rsidR="003571E3" w:rsidRPr="008F7604" w:rsidRDefault="003571E3" w:rsidP="000C3F2A">
            <w:pPr>
              <w:pStyle w:val="TableTitle"/>
              <w:jc w:val="right"/>
              <w:rPr>
                <w:sz w:val="20"/>
                <w:szCs w:val="20"/>
              </w:rPr>
            </w:pPr>
            <w:r w:rsidRPr="008F7604">
              <w:rPr>
                <w:rFonts w:cs="Arial"/>
                <w:color w:val="000000"/>
                <w:sz w:val="20"/>
                <w:szCs w:val="20"/>
              </w:rPr>
              <w:t>321</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2C29639" w14:textId="77777777" w:rsidR="003571E3" w:rsidRPr="008F7604" w:rsidRDefault="003571E3" w:rsidP="000C3F2A">
            <w:pPr>
              <w:pStyle w:val="TableTitle"/>
              <w:jc w:val="right"/>
              <w:rPr>
                <w:sz w:val="20"/>
                <w:szCs w:val="20"/>
              </w:rPr>
            </w:pPr>
            <w:r w:rsidRPr="008F7604">
              <w:rPr>
                <w:rFonts w:cs="Arial"/>
                <w:color w:val="000000"/>
                <w:sz w:val="20"/>
                <w:szCs w:val="20"/>
              </w:rPr>
              <w:t>11</w:t>
            </w:r>
          </w:p>
        </w:tc>
      </w:tr>
      <w:tr w:rsidR="003571E3" w:rsidRPr="00C02CAA" w14:paraId="6CC8A0A8" w14:textId="77777777" w:rsidTr="001105F0">
        <w:trPr>
          <w:trHeight w:val="369"/>
          <w:tblHeader/>
        </w:trPr>
        <w:tc>
          <w:tcPr>
            <w:tcW w:w="240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1BBDCC9D" w14:textId="7EE472DD" w:rsidR="003571E3" w:rsidRPr="00C02CAA" w:rsidRDefault="003571E3" w:rsidP="000C3F2A">
            <w:pPr>
              <w:pStyle w:val="TableTitle"/>
              <w:rPr>
                <w:bCs/>
                <w:sz w:val="20"/>
                <w:szCs w:val="20"/>
              </w:rPr>
            </w:pPr>
            <w:r w:rsidRPr="00C02CAA">
              <w:rPr>
                <w:bCs/>
                <w:sz w:val="20"/>
                <w:szCs w:val="20"/>
              </w:rPr>
              <w:t>East Arnhem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B5F57EF" w14:textId="77777777" w:rsidR="003571E3" w:rsidRPr="008F7604" w:rsidRDefault="003571E3" w:rsidP="000C3F2A">
            <w:pPr>
              <w:pStyle w:val="TableTitle"/>
              <w:jc w:val="right"/>
              <w:rPr>
                <w:sz w:val="20"/>
                <w:szCs w:val="20"/>
              </w:rPr>
            </w:pPr>
            <w:r w:rsidRPr="008F7604">
              <w:rPr>
                <w:rFonts w:cs="Arial"/>
                <w:color w:val="000000"/>
                <w:sz w:val="20"/>
                <w:szCs w:val="20"/>
              </w:rPr>
              <w:t>-</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73BD4ECD" w14:textId="77777777" w:rsidR="003571E3" w:rsidRPr="008F7604" w:rsidRDefault="003571E3" w:rsidP="000C3F2A">
            <w:pPr>
              <w:pStyle w:val="TableTitle"/>
              <w:jc w:val="right"/>
              <w:rPr>
                <w:sz w:val="20"/>
                <w:szCs w:val="20"/>
              </w:rPr>
            </w:pPr>
            <w:r w:rsidRPr="008F7604">
              <w:rPr>
                <w:rFonts w:cs="Arial"/>
                <w:color w:val="000000"/>
                <w:sz w:val="20"/>
                <w:szCs w:val="20"/>
              </w:rPr>
              <w:t>-</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0850CA7" w14:textId="77777777" w:rsidR="003571E3" w:rsidRPr="008F7604" w:rsidRDefault="003571E3" w:rsidP="000C3F2A">
            <w:pPr>
              <w:pStyle w:val="TableTitle"/>
              <w:jc w:val="right"/>
              <w:rPr>
                <w:sz w:val="20"/>
                <w:szCs w:val="20"/>
              </w:rPr>
            </w:pPr>
            <w:r w:rsidRPr="008F7604">
              <w:rPr>
                <w:rFonts w:cs="Arial"/>
                <w:color w:val="000000"/>
                <w:sz w:val="20"/>
                <w:szCs w:val="20"/>
              </w:rPr>
              <w:t>-</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4B433803" w14:textId="77777777" w:rsidR="003571E3" w:rsidRPr="008F7604" w:rsidRDefault="003571E3" w:rsidP="000C3F2A">
            <w:pPr>
              <w:pStyle w:val="TableTitle"/>
              <w:jc w:val="right"/>
              <w:rPr>
                <w:sz w:val="20"/>
                <w:szCs w:val="20"/>
              </w:rPr>
            </w:pPr>
            <w:r w:rsidRPr="008F7604">
              <w:rPr>
                <w:rFonts w:cs="Arial"/>
                <w:color w:val="000000"/>
                <w:sz w:val="20"/>
                <w:szCs w:val="20"/>
              </w:rPr>
              <w:t>-</w:t>
            </w:r>
          </w:p>
        </w:tc>
      </w:tr>
      <w:tr w:rsidR="003571E3" w:rsidRPr="00C02CAA" w14:paraId="4814920D" w14:textId="77777777" w:rsidTr="001105F0">
        <w:trPr>
          <w:trHeight w:val="369"/>
          <w:tblHeader/>
        </w:trPr>
        <w:tc>
          <w:tcPr>
            <w:tcW w:w="2409" w:type="dxa"/>
            <w:tcBorders>
              <w:top w:val="single" w:sz="6" w:space="0" w:color="auto"/>
              <w:left w:val="single" w:sz="6" w:space="0" w:color="auto"/>
              <w:bottom w:val="single" w:sz="6" w:space="0" w:color="auto"/>
              <w:right w:val="single" w:sz="6" w:space="0" w:color="auto"/>
            </w:tcBorders>
            <w:tcMar>
              <w:left w:w="113" w:type="dxa"/>
            </w:tcMar>
            <w:vAlign w:val="center"/>
            <w:hideMark/>
          </w:tcPr>
          <w:p w14:paraId="67C83781" w14:textId="28974F48" w:rsidR="003571E3" w:rsidRPr="00C02CAA" w:rsidRDefault="003571E3" w:rsidP="000C3F2A">
            <w:pPr>
              <w:pStyle w:val="TableTitle"/>
              <w:rPr>
                <w:bCs/>
                <w:sz w:val="20"/>
                <w:szCs w:val="20"/>
              </w:rPr>
            </w:pPr>
            <w:r w:rsidRPr="00C02CAA">
              <w:rPr>
                <w:bCs/>
                <w:sz w:val="20"/>
                <w:szCs w:val="20"/>
              </w:rPr>
              <w:t>Katherine </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7062E0D" w14:textId="77777777" w:rsidR="003571E3" w:rsidRPr="008F7604" w:rsidRDefault="003571E3" w:rsidP="000C3F2A">
            <w:pPr>
              <w:pStyle w:val="TableTitle"/>
              <w:jc w:val="right"/>
              <w:rPr>
                <w:sz w:val="20"/>
                <w:szCs w:val="20"/>
              </w:rPr>
            </w:pPr>
            <w:r w:rsidRPr="008F7604">
              <w:rPr>
                <w:rFonts w:cs="Arial"/>
                <w:color w:val="000000"/>
                <w:sz w:val="20"/>
                <w:szCs w:val="20"/>
              </w:rPr>
              <w:t>212</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13216891" w14:textId="77777777" w:rsidR="003571E3" w:rsidRPr="008F7604" w:rsidRDefault="003571E3" w:rsidP="000C3F2A">
            <w:pPr>
              <w:pStyle w:val="TableTitle"/>
              <w:jc w:val="right"/>
              <w:rPr>
                <w:sz w:val="20"/>
                <w:szCs w:val="20"/>
              </w:rPr>
            </w:pPr>
            <w:r w:rsidRPr="008F7604">
              <w:rPr>
                <w:rFonts w:cs="Arial"/>
                <w:color w:val="000000"/>
                <w:sz w:val="20"/>
                <w:szCs w:val="20"/>
              </w:rPr>
              <w:t>7</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03B52CDD" w14:textId="77777777" w:rsidR="003571E3" w:rsidRPr="008F7604" w:rsidRDefault="003571E3" w:rsidP="000C3F2A">
            <w:pPr>
              <w:pStyle w:val="TableTitle"/>
              <w:jc w:val="right"/>
              <w:rPr>
                <w:sz w:val="20"/>
                <w:szCs w:val="20"/>
              </w:rPr>
            </w:pPr>
            <w:r w:rsidRPr="008F7604">
              <w:rPr>
                <w:rFonts w:cs="Arial"/>
                <w:color w:val="000000"/>
                <w:sz w:val="20"/>
                <w:szCs w:val="20"/>
              </w:rPr>
              <w:t>226</w:t>
            </w:r>
          </w:p>
        </w:tc>
        <w:tc>
          <w:tcPr>
            <w:tcW w:w="1525" w:type="dxa"/>
            <w:tcBorders>
              <w:top w:val="single" w:sz="6" w:space="0" w:color="auto"/>
              <w:left w:val="single" w:sz="6" w:space="0" w:color="auto"/>
              <w:bottom w:val="single" w:sz="6" w:space="0" w:color="auto"/>
              <w:right w:val="single" w:sz="6" w:space="0" w:color="auto"/>
            </w:tcBorders>
            <w:tcMar>
              <w:left w:w="170" w:type="dxa"/>
              <w:right w:w="170" w:type="dxa"/>
            </w:tcMar>
            <w:vAlign w:val="center"/>
            <w:hideMark/>
          </w:tcPr>
          <w:p w14:paraId="5886D7E0" w14:textId="77777777" w:rsidR="003571E3" w:rsidRPr="008F7604" w:rsidRDefault="003571E3" w:rsidP="000C3F2A">
            <w:pPr>
              <w:pStyle w:val="TableTitle"/>
              <w:jc w:val="right"/>
              <w:rPr>
                <w:sz w:val="20"/>
                <w:szCs w:val="20"/>
              </w:rPr>
            </w:pPr>
            <w:r w:rsidRPr="008F7604">
              <w:rPr>
                <w:rFonts w:cs="Arial"/>
                <w:color w:val="000000"/>
                <w:sz w:val="20"/>
                <w:szCs w:val="20"/>
              </w:rPr>
              <w:t>8</w:t>
            </w:r>
          </w:p>
        </w:tc>
      </w:tr>
    </w:tbl>
    <w:p w14:paraId="5833E938" w14:textId="77777777" w:rsidR="003571E3" w:rsidRPr="001564D5" w:rsidRDefault="003571E3" w:rsidP="003571E3">
      <w:pPr>
        <w:rPr>
          <w:sz w:val="18"/>
          <w:szCs w:val="20"/>
        </w:rPr>
      </w:pPr>
      <w:r w:rsidRPr="001564D5">
        <w:rPr>
          <w:sz w:val="18"/>
          <w:szCs w:val="20"/>
        </w:rPr>
        <w:t>Please note: a dash (-), reflects insufficient data was available to generate an average/median due to less than 10 relevant commencements.</w:t>
      </w:r>
    </w:p>
    <w:p w14:paraId="7ECEE576" w14:textId="4716B088" w:rsidR="00205C23" w:rsidRDefault="00205C23" w:rsidP="003138B7">
      <w:pPr>
        <w:tabs>
          <w:tab w:val="left" w:pos="916"/>
        </w:tabs>
        <w:spacing w:before="0" w:after="0" w:line="240" w:lineRule="auto"/>
      </w:pPr>
    </w:p>
    <w:p w14:paraId="74BEB5FC" w14:textId="33F2B964" w:rsidR="00205C23" w:rsidRDefault="00B24478">
      <w:pPr>
        <w:spacing w:before="0" w:after="0" w:line="240" w:lineRule="auto"/>
      </w:pPr>
      <w:r>
        <w:rPr>
          <w:noProof/>
        </w:rPr>
        <w:lastRenderedPageBreak/>
        <mc:AlternateContent>
          <mc:Choice Requires="wps">
            <w:drawing>
              <wp:anchor distT="45720" distB="45720" distL="114300" distR="114300" simplePos="0" relativeHeight="251658244" behindDoc="0" locked="0" layoutInCell="1" allowOverlap="1" wp14:anchorId="1C918283" wp14:editId="4B1B472B">
                <wp:simplePos x="0" y="0"/>
                <wp:positionH relativeFrom="margin">
                  <wp:posOffset>53340</wp:posOffset>
                </wp:positionH>
                <wp:positionV relativeFrom="paragraph">
                  <wp:posOffset>57150</wp:posOffset>
                </wp:positionV>
                <wp:extent cx="5747385" cy="4899025"/>
                <wp:effectExtent l="0" t="0" r="24765" b="15875"/>
                <wp:wrapSquare wrapText="bothSides"/>
                <wp:docPr id="843760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7385" cy="4899025"/>
                        </a:xfrm>
                        <a:prstGeom prst="rect">
                          <a:avLst/>
                        </a:prstGeom>
                        <a:solidFill>
                          <a:schemeClr val="accent3">
                            <a:lumMod val="20000"/>
                            <a:lumOff val="80000"/>
                          </a:schemeClr>
                        </a:solidFill>
                        <a:ln w="9525">
                          <a:solidFill>
                            <a:srgbClr val="000000"/>
                          </a:solidFill>
                          <a:miter lim="800000"/>
                          <a:headEnd/>
                          <a:tailEnd/>
                        </a:ln>
                      </wps:spPr>
                      <wps:txbx>
                        <w:txbxContent>
                          <w:p w14:paraId="0A026B34" w14:textId="77777777" w:rsidR="00ED3D4B" w:rsidRPr="00AE4B20" w:rsidRDefault="00ED3D4B" w:rsidP="00ED3D4B">
                            <w:pPr>
                              <w:rPr>
                                <w:szCs w:val="22"/>
                                <w:u w:val="single"/>
                              </w:rPr>
                            </w:pPr>
                            <w:r w:rsidRPr="00AE4B20">
                              <w:rPr>
                                <w:szCs w:val="22"/>
                                <w:u w:val="single"/>
                              </w:rPr>
                              <w:t>Key points</w:t>
                            </w:r>
                          </w:p>
                          <w:p w14:paraId="19D7622A" w14:textId="77777777" w:rsidR="00ED3D4B" w:rsidRPr="005F7E68" w:rsidRDefault="00ED3D4B" w:rsidP="00ED3D4B">
                            <w:pPr>
                              <w:pStyle w:val="ListParagraph"/>
                              <w:numPr>
                                <w:ilvl w:val="0"/>
                                <w:numId w:val="20"/>
                              </w:numPr>
                              <w:rPr>
                                <w:bCs/>
                                <w:szCs w:val="22"/>
                                <w:lang w:val="en-US"/>
                              </w:rPr>
                            </w:pPr>
                            <w:r w:rsidRPr="005F7E68">
                              <w:rPr>
                                <w:bCs/>
                                <w:szCs w:val="22"/>
                                <w:lang w:val="en-US"/>
                              </w:rPr>
                              <w:t xml:space="preserve">There is substantial variation in </w:t>
                            </w:r>
                            <w:r>
                              <w:rPr>
                                <w:bCs/>
                                <w:szCs w:val="22"/>
                                <w:lang w:val="en-US"/>
                              </w:rPr>
                              <w:t>elapsed time</w:t>
                            </w:r>
                            <w:r w:rsidRPr="005F7E68">
                              <w:rPr>
                                <w:bCs/>
                                <w:szCs w:val="22"/>
                                <w:lang w:val="en-US"/>
                              </w:rPr>
                              <w:t xml:space="preserve"> across local regions (Aged Care Planning Regions) for non</w:t>
                            </w:r>
                            <w:r w:rsidRPr="005F7E68">
                              <w:rPr>
                                <w:rFonts w:ascii="Cambria Math" w:hAnsi="Cambria Math" w:cs="Cambria Math"/>
                                <w:bCs/>
                                <w:szCs w:val="22"/>
                                <w:lang w:val="en-US"/>
                              </w:rPr>
                              <w:t>‑</w:t>
                            </w:r>
                            <w:r w:rsidRPr="005F7E68">
                              <w:rPr>
                                <w:bCs/>
                                <w:szCs w:val="22"/>
                                <w:lang w:val="en-US"/>
                              </w:rPr>
                              <w:t>specialist funded aged care services, indicating that location is a material factor influencing the time between application and commencement of services.</w:t>
                            </w:r>
                          </w:p>
                          <w:p w14:paraId="76DDA88A" w14:textId="5B5A83C8" w:rsidR="00ED3D4B" w:rsidRPr="005F7E68" w:rsidRDefault="00ED3D4B" w:rsidP="00ED3D4B">
                            <w:pPr>
                              <w:pStyle w:val="ListParagraph"/>
                              <w:numPr>
                                <w:ilvl w:val="0"/>
                                <w:numId w:val="20"/>
                              </w:numPr>
                              <w:rPr>
                                <w:bCs/>
                                <w:szCs w:val="22"/>
                                <w:lang w:val="en-US"/>
                              </w:rPr>
                            </w:pPr>
                            <w:r w:rsidRPr="005F7E68">
                              <w:rPr>
                                <w:bCs/>
                                <w:szCs w:val="22"/>
                                <w:lang w:val="en-US"/>
                              </w:rPr>
                              <w:t xml:space="preserve">Median </w:t>
                            </w:r>
                            <w:r w:rsidR="00B24478">
                              <w:rPr>
                                <w:bCs/>
                                <w:szCs w:val="22"/>
                                <w:lang w:val="en-US"/>
                              </w:rPr>
                              <w:t>elapsed</w:t>
                            </w:r>
                            <w:r w:rsidR="00B24478" w:rsidRPr="005F7E68">
                              <w:rPr>
                                <w:bCs/>
                                <w:szCs w:val="22"/>
                                <w:lang w:val="en-US"/>
                              </w:rPr>
                              <w:t xml:space="preserve"> </w:t>
                            </w:r>
                            <w:r w:rsidRPr="005F7E68">
                              <w:rPr>
                                <w:bCs/>
                                <w:szCs w:val="22"/>
                                <w:lang w:val="en-US"/>
                              </w:rPr>
                              <w:t>times across regions typically ranged from around 7 to 12 months, with some regions experiencing markedly shorter or longer waits than the national median.</w:t>
                            </w:r>
                          </w:p>
                          <w:p w14:paraId="3097BAAF" w14:textId="77777777" w:rsidR="00ED3D4B" w:rsidRDefault="00ED3D4B" w:rsidP="00ED3D4B">
                            <w:pPr>
                              <w:pStyle w:val="ListParagraph"/>
                              <w:numPr>
                                <w:ilvl w:val="0"/>
                                <w:numId w:val="20"/>
                              </w:numPr>
                              <w:rPr>
                                <w:bCs/>
                                <w:szCs w:val="22"/>
                                <w:lang w:val="en-US"/>
                              </w:rPr>
                            </w:pPr>
                            <w:r w:rsidRPr="00F5755A">
                              <w:rPr>
                                <w:bCs/>
                                <w:szCs w:val="22"/>
                                <w:lang w:val="en-US"/>
                              </w:rPr>
                              <w:t>Inner metropolitan and some high-demand regions generally recorded longer median waiting times, typically around 10 months or more. Several regional and remote areas recorded shorter median waiting times, in some cases under 9 months, although this pattern was not uniform across all regions.</w:t>
                            </w:r>
                          </w:p>
                          <w:p w14:paraId="47E18B7D" w14:textId="77777777" w:rsidR="00ED3D4B" w:rsidRPr="005F7E68" w:rsidRDefault="00ED3D4B" w:rsidP="00ED3D4B">
                            <w:pPr>
                              <w:pStyle w:val="ListParagraph"/>
                              <w:numPr>
                                <w:ilvl w:val="0"/>
                                <w:numId w:val="20"/>
                              </w:numPr>
                              <w:rPr>
                                <w:bCs/>
                                <w:szCs w:val="22"/>
                                <w:lang w:val="en-US"/>
                              </w:rPr>
                            </w:pPr>
                            <w:r>
                              <w:rPr>
                                <w:bCs/>
                                <w:szCs w:val="22"/>
                                <w:lang w:val="en-US"/>
                              </w:rPr>
                              <w:t xml:space="preserve">Reason for </w:t>
                            </w:r>
                            <w:r w:rsidRPr="005F7E68">
                              <w:rPr>
                                <w:bCs/>
                                <w:szCs w:val="22"/>
                                <w:lang w:val="en-US"/>
                              </w:rPr>
                              <w:t xml:space="preserve">such </w:t>
                            </w:r>
                            <w:r>
                              <w:rPr>
                                <w:bCs/>
                                <w:szCs w:val="22"/>
                                <w:lang w:val="en-US"/>
                              </w:rPr>
                              <w:t xml:space="preserve">variation may be due to </w:t>
                            </w:r>
                            <w:r w:rsidRPr="005F7E68">
                              <w:rPr>
                                <w:bCs/>
                                <w:szCs w:val="22"/>
                                <w:lang w:val="en-US"/>
                              </w:rPr>
                              <w:t xml:space="preserve">provider availability, population density, workforce constraints, </w:t>
                            </w:r>
                            <w:r>
                              <w:rPr>
                                <w:bCs/>
                                <w:szCs w:val="22"/>
                                <w:lang w:val="en-US"/>
                              </w:rPr>
                              <w:t xml:space="preserve">assessment outcomes </w:t>
                            </w:r>
                            <w:r w:rsidRPr="005F7E68">
                              <w:rPr>
                                <w:bCs/>
                                <w:szCs w:val="22"/>
                                <w:lang w:val="en-US"/>
                              </w:rPr>
                              <w:t>and individual choice</w:t>
                            </w:r>
                            <w:r>
                              <w:rPr>
                                <w:bCs/>
                                <w:szCs w:val="22"/>
                                <w:lang w:val="en-US"/>
                              </w:rPr>
                              <w:t xml:space="preserve"> - </w:t>
                            </w:r>
                            <w:r w:rsidRPr="005F7E68">
                              <w:rPr>
                                <w:bCs/>
                                <w:szCs w:val="22"/>
                                <w:lang w:val="en-US"/>
                              </w:rPr>
                              <w:t>play a significant role in shaping access timelines.</w:t>
                            </w:r>
                          </w:p>
                          <w:p w14:paraId="32B111ED" w14:textId="77777777" w:rsidR="00ED3D4B" w:rsidRPr="005F7E68" w:rsidRDefault="00ED3D4B" w:rsidP="00ED3D4B">
                            <w:pPr>
                              <w:pStyle w:val="ListParagraph"/>
                              <w:numPr>
                                <w:ilvl w:val="0"/>
                                <w:numId w:val="20"/>
                              </w:numPr>
                              <w:rPr>
                                <w:bCs/>
                                <w:szCs w:val="22"/>
                                <w:lang w:val="en-US"/>
                              </w:rPr>
                            </w:pPr>
                            <w:r w:rsidRPr="005F7E68">
                              <w:rPr>
                                <w:bCs/>
                                <w:szCs w:val="22"/>
                                <w:lang w:val="en-US"/>
                              </w:rPr>
                              <w:t>Some regions displayed large gaps between average and median waiting times, suggesting the presence of outliers or highly variable individual pathways into care within those regions.</w:t>
                            </w:r>
                          </w:p>
                          <w:p w14:paraId="4E0990EE" w14:textId="77777777" w:rsidR="00ED3D4B" w:rsidRPr="005F7E68" w:rsidRDefault="00ED3D4B" w:rsidP="00ED3D4B">
                            <w:pPr>
                              <w:pStyle w:val="ListParagraph"/>
                              <w:numPr>
                                <w:ilvl w:val="0"/>
                                <w:numId w:val="20"/>
                              </w:numPr>
                              <w:rPr>
                                <w:bCs/>
                                <w:szCs w:val="22"/>
                                <w:lang w:val="en-US"/>
                              </w:rPr>
                            </w:pPr>
                            <w:r w:rsidRPr="005F7E68">
                              <w:rPr>
                                <w:bCs/>
                                <w:szCs w:val="22"/>
                                <w:lang w:val="en-US"/>
                              </w:rPr>
                              <w:t xml:space="preserve">Regions with very long average </w:t>
                            </w:r>
                            <w:r>
                              <w:rPr>
                                <w:bCs/>
                                <w:szCs w:val="22"/>
                                <w:lang w:val="en-US"/>
                              </w:rPr>
                              <w:t>elapsed time</w:t>
                            </w:r>
                            <w:r w:rsidRPr="005F7E68">
                              <w:rPr>
                                <w:bCs/>
                                <w:szCs w:val="22"/>
                                <w:lang w:val="en-US"/>
                              </w:rPr>
                              <w:t xml:space="preserve"> relative to their median appear to be influenced by a smaller number of individuals experiencing </w:t>
                            </w:r>
                            <w:r>
                              <w:rPr>
                                <w:bCs/>
                                <w:szCs w:val="22"/>
                                <w:lang w:val="en-US"/>
                              </w:rPr>
                              <w:t>longer durations</w:t>
                            </w:r>
                            <w:r w:rsidRPr="005F7E68">
                              <w:rPr>
                                <w:bCs/>
                                <w:szCs w:val="22"/>
                                <w:lang w:val="en-US"/>
                              </w:rPr>
                              <w:t>, rather than uniformly long waits across the cohort.</w:t>
                            </w:r>
                          </w:p>
                          <w:p w14:paraId="6009E083" w14:textId="209EC7EC" w:rsidR="00ED3D4B" w:rsidRPr="00B00F85" w:rsidRDefault="00ED3D4B" w:rsidP="00ED3D4B">
                            <w:pPr>
                              <w:pStyle w:val="ListParagraph"/>
                              <w:numPr>
                                <w:ilvl w:val="0"/>
                                <w:numId w:val="20"/>
                              </w:numPr>
                              <w:rPr>
                                <w:bCs/>
                                <w:szCs w:val="22"/>
                                <w:lang w:val="en-US"/>
                              </w:rPr>
                            </w:pPr>
                            <w:r w:rsidRPr="005342BE">
                              <w:rPr>
                                <w:bCs/>
                                <w:szCs w:val="22"/>
                                <w:lang w:val="en-US"/>
                              </w:rPr>
                              <w:t>These findings demonstrate that reporting at the local</w:t>
                            </w:r>
                            <w:r w:rsidRPr="005342BE">
                              <w:rPr>
                                <w:rFonts w:ascii="Cambria Math" w:hAnsi="Cambria Math" w:cs="Cambria Math"/>
                                <w:bCs/>
                                <w:szCs w:val="22"/>
                                <w:lang w:val="en-US"/>
                              </w:rPr>
                              <w:t>‑</w:t>
                            </w:r>
                            <w:r w:rsidRPr="005342BE">
                              <w:rPr>
                                <w:bCs/>
                                <w:szCs w:val="22"/>
                                <w:lang w:val="en-US"/>
                              </w:rPr>
                              <w:t xml:space="preserve">region level provides important additional context beyond </w:t>
                            </w:r>
                            <w:r w:rsidR="00B24478">
                              <w:rPr>
                                <w:bCs/>
                                <w:szCs w:val="22"/>
                                <w:lang w:val="en-US"/>
                              </w:rPr>
                              <w:t>s</w:t>
                            </w:r>
                            <w:r w:rsidRPr="005342BE">
                              <w:rPr>
                                <w:bCs/>
                                <w:szCs w:val="22"/>
                                <w:lang w:val="en-US"/>
                              </w:rPr>
                              <w:t xml:space="preserve">tate or </w:t>
                            </w:r>
                            <w:r w:rsidR="00B24478">
                              <w:rPr>
                                <w:bCs/>
                                <w:szCs w:val="22"/>
                                <w:lang w:val="en-US"/>
                              </w:rPr>
                              <w:t>t</w:t>
                            </w:r>
                            <w:r w:rsidRPr="005342BE">
                              <w:rPr>
                                <w:bCs/>
                                <w:szCs w:val="22"/>
                                <w:lang w:val="en-US"/>
                              </w:rPr>
                              <w:t>erritory averages and supports transparency regarding how access to aged care services varies across Australia.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18283" id="_x0000_s1045" type="#_x0000_t202" style="position:absolute;margin-left:4.2pt;margin-top:4.5pt;width:452.55pt;height:385.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" fillcolor="#bfe7ff [662]">
                <v:textbox>
                  <w:txbxContent>
                    <w:p w14:paraId="0A026B34" w14:textId="77777777" w:rsidR="00ED3D4B" w:rsidRPr="00AE4B20" w:rsidRDefault="00ED3D4B" w:rsidP="00ED3D4B">
                      <w:pPr>
                        <w:rPr>
                          <w:szCs w:val="22"/>
                          <w:u w:val="single"/>
                        </w:rPr>
                      </w:pPr>
                      <w:r w:rsidRPr="00AE4B20">
                        <w:rPr>
                          <w:szCs w:val="22"/>
                          <w:u w:val="single"/>
                        </w:rPr>
                        <w:t>Key points</w:t>
                      </w:r>
                    </w:p>
                    <w:p w14:paraId="19D7622A" w14:textId="77777777" w:rsidR="00ED3D4B" w:rsidRPr="005F7E68" w:rsidRDefault="00ED3D4B" w:rsidP="00ED3D4B">
                      <w:pPr>
                        <w:pStyle w:val="ListParagraph"/>
                        <w:numPr>
                          <w:ilvl w:val="0"/>
                          <w:numId w:val="20"/>
                        </w:numPr>
                        <w:rPr>
                          <w:bCs/>
                          <w:szCs w:val="22"/>
                          <w:lang w:val="en-US"/>
                        </w:rPr>
                      </w:pPr>
                      <w:r w:rsidRPr="005F7E68">
                        <w:rPr>
                          <w:bCs/>
                          <w:szCs w:val="22"/>
                          <w:lang w:val="en-US"/>
                        </w:rPr>
                        <w:t xml:space="preserve">There is substantial variation in </w:t>
                      </w:r>
                      <w:r>
                        <w:rPr>
                          <w:bCs/>
                          <w:szCs w:val="22"/>
                          <w:lang w:val="en-US"/>
                        </w:rPr>
                        <w:t>elapsed time</w:t>
                      </w:r>
                      <w:r w:rsidRPr="005F7E68">
                        <w:rPr>
                          <w:bCs/>
                          <w:szCs w:val="22"/>
                          <w:lang w:val="en-US"/>
                        </w:rPr>
                        <w:t xml:space="preserve"> across local regions (Aged Care Planning Regions) for non</w:t>
                      </w:r>
                      <w:r w:rsidRPr="005F7E68">
                        <w:rPr>
                          <w:rFonts w:ascii="Cambria Math" w:hAnsi="Cambria Math" w:cs="Cambria Math"/>
                          <w:bCs/>
                          <w:szCs w:val="22"/>
                          <w:lang w:val="en-US"/>
                        </w:rPr>
                        <w:t>‑</w:t>
                      </w:r>
                      <w:r w:rsidRPr="005F7E68">
                        <w:rPr>
                          <w:bCs/>
                          <w:szCs w:val="22"/>
                          <w:lang w:val="en-US"/>
                        </w:rPr>
                        <w:t>specialist funded aged care services, indicating that location is a material factor influencing the time between application and commencement of services.</w:t>
                      </w:r>
                    </w:p>
                    <w:p w14:paraId="76DDA88A" w14:textId="5B5A83C8" w:rsidR="00ED3D4B" w:rsidRPr="005F7E68" w:rsidRDefault="00ED3D4B" w:rsidP="00ED3D4B">
                      <w:pPr>
                        <w:pStyle w:val="ListParagraph"/>
                        <w:numPr>
                          <w:ilvl w:val="0"/>
                          <w:numId w:val="20"/>
                        </w:numPr>
                        <w:rPr>
                          <w:bCs/>
                          <w:szCs w:val="22"/>
                          <w:lang w:val="en-US"/>
                        </w:rPr>
                      </w:pPr>
                      <w:r w:rsidRPr="005F7E68">
                        <w:rPr>
                          <w:bCs/>
                          <w:szCs w:val="22"/>
                          <w:lang w:val="en-US"/>
                        </w:rPr>
                        <w:t xml:space="preserve">Median </w:t>
                      </w:r>
                      <w:r w:rsidR="00B24478">
                        <w:rPr>
                          <w:bCs/>
                          <w:szCs w:val="22"/>
                          <w:lang w:val="en-US"/>
                        </w:rPr>
                        <w:t>elapsed</w:t>
                      </w:r>
                      <w:r w:rsidR="00B24478" w:rsidRPr="005F7E68">
                        <w:rPr>
                          <w:bCs/>
                          <w:szCs w:val="22"/>
                          <w:lang w:val="en-US"/>
                        </w:rPr>
                        <w:t xml:space="preserve"> </w:t>
                      </w:r>
                      <w:r w:rsidRPr="005F7E68">
                        <w:rPr>
                          <w:bCs/>
                          <w:szCs w:val="22"/>
                          <w:lang w:val="en-US"/>
                        </w:rPr>
                        <w:t>times across regions typically ranged from around 7 to 12 months, with some regions experiencing markedly shorter or longer waits than the national median.</w:t>
                      </w:r>
                    </w:p>
                    <w:p w14:paraId="3097BAAF" w14:textId="77777777" w:rsidR="00ED3D4B" w:rsidRDefault="00ED3D4B" w:rsidP="00ED3D4B">
                      <w:pPr>
                        <w:pStyle w:val="ListParagraph"/>
                        <w:numPr>
                          <w:ilvl w:val="0"/>
                          <w:numId w:val="20"/>
                        </w:numPr>
                        <w:rPr>
                          <w:bCs/>
                          <w:szCs w:val="22"/>
                          <w:lang w:val="en-US"/>
                        </w:rPr>
                      </w:pPr>
                      <w:r w:rsidRPr="00F5755A">
                        <w:rPr>
                          <w:bCs/>
                          <w:szCs w:val="22"/>
                          <w:lang w:val="en-US"/>
                        </w:rPr>
                        <w:t>Inner metropolitan and some high-demand regions generally recorded longer median waiting times, typically around 10 months or more. Several regional and remote areas recorded shorter median waiting times, in some cases under 9 months, although this pattern was not uniform across all regions.</w:t>
                      </w:r>
                    </w:p>
                    <w:p w14:paraId="47E18B7D" w14:textId="77777777" w:rsidR="00ED3D4B" w:rsidRPr="005F7E68" w:rsidRDefault="00ED3D4B" w:rsidP="00ED3D4B">
                      <w:pPr>
                        <w:pStyle w:val="ListParagraph"/>
                        <w:numPr>
                          <w:ilvl w:val="0"/>
                          <w:numId w:val="20"/>
                        </w:numPr>
                        <w:rPr>
                          <w:bCs/>
                          <w:szCs w:val="22"/>
                          <w:lang w:val="en-US"/>
                        </w:rPr>
                      </w:pPr>
                      <w:r>
                        <w:rPr>
                          <w:bCs/>
                          <w:szCs w:val="22"/>
                          <w:lang w:val="en-US"/>
                        </w:rPr>
                        <w:t xml:space="preserve">Reason for </w:t>
                      </w:r>
                      <w:r w:rsidRPr="005F7E68">
                        <w:rPr>
                          <w:bCs/>
                          <w:szCs w:val="22"/>
                          <w:lang w:val="en-US"/>
                        </w:rPr>
                        <w:t xml:space="preserve">such </w:t>
                      </w:r>
                      <w:r>
                        <w:rPr>
                          <w:bCs/>
                          <w:szCs w:val="22"/>
                          <w:lang w:val="en-US"/>
                        </w:rPr>
                        <w:t xml:space="preserve">variation may be due to </w:t>
                      </w:r>
                      <w:r w:rsidRPr="005F7E68">
                        <w:rPr>
                          <w:bCs/>
                          <w:szCs w:val="22"/>
                          <w:lang w:val="en-US"/>
                        </w:rPr>
                        <w:t xml:space="preserve">provider availability, population density, workforce constraints, </w:t>
                      </w:r>
                      <w:r>
                        <w:rPr>
                          <w:bCs/>
                          <w:szCs w:val="22"/>
                          <w:lang w:val="en-US"/>
                        </w:rPr>
                        <w:t xml:space="preserve">assessment outcomes </w:t>
                      </w:r>
                      <w:r w:rsidRPr="005F7E68">
                        <w:rPr>
                          <w:bCs/>
                          <w:szCs w:val="22"/>
                          <w:lang w:val="en-US"/>
                        </w:rPr>
                        <w:t>and individual choice</w:t>
                      </w:r>
                      <w:r>
                        <w:rPr>
                          <w:bCs/>
                          <w:szCs w:val="22"/>
                          <w:lang w:val="en-US"/>
                        </w:rPr>
                        <w:t xml:space="preserve"> - </w:t>
                      </w:r>
                      <w:r w:rsidRPr="005F7E68">
                        <w:rPr>
                          <w:bCs/>
                          <w:szCs w:val="22"/>
                          <w:lang w:val="en-US"/>
                        </w:rPr>
                        <w:t>play a significant role in shaping access timelines.</w:t>
                      </w:r>
                    </w:p>
                    <w:p w14:paraId="32B111ED" w14:textId="77777777" w:rsidR="00ED3D4B" w:rsidRPr="005F7E68" w:rsidRDefault="00ED3D4B" w:rsidP="00ED3D4B">
                      <w:pPr>
                        <w:pStyle w:val="ListParagraph"/>
                        <w:numPr>
                          <w:ilvl w:val="0"/>
                          <w:numId w:val="20"/>
                        </w:numPr>
                        <w:rPr>
                          <w:bCs/>
                          <w:szCs w:val="22"/>
                          <w:lang w:val="en-US"/>
                        </w:rPr>
                      </w:pPr>
                      <w:r w:rsidRPr="005F7E68">
                        <w:rPr>
                          <w:bCs/>
                          <w:szCs w:val="22"/>
                          <w:lang w:val="en-US"/>
                        </w:rPr>
                        <w:t>Some regions displayed large gaps between average and median waiting times, suggesting the presence of outliers or highly variable individual pathways into care within those regions.</w:t>
                      </w:r>
                    </w:p>
                    <w:p w14:paraId="4E0990EE" w14:textId="77777777" w:rsidR="00ED3D4B" w:rsidRPr="005F7E68" w:rsidRDefault="00ED3D4B" w:rsidP="00ED3D4B">
                      <w:pPr>
                        <w:pStyle w:val="ListParagraph"/>
                        <w:numPr>
                          <w:ilvl w:val="0"/>
                          <w:numId w:val="20"/>
                        </w:numPr>
                        <w:rPr>
                          <w:bCs/>
                          <w:szCs w:val="22"/>
                          <w:lang w:val="en-US"/>
                        </w:rPr>
                      </w:pPr>
                      <w:r w:rsidRPr="005F7E68">
                        <w:rPr>
                          <w:bCs/>
                          <w:szCs w:val="22"/>
                          <w:lang w:val="en-US"/>
                        </w:rPr>
                        <w:t xml:space="preserve">Regions with very long average </w:t>
                      </w:r>
                      <w:r>
                        <w:rPr>
                          <w:bCs/>
                          <w:szCs w:val="22"/>
                          <w:lang w:val="en-US"/>
                        </w:rPr>
                        <w:t>elapsed time</w:t>
                      </w:r>
                      <w:r w:rsidRPr="005F7E68">
                        <w:rPr>
                          <w:bCs/>
                          <w:szCs w:val="22"/>
                          <w:lang w:val="en-US"/>
                        </w:rPr>
                        <w:t xml:space="preserve"> relative to their median appear to be influenced by a smaller number of individuals experiencing </w:t>
                      </w:r>
                      <w:r>
                        <w:rPr>
                          <w:bCs/>
                          <w:szCs w:val="22"/>
                          <w:lang w:val="en-US"/>
                        </w:rPr>
                        <w:t>longer durations</w:t>
                      </w:r>
                      <w:r w:rsidRPr="005F7E68">
                        <w:rPr>
                          <w:bCs/>
                          <w:szCs w:val="22"/>
                          <w:lang w:val="en-US"/>
                        </w:rPr>
                        <w:t>, rather than uniformly long waits across the cohort.</w:t>
                      </w:r>
                    </w:p>
                    <w:p w14:paraId="6009E083" w14:textId="209EC7EC" w:rsidR="00ED3D4B" w:rsidRPr="00B00F85" w:rsidRDefault="00ED3D4B" w:rsidP="00ED3D4B">
                      <w:pPr>
                        <w:pStyle w:val="ListParagraph"/>
                        <w:numPr>
                          <w:ilvl w:val="0"/>
                          <w:numId w:val="20"/>
                        </w:numPr>
                        <w:rPr>
                          <w:bCs/>
                          <w:szCs w:val="22"/>
                          <w:lang w:val="en-US"/>
                        </w:rPr>
                      </w:pPr>
                      <w:r w:rsidRPr="005342BE">
                        <w:rPr>
                          <w:bCs/>
                          <w:szCs w:val="22"/>
                          <w:lang w:val="en-US"/>
                        </w:rPr>
                        <w:t>These findings demonstrate that reporting at the local</w:t>
                      </w:r>
                      <w:r w:rsidRPr="005342BE">
                        <w:rPr>
                          <w:rFonts w:ascii="Cambria Math" w:hAnsi="Cambria Math" w:cs="Cambria Math"/>
                          <w:bCs/>
                          <w:szCs w:val="22"/>
                          <w:lang w:val="en-US"/>
                        </w:rPr>
                        <w:t>‑</w:t>
                      </w:r>
                      <w:r w:rsidRPr="005342BE">
                        <w:rPr>
                          <w:bCs/>
                          <w:szCs w:val="22"/>
                          <w:lang w:val="en-US"/>
                        </w:rPr>
                        <w:t xml:space="preserve">region level provides important additional context beyond </w:t>
                      </w:r>
                      <w:r w:rsidR="00B24478">
                        <w:rPr>
                          <w:bCs/>
                          <w:szCs w:val="22"/>
                          <w:lang w:val="en-US"/>
                        </w:rPr>
                        <w:t>s</w:t>
                      </w:r>
                      <w:r w:rsidRPr="005342BE">
                        <w:rPr>
                          <w:bCs/>
                          <w:szCs w:val="22"/>
                          <w:lang w:val="en-US"/>
                        </w:rPr>
                        <w:t xml:space="preserve">tate or </w:t>
                      </w:r>
                      <w:r w:rsidR="00B24478">
                        <w:rPr>
                          <w:bCs/>
                          <w:szCs w:val="22"/>
                          <w:lang w:val="en-US"/>
                        </w:rPr>
                        <w:t>t</w:t>
                      </w:r>
                      <w:r w:rsidRPr="005342BE">
                        <w:rPr>
                          <w:bCs/>
                          <w:szCs w:val="22"/>
                          <w:lang w:val="en-US"/>
                        </w:rPr>
                        <w:t>erritory averages and supports transparency regarding how access to aged care services varies across Australia.</w:t>
                      </w:r>
                    </w:p>
                  </w:txbxContent>
                </v:textbox>
                <w10:wrap type="square" anchorx="margin"/>
              </v:shape>
            </w:pict>
          </mc:Fallback>
        </mc:AlternateContent>
      </w:r>
      <w:r w:rsidR="00205C23">
        <w:br w:type="page"/>
      </w:r>
    </w:p>
    <w:p w14:paraId="67650A3E" w14:textId="26467A03" w:rsidR="005C544F" w:rsidRDefault="006D3468" w:rsidP="00A64264">
      <w:pPr>
        <w:pStyle w:val="Heading1"/>
      </w:pPr>
      <w:bookmarkStart w:id="56" w:name="_Toc224743088"/>
      <w:bookmarkStart w:id="57" w:name="_Toc229480685"/>
      <w:r>
        <w:lastRenderedPageBreak/>
        <w:t xml:space="preserve">Appendix A: </w:t>
      </w:r>
      <w:r w:rsidR="00205A93" w:rsidRPr="004D1339">
        <w:t>Glossary</w:t>
      </w:r>
      <w:bookmarkEnd w:id="56"/>
      <w:bookmarkEnd w:id="57"/>
    </w:p>
    <w:tbl>
      <w:tblPr>
        <w:tblpPr w:leftFromText="180" w:rightFromText="180" w:vertAnchor="text" w:horzAnchor="margin" w:tblpY="76"/>
        <w:tblW w:w="5063" w:type="pct"/>
        <w:tblBorders>
          <w:top w:val="single" w:sz="4" w:space="0" w:color="3F4A75" w:themeColor="accent1"/>
          <w:left w:val="single" w:sz="4" w:space="0" w:color="3F4A75" w:themeColor="accent1"/>
          <w:bottom w:val="single" w:sz="4" w:space="0" w:color="3F4A75" w:themeColor="accent1"/>
          <w:right w:val="single" w:sz="4" w:space="0" w:color="3F4A75" w:themeColor="accent1"/>
          <w:insideH w:val="single" w:sz="4" w:space="0" w:color="3F4A75" w:themeColor="accent1"/>
          <w:insideV w:val="single" w:sz="4" w:space="0" w:color="3F4A75" w:themeColor="accent1"/>
        </w:tblBorders>
        <w:tblLook w:val="04A0" w:firstRow="1" w:lastRow="0" w:firstColumn="1" w:lastColumn="0" w:noHBand="0" w:noVBand="1"/>
      </w:tblPr>
      <w:tblGrid>
        <w:gridCol w:w="3437"/>
        <w:gridCol w:w="5595"/>
      </w:tblGrid>
      <w:tr w:rsidR="00E55FA6" w:rsidRPr="0088514E" w14:paraId="6CB0C3FD" w14:textId="77777777" w:rsidTr="468D6C74">
        <w:trPr>
          <w:trHeight w:val="349"/>
          <w:tblHeader/>
        </w:trPr>
        <w:tc>
          <w:tcPr>
            <w:tcW w:w="1922" w:type="pct"/>
            <w:shd w:val="clear" w:color="auto" w:fill="3F4A75" w:themeFill="accent1"/>
            <w:vAlign w:val="bottom"/>
          </w:tcPr>
          <w:p w14:paraId="2A46CF35" w14:textId="77777777" w:rsidR="005C544F" w:rsidRPr="0055767B" w:rsidRDefault="005C544F" w:rsidP="00B975D8">
            <w:pPr>
              <w:spacing w:before="80" w:after="80"/>
              <w:rPr>
                <w:rFonts w:cs="Arial"/>
                <w:b/>
                <w:color w:val="FFFFFF" w:themeColor="background1"/>
                <w:sz w:val="21"/>
                <w:szCs w:val="21"/>
              </w:rPr>
            </w:pPr>
            <w:r w:rsidRPr="0055767B">
              <w:rPr>
                <w:rFonts w:cs="Arial"/>
                <w:b/>
                <w:color w:val="FFFFFF" w:themeColor="background1"/>
                <w:sz w:val="21"/>
                <w:szCs w:val="21"/>
              </w:rPr>
              <w:t>Term</w:t>
            </w:r>
          </w:p>
        </w:tc>
        <w:tc>
          <w:tcPr>
            <w:tcW w:w="3078" w:type="pct"/>
            <w:shd w:val="clear" w:color="auto" w:fill="3F4A75" w:themeFill="accent1"/>
            <w:vAlign w:val="bottom"/>
          </w:tcPr>
          <w:p w14:paraId="7987E031" w14:textId="77777777" w:rsidR="005C544F" w:rsidRPr="00EC1D60" w:rsidRDefault="005C544F" w:rsidP="00B975D8">
            <w:pPr>
              <w:spacing w:before="80" w:after="80"/>
              <w:jc w:val="center"/>
              <w:rPr>
                <w:rFonts w:cs="Arial"/>
                <w:b/>
                <w:color w:val="FFFFFF" w:themeColor="background1"/>
                <w:sz w:val="21"/>
                <w:szCs w:val="21"/>
              </w:rPr>
            </w:pPr>
            <w:r w:rsidRPr="00EC1D60">
              <w:rPr>
                <w:rFonts w:cs="Arial"/>
                <w:b/>
                <w:color w:val="FFFFFF" w:themeColor="background1"/>
                <w:sz w:val="21"/>
                <w:szCs w:val="21"/>
              </w:rPr>
              <w:t>Meaning</w:t>
            </w:r>
          </w:p>
        </w:tc>
      </w:tr>
      <w:tr w:rsidR="00E55FA6" w:rsidRPr="0088514E" w14:paraId="0448A006" w14:textId="77777777" w:rsidTr="468D6C74">
        <w:trPr>
          <w:trHeight w:val="50"/>
        </w:trPr>
        <w:tc>
          <w:tcPr>
            <w:tcW w:w="1922" w:type="pct"/>
            <w:vAlign w:val="center"/>
          </w:tcPr>
          <w:p w14:paraId="697D9262" w14:textId="080AA666" w:rsidR="005F413A" w:rsidRPr="0055767B" w:rsidRDefault="005F413A" w:rsidP="00B975D8">
            <w:pPr>
              <w:spacing w:before="60" w:after="60" w:line="240" w:lineRule="auto"/>
              <w:rPr>
                <w:b/>
                <w:szCs w:val="22"/>
              </w:rPr>
            </w:pPr>
            <w:r w:rsidRPr="0055767B">
              <w:rPr>
                <w:b/>
                <w:szCs w:val="22"/>
              </w:rPr>
              <w:t>Aged care needs assessor</w:t>
            </w:r>
          </w:p>
        </w:tc>
        <w:tc>
          <w:tcPr>
            <w:tcW w:w="3078" w:type="pct"/>
          </w:tcPr>
          <w:p w14:paraId="1165AA72" w14:textId="21EE417C" w:rsidR="005F413A" w:rsidRPr="001527D7" w:rsidRDefault="3B704A4F" w:rsidP="6498F6C2">
            <w:pPr>
              <w:spacing w:before="60" w:after="60" w:line="240" w:lineRule="auto"/>
              <w:rPr>
                <w:rFonts w:eastAsia="Arial" w:cs="Arial"/>
                <w:color w:val="auto"/>
                <w:szCs w:val="22"/>
              </w:rPr>
            </w:pPr>
            <w:r w:rsidRPr="001527D7">
              <w:rPr>
                <w:rFonts w:eastAsia="Arial" w:cs="Arial"/>
                <w:color w:val="auto"/>
                <w:szCs w:val="22"/>
              </w:rPr>
              <w:t>A person who conducts aged care assessments</w:t>
            </w:r>
            <w:r w:rsidR="00F64F4D">
              <w:rPr>
                <w:rFonts w:eastAsia="Arial" w:cs="Arial"/>
                <w:color w:val="auto"/>
                <w:szCs w:val="22"/>
              </w:rPr>
              <w:t xml:space="preserve"> (</w:t>
            </w:r>
            <w:r w:rsidRPr="001527D7">
              <w:rPr>
                <w:rFonts w:eastAsia="Arial" w:cs="Arial"/>
                <w:color w:val="auto"/>
                <w:szCs w:val="22"/>
              </w:rPr>
              <w:t>home support or comprehensive assessments</w:t>
            </w:r>
            <w:r w:rsidR="00F64F4D">
              <w:rPr>
                <w:rFonts w:eastAsia="Arial" w:cs="Arial"/>
                <w:color w:val="auto"/>
                <w:szCs w:val="22"/>
              </w:rPr>
              <w:t>)</w:t>
            </w:r>
            <w:r w:rsidRPr="001527D7">
              <w:rPr>
                <w:rFonts w:eastAsia="Arial" w:cs="Arial"/>
                <w:color w:val="auto"/>
                <w:szCs w:val="22"/>
              </w:rPr>
              <w:t xml:space="preserve">. An aged care needs assessor can be a clinical assessor or a non-clinical assessor, and these roles have different qualification requirements. </w:t>
            </w:r>
          </w:p>
        </w:tc>
      </w:tr>
      <w:tr w:rsidR="00E55FA6" w:rsidRPr="0088514E" w14:paraId="52F13436" w14:textId="77777777" w:rsidTr="468D6C74">
        <w:trPr>
          <w:trHeight w:val="50"/>
        </w:trPr>
        <w:tc>
          <w:tcPr>
            <w:tcW w:w="1922" w:type="pct"/>
            <w:vAlign w:val="center"/>
          </w:tcPr>
          <w:p w14:paraId="2342F973" w14:textId="2904BEB3" w:rsidR="00DC3F22" w:rsidRPr="0055767B" w:rsidRDefault="00DC3F22" w:rsidP="00B975D8">
            <w:pPr>
              <w:spacing w:before="60" w:after="60" w:line="240" w:lineRule="auto"/>
              <w:rPr>
                <w:b/>
                <w:color w:val="auto"/>
                <w:szCs w:val="22"/>
              </w:rPr>
            </w:pPr>
            <w:r w:rsidRPr="0055767B">
              <w:rPr>
                <w:b/>
                <w:color w:val="auto"/>
                <w:szCs w:val="22"/>
              </w:rPr>
              <w:t>Aged care planning region (ACPR)</w:t>
            </w:r>
          </w:p>
        </w:tc>
        <w:tc>
          <w:tcPr>
            <w:tcW w:w="3078" w:type="pct"/>
          </w:tcPr>
          <w:p w14:paraId="589C46B0" w14:textId="76B7552B" w:rsidR="006F21AE" w:rsidRPr="001527D7" w:rsidRDefault="006F21AE" w:rsidP="00B975D8">
            <w:pPr>
              <w:spacing w:before="60" w:after="60" w:line="240" w:lineRule="auto"/>
              <w:rPr>
                <w:color w:val="auto"/>
                <w:szCs w:val="22"/>
              </w:rPr>
            </w:pPr>
            <w:r w:rsidRPr="001527D7">
              <w:rPr>
                <w:color w:val="auto"/>
                <w:szCs w:val="22"/>
              </w:rPr>
              <w:t>A geographic area used by the government to help plan and deliver aged care services. Each region includes nearby communities with similar care needs. There are 73 regions across Australia.</w:t>
            </w:r>
          </w:p>
          <w:p w14:paraId="5B687F87" w14:textId="37AE4C13" w:rsidR="00E85E88" w:rsidRPr="001527D7" w:rsidRDefault="006F21AE" w:rsidP="00B975D8">
            <w:pPr>
              <w:spacing w:before="60" w:after="60" w:line="240" w:lineRule="auto"/>
              <w:rPr>
                <w:color w:val="auto"/>
                <w:szCs w:val="22"/>
              </w:rPr>
            </w:pPr>
            <w:r w:rsidRPr="001527D7">
              <w:rPr>
                <w:color w:val="auto"/>
                <w:szCs w:val="22"/>
              </w:rPr>
              <w:br/>
              <w:t xml:space="preserve">ACPR maps are available at </w:t>
            </w:r>
            <w:hyperlink r:id="rId18" w:history="1">
              <w:r w:rsidR="00144A57" w:rsidRPr="006A381E">
                <w:rPr>
                  <w:rStyle w:val="Hyperlink"/>
                  <w:color w:val="00598F" w:themeColor="accent3" w:themeShade="BF"/>
                  <w:szCs w:val="22"/>
                  <w:u w:val="none"/>
                </w:rPr>
                <w:t>https://www.health.gov.au/resources/collections/2018-aged-care-planning-region-maps</w:t>
              </w:r>
            </w:hyperlink>
          </w:p>
        </w:tc>
      </w:tr>
      <w:tr w:rsidR="00E55FA6" w:rsidRPr="0088514E" w14:paraId="7F1A0354" w14:textId="77777777" w:rsidTr="468D6C74">
        <w:trPr>
          <w:trHeight w:val="50"/>
        </w:trPr>
        <w:tc>
          <w:tcPr>
            <w:tcW w:w="1922" w:type="pct"/>
            <w:vAlign w:val="center"/>
          </w:tcPr>
          <w:p w14:paraId="255C43A6" w14:textId="28388FC4" w:rsidR="005C544F" w:rsidRPr="0055767B" w:rsidRDefault="005C544F" w:rsidP="00B975D8">
            <w:pPr>
              <w:spacing w:before="60" w:after="60" w:line="240" w:lineRule="auto"/>
              <w:rPr>
                <w:rFonts w:cs="Arial"/>
                <w:b/>
                <w:color w:val="auto"/>
                <w:szCs w:val="22"/>
              </w:rPr>
            </w:pPr>
            <w:r w:rsidRPr="0055767B">
              <w:rPr>
                <w:rFonts w:cs="Arial"/>
                <w:b/>
                <w:color w:val="auto"/>
                <w:szCs w:val="22"/>
              </w:rPr>
              <w:t>Application</w:t>
            </w:r>
            <w:r w:rsidR="00400454" w:rsidRPr="0055767B">
              <w:rPr>
                <w:rFonts w:cs="Arial"/>
                <w:b/>
                <w:color w:val="auto"/>
                <w:szCs w:val="22"/>
              </w:rPr>
              <w:t xml:space="preserve"> for aged care</w:t>
            </w:r>
          </w:p>
        </w:tc>
        <w:tc>
          <w:tcPr>
            <w:tcW w:w="3078" w:type="pct"/>
          </w:tcPr>
          <w:p w14:paraId="5F9C0288" w14:textId="661FD8F1" w:rsidR="005C544F" w:rsidRPr="001527D7" w:rsidRDefault="00F54F56" w:rsidP="468D6C74">
            <w:pPr>
              <w:spacing w:before="60" w:after="60" w:line="240" w:lineRule="auto"/>
              <w:rPr>
                <w:color w:val="auto"/>
              </w:rPr>
            </w:pPr>
            <w:r w:rsidRPr="468D6C74">
              <w:rPr>
                <w:color w:val="auto"/>
              </w:rPr>
              <w:t>T</w:t>
            </w:r>
            <w:r w:rsidR="005C544F" w:rsidRPr="468D6C74">
              <w:rPr>
                <w:color w:val="auto"/>
              </w:rPr>
              <w:t>he process where a person</w:t>
            </w:r>
            <w:r w:rsidR="00EB7312" w:rsidRPr="468D6C74">
              <w:rPr>
                <w:color w:val="auto"/>
              </w:rPr>
              <w:t xml:space="preserve"> </w:t>
            </w:r>
            <w:r w:rsidR="005C544F" w:rsidRPr="468D6C74">
              <w:rPr>
                <w:color w:val="auto"/>
              </w:rPr>
              <w:t xml:space="preserve">submits a request to access aged </w:t>
            </w:r>
            <w:r w:rsidR="00EB7312" w:rsidRPr="468D6C74">
              <w:rPr>
                <w:color w:val="auto"/>
              </w:rPr>
              <w:t>c</w:t>
            </w:r>
            <w:r w:rsidR="005F0B96" w:rsidRPr="468D6C74">
              <w:rPr>
                <w:color w:val="auto"/>
              </w:rPr>
              <w:t>are</w:t>
            </w:r>
            <w:r w:rsidR="005C544F" w:rsidRPr="468D6C74">
              <w:rPr>
                <w:color w:val="auto"/>
              </w:rPr>
              <w:t xml:space="preserve"> service</w:t>
            </w:r>
            <w:r w:rsidR="00AB31B8" w:rsidRPr="468D6C74">
              <w:rPr>
                <w:color w:val="auto"/>
              </w:rPr>
              <w:t>s</w:t>
            </w:r>
            <w:r w:rsidR="00D7614C" w:rsidRPr="468D6C74">
              <w:rPr>
                <w:color w:val="auto"/>
              </w:rPr>
              <w:t xml:space="preserve"> through My Aged Care.</w:t>
            </w:r>
            <w:r w:rsidR="005C544F" w:rsidRPr="468D6C74">
              <w:rPr>
                <w:color w:val="auto"/>
              </w:rPr>
              <w:t xml:space="preserve"> </w:t>
            </w:r>
          </w:p>
        </w:tc>
      </w:tr>
      <w:tr w:rsidR="000C514C" w:rsidRPr="0088514E" w14:paraId="72795E2D" w14:textId="77777777" w:rsidTr="468D6C74">
        <w:trPr>
          <w:trHeight w:val="50"/>
        </w:trPr>
        <w:tc>
          <w:tcPr>
            <w:tcW w:w="1922" w:type="pct"/>
            <w:vAlign w:val="center"/>
          </w:tcPr>
          <w:p w14:paraId="77FF68D2" w14:textId="124C83B4" w:rsidR="000C514C" w:rsidRPr="0055767B" w:rsidRDefault="000C514C" w:rsidP="000C514C">
            <w:pPr>
              <w:spacing w:before="60" w:after="60"/>
              <w:rPr>
                <w:b/>
                <w:color w:val="auto"/>
                <w:szCs w:val="22"/>
              </w:rPr>
            </w:pPr>
            <w:r w:rsidRPr="0055767B">
              <w:rPr>
                <w:rFonts w:cs="Arial"/>
                <w:b/>
                <w:color w:val="auto"/>
                <w:szCs w:val="22"/>
              </w:rPr>
              <w:t xml:space="preserve">Assessment </w:t>
            </w:r>
            <w:r>
              <w:rPr>
                <w:rFonts w:cs="Arial"/>
                <w:b/>
                <w:color w:val="auto"/>
                <w:szCs w:val="22"/>
              </w:rPr>
              <w:t>d</w:t>
            </w:r>
            <w:r w:rsidRPr="0055767B">
              <w:rPr>
                <w:rFonts w:cs="Arial"/>
                <w:b/>
                <w:color w:val="auto"/>
                <w:szCs w:val="22"/>
              </w:rPr>
              <w:t xml:space="preserve">elegate </w:t>
            </w:r>
          </w:p>
        </w:tc>
        <w:tc>
          <w:tcPr>
            <w:tcW w:w="3078" w:type="pct"/>
          </w:tcPr>
          <w:p w14:paraId="1C653A46" w14:textId="6B3D8C79" w:rsidR="000C514C" w:rsidRPr="001527D7" w:rsidRDefault="000C514C" w:rsidP="000C514C">
            <w:pPr>
              <w:spacing w:before="60" w:after="60" w:line="240" w:lineRule="auto"/>
              <w:rPr>
                <w:color w:val="auto"/>
                <w:szCs w:val="22"/>
              </w:rPr>
            </w:pPr>
            <w:r w:rsidRPr="468D6C74">
              <w:rPr>
                <w:rFonts w:eastAsia="Arial" w:cs="Arial"/>
                <w:color w:val="auto"/>
              </w:rPr>
              <w:t xml:space="preserve">A delegate is a person whose position has been delegated powers and functions under a section of the </w:t>
            </w:r>
            <w:r w:rsidRPr="001C1C48">
              <w:rPr>
                <w:rFonts w:eastAsia="Arial" w:cs="Arial"/>
                <w:color w:val="auto"/>
              </w:rPr>
              <w:t xml:space="preserve">Act </w:t>
            </w:r>
            <w:r w:rsidRPr="468D6C74">
              <w:rPr>
                <w:rFonts w:eastAsia="Arial" w:cs="Arial"/>
                <w:color w:val="auto"/>
              </w:rPr>
              <w:t>by the System Governor. A</w:t>
            </w:r>
            <w:r>
              <w:rPr>
                <w:rFonts w:eastAsia="Arial" w:cs="Arial"/>
                <w:color w:val="auto"/>
              </w:rPr>
              <w:t>n assessment</w:t>
            </w:r>
            <w:r w:rsidRPr="468D6C74">
              <w:rPr>
                <w:rFonts w:eastAsia="Arial" w:cs="Arial"/>
                <w:color w:val="auto"/>
              </w:rPr>
              <w:t xml:space="preserve"> </w:t>
            </w:r>
            <w:r>
              <w:rPr>
                <w:rFonts w:eastAsia="Arial" w:cs="Arial"/>
                <w:color w:val="auto"/>
              </w:rPr>
              <w:t>d</w:t>
            </w:r>
            <w:r w:rsidRPr="468D6C74">
              <w:rPr>
                <w:rFonts w:eastAsia="Arial" w:cs="Arial"/>
                <w:color w:val="auto"/>
              </w:rPr>
              <w:t xml:space="preserve">elegate’s role is to review </w:t>
            </w:r>
            <w:r>
              <w:rPr>
                <w:rFonts w:eastAsia="Arial" w:cs="Arial"/>
                <w:color w:val="auto"/>
              </w:rPr>
              <w:t xml:space="preserve">the assessment report, ensuring that the collection of services an assessor considers will meet the individual’s needs are evidenced based, align with the goals and concerns identified during the assessment, are legally sound and meet </w:t>
            </w:r>
            <w:proofErr w:type="gramStart"/>
            <w:r>
              <w:rPr>
                <w:rFonts w:eastAsia="Arial" w:cs="Arial"/>
                <w:color w:val="auto"/>
              </w:rPr>
              <w:t>all of</w:t>
            </w:r>
            <w:proofErr w:type="gramEnd"/>
            <w:r>
              <w:rPr>
                <w:rFonts w:eastAsia="Arial" w:cs="Arial"/>
                <w:color w:val="auto"/>
              </w:rPr>
              <w:t xml:space="preserve"> the eligibility criteria under the Act. </w:t>
            </w:r>
            <w:r w:rsidRPr="468D6C74">
              <w:rPr>
                <w:rFonts w:eastAsia="Arial" w:cs="Arial"/>
                <w:color w:val="auto"/>
              </w:rPr>
              <w:t xml:space="preserve">  </w:t>
            </w:r>
          </w:p>
        </w:tc>
      </w:tr>
      <w:tr w:rsidR="000C514C" w:rsidRPr="0088514E" w14:paraId="1848E29F" w14:textId="77777777" w:rsidTr="468D6C74">
        <w:trPr>
          <w:trHeight w:val="50"/>
        </w:trPr>
        <w:tc>
          <w:tcPr>
            <w:tcW w:w="1922" w:type="pct"/>
            <w:vAlign w:val="center"/>
          </w:tcPr>
          <w:p w14:paraId="17E0FBFC" w14:textId="12C7F175" w:rsidR="000C514C" w:rsidRPr="0055767B" w:rsidRDefault="000C514C" w:rsidP="000C514C">
            <w:pPr>
              <w:spacing w:before="60" w:after="60" w:line="240" w:lineRule="auto"/>
              <w:rPr>
                <w:rFonts w:cs="Arial"/>
                <w:b/>
                <w:color w:val="auto"/>
              </w:rPr>
            </w:pPr>
            <w:r w:rsidRPr="0055767B">
              <w:rPr>
                <w:rFonts w:cs="Arial"/>
                <w:b/>
                <w:color w:val="auto"/>
              </w:rPr>
              <w:t xml:space="preserve">Assistive Technology and Home Modifications Scheme </w:t>
            </w:r>
          </w:p>
        </w:tc>
        <w:tc>
          <w:tcPr>
            <w:tcW w:w="3078" w:type="pct"/>
          </w:tcPr>
          <w:p w14:paraId="2D2FA7E6" w14:textId="3343007C" w:rsidR="000C514C" w:rsidRPr="001527D7" w:rsidRDefault="000C514C" w:rsidP="000C514C">
            <w:pPr>
              <w:spacing w:before="60" w:after="60" w:line="240" w:lineRule="auto"/>
              <w:rPr>
                <w:rFonts w:eastAsia="Arial" w:cs="Arial"/>
                <w:color w:val="auto"/>
                <w:szCs w:val="22"/>
              </w:rPr>
            </w:pPr>
            <w:r w:rsidRPr="001527D7">
              <w:rPr>
                <w:rFonts w:eastAsia="Arial" w:cs="Arial"/>
                <w:color w:val="auto"/>
                <w:szCs w:val="22"/>
              </w:rPr>
              <w:t>A time-limited support pathway under the Support at Home program that helps eligible older people access aids, equipment, and home modifications based on their assessed needs.</w:t>
            </w:r>
          </w:p>
        </w:tc>
      </w:tr>
      <w:tr w:rsidR="000C514C" w:rsidRPr="0088514E" w14:paraId="08E1AB33" w14:textId="77777777" w:rsidTr="468D6C74">
        <w:trPr>
          <w:trHeight w:val="50"/>
        </w:trPr>
        <w:tc>
          <w:tcPr>
            <w:tcW w:w="1922" w:type="pct"/>
            <w:vAlign w:val="center"/>
          </w:tcPr>
          <w:p w14:paraId="63178444" w14:textId="77777777" w:rsidR="000C514C" w:rsidRPr="0055767B" w:rsidRDefault="000C514C" w:rsidP="000C514C">
            <w:pPr>
              <w:spacing w:before="60" w:after="60" w:line="240" w:lineRule="auto"/>
              <w:rPr>
                <w:rFonts w:cs="Arial"/>
                <w:b/>
                <w:color w:val="auto"/>
                <w:szCs w:val="22"/>
              </w:rPr>
            </w:pPr>
            <w:r w:rsidRPr="0055767B">
              <w:rPr>
                <w:rFonts w:cs="Arial"/>
                <w:b/>
                <w:color w:val="auto"/>
                <w:szCs w:val="22"/>
              </w:rPr>
              <w:t>Classification type</w:t>
            </w:r>
          </w:p>
        </w:tc>
        <w:tc>
          <w:tcPr>
            <w:tcW w:w="3078" w:type="pct"/>
          </w:tcPr>
          <w:p w14:paraId="22373F7B" w14:textId="77777777" w:rsidR="000C514C" w:rsidRPr="001527D7" w:rsidRDefault="000C514C" w:rsidP="000C514C">
            <w:pPr>
              <w:spacing w:before="60" w:after="60" w:line="240" w:lineRule="auto"/>
              <w:rPr>
                <w:rFonts w:eastAsia="Arial" w:cs="Arial"/>
                <w:color w:val="auto"/>
              </w:rPr>
            </w:pPr>
            <w:r w:rsidRPr="468D6C74">
              <w:rPr>
                <w:rFonts w:eastAsia="Arial" w:cs="Arial"/>
                <w:b/>
                <w:bCs/>
                <w:color w:val="auto"/>
              </w:rPr>
              <w:t xml:space="preserve">Classification types </w:t>
            </w:r>
            <w:r w:rsidRPr="468D6C74">
              <w:rPr>
                <w:rFonts w:eastAsia="Arial" w:cs="Arial"/>
                <w:color w:val="auto"/>
              </w:rPr>
              <w:t xml:space="preserve">differentiate the </w:t>
            </w:r>
            <w:proofErr w:type="gramStart"/>
            <w:r w:rsidRPr="468D6C74">
              <w:rPr>
                <w:rFonts w:eastAsia="Arial" w:cs="Arial"/>
                <w:color w:val="auto"/>
              </w:rPr>
              <w:t>time period</w:t>
            </w:r>
            <w:proofErr w:type="gramEnd"/>
            <w:r w:rsidRPr="468D6C74">
              <w:rPr>
                <w:rFonts w:eastAsia="Arial" w:cs="Arial"/>
                <w:color w:val="auto"/>
              </w:rPr>
              <w:t xml:space="preserve"> that services are delivered for under the service group. There are three classification types: ongoing, short-term and hospital transition. Each classification type has a different purpose in meeting the needs of an individual and so are funded and timed accordingly. </w:t>
            </w:r>
          </w:p>
          <w:p w14:paraId="014B3D07" w14:textId="4C6277CC" w:rsidR="000C514C" w:rsidRPr="001527D7" w:rsidRDefault="000C514C" w:rsidP="000C514C">
            <w:pPr>
              <w:spacing w:before="60" w:after="60" w:line="240" w:lineRule="auto"/>
              <w:rPr>
                <w:rFonts w:eastAsia="Arial" w:cs="Arial"/>
                <w:strike/>
                <w:color w:val="auto"/>
              </w:rPr>
            </w:pPr>
            <w:r w:rsidRPr="468D6C74">
              <w:rPr>
                <w:rFonts w:eastAsia="Arial" w:cs="Arial"/>
                <w:b/>
                <w:bCs/>
                <w:color w:val="auto"/>
              </w:rPr>
              <w:t>Classification levels</w:t>
            </w:r>
            <w:r w:rsidRPr="468D6C74">
              <w:rPr>
                <w:rFonts w:eastAsia="Arial" w:cs="Arial"/>
                <w:color w:val="auto"/>
              </w:rPr>
              <w:t xml:space="preserve"> determine the amount of funding available to deliver the aged care services that an individual has been approved to access under a service group. </w:t>
            </w:r>
          </w:p>
        </w:tc>
      </w:tr>
      <w:tr w:rsidR="000C514C" w:rsidRPr="0088514E" w14:paraId="25800D69" w14:textId="77777777" w:rsidTr="468D6C74">
        <w:trPr>
          <w:trHeight w:val="50"/>
        </w:trPr>
        <w:tc>
          <w:tcPr>
            <w:tcW w:w="1922" w:type="pct"/>
            <w:vAlign w:val="center"/>
          </w:tcPr>
          <w:p w14:paraId="68DB3A68" w14:textId="302BE664" w:rsidR="000C514C" w:rsidRPr="0055767B" w:rsidRDefault="000C514C" w:rsidP="000C514C">
            <w:pPr>
              <w:spacing w:before="60" w:after="60" w:line="240" w:lineRule="auto"/>
              <w:rPr>
                <w:rFonts w:cs="Arial"/>
                <w:b/>
                <w:color w:val="auto"/>
                <w:szCs w:val="22"/>
              </w:rPr>
            </w:pPr>
            <w:r w:rsidRPr="0055767B">
              <w:rPr>
                <w:rFonts w:cs="Arial"/>
                <w:b/>
                <w:color w:val="auto"/>
                <w:szCs w:val="22"/>
              </w:rPr>
              <w:t xml:space="preserve">Comprehensive assessment </w:t>
            </w:r>
          </w:p>
        </w:tc>
        <w:tc>
          <w:tcPr>
            <w:tcW w:w="3078" w:type="pct"/>
          </w:tcPr>
          <w:p w14:paraId="3D5CA057" w14:textId="619734C7" w:rsidR="000C514C" w:rsidRPr="001527D7" w:rsidRDefault="000C514C" w:rsidP="000C514C">
            <w:pPr>
              <w:spacing w:before="60" w:after="60" w:line="240" w:lineRule="auto"/>
              <w:rPr>
                <w:rFonts w:eastAsia="Arial" w:cs="Arial"/>
                <w:color w:val="auto"/>
                <w:szCs w:val="22"/>
              </w:rPr>
            </w:pPr>
            <w:r w:rsidRPr="001527D7">
              <w:rPr>
                <w:rFonts w:eastAsia="Arial" w:cs="Arial"/>
                <w:color w:val="auto"/>
                <w:szCs w:val="22"/>
              </w:rPr>
              <w:t>A comprehensive assessment is for people who may need more complex aged care services, such as Support at Home or residential care. It looks more deeply at the person’s health, care needs, and living situation, and undertaken by clinical assessors.</w:t>
            </w:r>
          </w:p>
        </w:tc>
      </w:tr>
      <w:tr w:rsidR="000C514C" w:rsidRPr="0088514E" w14:paraId="3B4477E2" w14:textId="77777777" w:rsidTr="468D6C74">
        <w:trPr>
          <w:trHeight w:val="50"/>
        </w:trPr>
        <w:tc>
          <w:tcPr>
            <w:tcW w:w="1922" w:type="pct"/>
            <w:vAlign w:val="center"/>
          </w:tcPr>
          <w:p w14:paraId="58F930D3" w14:textId="654E7627" w:rsidR="000C514C" w:rsidRPr="0055767B" w:rsidRDefault="000C514C" w:rsidP="000C514C">
            <w:pPr>
              <w:spacing w:before="60" w:after="60" w:line="240" w:lineRule="auto"/>
              <w:rPr>
                <w:rFonts w:cs="Arial"/>
                <w:b/>
                <w:color w:val="auto"/>
                <w:szCs w:val="22"/>
              </w:rPr>
            </w:pPr>
            <w:r w:rsidRPr="0055767B">
              <w:rPr>
                <w:rFonts w:cs="Arial"/>
                <w:b/>
                <w:color w:val="auto"/>
                <w:szCs w:val="22"/>
              </w:rPr>
              <w:t>End</w:t>
            </w:r>
            <w:r w:rsidR="002A4C9B">
              <w:rPr>
                <w:rFonts w:cs="Arial"/>
                <w:b/>
                <w:color w:val="auto"/>
                <w:szCs w:val="22"/>
              </w:rPr>
              <w:t>-</w:t>
            </w:r>
            <w:r w:rsidRPr="0055767B">
              <w:rPr>
                <w:rFonts w:cs="Arial"/>
                <w:b/>
                <w:color w:val="auto"/>
                <w:szCs w:val="22"/>
              </w:rPr>
              <w:t>of</w:t>
            </w:r>
            <w:r w:rsidR="002A4C9B">
              <w:rPr>
                <w:rFonts w:cs="Arial"/>
                <w:b/>
                <w:color w:val="auto"/>
                <w:szCs w:val="22"/>
              </w:rPr>
              <w:t>-</w:t>
            </w:r>
            <w:r w:rsidRPr="0055767B">
              <w:rPr>
                <w:rFonts w:cs="Arial"/>
                <w:b/>
                <w:color w:val="auto"/>
                <w:szCs w:val="22"/>
              </w:rPr>
              <w:t>Life Pathway</w:t>
            </w:r>
          </w:p>
        </w:tc>
        <w:tc>
          <w:tcPr>
            <w:tcW w:w="3078" w:type="pct"/>
          </w:tcPr>
          <w:p w14:paraId="6AD2FD18" w14:textId="29F4BCE8" w:rsidR="000C514C" w:rsidRPr="001527D7" w:rsidRDefault="000C514C" w:rsidP="000C514C">
            <w:pPr>
              <w:spacing w:before="60" w:after="60" w:line="240" w:lineRule="auto"/>
              <w:rPr>
                <w:color w:val="auto"/>
                <w:szCs w:val="22"/>
              </w:rPr>
            </w:pPr>
            <w:r w:rsidRPr="001527D7">
              <w:rPr>
                <w:color w:val="auto"/>
                <w:szCs w:val="22"/>
              </w:rPr>
              <w:t>A short-term aged care pathway under the Support at Home program that provides fast access to care for people nearing the end of life.</w:t>
            </w:r>
          </w:p>
        </w:tc>
      </w:tr>
      <w:tr w:rsidR="000C514C" w:rsidRPr="0088514E" w14:paraId="1AA1CA3D" w14:textId="77777777" w:rsidTr="468D6C74">
        <w:trPr>
          <w:trHeight w:val="50"/>
        </w:trPr>
        <w:tc>
          <w:tcPr>
            <w:tcW w:w="1922" w:type="pct"/>
            <w:vAlign w:val="center"/>
          </w:tcPr>
          <w:p w14:paraId="08DB2FF3" w14:textId="3D4E7D1A" w:rsidR="000C514C" w:rsidRPr="0055767B" w:rsidRDefault="000C514C" w:rsidP="000C514C">
            <w:pPr>
              <w:spacing w:before="60" w:after="60" w:line="240" w:lineRule="auto"/>
              <w:rPr>
                <w:rFonts w:cs="Arial"/>
                <w:b/>
                <w:color w:val="auto"/>
                <w:szCs w:val="22"/>
              </w:rPr>
            </w:pPr>
            <w:r w:rsidRPr="0055767B">
              <w:rPr>
                <w:rFonts w:cs="Arial"/>
                <w:b/>
                <w:color w:val="auto"/>
                <w:szCs w:val="22"/>
              </w:rPr>
              <w:lastRenderedPageBreak/>
              <w:t xml:space="preserve">Home support assessment </w:t>
            </w:r>
          </w:p>
        </w:tc>
        <w:tc>
          <w:tcPr>
            <w:tcW w:w="3078" w:type="pct"/>
          </w:tcPr>
          <w:p w14:paraId="5BCB2044" w14:textId="3ECD3B2B" w:rsidR="000C514C" w:rsidRPr="001527D7" w:rsidRDefault="000C514C" w:rsidP="000C514C">
            <w:pPr>
              <w:spacing w:before="60" w:after="60" w:line="240" w:lineRule="auto"/>
              <w:rPr>
                <w:color w:val="auto"/>
                <w:szCs w:val="22"/>
              </w:rPr>
            </w:pPr>
            <w:r w:rsidRPr="001527D7">
              <w:rPr>
                <w:color w:val="auto"/>
                <w:szCs w:val="22"/>
              </w:rPr>
              <w:t xml:space="preserve">A home support assessment is used to decide if someone can access entry-level services through the </w:t>
            </w:r>
            <w:r>
              <w:rPr>
                <w:color w:val="auto"/>
                <w:szCs w:val="22"/>
              </w:rPr>
              <w:t>Commonwealth Home Support Program (</w:t>
            </w:r>
            <w:r w:rsidRPr="001527D7">
              <w:rPr>
                <w:color w:val="auto"/>
                <w:szCs w:val="22"/>
              </w:rPr>
              <w:t>CHSP</w:t>
            </w:r>
            <w:r>
              <w:rPr>
                <w:color w:val="auto"/>
                <w:szCs w:val="22"/>
              </w:rPr>
              <w:t>)</w:t>
            </w:r>
            <w:r w:rsidRPr="001527D7">
              <w:rPr>
                <w:color w:val="auto"/>
                <w:szCs w:val="22"/>
              </w:rPr>
              <w:t>.</w:t>
            </w:r>
          </w:p>
        </w:tc>
      </w:tr>
      <w:tr w:rsidR="000C514C" w:rsidRPr="0088514E" w14:paraId="64C0A856" w14:textId="77777777" w:rsidTr="468D6C74">
        <w:trPr>
          <w:trHeight w:val="50"/>
        </w:trPr>
        <w:tc>
          <w:tcPr>
            <w:tcW w:w="1922" w:type="pct"/>
            <w:vAlign w:val="center"/>
          </w:tcPr>
          <w:p w14:paraId="7DC998E0" w14:textId="023B8411" w:rsidR="000C514C" w:rsidRPr="0055767B" w:rsidRDefault="000C514C" w:rsidP="000C514C">
            <w:pPr>
              <w:spacing w:before="60" w:after="60" w:line="240" w:lineRule="auto"/>
              <w:rPr>
                <w:rFonts w:cs="Arial"/>
                <w:b/>
                <w:color w:val="auto"/>
                <w:szCs w:val="22"/>
              </w:rPr>
            </w:pPr>
            <w:r w:rsidRPr="0055767B">
              <w:rPr>
                <w:rFonts w:cs="Arial"/>
                <w:b/>
                <w:color w:val="auto"/>
                <w:szCs w:val="22"/>
              </w:rPr>
              <w:t>My Aged Care</w:t>
            </w:r>
          </w:p>
        </w:tc>
        <w:tc>
          <w:tcPr>
            <w:tcW w:w="3078" w:type="pct"/>
          </w:tcPr>
          <w:p w14:paraId="39FAC768" w14:textId="7E9BBD92" w:rsidR="000C514C" w:rsidRPr="001527D7" w:rsidRDefault="000C514C" w:rsidP="000C514C">
            <w:pPr>
              <w:spacing w:before="60" w:after="60" w:line="240" w:lineRule="auto"/>
              <w:rPr>
                <w:color w:val="auto"/>
                <w:szCs w:val="22"/>
              </w:rPr>
            </w:pPr>
            <w:r w:rsidRPr="001527D7">
              <w:rPr>
                <w:color w:val="auto"/>
                <w:szCs w:val="22"/>
              </w:rPr>
              <w:t>The Australian Government’s main entry point for aged care services. It provides information, support, and access to assessments and service providers online, by phone, or in person.</w:t>
            </w:r>
          </w:p>
        </w:tc>
      </w:tr>
      <w:tr w:rsidR="000C514C" w:rsidRPr="0088514E" w14:paraId="77A29D3B" w14:textId="77777777" w:rsidTr="468D6C74">
        <w:trPr>
          <w:trHeight w:val="50"/>
        </w:trPr>
        <w:tc>
          <w:tcPr>
            <w:tcW w:w="1922" w:type="pct"/>
            <w:vAlign w:val="center"/>
          </w:tcPr>
          <w:p w14:paraId="6F36EBC5" w14:textId="4521362E" w:rsidR="000C514C" w:rsidRPr="0055767B" w:rsidRDefault="000C514C" w:rsidP="000C514C">
            <w:pPr>
              <w:spacing w:before="60" w:after="60" w:line="240" w:lineRule="auto"/>
              <w:rPr>
                <w:rFonts w:cs="Arial"/>
                <w:b/>
                <w:color w:val="auto"/>
                <w:szCs w:val="22"/>
              </w:rPr>
            </w:pPr>
            <w:r w:rsidRPr="0055767B">
              <w:rPr>
                <w:rFonts w:cs="Arial"/>
                <w:b/>
                <w:color w:val="auto"/>
                <w:szCs w:val="22"/>
              </w:rPr>
              <w:t>Non-specialist funded aged care services</w:t>
            </w:r>
          </w:p>
        </w:tc>
        <w:tc>
          <w:tcPr>
            <w:tcW w:w="3078" w:type="pct"/>
          </w:tcPr>
          <w:p w14:paraId="28FFC7D9" w14:textId="51765C98" w:rsidR="000C514C" w:rsidRPr="001527D7" w:rsidRDefault="000C514C" w:rsidP="000C514C">
            <w:pPr>
              <w:spacing w:before="60" w:after="60" w:line="240" w:lineRule="auto"/>
              <w:rPr>
                <w:color w:val="auto"/>
                <w:szCs w:val="22"/>
              </w:rPr>
            </w:pPr>
            <w:r w:rsidRPr="001527D7">
              <w:rPr>
                <w:color w:val="auto"/>
                <w:szCs w:val="22"/>
              </w:rPr>
              <w:t>Aged care services that include short-term and ongoing Support at Home and residential care.</w:t>
            </w:r>
          </w:p>
        </w:tc>
      </w:tr>
      <w:tr w:rsidR="000C514C" w:rsidRPr="0088514E" w14:paraId="1B28B9D3" w14:textId="77777777" w:rsidTr="468D6C74">
        <w:trPr>
          <w:trHeight w:val="50"/>
        </w:trPr>
        <w:tc>
          <w:tcPr>
            <w:tcW w:w="1922" w:type="pct"/>
            <w:vAlign w:val="center"/>
          </w:tcPr>
          <w:p w14:paraId="1D9960DE" w14:textId="0B599EA8" w:rsidR="000C514C" w:rsidRPr="0055767B" w:rsidRDefault="000C514C" w:rsidP="000C514C">
            <w:pPr>
              <w:spacing w:before="60" w:after="60" w:line="240" w:lineRule="auto"/>
              <w:rPr>
                <w:rFonts w:cs="Arial"/>
                <w:b/>
                <w:color w:val="auto"/>
                <w:szCs w:val="22"/>
              </w:rPr>
            </w:pPr>
            <w:r w:rsidRPr="0055767B">
              <w:rPr>
                <w:rFonts w:cs="Arial"/>
                <w:b/>
                <w:color w:val="auto"/>
                <w:szCs w:val="22"/>
              </w:rPr>
              <w:t xml:space="preserve">Priority system  </w:t>
            </w:r>
          </w:p>
        </w:tc>
        <w:tc>
          <w:tcPr>
            <w:tcW w:w="3078" w:type="pct"/>
          </w:tcPr>
          <w:p w14:paraId="30969040" w14:textId="5CC19728" w:rsidR="000C514C" w:rsidRPr="001527D7" w:rsidRDefault="000C514C" w:rsidP="000C514C">
            <w:pPr>
              <w:spacing w:before="60" w:after="60" w:line="240" w:lineRule="auto"/>
              <w:rPr>
                <w:rFonts w:eastAsia="Arial" w:cs="Arial"/>
                <w:color w:val="auto"/>
                <w:szCs w:val="22"/>
              </w:rPr>
            </w:pPr>
            <w:r w:rsidRPr="001527D7">
              <w:rPr>
                <w:rFonts w:eastAsia="Arial" w:cs="Arial"/>
                <w:color w:val="auto"/>
                <w:szCs w:val="22"/>
              </w:rPr>
              <w:t xml:space="preserve">A system used to manage access to services based on each person’s assessed needs and urgency. The allocation of a priority category is based on an older person’s level of function, the level of risk in relation to the care situation and any other relevant concerns. </w:t>
            </w:r>
          </w:p>
        </w:tc>
      </w:tr>
      <w:tr w:rsidR="00F67957" w:rsidRPr="0088514E" w14:paraId="1A954B02" w14:textId="77777777" w:rsidTr="468D6C74">
        <w:trPr>
          <w:trHeight w:val="50"/>
        </w:trPr>
        <w:tc>
          <w:tcPr>
            <w:tcW w:w="1922" w:type="pct"/>
            <w:vAlign w:val="center"/>
          </w:tcPr>
          <w:p w14:paraId="32563345" w14:textId="3486A3DC" w:rsidR="00F67957" w:rsidRPr="0055767B" w:rsidRDefault="00F67957" w:rsidP="00F67957">
            <w:pPr>
              <w:spacing w:before="60" w:after="60" w:line="240" w:lineRule="auto"/>
              <w:rPr>
                <w:rFonts w:cs="Arial"/>
                <w:b/>
                <w:color w:val="auto"/>
                <w:szCs w:val="22"/>
              </w:rPr>
            </w:pPr>
            <w:r w:rsidRPr="0055767B">
              <w:rPr>
                <w:b/>
                <w:color w:val="auto"/>
                <w:szCs w:val="22"/>
              </w:rPr>
              <w:t>Registered provider</w:t>
            </w:r>
          </w:p>
        </w:tc>
        <w:tc>
          <w:tcPr>
            <w:tcW w:w="3078" w:type="pct"/>
          </w:tcPr>
          <w:p w14:paraId="2FF9BB5A" w14:textId="2C48F249" w:rsidR="00F67957" w:rsidRPr="001527D7" w:rsidRDefault="00F67957" w:rsidP="00F67957">
            <w:pPr>
              <w:spacing w:before="60" w:after="60" w:line="240" w:lineRule="auto"/>
              <w:rPr>
                <w:rFonts w:eastAsia="Arial" w:cs="Arial"/>
                <w:color w:val="auto"/>
                <w:szCs w:val="22"/>
              </w:rPr>
            </w:pPr>
            <w:r w:rsidRPr="001527D7">
              <w:rPr>
                <w:color w:val="auto"/>
                <w:szCs w:val="22"/>
              </w:rPr>
              <w:t xml:space="preserve">A registered provider of aged care is an organisation that has been assessed and approved to provide </w:t>
            </w:r>
            <w:r w:rsidRPr="468D6C74">
              <w:rPr>
                <w:color w:val="auto"/>
              </w:rPr>
              <w:t xml:space="preserve">high-quality, safe and consistent care to older </w:t>
            </w:r>
            <w:r w:rsidRPr="001527D7">
              <w:rPr>
                <w:color w:val="auto"/>
                <w:szCs w:val="22"/>
              </w:rPr>
              <w:t xml:space="preserve">people under the </w:t>
            </w:r>
            <w:r>
              <w:rPr>
                <w:color w:val="auto"/>
                <w:szCs w:val="22"/>
              </w:rPr>
              <w:t>Act</w:t>
            </w:r>
            <w:r w:rsidRPr="001527D7">
              <w:rPr>
                <w:color w:val="auto"/>
                <w:szCs w:val="22"/>
              </w:rPr>
              <w:t xml:space="preserve">.  </w:t>
            </w:r>
          </w:p>
        </w:tc>
      </w:tr>
      <w:tr w:rsidR="000C514C" w:rsidRPr="0088514E" w14:paraId="7F29DFEF" w14:textId="77777777" w:rsidTr="468D6C74">
        <w:trPr>
          <w:trHeight w:val="50"/>
        </w:trPr>
        <w:tc>
          <w:tcPr>
            <w:tcW w:w="1922" w:type="pct"/>
            <w:vAlign w:val="center"/>
          </w:tcPr>
          <w:p w14:paraId="17EA74A7" w14:textId="7CEE7F27" w:rsidR="000C514C" w:rsidRPr="0055767B" w:rsidRDefault="000C514C" w:rsidP="000C514C">
            <w:pPr>
              <w:spacing w:before="60" w:after="60" w:line="240" w:lineRule="auto"/>
              <w:rPr>
                <w:rFonts w:cs="Arial"/>
                <w:b/>
                <w:color w:val="auto"/>
                <w:szCs w:val="22"/>
              </w:rPr>
            </w:pPr>
            <w:r w:rsidRPr="0055767B">
              <w:rPr>
                <w:rFonts w:cs="Arial"/>
                <w:b/>
                <w:color w:val="auto"/>
                <w:szCs w:val="22"/>
              </w:rPr>
              <w:t>Residential aged care</w:t>
            </w:r>
          </w:p>
        </w:tc>
        <w:tc>
          <w:tcPr>
            <w:tcW w:w="3078" w:type="pct"/>
          </w:tcPr>
          <w:p w14:paraId="1889F287" w14:textId="7F8925CC" w:rsidR="000C514C" w:rsidRPr="001527D7" w:rsidRDefault="000C514C" w:rsidP="000C514C">
            <w:pPr>
              <w:rPr>
                <w:rFonts w:cs="Arial"/>
                <w:color w:val="auto"/>
              </w:rPr>
            </w:pPr>
            <w:r w:rsidRPr="468D6C74">
              <w:rPr>
                <w:rFonts w:cs="Arial"/>
                <w:color w:val="auto"/>
              </w:rPr>
              <w:t xml:space="preserve">Ongoing care for older people who </w:t>
            </w:r>
            <w:r>
              <w:rPr>
                <w:rFonts w:cs="Arial"/>
                <w:color w:val="auto"/>
              </w:rPr>
              <w:t>cannot</w:t>
            </w:r>
            <w:r w:rsidRPr="468D6C74">
              <w:rPr>
                <w:rFonts w:cs="Arial"/>
                <w:color w:val="auto"/>
              </w:rPr>
              <w:t xml:space="preserve"> live independently at home. It</w:t>
            </w:r>
            <w:r>
              <w:rPr>
                <w:rFonts w:cs="Arial"/>
                <w:color w:val="auto"/>
              </w:rPr>
              <w:t xml:space="preserve"> </w:t>
            </w:r>
            <w:r w:rsidRPr="468D6C74">
              <w:rPr>
                <w:rFonts w:cs="Arial"/>
                <w:color w:val="auto"/>
              </w:rPr>
              <w:t>is provided in aged care homes and includes accommodation, personal care, meals, and health support.</w:t>
            </w:r>
          </w:p>
        </w:tc>
      </w:tr>
      <w:tr w:rsidR="000C514C" w:rsidRPr="0088514E" w14:paraId="3F13BB29" w14:textId="77777777" w:rsidTr="468D6C74">
        <w:trPr>
          <w:trHeight w:val="50"/>
        </w:trPr>
        <w:tc>
          <w:tcPr>
            <w:tcW w:w="1922" w:type="pct"/>
            <w:vAlign w:val="center"/>
          </w:tcPr>
          <w:p w14:paraId="10B86C72" w14:textId="37FDAE0C" w:rsidR="000C514C" w:rsidRPr="0055767B" w:rsidRDefault="000C514C" w:rsidP="000C514C">
            <w:pPr>
              <w:spacing w:before="60" w:after="60" w:line="240" w:lineRule="auto"/>
              <w:rPr>
                <w:rFonts w:cs="Arial"/>
                <w:b/>
                <w:color w:val="auto"/>
                <w:szCs w:val="22"/>
              </w:rPr>
            </w:pPr>
            <w:r w:rsidRPr="0055767B">
              <w:rPr>
                <w:rFonts w:cs="Arial"/>
                <w:b/>
                <w:color w:val="auto"/>
                <w:szCs w:val="22"/>
              </w:rPr>
              <w:t>Restorative Care Pathway</w:t>
            </w:r>
          </w:p>
        </w:tc>
        <w:tc>
          <w:tcPr>
            <w:tcW w:w="3078" w:type="pct"/>
          </w:tcPr>
          <w:p w14:paraId="0E251142" w14:textId="3D83C297" w:rsidR="000C514C" w:rsidRPr="001527D7" w:rsidRDefault="000C514C" w:rsidP="000C514C">
            <w:pPr>
              <w:rPr>
                <w:rFonts w:eastAsia="Arial" w:cs="Arial"/>
                <w:color w:val="auto"/>
              </w:rPr>
            </w:pPr>
            <w:r w:rsidRPr="468D6C74">
              <w:rPr>
                <w:rFonts w:eastAsia="Arial" w:cs="Arial"/>
                <w:color w:val="auto"/>
              </w:rPr>
              <w:t>A short-term, time-limited support pathway under the Support at Home program that helps older people regain or maintain independence. It provides tailored services to support recovery and enable people to maintain independence. Services can be delivered in home or community settings and can be for up to 16 weeks.</w:t>
            </w:r>
          </w:p>
        </w:tc>
      </w:tr>
      <w:tr w:rsidR="000C514C" w:rsidRPr="0088514E" w14:paraId="42F5E00E" w14:textId="77777777" w:rsidTr="468D6C74">
        <w:trPr>
          <w:trHeight w:val="50"/>
        </w:trPr>
        <w:tc>
          <w:tcPr>
            <w:tcW w:w="1922" w:type="pct"/>
            <w:vAlign w:val="center"/>
          </w:tcPr>
          <w:p w14:paraId="0AA805EC" w14:textId="5FF3C632" w:rsidR="000C514C" w:rsidRPr="0055767B" w:rsidRDefault="000C514C" w:rsidP="000C514C">
            <w:pPr>
              <w:spacing w:before="60" w:after="60" w:line="240" w:lineRule="auto"/>
              <w:rPr>
                <w:rFonts w:cs="Arial"/>
                <w:b/>
                <w:color w:val="auto"/>
                <w:szCs w:val="22"/>
              </w:rPr>
            </w:pPr>
            <w:r w:rsidRPr="0055767B">
              <w:rPr>
                <w:rFonts w:cs="Arial"/>
                <w:b/>
                <w:color w:val="auto"/>
                <w:szCs w:val="22"/>
              </w:rPr>
              <w:t>Specialist Program</w:t>
            </w:r>
          </w:p>
        </w:tc>
        <w:tc>
          <w:tcPr>
            <w:tcW w:w="3078" w:type="pct"/>
          </w:tcPr>
          <w:p w14:paraId="450AD63C" w14:textId="77777777" w:rsidR="000C514C" w:rsidRPr="00410F67" w:rsidRDefault="000C514C" w:rsidP="000C514C">
            <w:pPr>
              <w:rPr>
                <w:rFonts w:eastAsia="Arial" w:cs="Arial"/>
                <w:color w:val="auto"/>
              </w:rPr>
            </w:pPr>
            <w:r w:rsidRPr="468D6C74">
              <w:rPr>
                <w:rFonts w:eastAsia="Arial" w:cs="Arial"/>
                <w:color w:val="auto"/>
              </w:rPr>
              <w:t xml:space="preserve">A Government program for delivering funded aged care services that (a) is given effect through one or more agreements or arrangements </w:t>
            </w:r>
            <w:proofErr w:type="gramStart"/>
            <w:r w:rsidRPr="468D6C74">
              <w:rPr>
                <w:rFonts w:eastAsia="Arial" w:cs="Arial"/>
                <w:color w:val="auto"/>
              </w:rPr>
              <w:t>entered into</w:t>
            </w:r>
            <w:proofErr w:type="gramEnd"/>
            <w:r w:rsidRPr="468D6C74">
              <w:rPr>
                <w:rFonts w:eastAsia="Arial" w:cs="Arial"/>
                <w:color w:val="auto"/>
              </w:rPr>
              <w:t xml:space="preserve"> by the Commonwealth under subsection 247(1) or section 264 of the Act for the program; and (b) meets any other requirements prescribed by the rules. </w:t>
            </w:r>
          </w:p>
          <w:p w14:paraId="4BC98A06" w14:textId="4B7BF4ED" w:rsidR="000C514C" w:rsidRPr="00410F67" w:rsidRDefault="000C514C" w:rsidP="000C514C">
            <w:pPr>
              <w:rPr>
                <w:rFonts w:eastAsia="Arial" w:cs="Arial"/>
                <w:color w:val="auto"/>
              </w:rPr>
            </w:pPr>
            <w:r w:rsidRPr="468D6C74">
              <w:rPr>
                <w:rFonts w:eastAsia="Arial" w:cs="Arial"/>
                <w:color w:val="auto"/>
              </w:rPr>
              <w:t>Aged Care specialist programs include:</w:t>
            </w:r>
          </w:p>
          <w:p w14:paraId="0DC0D3F0" w14:textId="74DC0751" w:rsidR="000C514C" w:rsidRPr="00EC1D60" w:rsidRDefault="000C514C" w:rsidP="002966B1">
            <w:pPr>
              <w:pStyle w:val="ListParagraph"/>
              <w:numPr>
                <w:ilvl w:val="0"/>
                <w:numId w:val="28"/>
              </w:numPr>
              <w:rPr>
                <w:rFonts w:eastAsia="Arial" w:cs="Arial"/>
                <w:color w:val="auto"/>
                <w:szCs w:val="22"/>
              </w:rPr>
            </w:pPr>
            <w:r w:rsidRPr="00EC1D60">
              <w:rPr>
                <w:rFonts w:eastAsia="Arial" w:cs="Arial"/>
                <w:color w:val="auto"/>
                <w:szCs w:val="22"/>
              </w:rPr>
              <w:t>Multi-Purpose Service Program (MPSP)</w:t>
            </w:r>
          </w:p>
          <w:p w14:paraId="398F43CD" w14:textId="48B87C47" w:rsidR="000C514C" w:rsidRPr="00EC1D60" w:rsidRDefault="000C514C" w:rsidP="002966B1">
            <w:pPr>
              <w:pStyle w:val="ListParagraph"/>
              <w:numPr>
                <w:ilvl w:val="0"/>
                <w:numId w:val="28"/>
              </w:numPr>
              <w:rPr>
                <w:rFonts w:eastAsia="Arial" w:cs="Arial"/>
                <w:color w:val="auto"/>
                <w:szCs w:val="22"/>
              </w:rPr>
            </w:pPr>
            <w:r w:rsidRPr="00EC1D60">
              <w:rPr>
                <w:rFonts w:eastAsia="Arial" w:cs="Arial"/>
                <w:color w:val="auto"/>
                <w:szCs w:val="22"/>
              </w:rPr>
              <w:t>Transition Care Program (TCP)</w:t>
            </w:r>
          </w:p>
          <w:p w14:paraId="4828F05B" w14:textId="53D940A6" w:rsidR="000C514C" w:rsidRPr="00EC1D60" w:rsidRDefault="000C514C" w:rsidP="002966B1">
            <w:pPr>
              <w:pStyle w:val="ListParagraph"/>
              <w:numPr>
                <w:ilvl w:val="0"/>
                <w:numId w:val="28"/>
              </w:numPr>
              <w:rPr>
                <w:rFonts w:eastAsia="Arial" w:cs="Arial"/>
                <w:color w:val="auto"/>
                <w:szCs w:val="22"/>
              </w:rPr>
            </w:pPr>
            <w:r w:rsidRPr="00EC1D60">
              <w:rPr>
                <w:rFonts w:eastAsia="Arial" w:cs="Arial"/>
                <w:color w:val="auto"/>
                <w:szCs w:val="22"/>
              </w:rPr>
              <w:t>National Aboriginal and Torres Strait Islander Flexible Aged Care (NATSIFAC) Program</w:t>
            </w:r>
          </w:p>
          <w:p w14:paraId="6AF7E415" w14:textId="6599A793" w:rsidR="000C514C" w:rsidRPr="00EC1D60" w:rsidRDefault="000C514C" w:rsidP="002966B1">
            <w:pPr>
              <w:pStyle w:val="ListParagraph"/>
              <w:numPr>
                <w:ilvl w:val="0"/>
                <w:numId w:val="28"/>
              </w:numPr>
              <w:rPr>
                <w:rFonts w:eastAsia="Arial" w:cs="Arial"/>
                <w:color w:val="auto"/>
                <w:szCs w:val="22"/>
              </w:rPr>
            </w:pPr>
            <w:r w:rsidRPr="00EC1D60">
              <w:rPr>
                <w:rFonts w:eastAsia="Arial" w:cs="Arial"/>
                <w:color w:val="auto"/>
                <w:szCs w:val="22"/>
              </w:rPr>
              <w:t>Commonwealth Home Support Program (CHSP)</w:t>
            </w:r>
          </w:p>
        </w:tc>
      </w:tr>
      <w:tr w:rsidR="000C514C" w:rsidRPr="0088514E" w14:paraId="222476D8" w14:textId="77777777" w:rsidTr="468D6C74">
        <w:trPr>
          <w:trHeight w:val="50"/>
        </w:trPr>
        <w:tc>
          <w:tcPr>
            <w:tcW w:w="1922" w:type="pct"/>
            <w:vAlign w:val="center"/>
          </w:tcPr>
          <w:p w14:paraId="02B584A5" w14:textId="0E17B001" w:rsidR="000C514C" w:rsidRPr="0055767B" w:rsidRDefault="000C514C" w:rsidP="000C514C">
            <w:pPr>
              <w:spacing w:before="60" w:after="60" w:line="240" w:lineRule="auto"/>
              <w:rPr>
                <w:rFonts w:cs="Arial"/>
                <w:b/>
                <w:color w:val="auto"/>
                <w:szCs w:val="22"/>
              </w:rPr>
            </w:pPr>
            <w:r w:rsidRPr="0055767B">
              <w:rPr>
                <w:rFonts w:cs="Arial"/>
                <w:b/>
                <w:color w:val="auto"/>
                <w:szCs w:val="22"/>
              </w:rPr>
              <w:t xml:space="preserve">Support at Home </w:t>
            </w:r>
            <w:r w:rsidR="002A4C9B">
              <w:rPr>
                <w:rFonts w:cs="Arial"/>
                <w:b/>
                <w:color w:val="auto"/>
                <w:szCs w:val="22"/>
              </w:rPr>
              <w:t>p</w:t>
            </w:r>
            <w:r w:rsidRPr="0055767B">
              <w:rPr>
                <w:rFonts w:cs="Arial"/>
                <w:b/>
                <w:color w:val="auto"/>
                <w:szCs w:val="22"/>
              </w:rPr>
              <w:t>rogram</w:t>
            </w:r>
          </w:p>
        </w:tc>
        <w:tc>
          <w:tcPr>
            <w:tcW w:w="3078" w:type="pct"/>
          </w:tcPr>
          <w:p w14:paraId="0063D9F2" w14:textId="77777777" w:rsidR="000C514C" w:rsidRPr="00C307DC" w:rsidRDefault="000C514C" w:rsidP="000C514C">
            <w:pPr>
              <w:rPr>
                <w:rFonts w:cs="Arial"/>
                <w:bCs/>
                <w:color w:val="auto"/>
                <w:szCs w:val="22"/>
              </w:rPr>
            </w:pPr>
            <w:r w:rsidRPr="00C307DC">
              <w:rPr>
                <w:rFonts w:cs="Arial"/>
                <w:bCs/>
                <w:color w:val="auto"/>
                <w:szCs w:val="22"/>
              </w:rPr>
              <w:t xml:space="preserve">Support at Home is a program to help older people remain at home as they age by delivering coordinated </w:t>
            </w:r>
            <w:r w:rsidRPr="00C307DC">
              <w:rPr>
                <w:rFonts w:cs="Arial"/>
                <w:bCs/>
                <w:color w:val="auto"/>
                <w:szCs w:val="22"/>
              </w:rPr>
              <w:lastRenderedPageBreak/>
              <w:t xml:space="preserve">care and services to meet their assessed ageing related care needs with: </w:t>
            </w:r>
          </w:p>
          <w:p w14:paraId="2A5B4A56" w14:textId="77777777" w:rsidR="000C514C" w:rsidRPr="00C307DC" w:rsidRDefault="000C514C" w:rsidP="000C514C">
            <w:pPr>
              <w:pStyle w:val="ListParagraph"/>
              <w:numPr>
                <w:ilvl w:val="0"/>
                <w:numId w:val="28"/>
              </w:numPr>
              <w:rPr>
                <w:rFonts w:cs="Arial"/>
                <w:bCs/>
                <w:color w:val="auto"/>
                <w:szCs w:val="22"/>
              </w:rPr>
            </w:pPr>
            <w:r w:rsidRPr="00C307DC">
              <w:rPr>
                <w:rFonts w:cs="Arial"/>
                <w:bCs/>
                <w:color w:val="auto"/>
                <w:szCs w:val="22"/>
              </w:rPr>
              <w:t>8 classifications to fund</w:t>
            </w:r>
            <w:r w:rsidRPr="005C23C5">
              <w:rPr>
                <w:rFonts w:cs="Arial"/>
                <w:bCs/>
                <w:color w:val="auto"/>
                <w:szCs w:val="22"/>
              </w:rPr>
              <w:t xml:space="preserve"> </w:t>
            </w:r>
            <w:r>
              <w:rPr>
                <w:rFonts w:cs="Arial"/>
                <w:bCs/>
                <w:color w:val="auto"/>
                <w:szCs w:val="22"/>
              </w:rPr>
              <w:t xml:space="preserve">ongoing </w:t>
            </w:r>
            <w:r w:rsidRPr="00C307DC">
              <w:rPr>
                <w:rFonts w:cs="Arial"/>
                <w:bCs/>
                <w:color w:val="auto"/>
                <w:szCs w:val="22"/>
              </w:rPr>
              <w:t>services</w:t>
            </w:r>
          </w:p>
          <w:p w14:paraId="0B3F8118" w14:textId="77777777" w:rsidR="000C514C" w:rsidRPr="00C307DC" w:rsidRDefault="000C514C" w:rsidP="000C514C">
            <w:pPr>
              <w:pStyle w:val="ListParagraph"/>
              <w:numPr>
                <w:ilvl w:val="0"/>
                <w:numId w:val="28"/>
              </w:numPr>
              <w:rPr>
                <w:rFonts w:cs="Arial"/>
                <w:bCs/>
                <w:color w:val="auto"/>
                <w:szCs w:val="22"/>
              </w:rPr>
            </w:pPr>
            <w:r w:rsidRPr="00C307DC">
              <w:rPr>
                <w:rFonts w:cs="Arial"/>
                <w:bCs/>
                <w:color w:val="auto"/>
                <w:szCs w:val="22"/>
              </w:rPr>
              <w:t>3</w:t>
            </w:r>
            <w:r>
              <w:rPr>
                <w:rFonts w:cs="Arial"/>
                <w:bCs/>
                <w:color w:val="auto"/>
                <w:szCs w:val="22"/>
              </w:rPr>
              <w:t xml:space="preserve"> </w:t>
            </w:r>
            <w:r w:rsidRPr="005C23C5">
              <w:rPr>
                <w:rFonts w:cs="Arial"/>
                <w:bCs/>
                <w:color w:val="auto"/>
                <w:szCs w:val="22"/>
              </w:rPr>
              <w:t>short-term pathways</w:t>
            </w:r>
            <w:r>
              <w:rPr>
                <w:rFonts w:cs="Arial"/>
                <w:bCs/>
                <w:color w:val="auto"/>
                <w:szCs w:val="22"/>
              </w:rPr>
              <w:t xml:space="preserve"> </w:t>
            </w:r>
            <w:r w:rsidRPr="00C307DC">
              <w:rPr>
                <w:rFonts w:cs="Arial"/>
                <w:bCs/>
                <w:color w:val="auto"/>
                <w:szCs w:val="22"/>
              </w:rPr>
              <w:t>to fund</w:t>
            </w:r>
            <w:r w:rsidRPr="005C23C5">
              <w:rPr>
                <w:rFonts w:cs="Arial"/>
                <w:bCs/>
                <w:color w:val="auto"/>
                <w:szCs w:val="22"/>
              </w:rPr>
              <w:t xml:space="preserve"> assistive technology and home modifications, </w:t>
            </w:r>
            <w:r>
              <w:rPr>
                <w:rFonts w:cs="Arial"/>
                <w:bCs/>
                <w:color w:val="auto"/>
                <w:szCs w:val="22"/>
              </w:rPr>
              <w:t xml:space="preserve">restorative care and </w:t>
            </w:r>
            <w:r w:rsidRPr="005C23C5">
              <w:rPr>
                <w:rFonts w:cs="Arial"/>
                <w:bCs/>
                <w:color w:val="auto"/>
                <w:szCs w:val="22"/>
              </w:rPr>
              <w:t xml:space="preserve">end-of-life </w:t>
            </w:r>
            <w:r w:rsidRPr="00C307DC">
              <w:rPr>
                <w:rFonts w:cs="Arial"/>
                <w:bCs/>
                <w:color w:val="auto"/>
                <w:szCs w:val="22"/>
              </w:rPr>
              <w:t>care</w:t>
            </w:r>
          </w:p>
          <w:p w14:paraId="1E483616" w14:textId="77777777" w:rsidR="000C514C" w:rsidRPr="00C307DC" w:rsidRDefault="000C514C" w:rsidP="000C514C">
            <w:pPr>
              <w:pStyle w:val="ListParagraph"/>
              <w:numPr>
                <w:ilvl w:val="0"/>
                <w:numId w:val="28"/>
              </w:numPr>
              <w:rPr>
                <w:rFonts w:cs="Arial"/>
                <w:bCs/>
                <w:color w:val="auto"/>
                <w:szCs w:val="22"/>
              </w:rPr>
            </w:pPr>
            <w:r w:rsidRPr="00C307DC">
              <w:rPr>
                <w:rFonts w:cs="Arial"/>
                <w:bCs/>
                <w:color w:val="auto"/>
                <w:szCs w:val="22"/>
              </w:rPr>
              <w:t>4 transitioned Home Care Package classifications to provide an equivalent level of funding for those who transitioned to Support at Home</w:t>
            </w:r>
          </w:p>
          <w:p w14:paraId="08AE4F4A" w14:textId="534F9E97" w:rsidR="000C514C" w:rsidRPr="008F5679" w:rsidRDefault="000C514C" w:rsidP="000C514C">
            <w:pPr>
              <w:pStyle w:val="ListParagraph"/>
              <w:numPr>
                <w:ilvl w:val="0"/>
                <w:numId w:val="28"/>
              </w:numPr>
              <w:rPr>
                <w:rFonts w:cs="Arial"/>
                <w:bCs/>
                <w:color w:val="auto"/>
                <w:szCs w:val="22"/>
              </w:rPr>
            </w:pPr>
            <w:r w:rsidRPr="00C307DC">
              <w:rPr>
                <w:rFonts w:cs="Arial"/>
                <w:bCs/>
                <w:color w:val="auto"/>
                <w:szCs w:val="22"/>
              </w:rPr>
              <w:t>participant contributions set by government</w:t>
            </w:r>
            <w:r>
              <w:rPr>
                <w:rFonts w:cs="Arial"/>
                <w:bCs/>
                <w:color w:val="auto"/>
                <w:szCs w:val="22"/>
              </w:rPr>
              <w:t>.</w:t>
            </w:r>
          </w:p>
        </w:tc>
      </w:tr>
      <w:tr w:rsidR="000C514C" w:rsidRPr="0088514E" w14:paraId="5BC49D35" w14:textId="77777777" w:rsidTr="468D6C74">
        <w:trPr>
          <w:trHeight w:val="50"/>
        </w:trPr>
        <w:tc>
          <w:tcPr>
            <w:tcW w:w="1922" w:type="pct"/>
            <w:vAlign w:val="center"/>
          </w:tcPr>
          <w:p w14:paraId="3E5F9567" w14:textId="4F58788C" w:rsidR="000C514C" w:rsidRPr="0055767B" w:rsidRDefault="000C514C" w:rsidP="000C514C">
            <w:pPr>
              <w:spacing w:before="60" w:after="60" w:line="240" w:lineRule="auto"/>
              <w:rPr>
                <w:rFonts w:cs="Arial"/>
                <w:b/>
                <w:color w:val="auto"/>
                <w:szCs w:val="22"/>
              </w:rPr>
            </w:pPr>
            <w:r w:rsidRPr="0055767B">
              <w:rPr>
                <w:rFonts w:cs="Arial"/>
                <w:b/>
                <w:color w:val="auto"/>
                <w:szCs w:val="22"/>
              </w:rPr>
              <w:lastRenderedPageBreak/>
              <w:t xml:space="preserve">Support Plan </w:t>
            </w:r>
          </w:p>
        </w:tc>
        <w:tc>
          <w:tcPr>
            <w:tcW w:w="3078" w:type="pct"/>
          </w:tcPr>
          <w:tbl>
            <w:tblPr>
              <w:tblW w:w="5379" w:type="dxa"/>
              <w:tblLook w:val="06A0" w:firstRow="1" w:lastRow="0" w:firstColumn="1" w:lastColumn="0" w:noHBand="1" w:noVBand="1"/>
            </w:tblPr>
            <w:tblGrid>
              <w:gridCol w:w="5379"/>
            </w:tblGrid>
            <w:tr w:rsidR="000C514C" w:rsidRPr="00250DB2" w14:paraId="2E8490F4" w14:textId="77777777" w:rsidTr="00DE58F8">
              <w:trPr>
                <w:trHeight w:val="2483"/>
              </w:trPr>
              <w:tc>
                <w:tcPr>
                  <w:tcW w:w="5379" w:type="dxa"/>
                </w:tcPr>
                <w:p w14:paraId="101582A8" w14:textId="77777777" w:rsidR="000C514C" w:rsidRPr="00250DB2" w:rsidRDefault="000C514C" w:rsidP="00BA5F34">
                  <w:pPr>
                    <w:framePr w:hSpace="180" w:wrap="around" w:vAnchor="text" w:hAnchor="margin" w:y="76"/>
                    <w:rPr>
                      <w:rFonts w:eastAsia="Arial" w:cs="Arial"/>
                      <w:color w:val="auto"/>
                      <w:szCs w:val="22"/>
                    </w:rPr>
                  </w:pPr>
                  <w:r w:rsidRPr="00250DB2">
                    <w:rPr>
                      <w:rFonts w:eastAsia="Arial" w:cs="Arial"/>
                      <w:color w:val="auto"/>
                      <w:szCs w:val="22"/>
                    </w:rPr>
                    <w:t>A plan developed by an aged care assessor that:</w:t>
                  </w:r>
                </w:p>
                <w:p w14:paraId="24421ACF" w14:textId="77777777" w:rsidR="000C514C" w:rsidRPr="00250DB2" w:rsidRDefault="000C514C" w:rsidP="00BA5F34">
                  <w:pPr>
                    <w:pStyle w:val="ListParagraph"/>
                    <w:framePr w:hSpace="180" w:wrap="around" w:vAnchor="text" w:hAnchor="margin" w:y="76"/>
                    <w:numPr>
                      <w:ilvl w:val="0"/>
                      <w:numId w:val="1"/>
                    </w:numPr>
                    <w:spacing w:before="0" w:after="0"/>
                    <w:rPr>
                      <w:rFonts w:eastAsia="Arial" w:cs="Arial"/>
                      <w:color w:val="auto"/>
                      <w:szCs w:val="22"/>
                    </w:rPr>
                  </w:pPr>
                  <w:r w:rsidRPr="00250DB2">
                    <w:rPr>
                      <w:rFonts w:eastAsia="Arial" w:cs="Arial"/>
                      <w:color w:val="auto"/>
                      <w:szCs w:val="22"/>
                    </w:rPr>
                    <w:t>summarises the findings of an older person’s aged care assessment</w:t>
                  </w:r>
                </w:p>
                <w:p w14:paraId="170B3E62" w14:textId="77777777" w:rsidR="000C514C" w:rsidRPr="00250DB2" w:rsidRDefault="000C514C" w:rsidP="00BA5F34">
                  <w:pPr>
                    <w:pStyle w:val="ListParagraph"/>
                    <w:framePr w:hSpace="180" w:wrap="around" w:vAnchor="text" w:hAnchor="margin" w:y="76"/>
                    <w:numPr>
                      <w:ilvl w:val="0"/>
                      <w:numId w:val="1"/>
                    </w:numPr>
                    <w:spacing w:before="0" w:after="0"/>
                    <w:rPr>
                      <w:rFonts w:eastAsia="Arial" w:cs="Arial"/>
                      <w:color w:val="auto"/>
                      <w:szCs w:val="22"/>
                    </w:rPr>
                  </w:pPr>
                  <w:r w:rsidRPr="00250DB2">
                    <w:rPr>
                      <w:rFonts w:eastAsia="Arial" w:cs="Arial"/>
                      <w:color w:val="auto"/>
                      <w:szCs w:val="22"/>
                    </w:rPr>
                    <w:t>makes recommendations for services and supports</w:t>
                  </w:r>
                </w:p>
                <w:p w14:paraId="2564FE82" w14:textId="77777777" w:rsidR="000C514C" w:rsidRPr="00250DB2" w:rsidRDefault="000C514C" w:rsidP="00BA5F34">
                  <w:pPr>
                    <w:pStyle w:val="ListParagraph"/>
                    <w:framePr w:hSpace="180" w:wrap="around" w:vAnchor="text" w:hAnchor="margin" w:y="76"/>
                    <w:numPr>
                      <w:ilvl w:val="0"/>
                      <w:numId w:val="1"/>
                    </w:numPr>
                    <w:spacing w:before="0" w:after="0"/>
                    <w:rPr>
                      <w:rFonts w:eastAsia="Arial" w:cs="Arial"/>
                      <w:color w:val="auto"/>
                      <w:szCs w:val="22"/>
                      <w:u w:val="single"/>
                    </w:rPr>
                  </w:pPr>
                  <w:r w:rsidRPr="00250DB2">
                    <w:rPr>
                      <w:rFonts w:eastAsia="Arial" w:cs="Arial"/>
                      <w:color w:val="auto"/>
                      <w:szCs w:val="22"/>
                    </w:rPr>
                    <w:t>provides guidance on how recommended services may be delivered.</w:t>
                  </w:r>
                  <w:r w:rsidRPr="00250DB2">
                    <w:rPr>
                      <w:rFonts w:eastAsia="Arial" w:cs="Arial"/>
                      <w:color w:val="auto"/>
                      <w:szCs w:val="22"/>
                      <w:u w:val="single"/>
                    </w:rPr>
                    <w:t xml:space="preserve"> </w:t>
                  </w:r>
                </w:p>
              </w:tc>
            </w:tr>
          </w:tbl>
          <w:p w14:paraId="73F36708" w14:textId="77777777" w:rsidR="000C514C" w:rsidRPr="005C23C5" w:rsidRDefault="000C514C" w:rsidP="000C514C">
            <w:pPr>
              <w:rPr>
                <w:rFonts w:cs="Arial"/>
                <w:bCs/>
                <w:color w:val="auto"/>
                <w:szCs w:val="22"/>
              </w:rPr>
            </w:pPr>
          </w:p>
        </w:tc>
      </w:tr>
      <w:tr w:rsidR="007E5ADB" w:rsidRPr="0088514E" w14:paraId="4545D453" w14:textId="77777777" w:rsidTr="468D6C74">
        <w:trPr>
          <w:trHeight w:val="50"/>
        </w:trPr>
        <w:tc>
          <w:tcPr>
            <w:tcW w:w="1922" w:type="pct"/>
            <w:vAlign w:val="center"/>
          </w:tcPr>
          <w:p w14:paraId="431609BE" w14:textId="6CDD40EC" w:rsidR="007E5ADB" w:rsidRPr="0055767B" w:rsidRDefault="007E5ADB" w:rsidP="007E5ADB">
            <w:pPr>
              <w:spacing w:before="60" w:after="60" w:line="240" w:lineRule="auto"/>
              <w:rPr>
                <w:rFonts w:cs="Arial"/>
                <w:b/>
                <w:color w:val="auto"/>
                <w:szCs w:val="22"/>
              </w:rPr>
            </w:pPr>
            <w:r>
              <w:rPr>
                <w:rFonts w:cs="Arial"/>
                <w:b/>
                <w:color w:val="auto"/>
                <w:szCs w:val="22"/>
              </w:rPr>
              <w:t>Support Plan Review</w:t>
            </w:r>
          </w:p>
        </w:tc>
        <w:tc>
          <w:tcPr>
            <w:tcW w:w="3078" w:type="pct"/>
          </w:tcPr>
          <w:p w14:paraId="7F107C37" w14:textId="77777777" w:rsidR="007E5ADB" w:rsidRPr="00F93F12" w:rsidRDefault="007E5ADB" w:rsidP="007E5ADB">
            <w:pPr>
              <w:rPr>
                <w:szCs w:val="22"/>
              </w:rPr>
            </w:pPr>
            <w:r w:rsidRPr="00F93F12">
              <w:rPr>
                <w:szCs w:val="22"/>
              </w:rPr>
              <w:t xml:space="preserve">The pathway for existing care recipients to request a review of their Support Plan if their aged care needs have changed since their last assessment. </w:t>
            </w:r>
          </w:p>
          <w:p w14:paraId="3F80A4FA" w14:textId="367A4C22" w:rsidR="007E5ADB" w:rsidRPr="00250DB2" w:rsidRDefault="007E5ADB" w:rsidP="007E5ADB">
            <w:pPr>
              <w:rPr>
                <w:rFonts w:eastAsia="Arial" w:cs="Arial"/>
                <w:color w:val="auto"/>
                <w:szCs w:val="22"/>
              </w:rPr>
            </w:pPr>
            <w:r w:rsidRPr="00F93F12">
              <w:rPr>
                <w:szCs w:val="22"/>
              </w:rPr>
              <w:t>An aged care needs assessor will speak with the person about their care needs and determine whether they can make changes to the person’s existing Support Plan or refer them for a full reassessment. A full reassessment will typically occur where there has been a significant change in their care needs.</w:t>
            </w:r>
          </w:p>
        </w:tc>
      </w:tr>
    </w:tbl>
    <w:p w14:paraId="10DF93E0" w14:textId="2B6EE7D5" w:rsidR="00312C45" w:rsidRDefault="00312C45"/>
    <w:p w14:paraId="6C546C7E" w14:textId="77777777" w:rsidR="004B18D7" w:rsidRDefault="004B18D7" w:rsidP="00312C45"/>
    <w:p w14:paraId="1671BE7A" w14:textId="77777777" w:rsidR="004B18D7" w:rsidRDefault="004B18D7" w:rsidP="00312C45"/>
    <w:p w14:paraId="779B4ADC" w14:textId="77777777" w:rsidR="000A35AF" w:rsidRDefault="000A35AF" w:rsidP="00312C45"/>
    <w:p w14:paraId="5B373524" w14:textId="77777777" w:rsidR="000A35AF" w:rsidRDefault="000A35AF" w:rsidP="00312C45">
      <w:pPr>
        <w:sectPr w:rsidR="000A35AF" w:rsidSect="00EA61E0">
          <w:pgSz w:w="11906" w:h="16838"/>
          <w:pgMar w:top="1135" w:right="1558" w:bottom="1276" w:left="1418" w:header="709" w:footer="709" w:gutter="0"/>
          <w:cols w:space="708"/>
          <w:docGrid w:linePitch="360"/>
        </w:sectPr>
      </w:pPr>
    </w:p>
    <w:p w14:paraId="31278DBA" w14:textId="79600C84" w:rsidR="00E172C2" w:rsidRDefault="00E172C2" w:rsidP="00A64264">
      <w:pPr>
        <w:pStyle w:val="Heading1"/>
        <w:tabs>
          <w:tab w:val="left" w:pos="709"/>
          <w:tab w:val="left" w:pos="851"/>
        </w:tabs>
      </w:pPr>
      <w:bookmarkStart w:id="58" w:name="_Toc212391762"/>
      <w:bookmarkStart w:id="59" w:name="_Toc224743126"/>
      <w:bookmarkStart w:id="60" w:name="_Toc229480686"/>
      <w:r>
        <w:lastRenderedPageBreak/>
        <w:t>Appendix B. Factors influencing the timing of service uptake</w:t>
      </w:r>
      <w:bookmarkEnd w:id="58"/>
      <w:bookmarkEnd w:id="59"/>
      <w:bookmarkEnd w:id="60"/>
      <w:r>
        <w:t xml:space="preserve"> </w:t>
      </w:r>
    </w:p>
    <w:p w14:paraId="5574E2C0" w14:textId="195689BD" w:rsidR="00E172C2" w:rsidRDefault="00E172C2" w:rsidP="00E172C2">
      <w:r w:rsidRPr="00FE3147">
        <w:t xml:space="preserve">When </w:t>
      </w:r>
      <w:r>
        <w:t>an older person</w:t>
      </w:r>
      <w:r w:rsidRPr="00FE3147">
        <w:t xml:space="preserve"> is allocated an aged care place, </w:t>
      </w:r>
      <w:r w:rsidR="00CC6662" w:rsidRPr="00FE3147">
        <w:t>they</w:t>
      </w:r>
      <w:r w:rsidR="00CC6662">
        <w:t xml:space="preserve"> wi</w:t>
      </w:r>
      <w:r w:rsidR="00CC6662" w:rsidRPr="00FE3147">
        <w:t xml:space="preserve">ll </w:t>
      </w:r>
      <w:r w:rsidRPr="00FE3147">
        <w:t>be told the start and end date of their placement.</w:t>
      </w:r>
      <w:r>
        <w:t xml:space="preserve"> </w:t>
      </w:r>
    </w:p>
    <w:p w14:paraId="002BB2DA" w14:textId="27EEE955" w:rsidR="00E172C2" w:rsidRDefault="00E172C2" w:rsidP="00E172C2">
      <w:r w:rsidRPr="00FE3147">
        <w:t xml:space="preserve">For residential care, the placement continues for as long as </w:t>
      </w:r>
      <w:r w:rsidR="00A11254" w:rsidRPr="00FE3147">
        <w:t>it</w:t>
      </w:r>
      <w:r w:rsidR="00A11254">
        <w:t xml:space="preserve"> i</w:t>
      </w:r>
      <w:r w:rsidR="00A11254" w:rsidRPr="00FE3147">
        <w:t xml:space="preserve">s </w:t>
      </w:r>
      <w:r w:rsidRPr="00FE3147">
        <w:t>needed.</w:t>
      </w:r>
    </w:p>
    <w:p w14:paraId="2778F32B" w14:textId="3DC7D72D" w:rsidR="00E172C2" w:rsidRDefault="00E172C2" w:rsidP="00E172C2">
      <w:r w:rsidRPr="00FE3147">
        <w:t xml:space="preserve">For home support, assistive technology and home modifications, the allocation is time-limited </w:t>
      </w:r>
      <w:r w:rsidR="00594F1A">
        <w:t>-</w:t>
      </w:r>
      <w:r w:rsidRPr="00FE3147">
        <w:t xml:space="preserve"> people have 56 days (or up to 84 days with an approved extension) to enter into a service agreement with a provider.</w:t>
      </w:r>
    </w:p>
    <w:p w14:paraId="66158546" w14:textId="3696B7C2" w:rsidR="00E172C2" w:rsidRDefault="00E172C2" w:rsidP="00E172C2">
      <w:r w:rsidRPr="00FE3147">
        <w:t>There are many reasons why someone might not start services straight away, including personal circumstances, provider availability or system-related factors.</w:t>
      </w:r>
      <w:r>
        <w:t xml:space="preserve"> Examples of these are outlined below. </w:t>
      </w:r>
    </w:p>
    <w:p w14:paraId="62A6AFAF" w14:textId="4F146238" w:rsidR="00E172C2" w:rsidRDefault="00E172C2" w:rsidP="00891249">
      <w:pPr>
        <w:pStyle w:val="Heading4"/>
      </w:pPr>
      <w:bookmarkStart w:id="61" w:name="_Toc229480687"/>
      <w:r w:rsidRPr="000F1028">
        <w:t xml:space="preserve">Personal </w:t>
      </w:r>
      <w:r w:rsidR="00497369">
        <w:t>f</w:t>
      </w:r>
      <w:r w:rsidR="00497369" w:rsidRPr="000F1028">
        <w:t>actors</w:t>
      </w:r>
      <w:bookmarkEnd w:id="61"/>
    </w:p>
    <w:p w14:paraId="2FAEC3F0" w14:textId="77777777" w:rsidR="00E172C2" w:rsidRPr="0097562C" w:rsidRDefault="00E172C2" w:rsidP="00E172C2">
      <w:r w:rsidRPr="0097562C">
        <w:t>Everyone’s situation is different. There are many personal reasons why someone might take extra time before starting aged care services. These include:</w:t>
      </w:r>
    </w:p>
    <w:p w14:paraId="5E9F8F39" w14:textId="77777777" w:rsidR="00E172C2" w:rsidRPr="0097562C" w:rsidRDefault="00E172C2" w:rsidP="00E172C2">
      <w:pPr>
        <w:numPr>
          <w:ilvl w:val="0"/>
          <w:numId w:val="23"/>
        </w:numPr>
      </w:pPr>
      <w:r w:rsidRPr="0097562C">
        <w:rPr>
          <w:b/>
          <w:bCs/>
        </w:rPr>
        <w:t>Changes in health</w:t>
      </w:r>
      <w:r w:rsidRPr="0097562C">
        <w:t xml:space="preserve"> – A person’s condition might improve temporarily, reducing their need for care. On the other hand, poor health may make it harder to engage with providers.</w:t>
      </w:r>
    </w:p>
    <w:p w14:paraId="2A467106" w14:textId="77777777" w:rsidR="00E172C2" w:rsidRPr="0097562C" w:rsidRDefault="00E172C2" w:rsidP="00E172C2">
      <w:pPr>
        <w:numPr>
          <w:ilvl w:val="0"/>
          <w:numId w:val="23"/>
        </w:numPr>
      </w:pPr>
      <w:r w:rsidRPr="0097562C">
        <w:rPr>
          <w:b/>
          <w:bCs/>
        </w:rPr>
        <w:t>Cultural or language needs</w:t>
      </w:r>
      <w:r w:rsidRPr="0097562C">
        <w:t xml:space="preserve"> – Some people may prefer to wait for a provider who understands their cultural background or speaks their language.</w:t>
      </w:r>
    </w:p>
    <w:p w14:paraId="6B6ABB8F" w14:textId="77777777" w:rsidR="00E172C2" w:rsidRPr="0097562C" w:rsidRDefault="00E172C2" w:rsidP="00E172C2">
      <w:pPr>
        <w:numPr>
          <w:ilvl w:val="0"/>
          <w:numId w:val="23"/>
        </w:numPr>
      </w:pPr>
      <w:r w:rsidRPr="0097562C">
        <w:rPr>
          <w:b/>
          <w:bCs/>
        </w:rPr>
        <w:t>Support from family or friends</w:t>
      </w:r>
      <w:r w:rsidRPr="0097562C">
        <w:t xml:space="preserve"> – If informal support is available, a person may not need formal services right away. They may also wait if their main carer is temporarily unavailable.</w:t>
      </w:r>
    </w:p>
    <w:p w14:paraId="78AA489E" w14:textId="77777777" w:rsidR="00E172C2" w:rsidRPr="0097562C" w:rsidRDefault="00E172C2" w:rsidP="00E172C2">
      <w:pPr>
        <w:numPr>
          <w:ilvl w:val="0"/>
          <w:numId w:val="23"/>
        </w:numPr>
      </w:pPr>
      <w:r w:rsidRPr="0097562C">
        <w:rPr>
          <w:b/>
          <w:bCs/>
        </w:rPr>
        <w:t>Readiness to begin care</w:t>
      </w:r>
      <w:r w:rsidRPr="0097562C">
        <w:t xml:space="preserve"> – Starting aged care can be a big emotional step. People may need time to prepare, especially if moving into residential care.</w:t>
      </w:r>
    </w:p>
    <w:p w14:paraId="37B0D65A" w14:textId="77777777" w:rsidR="00E172C2" w:rsidRPr="0097562C" w:rsidRDefault="00E172C2" w:rsidP="00E172C2">
      <w:pPr>
        <w:numPr>
          <w:ilvl w:val="0"/>
          <w:numId w:val="23"/>
        </w:numPr>
      </w:pPr>
      <w:r w:rsidRPr="0097562C">
        <w:rPr>
          <w:b/>
          <w:bCs/>
        </w:rPr>
        <w:t>Time to make decisions</w:t>
      </w:r>
      <w:r w:rsidRPr="0097562C">
        <w:t xml:space="preserve"> – Some people want to explore their options, talk with family, or compare providers before choosing.</w:t>
      </w:r>
    </w:p>
    <w:p w14:paraId="161C0567" w14:textId="77777777" w:rsidR="00E172C2" w:rsidRPr="0097562C" w:rsidRDefault="00E172C2" w:rsidP="00E172C2">
      <w:pPr>
        <w:numPr>
          <w:ilvl w:val="0"/>
          <w:numId w:val="23"/>
        </w:numPr>
      </w:pPr>
      <w:r w:rsidRPr="0097562C">
        <w:rPr>
          <w:b/>
          <w:bCs/>
        </w:rPr>
        <w:t>Location preferences</w:t>
      </w:r>
      <w:r w:rsidRPr="0097562C">
        <w:t xml:space="preserve"> – A person may prefer a provider in a specific area, especially for residential care.</w:t>
      </w:r>
    </w:p>
    <w:p w14:paraId="4C07F791" w14:textId="77777777" w:rsidR="00E172C2" w:rsidRPr="0097562C" w:rsidRDefault="00E172C2" w:rsidP="00E172C2">
      <w:pPr>
        <w:numPr>
          <w:ilvl w:val="0"/>
          <w:numId w:val="23"/>
        </w:numPr>
      </w:pPr>
      <w:r w:rsidRPr="0097562C">
        <w:rPr>
          <w:b/>
          <w:bCs/>
        </w:rPr>
        <w:t>Financial concerns</w:t>
      </w:r>
      <w:r w:rsidRPr="0097562C">
        <w:t xml:space="preserve"> – People may want to understand fees, subsidies, or get financial advice before starting services.</w:t>
      </w:r>
    </w:p>
    <w:p w14:paraId="68B14386" w14:textId="77777777" w:rsidR="00E172C2" w:rsidRPr="0097562C" w:rsidRDefault="00E172C2" w:rsidP="00E172C2">
      <w:pPr>
        <w:numPr>
          <w:ilvl w:val="0"/>
          <w:numId w:val="23"/>
        </w:numPr>
      </w:pPr>
      <w:r w:rsidRPr="0097562C">
        <w:rPr>
          <w:b/>
          <w:bCs/>
        </w:rPr>
        <w:t>Multiple care options</w:t>
      </w:r>
      <w:r w:rsidRPr="0097562C">
        <w:t xml:space="preserve"> – If someone is approved for both home and residential care, they may choose to start one and delay the other.</w:t>
      </w:r>
    </w:p>
    <w:p w14:paraId="5348258D" w14:textId="77777777" w:rsidR="007F7D65" w:rsidRPr="007F7D65" w:rsidRDefault="00E172C2" w:rsidP="00662ABE">
      <w:pPr>
        <w:numPr>
          <w:ilvl w:val="0"/>
          <w:numId w:val="23"/>
        </w:numPr>
      </w:pPr>
      <w:r w:rsidRPr="00662ABE">
        <w:rPr>
          <w:b/>
          <w:bCs/>
        </w:rPr>
        <w:t>Legal or guardianship matters</w:t>
      </w:r>
      <w:r w:rsidRPr="00384C92">
        <w:rPr>
          <w:b/>
          <w:bCs/>
        </w:rPr>
        <w:t xml:space="preserve"> </w:t>
      </w:r>
      <w:r w:rsidRPr="0031040B">
        <w:t>– Sometimes starting care is delayed while waiting for legal documents or guardian consent.</w:t>
      </w:r>
      <w:r w:rsidR="00594F1A" w:rsidRPr="0031040B">
        <w:t xml:space="preserve"> </w:t>
      </w:r>
    </w:p>
    <w:p w14:paraId="07D3E248" w14:textId="5C08E8E4" w:rsidR="00662ABE" w:rsidRPr="00662ABE" w:rsidRDefault="00662ABE" w:rsidP="00662ABE">
      <w:pPr>
        <w:numPr>
          <w:ilvl w:val="0"/>
          <w:numId w:val="23"/>
        </w:numPr>
      </w:pPr>
      <w:r w:rsidRPr="00662ABE">
        <w:rPr>
          <w:b/>
          <w:bCs/>
        </w:rPr>
        <w:t xml:space="preserve">Respite Care – </w:t>
      </w:r>
      <w:r w:rsidRPr="00384C92">
        <w:t xml:space="preserve">People accessing </w:t>
      </w:r>
      <w:r w:rsidR="002A4C9B">
        <w:t>r</w:t>
      </w:r>
      <w:r w:rsidR="002A4C9B" w:rsidRPr="00384C92">
        <w:t xml:space="preserve">esidential </w:t>
      </w:r>
      <w:r w:rsidRPr="00384C92">
        <w:t>care (short-term) generally do not require immediate access. Rather they usually need this care option at specific planned times when their carer is not available.</w:t>
      </w:r>
    </w:p>
    <w:p w14:paraId="2F091AC4" w14:textId="77777777" w:rsidR="00E60CA0" w:rsidRPr="00662ABE" w:rsidRDefault="00E60CA0" w:rsidP="00662ABE">
      <w:pPr>
        <w:spacing w:before="0" w:after="0" w:line="240" w:lineRule="auto"/>
        <w:rPr>
          <w:b/>
          <w:bCs/>
          <w:i/>
          <w:color w:val="358189" w:themeColor="accent2"/>
          <w:sz w:val="28"/>
          <w:szCs w:val="28"/>
        </w:rPr>
      </w:pPr>
      <w:r>
        <w:br w:type="page"/>
      </w:r>
    </w:p>
    <w:p w14:paraId="6C3A4102" w14:textId="65C83A64" w:rsidR="00E172C2" w:rsidRDefault="00E172C2" w:rsidP="00891249">
      <w:pPr>
        <w:pStyle w:val="Heading4"/>
      </w:pPr>
      <w:bookmarkStart w:id="62" w:name="_Toc229480688"/>
      <w:r w:rsidRPr="000F1028">
        <w:lastRenderedPageBreak/>
        <w:t>Provider-</w:t>
      </w:r>
      <w:r w:rsidR="00497369">
        <w:t>r</w:t>
      </w:r>
      <w:r w:rsidR="00497369" w:rsidRPr="000F1028">
        <w:t xml:space="preserve">elated </w:t>
      </w:r>
      <w:r w:rsidR="00497369">
        <w:t>f</w:t>
      </w:r>
      <w:r w:rsidR="00497369" w:rsidRPr="000F1028">
        <w:t>actors</w:t>
      </w:r>
      <w:bookmarkEnd w:id="62"/>
    </w:p>
    <w:p w14:paraId="11DCC8D0" w14:textId="57714FD9" w:rsidR="00E172C2" w:rsidRPr="0058682A" w:rsidRDefault="00E172C2" w:rsidP="00E172C2">
      <w:r w:rsidRPr="0058682A">
        <w:t>Sometimes the timing of care depends on provider availability and capacity. Common reasons include:</w:t>
      </w:r>
    </w:p>
    <w:p w14:paraId="5E109A5E" w14:textId="77777777" w:rsidR="00E172C2" w:rsidRPr="0058682A" w:rsidRDefault="00E172C2" w:rsidP="00E172C2">
      <w:pPr>
        <w:numPr>
          <w:ilvl w:val="0"/>
          <w:numId w:val="24"/>
        </w:numPr>
      </w:pPr>
      <w:r w:rsidRPr="0058682A">
        <w:rPr>
          <w:b/>
          <w:bCs/>
        </w:rPr>
        <w:t>Limited services or staff</w:t>
      </w:r>
      <w:r w:rsidRPr="0058682A">
        <w:t xml:space="preserve"> – This can be </w:t>
      </w:r>
      <w:r>
        <w:t xml:space="preserve">particularly </w:t>
      </w:r>
      <w:r w:rsidRPr="0058682A">
        <w:t>challeng</w:t>
      </w:r>
      <w:r>
        <w:t>ing</w:t>
      </w:r>
      <w:r w:rsidRPr="0058682A">
        <w:t xml:space="preserve"> in rural or remote areas, or for specialised types of care.</w:t>
      </w:r>
    </w:p>
    <w:p w14:paraId="3DFEFAF0" w14:textId="77777777" w:rsidR="00E172C2" w:rsidRPr="0058682A" w:rsidRDefault="00E172C2" w:rsidP="00E172C2">
      <w:pPr>
        <w:numPr>
          <w:ilvl w:val="0"/>
          <w:numId w:val="24"/>
        </w:numPr>
      </w:pPr>
      <w:r w:rsidRPr="0058682A">
        <w:rPr>
          <w:b/>
          <w:bCs/>
        </w:rPr>
        <w:t>Waitlists or scheduling delays</w:t>
      </w:r>
      <w:r w:rsidRPr="0058682A">
        <w:t xml:space="preserve"> – Providers may not be able to start services immediately due to demand.</w:t>
      </w:r>
    </w:p>
    <w:p w14:paraId="79EDAD83" w14:textId="77777777" w:rsidR="00E172C2" w:rsidRPr="0058682A" w:rsidRDefault="00E172C2" w:rsidP="00E172C2">
      <w:pPr>
        <w:numPr>
          <w:ilvl w:val="0"/>
          <w:numId w:val="24"/>
        </w:numPr>
      </w:pPr>
      <w:r w:rsidRPr="0058682A">
        <w:rPr>
          <w:b/>
          <w:bCs/>
        </w:rPr>
        <w:t>Time to finalise service agreements</w:t>
      </w:r>
      <w:r w:rsidRPr="0058682A">
        <w:t xml:space="preserve"> – Some services, like home modifications or assistive technology, may take longer to set up.</w:t>
      </w:r>
    </w:p>
    <w:p w14:paraId="2E26831C" w14:textId="77777777" w:rsidR="00E172C2" w:rsidRDefault="00E172C2" w:rsidP="00E172C2">
      <w:pPr>
        <w:numPr>
          <w:ilvl w:val="0"/>
          <w:numId w:val="24"/>
        </w:numPr>
      </w:pPr>
      <w:r w:rsidRPr="0058682A">
        <w:rPr>
          <w:b/>
          <w:bCs/>
        </w:rPr>
        <w:t>Waiting for a preferred provider</w:t>
      </w:r>
      <w:r w:rsidRPr="0058682A">
        <w:t xml:space="preserve"> – A person may choose to wait for a provider who best meets their needs.</w:t>
      </w:r>
    </w:p>
    <w:p w14:paraId="1680A137" w14:textId="31111E7C" w:rsidR="00E172C2" w:rsidRPr="00067346" w:rsidRDefault="00E172C2" w:rsidP="00E172C2">
      <w:pPr>
        <w:numPr>
          <w:ilvl w:val="0"/>
          <w:numId w:val="24"/>
        </w:numPr>
      </w:pPr>
      <w:r w:rsidRPr="00067346">
        <w:rPr>
          <w:b/>
          <w:bCs/>
        </w:rPr>
        <w:t>Consideration of resident characteristics</w:t>
      </w:r>
      <w:r w:rsidRPr="00067346">
        <w:t xml:space="preserve"> - </w:t>
      </w:r>
      <w:r w:rsidR="006B3E3C">
        <w:t>P</w:t>
      </w:r>
      <w:r w:rsidR="006B3E3C" w:rsidRPr="00067346">
        <w:t xml:space="preserve">roviders </w:t>
      </w:r>
      <w:r w:rsidRPr="00067346">
        <w:t>may need to have regard to how readily their facility and workforce can meet the care needs of a potential new resident.</w:t>
      </w:r>
    </w:p>
    <w:p w14:paraId="5FB57EDD" w14:textId="1E03515B" w:rsidR="00E172C2" w:rsidRPr="000F1028" w:rsidRDefault="00E172C2" w:rsidP="00891249">
      <w:pPr>
        <w:pStyle w:val="Heading4"/>
      </w:pPr>
      <w:bookmarkStart w:id="63" w:name="_Toc229480689"/>
      <w:r w:rsidRPr="000F1028">
        <w:t xml:space="preserve">Systemic or </w:t>
      </w:r>
      <w:r w:rsidR="00497369">
        <w:t>a</w:t>
      </w:r>
      <w:r w:rsidR="00497369" w:rsidRPr="000F1028">
        <w:t xml:space="preserve">dministrative </w:t>
      </w:r>
      <w:r w:rsidR="00497369">
        <w:t>f</w:t>
      </w:r>
      <w:r w:rsidR="00497369" w:rsidRPr="000F1028">
        <w:t>actors</w:t>
      </w:r>
      <w:bookmarkEnd w:id="63"/>
    </w:p>
    <w:p w14:paraId="50D0D3DA" w14:textId="77777777" w:rsidR="00E172C2" w:rsidRPr="00D974DF" w:rsidRDefault="00E172C2" w:rsidP="00E172C2">
      <w:pPr>
        <w:spacing w:before="0" w:after="160" w:line="259" w:lineRule="auto"/>
        <w:rPr>
          <w:rFonts w:cstheme="minorHAnsi"/>
        </w:rPr>
      </w:pPr>
      <w:r w:rsidRPr="00D974DF">
        <w:rPr>
          <w:rFonts w:cstheme="minorHAnsi"/>
        </w:rPr>
        <w:t>Some delays are due to broader aspects of how the aged care system operates. These may include:</w:t>
      </w:r>
    </w:p>
    <w:p w14:paraId="765C3DCA" w14:textId="77777777" w:rsidR="00E172C2" w:rsidRPr="00D974DF" w:rsidRDefault="00E172C2" w:rsidP="00E172C2">
      <w:pPr>
        <w:numPr>
          <w:ilvl w:val="0"/>
          <w:numId w:val="25"/>
        </w:numPr>
        <w:spacing w:before="0" w:after="160" w:line="259" w:lineRule="auto"/>
        <w:rPr>
          <w:rFonts w:cstheme="minorHAnsi"/>
        </w:rPr>
      </w:pPr>
      <w:r w:rsidRPr="00D974DF">
        <w:rPr>
          <w:rFonts w:cstheme="minorHAnsi"/>
          <w:b/>
          <w:bCs/>
        </w:rPr>
        <w:t>Navigating the system</w:t>
      </w:r>
      <w:r w:rsidRPr="00D974DF">
        <w:rPr>
          <w:rFonts w:cstheme="minorHAnsi"/>
        </w:rPr>
        <w:t xml:space="preserve"> – It can take time to understand how My Aged Care works, what services are available, and how to access them.</w:t>
      </w:r>
    </w:p>
    <w:p w14:paraId="4BBB684A" w14:textId="77777777" w:rsidR="00E172C2" w:rsidRPr="00D974DF" w:rsidRDefault="00E172C2" w:rsidP="00E172C2">
      <w:pPr>
        <w:numPr>
          <w:ilvl w:val="0"/>
          <w:numId w:val="25"/>
        </w:numPr>
        <w:spacing w:before="0" w:after="160" w:line="259" w:lineRule="auto"/>
        <w:rPr>
          <w:rFonts w:cstheme="minorHAnsi"/>
        </w:rPr>
      </w:pPr>
      <w:r w:rsidRPr="00D974DF">
        <w:rPr>
          <w:rFonts w:cstheme="minorHAnsi"/>
          <w:b/>
          <w:bCs/>
        </w:rPr>
        <w:t>Using other services first</w:t>
      </w:r>
      <w:r w:rsidRPr="00D974DF">
        <w:rPr>
          <w:rFonts w:cstheme="minorHAnsi"/>
        </w:rPr>
        <w:t xml:space="preserve"> – Some people may receive support from state-funded or community programs while waiting for Commonwealth-funded aged care.</w:t>
      </w:r>
    </w:p>
    <w:p w14:paraId="6F9CCD1A" w14:textId="77777777" w:rsidR="00E172C2" w:rsidRDefault="00E172C2" w:rsidP="00E172C2">
      <w:pPr>
        <w:numPr>
          <w:ilvl w:val="0"/>
          <w:numId w:val="25"/>
        </w:numPr>
        <w:spacing w:before="0" w:after="160" w:line="259" w:lineRule="auto"/>
        <w:rPr>
          <w:rFonts w:cstheme="minorHAnsi"/>
        </w:rPr>
      </w:pPr>
      <w:r w:rsidRPr="00D974DF">
        <w:rPr>
          <w:rFonts w:cstheme="minorHAnsi"/>
          <w:b/>
          <w:bCs/>
        </w:rPr>
        <w:t>Processing and communication timeframes</w:t>
      </w:r>
      <w:r w:rsidRPr="00D974DF">
        <w:rPr>
          <w:rFonts w:cstheme="minorHAnsi"/>
        </w:rPr>
        <w:t xml:space="preserve"> – Occasionally, there may be delays in finalising approvals or sending out funding notifications.</w:t>
      </w:r>
    </w:p>
    <w:p w14:paraId="28FDE9FC" w14:textId="77777777" w:rsidR="004B2132" w:rsidRDefault="004B2132" w:rsidP="004B2132">
      <w:pPr>
        <w:spacing w:before="0" w:after="160" w:line="259" w:lineRule="auto"/>
        <w:rPr>
          <w:rFonts w:cstheme="minorHAnsi"/>
        </w:rPr>
        <w:sectPr w:rsidR="004B2132" w:rsidSect="003D35DC">
          <w:pgSz w:w="11906" w:h="16838"/>
          <w:pgMar w:top="1276" w:right="1418" w:bottom="1418" w:left="1418" w:header="709" w:footer="709" w:gutter="0"/>
          <w:cols w:space="708"/>
          <w:docGrid w:linePitch="360"/>
        </w:sectPr>
      </w:pPr>
      <w:r>
        <w:rPr>
          <w:rFonts w:cstheme="minorHAnsi"/>
        </w:rPr>
        <w:br w:type="page"/>
      </w:r>
    </w:p>
    <w:p w14:paraId="6C5F0788" w14:textId="77777777" w:rsidR="00205A93" w:rsidRPr="004D1339" w:rsidRDefault="00205A93" w:rsidP="00346C4A">
      <w:pPr>
        <w:pStyle w:val="URL"/>
      </w:pPr>
      <w:r w:rsidRPr="004D1339">
        <w:lastRenderedPageBreak/>
        <w:t>Health.gov.au</w:t>
      </w:r>
    </w:p>
    <w:p w14:paraId="14B0D8C1" w14:textId="174AFA02" w:rsidR="00205A93" w:rsidRPr="004D1339" w:rsidRDefault="00205A93" w:rsidP="004D1339">
      <w:pPr>
        <w:jc w:val="center"/>
      </w:pPr>
      <w:r w:rsidRPr="004D1339">
        <w:t xml:space="preserve">All information in this publication is correct as </w:t>
      </w:r>
      <w:proofErr w:type="gramStart"/>
      <w:r w:rsidRPr="00A36600">
        <w:t>at</w:t>
      </w:r>
      <w:proofErr w:type="gramEnd"/>
      <w:r w:rsidRPr="00A36600">
        <w:t xml:space="preserve"> </w:t>
      </w:r>
      <w:r w:rsidR="00645B98" w:rsidRPr="00A36600">
        <w:t>12</w:t>
      </w:r>
      <w:r w:rsidR="00B24478" w:rsidRPr="00A36600">
        <w:t xml:space="preserve"> </w:t>
      </w:r>
      <w:r w:rsidR="00A36600" w:rsidRPr="00A36600">
        <w:t>May</w:t>
      </w:r>
      <w:r w:rsidR="00B24478" w:rsidRPr="00A36600">
        <w:t xml:space="preserve"> </w:t>
      </w:r>
      <w:r w:rsidR="00431802" w:rsidRPr="00A36600">
        <w:t>202</w:t>
      </w:r>
      <w:r w:rsidR="00925AD3" w:rsidRPr="00A36600">
        <w:t>6</w:t>
      </w:r>
      <w:r w:rsidR="007B2856">
        <w:t>.</w:t>
      </w:r>
    </w:p>
    <w:sectPr w:rsidR="00205A93" w:rsidRPr="004D1339" w:rsidSect="00205A93">
      <w:headerReference w:type="even" r:id="rId19"/>
      <w:headerReference w:type="default" r:id="rId20"/>
      <w:footerReference w:type="default" r:id="rId21"/>
      <w:headerReference w:type="first" r:id="rId22"/>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43B15" w14:textId="77777777" w:rsidR="00291315" w:rsidRDefault="00291315" w:rsidP="00346C4A">
      <w:r>
        <w:separator/>
      </w:r>
    </w:p>
    <w:p w14:paraId="002B40B1" w14:textId="77777777" w:rsidR="00291315" w:rsidRDefault="00291315" w:rsidP="00346C4A"/>
  </w:endnote>
  <w:endnote w:type="continuationSeparator" w:id="0">
    <w:p w14:paraId="19F63166" w14:textId="77777777" w:rsidR="00291315" w:rsidRDefault="00291315" w:rsidP="00346C4A">
      <w:r>
        <w:continuationSeparator/>
      </w:r>
    </w:p>
    <w:p w14:paraId="14D1E016" w14:textId="77777777" w:rsidR="00291315" w:rsidRDefault="00291315" w:rsidP="00346C4A"/>
  </w:endnote>
  <w:endnote w:type="continuationNotice" w:id="1">
    <w:p w14:paraId="3D97B1BF" w14:textId="77777777" w:rsidR="00291315" w:rsidRDefault="00291315"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3B9B" w14:textId="7FABC6AF" w:rsidR="00777216" w:rsidRDefault="004F3645">
    <w:pPr>
      <w:pStyle w:val="Footer"/>
    </w:pPr>
    <w:r>
      <w:rPr>
        <w:noProof/>
      </w:rPr>
      <mc:AlternateContent>
        <mc:Choice Requires="wps">
          <w:drawing>
            <wp:anchor distT="0" distB="0" distL="0" distR="0" simplePos="0" relativeHeight="251658245" behindDoc="0" locked="0" layoutInCell="1" allowOverlap="1" wp14:anchorId="7BF22932" wp14:editId="14236CA9">
              <wp:simplePos x="635" y="635"/>
              <wp:positionH relativeFrom="page">
                <wp:align>center</wp:align>
              </wp:positionH>
              <wp:positionV relativeFrom="page">
                <wp:align>bottom</wp:align>
              </wp:positionV>
              <wp:extent cx="609600" cy="485775"/>
              <wp:effectExtent l="0" t="0" r="0" b="0"/>
              <wp:wrapNone/>
              <wp:docPr id="116164615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93A21FE" w14:textId="3636DF78" w:rsidR="004F3645" w:rsidRPr="004F3645" w:rsidRDefault="004F3645" w:rsidP="004F3645">
                          <w:pPr>
                            <w:spacing w:after="0"/>
                            <w:rPr>
                              <w:rFonts w:ascii="Aptos" w:eastAsia="Aptos" w:hAnsi="Aptos" w:cs="Aptos"/>
                              <w:noProof/>
                              <w:color w:val="FF0000"/>
                              <w:sz w:val="24"/>
                            </w:rPr>
                          </w:pPr>
                          <w:r w:rsidRPr="004F3645">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F22932" id="_x0000_t202" coordsize="21600,21600" o:spt="202" path="m,l,21600r21600,l21600,xe">
              <v:stroke joinstyle="miter"/>
              <v:path gradientshapeok="t" o:connecttype="rect"/>
            </v:shapetype>
            <v:shape id="Text Box 9" o:spid="_x0000_s1048" type="#_x0000_t202" alt="OFFICIAL" style="position:absolute;left:0;text-align:left;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293A21FE" w14:textId="3636DF78" w:rsidR="004F3645" w:rsidRPr="004F3645" w:rsidRDefault="004F3645" w:rsidP="004F3645">
                    <w:pPr>
                      <w:spacing w:after="0"/>
                      <w:rPr>
                        <w:rFonts w:ascii="Aptos" w:eastAsia="Aptos" w:hAnsi="Aptos" w:cs="Aptos"/>
                        <w:noProof/>
                        <w:color w:val="FF0000"/>
                        <w:sz w:val="24"/>
                      </w:rPr>
                    </w:pPr>
                    <w:r w:rsidRPr="004F3645">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831965"/>
      <w:docPartObj>
        <w:docPartGallery w:val="Page Numbers (Bottom of Page)"/>
        <w:docPartUnique/>
      </w:docPartObj>
    </w:sdtPr>
    <w:sdtEndPr/>
    <w:sdtContent>
      <w:sdt>
        <w:sdtPr>
          <w:id w:val="1728636285"/>
          <w:docPartObj>
            <w:docPartGallery w:val="Page Numbers (Top of Page)"/>
            <w:docPartUnique/>
          </w:docPartObj>
        </w:sdtPr>
        <w:sdtEndPr/>
        <w:sdtContent>
          <w:p w14:paraId="128DC984" w14:textId="0AF47830" w:rsidR="00137D70" w:rsidRDefault="00137D70">
            <w:pPr>
              <w:pStyle w:val="Footer"/>
              <w:jc w:val="center"/>
            </w:pPr>
            <w:r>
              <w:rPr>
                <w:lang w:val="en-GB"/>
              </w:rPr>
              <w:t xml:space="preserve">Page </w:t>
            </w:r>
            <w:r>
              <w:rPr>
                <w:b/>
                <w:bCs/>
                <w:sz w:val="24"/>
              </w:rPr>
              <w:fldChar w:fldCharType="begin"/>
            </w:r>
            <w:r>
              <w:rPr>
                <w:b/>
                <w:bCs/>
              </w:rPr>
              <w:instrText>PAGE</w:instrText>
            </w:r>
            <w:r>
              <w:rPr>
                <w:b/>
                <w:bCs/>
                <w:sz w:val="24"/>
              </w:rPr>
              <w:fldChar w:fldCharType="separate"/>
            </w:r>
            <w:r>
              <w:rPr>
                <w:b/>
                <w:bCs/>
                <w:lang w:val="en-GB"/>
              </w:rPr>
              <w:t>2</w:t>
            </w:r>
            <w:r>
              <w:rPr>
                <w:b/>
                <w:bCs/>
                <w:sz w:val="24"/>
              </w:rPr>
              <w:fldChar w:fldCharType="end"/>
            </w:r>
            <w:r>
              <w:rPr>
                <w:lang w:val="en-GB"/>
              </w:rPr>
              <w:t xml:space="preserve"> of </w:t>
            </w:r>
            <w:r>
              <w:rPr>
                <w:b/>
                <w:bCs/>
                <w:sz w:val="24"/>
              </w:rPr>
              <w:fldChar w:fldCharType="begin"/>
            </w:r>
            <w:r>
              <w:rPr>
                <w:b/>
                <w:bCs/>
              </w:rPr>
              <w:instrText>NUMPAGES</w:instrText>
            </w:r>
            <w:r>
              <w:rPr>
                <w:b/>
                <w:bCs/>
                <w:sz w:val="24"/>
              </w:rPr>
              <w:fldChar w:fldCharType="separate"/>
            </w:r>
            <w:r>
              <w:rPr>
                <w:b/>
                <w:bCs/>
                <w:lang w:val="en-GB"/>
              </w:rPr>
              <w:t>2</w:t>
            </w:r>
            <w:r>
              <w:rPr>
                <w:b/>
                <w:bCs/>
                <w:sz w:val="24"/>
              </w:rPr>
              <w:fldChar w:fldCharType="end"/>
            </w:r>
          </w:p>
        </w:sdtContent>
      </w:sdt>
    </w:sdtContent>
  </w:sdt>
  <w:p w14:paraId="0B883FD7" w14:textId="744EEAAC" w:rsidR="00777216" w:rsidRDefault="007772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761E" w14:textId="498F82E1" w:rsidR="00777216" w:rsidRPr="003F3562" w:rsidRDefault="005569D4" w:rsidP="003F3562">
    <w:pPr>
      <w:pStyle w:val="Footer"/>
      <w:jc w:val="center"/>
      <w:rPr>
        <w:color w:val="FF0000"/>
      </w:rPr>
    </w:pPr>
    <w:r>
      <w:rPr>
        <w:noProof/>
      </w:rPr>
      <w:drawing>
        <wp:inline distT="0" distB="0" distL="0" distR="0" wp14:anchorId="219CD0E6" wp14:editId="792D2342">
          <wp:extent cx="6172200" cy="5866765"/>
          <wp:effectExtent l="0" t="0" r="0" b="635"/>
          <wp:docPr id="160074728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394198"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2717" cy="5895772"/>
                  </a:xfrm>
                  <a:prstGeom prst="rect">
                    <a:avLst/>
                  </a:prstGeom>
                  <a:noFill/>
                  <a:ln>
                    <a:noFill/>
                  </a:ln>
                </pic:spPr>
              </pic:pic>
            </a:graphicData>
          </a:graphic>
        </wp:inline>
      </w:drawing>
    </w:r>
    <w:r w:rsidR="00A152D5" w:rsidRPr="003F3562">
      <w:rPr>
        <w:color w:val="FF0000"/>
      </w:rPr>
      <w:t xml:space="preserve">This is a prototype report only for demonstration purposes only.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15C0852D" w:rsidR="00205A93" w:rsidRDefault="004F3645" w:rsidP="000D56E4">
    <w:pPr>
      <w:pStyle w:val="Footer"/>
    </w:pPr>
    <w:r>
      <w:rPr>
        <w:noProof/>
      </w:rPr>
      <mc:AlternateContent>
        <mc:Choice Requires="wps">
          <w:drawing>
            <wp:anchor distT="0" distB="0" distL="0" distR="0" simplePos="0" relativeHeight="251658244" behindDoc="0" locked="0" layoutInCell="1" allowOverlap="1" wp14:anchorId="4B5335FD" wp14:editId="524B0BDE">
              <wp:simplePos x="635" y="635"/>
              <wp:positionH relativeFrom="page">
                <wp:align>center</wp:align>
              </wp:positionH>
              <wp:positionV relativeFrom="page">
                <wp:align>bottom</wp:align>
              </wp:positionV>
              <wp:extent cx="609600" cy="485775"/>
              <wp:effectExtent l="0" t="0" r="0" b="0"/>
              <wp:wrapNone/>
              <wp:docPr id="184995890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C9E533E" w14:textId="618CE537" w:rsidR="004F3645" w:rsidRPr="00402A68" w:rsidRDefault="004F3645" w:rsidP="004F3645">
                          <w:pPr>
                            <w:spacing w:after="0"/>
                            <w:rPr>
                              <w:rFonts w:ascii="Aptos" w:eastAsia="Aptos" w:hAnsi="Aptos" w:cs="Aptos"/>
                              <w:noProof/>
                              <w:color w:val="auto"/>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5335FD" id="_x0000_t202" coordsize="21600,21600" o:spt="202" path="m,l,21600r21600,l21600,xe">
              <v:stroke joinstyle="miter"/>
              <v:path gradientshapeok="t" o:connecttype="rect"/>
            </v:shapetype>
            <v:shape id="Text Box 14" o:spid="_x0000_s1051" type="#_x0000_t202" alt="OFFICIAL" style="position:absolute;left:0;text-align:left;margin-left:0;margin-top:0;width:48pt;height:38.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filled="f" stroked="f">
              <v:textbox style="mso-fit-shape-to-text:t" inset="0,0,0,15pt">
                <w:txbxContent>
                  <w:p w14:paraId="0C9E533E" w14:textId="618CE537" w:rsidR="004F3645" w:rsidRPr="00402A68" w:rsidRDefault="004F3645" w:rsidP="004F3645">
                    <w:pPr>
                      <w:spacing w:after="0"/>
                      <w:rPr>
                        <w:rFonts w:ascii="Aptos" w:eastAsia="Aptos" w:hAnsi="Aptos" w:cs="Aptos"/>
                        <w:noProof/>
                        <w:color w:val="auto"/>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D8931" w14:textId="77777777" w:rsidR="00291315" w:rsidRDefault="00291315" w:rsidP="00346C4A">
      <w:r>
        <w:separator/>
      </w:r>
    </w:p>
    <w:p w14:paraId="3E24D945" w14:textId="77777777" w:rsidR="00291315" w:rsidRDefault="00291315" w:rsidP="00346C4A"/>
  </w:footnote>
  <w:footnote w:type="continuationSeparator" w:id="0">
    <w:p w14:paraId="477B2280" w14:textId="77777777" w:rsidR="00291315" w:rsidRDefault="00291315" w:rsidP="00346C4A">
      <w:r>
        <w:continuationSeparator/>
      </w:r>
    </w:p>
    <w:p w14:paraId="59E75D51" w14:textId="77777777" w:rsidR="00291315" w:rsidRDefault="00291315" w:rsidP="00346C4A"/>
  </w:footnote>
  <w:footnote w:type="continuationNotice" w:id="1">
    <w:p w14:paraId="75964781" w14:textId="77777777" w:rsidR="00291315" w:rsidRDefault="00291315"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7743" w14:textId="1F7A65DB" w:rsidR="00777216" w:rsidRDefault="004F3645">
    <w:pPr>
      <w:pStyle w:val="Header"/>
    </w:pPr>
    <w:r>
      <w:rPr>
        <w:noProof/>
      </w:rPr>
      <mc:AlternateContent>
        <mc:Choice Requires="wps">
          <w:drawing>
            <wp:anchor distT="0" distB="0" distL="0" distR="0" simplePos="0" relativeHeight="251658243" behindDoc="0" locked="0" layoutInCell="1" allowOverlap="1" wp14:anchorId="35A2567B" wp14:editId="1C4BC1D4">
              <wp:simplePos x="635" y="635"/>
              <wp:positionH relativeFrom="page">
                <wp:align>center</wp:align>
              </wp:positionH>
              <wp:positionV relativeFrom="page">
                <wp:align>top</wp:align>
              </wp:positionV>
              <wp:extent cx="609600" cy="485775"/>
              <wp:effectExtent l="0" t="0" r="0" b="9525"/>
              <wp:wrapNone/>
              <wp:docPr id="790496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60DF993" w14:textId="012C51D3" w:rsidR="004F3645" w:rsidRPr="004F3645" w:rsidRDefault="004F3645" w:rsidP="004F3645">
                          <w:pPr>
                            <w:spacing w:after="0"/>
                            <w:rPr>
                              <w:rFonts w:ascii="Aptos" w:eastAsia="Aptos" w:hAnsi="Aptos" w:cs="Aptos"/>
                              <w:noProof/>
                              <w:color w:val="FF0000"/>
                              <w:sz w:val="24"/>
                            </w:rPr>
                          </w:pPr>
                          <w:r w:rsidRPr="004F3645">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A2567B" id="_x0000_t202" coordsize="21600,21600" o:spt="202" path="m,l,21600r21600,l21600,xe">
              <v:stroke joinstyle="miter"/>
              <v:path gradientshapeok="t" o:connecttype="rect"/>
            </v:shapetype>
            <v:shape id="_x0000_s1046" type="#_x0000_t202" alt="OFFICIAL"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260DF993" w14:textId="012C51D3" w:rsidR="004F3645" w:rsidRPr="004F3645" w:rsidRDefault="004F3645" w:rsidP="004F3645">
                    <w:pPr>
                      <w:spacing w:after="0"/>
                      <w:rPr>
                        <w:rFonts w:ascii="Aptos" w:eastAsia="Aptos" w:hAnsi="Aptos" w:cs="Aptos"/>
                        <w:noProof/>
                        <w:color w:val="FF0000"/>
                        <w:sz w:val="24"/>
                      </w:rPr>
                    </w:pPr>
                    <w:r w:rsidRPr="004F3645">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62226294" w:rsidR="008E0C77" w:rsidRDefault="004F3645" w:rsidP="008E0C77">
    <w:pPr>
      <w:pStyle w:val="Headertext"/>
      <w:spacing w:after="180"/>
      <w:jc w:val="left"/>
    </w:pPr>
    <w:r>
      <w:rPr>
        <w:noProof/>
        <w:lang w:eastAsia="en-AU"/>
      </w:rPr>
      <mc:AlternateContent>
        <mc:Choice Requires="wps">
          <w:drawing>
            <wp:anchor distT="0" distB="0" distL="0" distR="0" simplePos="0" relativeHeight="251658240" behindDoc="0" locked="0" layoutInCell="1" allowOverlap="1" wp14:anchorId="1DA142B2" wp14:editId="4B1BECED">
              <wp:simplePos x="635" y="635"/>
              <wp:positionH relativeFrom="page">
                <wp:align>center</wp:align>
              </wp:positionH>
              <wp:positionV relativeFrom="page">
                <wp:align>top</wp:align>
              </wp:positionV>
              <wp:extent cx="609600" cy="485775"/>
              <wp:effectExtent l="0" t="0" r="0" b="9525"/>
              <wp:wrapNone/>
              <wp:docPr id="1829074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3E1763A" w14:textId="2E9097DA" w:rsidR="004F3645" w:rsidRPr="004F3645" w:rsidRDefault="004F3645" w:rsidP="004F3645">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A142B2" id="_x0000_t202" coordsize="21600,21600" o:spt="202" path="m,l,21600r21600,l21600,xe">
              <v:stroke joinstyle="miter"/>
              <v:path gradientshapeok="t" o:connecttype="rect"/>
            </v:shapetype>
            <v:shape id="Text Box 3" o:spid="_x0000_s1047" type="#_x0000_t202" alt="OFFICIAL" style="position:absolute;margin-left:0;margin-top:0;width:48pt;height:38.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23E1763A" w14:textId="2E9097DA" w:rsidR="004F3645" w:rsidRPr="004F3645" w:rsidRDefault="004F3645" w:rsidP="004F3645">
                    <w:pPr>
                      <w:spacing w:after="0"/>
                      <w:rPr>
                        <w:rFonts w:ascii="Aptos" w:eastAsia="Aptos" w:hAnsi="Aptos" w:cs="Aptos"/>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4A2D5E90" w:rsidR="00CA79CF" w:rsidRDefault="004F3645" w:rsidP="00205A93">
    <w:pPr>
      <w:pStyle w:val="Header"/>
      <w:tabs>
        <w:tab w:val="clear" w:pos="4513"/>
        <w:tab w:val="clear" w:pos="9026"/>
        <w:tab w:val="center" w:pos="4535"/>
      </w:tabs>
    </w:pPr>
    <w:r>
      <w:rPr>
        <w:noProof/>
        <w:lang w:eastAsia="en-AU"/>
      </w:rPr>
      <mc:AlternateContent>
        <mc:Choice Requires="wps">
          <w:drawing>
            <wp:anchor distT="0" distB="0" distL="0" distR="0" simplePos="0" relativeHeight="251658246" behindDoc="0" locked="0" layoutInCell="1" allowOverlap="1" wp14:anchorId="7F1B6B12" wp14:editId="49919C52">
              <wp:simplePos x="635" y="635"/>
              <wp:positionH relativeFrom="page">
                <wp:align>center</wp:align>
              </wp:positionH>
              <wp:positionV relativeFrom="page">
                <wp:align>top</wp:align>
              </wp:positionV>
              <wp:extent cx="609600" cy="485775"/>
              <wp:effectExtent l="0" t="0" r="0" b="9525"/>
              <wp:wrapNone/>
              <wp:docPr id="1036656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05DA595" w14:textId="63A60CFC" w:rsidR="004F3645" w:rsidRPr="00D91C3B" w:rsidRDefault="004F3645" w:rsidP="004F3645">
                          <w:pPr>
                            <w:spacing w:after="0"/>
                            <w:rPr>
                              <w:rFonts w:ascii="Aptos" w:eastAsia="Aptos" w:hAnsi="Aptos" w:cs="Aptos"/>
                              <w:noProof/>
                              <w:color w:val="auto"/>
                              <w:sz w:val="24"/>
                            </w:rPr>
                          </w:pPr>
                          <w:r w:rsidRPr="00D91C3B">
                            <w:rPr>
                              <w:rFonts w:ascii="Aptos" w:eastAsia="Aptos" w:hAnsi="Aptos" w:cs="Aptos"/>
                              <w:noProof/>
                              <w:color w:val="auto"/>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1B6B12" id="_x0000_t202" coordsize="21600,21600" o:spt="202" path="m,l,21600r21600,l21600,xe">
              <v:stroke joinstyle="miter"/>
              <v:path gradientshapeok="t" o:connecttype="rect"/>
            </v:shapetype>
            <v:shape id="Text Box 1" o:spid="_x0000_s1049" type="#_x0000_t202" alt="OFFICIAL" style="position:absolute;margin-left:0;margin-top:0;width:48pt;height:38.2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" filled="f" stroked="f">
              <v:textbox style="mso-fit-shape-to-text:t" inset="0,15pt,0,0">
                <w:txbxContent>
                  <w:p w14:paraId="405DA595" w14:textId="63A60CFC" w:rsidR="004F3645" w:rsidRPr="00D91C3B" w:rsidRDefault="004F3645" w:rsidP="004F3645">
                    <w:pPr>
                      <w:spacing w:after="0"/>
                      <w:rPr>
                        <w:rFonts w:ascii="Aptos" w:eastAsia="Aptos" w:hAnsi="Aptos" w:cs="Aptos"/>
                        <w:noProof/>
                        <w:color w:val="auto"/>
                        <w:sz w:val="24"/>
                      </w:rPr>
                    </w:pPr>
                    <w:r w:rsidRPr="00D91C3B">
                      <w:rPr>
                        <w:rFonts w:ascii="Aptos" w:eastAsia="Aptos" w:hAnsi="Aptos" w:cs="Aptos"/>
                        <w:noProof/>
                        <w:color w:val="auto"/>
                        <w:sz w:val="24"/>
                      </w:rPr>
                      <w:t>OFFICIAL</w:t>
                    </w:r>
                  </w:p>
                </w:txbxContent>
              </v:textbox>
              <w10:wrap anchorx="page" anchory="page"/>
            </v:shape>
          </w:pict>
        </mc:Fallback>
      </mc:AlternateContent>
    </w:r>
    <w:r w:rsidR="00205A9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CB06" w14:textId="77777777" w:rsidR="001F6FF3" w:rsidRDefault="001F6F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4116762D" w:rsidR="00205A93" w:rsidRDefault="004F3645" w:rsidP="008E0C77">
    <w:pPr>
      <w:pStyle w:val="Headertext"/>
      <w:spacing w:after="180"/>
      <w:jc w:val="left"/>
    </w:pPr>
    <w:r>
      <w:rPr>
        <w:noProof/>
        <w:lang w:eastAsia="en-AU"/>
      </w:rPr>
      <mc:AlternateContent>
        <mc:Choice Requires="wps">
          <w:drawing>
            <wp:anchor distT="0" distB="0" distL="0" distR="0" simplePos="0" relativeHeight="251658242" behindDoc="0" locked="0" layoutInCell="1" allowOverlap="1" wp14:anchorId="0F32EB39" wp14:editId="1C78C8E9">
              <wp:simplePos x="635" y="635"/>
              <wp:positionH relativeFrom="page">
                <wp:align>center</wp:align>
              </wp:positionH>
              <wp:positionV relativeFrom="page">
                <wp:align>top</wp:align>
              </wp:positionV>
              <wp:extent cx="609600" cy="485775"/>
              <wp:effectExtent l="0" t="0" r="0" b="9525"/>
              <wp:wrapNone/>
              <wp:docPr id="195139995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CD46F90" w14:textId="41126D4B" w:rsidR="004F3645" w:rsidRPr="009E4DDF" w:rsidRDefault="004F3645" w:rsidP="004F3645">
                          <w:pPr>
                            <w:spacing w:after="0"/>
                            <w:rPr>
                              <w:rFonts w:ascii="Aptos" w:eastAsia="Aptos" w:hAnsi="Aptos" w:cs="Aptos"/>
                              <w:noProof/>
                              <w:color w:val="auto"/>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32EB39" id="_x0000_t202" coordsize="21600,21600" o:spt="202" path="m,l,21600r21600,l21600,xe">
              <v:stroke joinstyle="miter"/>
              <v:path gradientshapeok="t" o:connecttype="rect"/>
            </v:shapetype>
            <v:shape id="Text Box 7" o:spid="_x0000_s1050"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5CD46F90" w14:textId="41126D4B" w:rsidR="004F3645" w:rsidRPr="009E4DDF" w:rsidRDefault="004F3645" w:rsidP="004F3645">
                    <w:pPr>
                      <w:spacing w:after="0"/>
                      <w:rPr>
                        <w:rFonts w:ascii="Aptos" w:eastAsia="Aptos" w:hAnsi="Aptos" w:cs="Aptos"/>
                        <w:noProof/>
                        <w:color w:val="auto"/>
                        <w:sz w:val="24"/>
                      </w:rPr>
                    </w:pPr>
                  </w:p>
                </w:txbxContent>
              </v:textbox>
              <w10:wrap anchorx="page" anchory="page"/>
            </v:shape>
          </w:pict>
        </mc:Fallback>
      </mc:AlternateContent>
    </w:r>
    <w:r w:rsidR="00205A93">
      <w:rPr>
        <w:noProof/>
        <w:lang w:eastAsia="en-AU"/>
      </w:rPr>
      <w:drawing>
        <wp:anchor distT="0" distB="0" distL="114300" distR="114300" simplePos="0" relativeHeight="251658241" behindDoc="1" locked="0" layoutInCell="1" allowOverlap="1" wp14:anchorId="0FEF1E6A" wp14:editId="636E7577">
          <wp:simplePos x="0" y="0"/>
          <wp:positionH relativeFrom="page">
            <wp:posOffset>0</wp:posOffset>
          </wp:positionH>
          <wp:positionV relativeFrom="page">
            <wp:posOffset>3458210</wp:posOffset>
          </wp:positionV>
          <wp:extent cx="7559040" cy="7232650"/>
          <wp:effectExtent l="0" t="0" r="3810" b="6350"/>
          <wp:wrapNone/>
          <wp:docPr id="339775898" name="Picture 3397758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3643" w14:textId="77777777" w:rsidR="001F6FF3" w:rsidRDefault="001F6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A87"/>
    <w:multiLevelType w:val="multilevel"/>
    <w:tmpl w:val="3C666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F65C7B"/>
    <w:multiLevelType w:val="multilevel"/>
    <w:tmpl w:val="6C9C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6019A"/>
    <w:multiLevelType w:val="multilevel"/>
    <w:tmpl w:val="9B78C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5E7E9"/>
    <w:multiLevelType w:val="hybridMultilevel"/>
    <w:tmpl w:val="FFFFFFFF"/>
    <w:lvl w:ilvl="0" w:tplc="4C6415D2">
      <w:start w:val="1"/>
      <w:numFmt w:val="bullet"/>
      <w:lvlText w:val="·"/>
      <w:lvlJc w:val="left"/>
      <w:pPr>
        <w:ind w:left="720" w:hanging="360"/>
      </w:pPr>
      <w:rPr>
        <w:rFonts w:ascii="Symbol" w:hAnsi="Symbol" w:hint="default"/>
      </w:rPr>
    </w:lvl>
    <w:lvl w:ilvl="1" w:tplc="6974DECE">
      <w:start w:val="1"/>
      <w:numFmt w:val="bullet"/>
      <w:lvlText w:val="o"/>
      <w:lvlJc w:val="left"/>
      <w:pPr>
        <w:ind w:left="1440" w:hanging="360"/>
      </w:pPr>
      <w:rPr>
        <w:rFonts w:ascii="Courier New" w:hAnsi="Courier New" w:hint="default"/>
      </w:rPr>
    </w:lvl>
    <w:lvl w:ilvl="2" w:tplc="0C72B348">
      <w:start w:val="1"/>
      <w:numFmt w:val="bullet"/>
      <w:lvlText w:val=""/>
      <w:lvlJc w:val="left"/>
      <w:pPr>
        <w:ind w:left="2160" w:hanging="360"/>
      </w:pPr>
      <w:rPr>
        <w:rFonts w:ascii="Wingdings" w:hAnsi="Wingdings" w:hint="default"/>
      </w:rPr>
    </w:lvl>
    <w:lvl w:ilvl="3" w:tplc="4D60C6A4">
      <w:start w:val="1"/>
      <w:numFmt w:val="bullet"/>
      <w:lvlText w:val=""/>
      <w:lvlJc w:val="left"/>
      <w:pPr>
        <w:ind w:left="2880" w:hanging="360"/>
      </w:pPr>
      <w:rPr>
        <w:rFonts w:ascii="Symbol" w:hAnsi="Symbol" w:hint="default"/>
      </w:rPr>
    </w:lvl>
    <w:lvl w:ilvl="4" w:tplc="17347170">
      <w:start w:val="1"/>
      <w:numFmt w:val="bullet"/>
      <w:lvlText w:val="o"/>
      <w:lvlJc w:val="left"/>
      <w:pPr>
        <w:ind w:left="3600" w:hanging="360"/>
      </w:pPr>
      <w:rPr>
        <w:rFonts w:ascii="Courier New" w:hAnsi="Courier New" w:hint="default"/>
      </w:rPr>
    </w:lvl>
    <w:lvl w:ilvl="5" w:tplc="46245186">
      <w:start w:val="1"/>
      <w:numFmt w:val="bullet"/>
      <w:lvlText w:val=""/>
      <w:lvlJc w:val="left"/>
      <w:pPr>
        <w:ind w:left="4320" w:hanging="360"/>
      </w:pPr>
      <w:rPr>
        <w:rFonts w:ascii="Wingdings" w:hAnsi="Wingdings" w:hint="default"/>
      </w:rPr>
    </w:lvl>
    <w:lvl w:ilvl="6" w:tplc="E9C0EF42">
      <w:start w:val="1"/>
      <w:numFmt w:val="bullet"/>
      <w:lvlText w:val=""/>
      <w:lvlJc w:val="left"/>
      <w:pPr>
        <w:ind w:left="5040" w:hanging="360"/>
      </w:pPr>
      <w:rPr>
        <w:rFonts w:ascii="Symbol" w:hAnsi="Symbol" w:hint="default"/>
      </w:rPr>
    </w:lvl>
    <w:lvl w:ilvl="7" w:tplc="4D96C4AE">
      <w:start w:val="1"/>
      <w:numFmt w:val="bullet"/>
      <w:lvlText w:val="o"/>
      <w:lvlJc w:val="left"/>
      <w:pPr>
        <w:ind w:left="5760" w:hanging="360"/>
      </w:pPr>
      <w:rPr>
        <w:rFonts w:ascii="Courier New" w:hAnsi="Courier New" w:hint="default"/>
      </w:rPr>
    </w:lvl>
    <w:lvl w:ilvl="8" w:tplc="DFC89B00">
      <w:start w:val="1"/>
      <w:numFmt w:val="bullet"/>
      <w:lvlText w:val=""/>
      <w:lvlJc w:val="left"/>
      <w:pPr>
        <w:ind w:left="6480" w:hanging="360"/>
      </w:pPr>
      <w:rPr>
        <w:rFonts w:ascii="Wingdings" w:hAnsi="Wingdings" w:hint="default"/>
      </w:rPr>
    </w:lvl>
  </w:abstractNum>
  <w:abstractNum w:abstractNumId="5"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0332F8"/>
    <w:multiLevelType w:val="hybridMultilevel"/>
    <w:tmpl w:val="161E0320"/>
    <w:lvl w:ilvl="0" w:tplc="4D0E6CDE">
      <w:start w:val="6"/>
      <w:numFmt w:val="bullet"/>
      <w:lvlText w:val="-"/>
      <w:lvlJc w:val="left"/>
      <w:pPr>
        <w:ind w:left="587" w:hanging="360"/>
      </w:pPr>
      <w:rPr>
        <w:rFonts w:ascii="Arial" w:eastAsia="Times New Roman" w:hAnsi="Arial" w:cs="Aria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7" w15:restartNumberingAfterBreak="0">
    <w:nsid w:val="185366C8"/>
    <w:multiLevelType w:val="hybridMultilevel"/>
    <w:tmpl w:val="96443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CA3D31"/>
    <w:multiLevelType w:val="hybridMultilevel"/>
    <w:tmpl w:val="8F94A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C36709"/>
    <w:multiLevelType w:val="multilevel"/>
    <w:tmpl w:val="179A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F73026"/>
    <w:multiLevelType w:val="hybridMultilevel"/>
    <w:tmpl w:val="B8541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74A865"/>
    <w:multiLevelType w:val="hybridMultilevel"/>
    <w:tmpl w:val="FFFFFFFF"/>
    <w:lvl w:ilvl="0" w:tplc="79344134">
      <w:start w:val="1"/>
      <w:numFmt w:val="bullet"/>
      <w:lvlText w:val="·"/>
      <w:lvlJc w:val="left"/>
      <w:pPr>
        <w:ind w:left="720" w:hanging="360"/>
      </w:pPr>
      <w:rPr>
        <w:rFonts w:ascii="Symbol" w:hAnsi="Symbol" w:hint="default"/>
      </w:rPr>
    </w:lvl>
    <w:lvl w:ilvl="1" w:tplc="D4C88704">
      <w:start w:val="1"/>
      <w:numFmt w:val="bullet"/>
      <w:lvlText w:val="o"/>
      <w:lvlJc w:val="left"/>
      <w:pPr>
        <w:ind w:left="1440" w:hanging="360"/>
      </w:pPr>
      <w:rPr>
        <w:rFonts w:ascii="Courier New" w:hAnsi="Courier New" w:hint="default"/>
      </w:rPr>
    </w:lvl>
    <w:lvl w:ilvl="2" w:tplc="3F38D2E4">
      <w:start w:val="1"/>
      <w:numFmt w:val="bullet"/>
      <w:lvlText w:val=""/>
      <w:lvlJc w:val="left"/>
      <w:pPr>
        <w:ind w:left="2160" w:hanging="360"/>
      </w:pPr>
      <w:rPr>
        <w:rFonts w:ascii="Wingdings" w:hAnsi="Wingdings" w:hint="default"/>
      </w:rPr>
    </w:lvl>
    <w:lvl w:ilvl="3" w:tplc="F6F47696">
      <w:start w:val="1"/>
      <w:numFmt w:val="bullet"/>
      <w:lvlText w:val=""/>
      <w:lvlJc w:val="left"/>
      <w:pPr>
        <w:ind w:left="2880" w:hanging="360"/>
      </w:pPr>
      <w:rPr>
        <w:rFonts w:ascii="Symbol" w:hAnsi="Symbol" w:hint="default"/>
      </w:rPr>
    </w:lvl>
    <w:lvl w:ilvl="4" w:tplc="BD7CCCE0">
      <w:start w:val="1"/>
      <w:numFmt w:val="bullet"/>
      <w:lvlText w:val="o"/>
      <w:lvlJc w:val="left"/>
      <w:pPr>
        <w:ind w:left="3600" w:hanging="360"/>
      </w:pPr>
      <w:rPr>
        <w:rFonts w:ascii="Courier New" w:hAnsi="Courier New" w:hint="default"/>
      </w:rPr>
    </w:lvl>
    <w:lvl w:ilvl="5" w:tplc="3EFE1CF4">
      <w:start w:val="1"/>
      <w:numFmt w:val="bullet"/>
      <w:lvlText w:val=""/>
      <w:lvlJc w:val="left"/>
      <w:pPr>
        <w:ind w:left="4320" w:hanging="360"/>
      </w:pPr>
      <w:rPr>
        <w:rFonts w:ascii="Wingdings" w:hAnsi="Wingdings" w:hint="default"/>
      </w:rPr>
    </w:lvl>
    <w:lvl w:ilvl="6" w:tplc="053C373C">
      <w:start w:val="1"/>
      <w:numFmt w:val="bullet"/>
      <w:lvlText w:val=""/>
      <w:lvlJc w:val="left"/>
      <w:pPr>
        <w:ind w:left="5040" w:hanging="360"/>
      </w:pPr>
      <w:rPr>
        <w:rFonts w:ascii="Symbol" w:hAnsi="Symbol" w:hint="default"/>
      </w:rPr>
    </w:lvl>
    <w:lvl w:ilvl="7" w:tplc="590E0060">
      <w:start w:val="1"/>
      <w:numFmt w:val="bullet"/>
      <w:lvlText w:val="o"/>
      <w:lvlJc w:val="left"/>
      <w:pPr>
        <w:ind w:left="5760" w:hanging="360"/>
      </w:pPr>
      <w:rPr>
        <w:rFonts w:ascii="Courier New" w:hAnsi="Courier New" w:hint="default"/>
      </w:rPr>
    </w:lvl>
    <w:lvl w:ilvl="8" w:tplc="B84857E6">
      <w:start w:val="1"/>
      <w:numFmt w:val="bullet"/>
      <w:lvlText w:val=""/>
      <w:lvlJc w:val="left"/>
      <w:pPr>
        <w:ind w:left="6480" w:hanging="360"/>
      </w:pPr>
      <w:rPr>
        <w:rFonts w:ascii="Wingdings" w:hAnsi="Wingdings" w:hint="default"/>
      </w:rPr>
    </w:lvl>
  </w:abstractNum>
  <w:abstractNum w:abstractNumId="12" w15:restartNumberingAfterBreak="0">
    <w:nsid w:val="23006947"/>
    <w:multiLevelType w:val="hybridMultilevel"/>
    <w:tmpl w:val="235A9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23395B"/>
    <w:multiLevelType w:val="multilevel"/>
    <w:tmpl w:val="5430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4937C0"/>
    <w:multiLevelType w:val="hybridMultilevel"/>
    <w:tmpl w:val="2228C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674E75"/>
    <w:multiLevelType w:val="hybridMultilevel"/>
    <w:tmpl w:val="5316CFC4"/>
    <w:lvl w:ilvl="0" w:tplc="0C090001">
      <w:start w:val="1"/>
      <w:numFmt w:val="bullet"/>
      <w:lvlText w:val=""/>
      <w:lvlJc w:val="left"/>
      <w:pPr>
        <w:ind w:left="947" w:hanging="360"/>
      </w:pPr>
      <w:rPr>
        <w:rFonts w:ascii="Symbol" w:hAnsi="Symbol" w:hint="default"/>
      </w:rPr>
    </w:lvl>
    <w:lvl w:ilvl="1" w:tplc="0C090003">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6" w15:restartNumberingAfterBreak="0">
    <w:nsid w:val="2F27218D"/>
    <w:multiLevelType w:val="hybridMultilevel"/>
    <w:tmpl w:val="B9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E12C7D"/>
    <w:multiLevelType w:val="hybridMultilevel"/>
    <w:tmpl w:val="FFFFFFFF"/>
    <w:lvl w:ilvl="0" w:tplc="B9CA0F9E">
      <w:start w:val="1"/>
      <w:numFmt w:val="bullet"/>
      <w:lvlText w:val="·"/>
      <w:lvlJc w:val="left"/>
      <w:pPr>
        <w:ind w:left="720" w:hanging="360"/>
      </w:pPr>
      <w:rPr>
        <w:rFonts w:ascii="Symbol" w:hAnsi="Symbol" w:hint="default"/>
      </w:rPr>
    </w:lvl>
    <w:lvl w:ilvl="1" w:tplc="9412223A">
      <w:start w:val="1"/>
      <w:numFmt w:val="bullet"/>
      <w:lvlText w:val="o"/>
      <w:lvlJc w:val="left"/>
      <w:pPr>
        <w:ind w:left="1440" w:hanging="360"/>
      </w:pPr>
      <w:rPr>
        <w:rFonts w:ascii="Courier New" w:hAnsi="Courier New" w:hint="default"/>
      </w:rPr>
    </w:lvl>
    <w:lvl w:ilvl="2" w:tplc="7C844924">
      <w:start w:val="1"/>
      <w:numFmt w:val="bullet"/>
      <w:lvlText w:val=""/>
      <w:lvlJc w:val="left"/>
      <w:pPr>
        <w:ind w:left="2160" w:hanging="360"/>
      </w:pPr>
      <w:rPr>
        <w:rFonts w:ascii="Wingdings" w:hAnsi="Wingdings" w:hint="default"/>
      </w:rPr>
    </w:lvl>
    <w:lvl w:ilvl="3" w:tplc="52AC2B72">
      <w:start w:val="1"/>
      <w:numFmt w:val="bullet"/>
      <w:lvlText w:val=""/>
      <w:lvlJc w:val="left"/>
      <w:pPr>
        <w:ind w:left="2880" w:hanging="360"/>
      </w:pPr>
      <w:rPr>
        <w:rFonts w:ascii="Symbol" w:hAnsi="Symbol" w:hint="default"/>
      </w:rPr>
    </w:lvl>
    <w:lvl w:ilvl="4" w:tplc="3FC27FA2">
      <w:start w:val="1"/>
      <w:numFmt w:val="bullet"/>
      <w:lvlText w:val="o"/>
      <w:lvlJc w:val="left"/>
      <w:pPr>
        <w:ind w:left="3600" w:hanging="360"/>
      </w:pPr>
      <w:rPr>
        <w:rFonts w:ascii="Courier New" w:hAnsi="Courier New" w:hint="default"/>
      </w:rPr>
    </w:lvl>
    <w:lvl w:ilvl="5" w:tplc="ED9646DA">
      <w:start w:val="1"/>
      <w:numFmt w:val="bullet"/>
      <w:lvlText w:val=""/>
      <w:lvlJc w:val="left"/>
      <w:pPr>
        <w:ind w:left="4320" w:hanging="360"/>
      </w:pPr>
      <w:rPr>
        <w:rFonts w:ascii="Wingdings" w:hAnsi="Wingdings" w:hint="default"/>
      </w:rPr>
    </w:lvl>
    <w:lvl w:ilvl="6" w:tplc="9886FC36">
      <w:start w:val="1"/>
      <w:numFmt w:val="bullet"/>
      <w:lvlText w:val=""/>
      <w:lvlJc w:val="left"/>
      <w:pPr>
        <w:ind w:left="5040" w:hanging="360"/>
      </w:pPr>
      <w:rPr>
        <w:rFonts w:ascii="Symbol" w:hAnsi="Symbol" w:hint="default"/>
      </w:rPr>
    </w:lvl>
    <w:lvl w:ilvl="7" w:tplc="302EE2D8">
      <w:start w:val="1"/>
      <w:numFmt w:val="bullet"/>
      <w:lvlText w:val="o"/>
      <w:lvlJc w:val="left"/>
      <w:pPr>
        <w:ind w:left="5760" w:hanging="360"/>
      </w:pPr>
      <w:rPr>
        <w:rFonts w:ascii="Courier New" w:hAnsi="Courier New" w:hint="default"/>
      </w:rPr>
    </w:lvl>
    <w:lvl w:ilvl="8" w:tplc="38183A4E">
      <w:start w:val="1"/>
      <w:numFmt w:val="bullet"/>
      <w:lvlText w:val=""/>
      <w:lvlJc w:val="left"/>
      <w:pPr>
        <w:ind w:left="6480" w:hanging="360"/>
      </w:pPr>
      <w:rPr>
        <w:rFonts w:ascii="Wingdings" w:hAnsi="Wingdings" w:hint="default"/>
      </w:rPr>
    </w:lvl>
  </w:abstractNum>
  <w:abstractNum w:abstractNumId="18" w15:restartNumberingAfterBreak="0">
    <w:nsid w:val="32D3796E"/>
    <w:multiLevelType w:val="hybridMultilevel"/>
    <w:tmpl w:val="83605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6BB60C8"/>
    <w:multiLevelType w:val="multilevel"/>
    <w:tmpl w:val="6BF0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154F47"/>
    <w:multiLevelType w:val="multilevel"/>
    <w:tmpl w:val="288E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EF7826"/>
    <w:multiLevelType w:val="multilevel"/>
    <w:tmpl w:val="24B8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E57434"/>
    <w:multiLevelType w:val="hybridMultilevel"/>
    <w:tmpl w:val="FFFFFFFF"/>
    <w:lvl w:ilvl="0" w:tplc="B1662598">
      <w:start w:val="1"/>
      <w:numFmt w:val="bullet"/>
      <w:lvlText w:val="·"/>
      <w:lvlJc w:val="left"/>
      <w:pPr>
        <w:ind w:left="720" w:hanging="360"/>
      </w:pPr>
      <w:rPr>
        <w:rFonts w:ascii="Symbol" w:hAnsi="Symbol" w:hint="default"/>
      </w:rPr>
    </w:lvl>
    <w:lvl w:ilvl="1" w:tplc="C504B46A">
      <w:start w:val="1"/>
      <w:numFmt w:val="bullet"/>
      <w:lvlText w:val="o"/>
      <w:lvlJc w:val="left"/>
      <w:pPr>
        <w:ind w:left="1440" w:hanging="360"/>
      </w:pPr>
      <w:rPr>
        <w:rFonts w:ascii="Courier New" w:hAnsi="Courier New" w:hint="default"/>
      </w:rPr>
    </w:lvl>
    <w:lvl w:ilvl="2" w:tplc="D17ACAEC">
      <w:start w:val="1"/>
      <w:numFmt w:val="bullet"/>
      <w:lvlText w:val=""/>
      <w:lvlJc w:val="left"/>
      <w:pPr>
        <w:ind w:left="2160" w:hanging="360"/>
      </w:pPr>
      <w:rPr>
        <w:rFonts w:ascii="Wingdings" w:hAnsi="Wingdings" w:hint="default"/>
      </w:rPr>
    </w:lvl>
    <w:lvl w:ilvl="3" w:tplc="672C68C4">
      <w:start w:val="1"/>
      <w:numFmt w:val="bullet"/>
      <w:lvlText w:val=""/>
      <w:lvlJc w:val="left"/>
      <w:pPr>
        <w:ind w:left="2880" w:hanging="360"/>
      </w:pPr>
      <w:rPr>
        <w:rFonts w:ascii="Symbol" w:hAnsi="Symbol" w:hint="default"/>
      </w:rPr>
    </w:lvl>
    <w:lvl w:ilvl="4" w:tplc="98D837E6">
      <w:start w:val="1"/>
      <w:numFmt w:val="bullet"/>
      <w:lvlText w:val="o"/>
      <w:lvlJc w:val="left"/>
      <w:pPr>
        <w:ind w:left="3600" w:hanging="360"/>
      </w:pPr>
      <w:rPr>
        <w:rFonts w:ascii="Courier New" w:hAnsi="Courier New" w:hint="default"/>
      </w:rPr>
    </w:lvl>
    <w:lvl w:ilvl="5" w:tplc="C66EE0D6">
      <w:start w:val="1"/>
      <w:numFmt w:val="bullet"/>
      <w:lvlText w:val=""/>
      <w:lvlJc w:val="left"/>
      <w:pPr>
        <w:ind w:left="4320" w:hanging="360"/>
      </w:pPr>
      <w:rPr>
        <w:rFonts w:ascii="Wingdings" w:hAnsi="Wingdings" w:hint="default"/>
      </w:rPr>
    </w:lvl>
    <w:lvl w:ilvl="6" w:tplc="FF1A4876">
      <w:start w:val="1"/>
      <w:numFmt w:val="bullet"/>
      <w:lvlText w:val=""/>
      <w:lvlJc w:val="left"/>
      <w:pPr>
        <w:ind w:left="5040" w:hanging="360"/>
      </w:pPr>
      <w:rPr>
        <w:rFonts w:ascii="Symbol" w:hAnsi="Symbol" w:hint="default"/>
      </w:rPr>
    </w:lvl>
    <w:lvl w:ilvl="7" w:tplc="2946E3CA">
      <w:start w:val="1"/>
      <w:numFmt w:val="bullet"/>
      <w:lvlText w:val="o"/>
      <w:lvlJc w:val="left"/>
      <w:pPr>
        <w:ind w:left="5760" w:hanging="360"/>
      </w:pPr>
      <w:rPr>
        <w:rFonts w:ascii="Courier New" w:hAnsi="Courier New" w:hint="default"/>
      </w:rPr>
    </w:lvl>
    <w:lvl w:ilvl="8" w:tplc="49D87A36">
      <w:start w:val="1"/>
      <w:numFmt w:val="bullet"/>
      <w:lvlText w:val=""/>
      <w:lvlJc w:val="left"/>
      <w:pPr>
        <w:ind w:left="6480" w:hanging="360"/>
      </w:pPr>
      <w:rPr>
        <w:rFonts w:ascii="Wingdings" w:hAnsi="Wingdings" w:hint="default"/>
      </w:rPr>
    </w:lvl>
  </w:abstractNum>
  <w:abstractNum w:abstractNumId="24" w15:restartNumberingAfterBreak="0">
    <w:nsid w:val="405710B2"/>
    <w:multiLevelType w:val="multilevel"/>
    <w:tmpl w:val="76E4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9C5A29"/>
    <w:multiLevelType w:val="multilevel"/>
    <w:tmpl w:val="4EB4AB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A7C40A9"/>
    <w:multiLevelType w:val="hybridMultilevel"/>
    <w:tmpl w:val="CA48B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EB378C"/>
    <w:multiLevelType w:val="multilevel"/>
    <w:tmpl w:val="451EF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D40A1E"/>
    <w:multiLevelType w:val="hybridMultilevel"/>
    <w:tmpl w:val="A7FE5F6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30F1CF6"/>
    <w:multiLevelType w:val="multilevel"/>
    <w:tmpl w:val="5AD2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424B1E"/>
    <w:multiLevelType w:val="multilevel"/>
    <w:tmpl w:val="1EB4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9C48EC"/>
    <w:multiLevelType w:val="multilevel"/>
    <w:tmpl w:val="89309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92A579B"/>
    <w:multiLevelType w:val="multilevel"/>
    <w:tmpl w:val="1BEE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7E7CD4"/>
    <w:multiLevelType w:val="multilevel"/>
    <w:tmpl w:val="3C84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8024F8"/>
    <w:multiLevelType w:val="hybridMultilevel"/>
    <w:tmpl w:val="137A9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212240"/>
    <w:multiLevelType w:val="hybridMultilevel"/>
    <w:tmpl w:val="FFFFFFFF"/>
    <w:lvl w:ilvl="0" w:tplc="542EE01E">
      <w:start w:val="1"/>
      <w:numFmt w:val="bullet"/>
      <w:lvlText w:val="·"/>
      <w:lvlJc w:val="left"/>
      <w:pPr>
        <w:ind w:left="720" w:hanging="360"/>
      </w:pPr>
      <w:rPr>
        <w:rFonts w:ascii="Symbol" w:hAnsi="Symbol" w:hint="default"/>
      </w:rPr>
    </w:lvl>
    <w:lvl w:ilvl="1" w:tplc="869C982E">
      <w:start w:val="1"/>
      <w:numFmt w:val="bullet"/>
      <w:lvlText w:val="o"/>
      <w:lvlJc w:val="left"/>
      <w:pPr>
        <w:ind w:left="1440" w:hanging="360"/>
      </w:pPr>
      <w:rPr>
        <w:rFonts w:ascii="Courier New" w:hAnsi="Courier New" w:hint="default"/>
      </w:rPr>
    </w:lvl>
    <w:lvl w:ilvl="2" w:tplc="A45AAAB8">
      <w:start w:val="1"/>
      <w:numFmt w:val="bullet"/>
      <w:lvlText w:val=""/>
      <w:lvlJc w:val="left"/>
      <w:pPr>
        <w:ind w:left="2160" w:hanging="360"/>
      </w:pPr>
      <w:rPr>
        <w:rFonts w:ascii="Wingdings" w:hAnsi="Wingdings" w:hint="default"/>
      </w:rPr>
    </w:lvl>
    <w:lvl w:ilvl="3" w:tplc="D9B80654">
      <w:start w:val="1"/>
      <w:numFmt w:val="bullet"/>
      <w:lvlText w:val=""/>
      <w:lvlJc w:val="left"/>
      <w:pPr>
        <w:ind w:left="2880" w:hanging="360"/>
      </w:pPr>
      <w:rPr>
        <w:rFonts w:ascii="Symbol" w:hAnsi="Symbol" w:hint="default"/>
      </w:rPr>
    </w:lvl>
    <w:lvl w:ilvl="4" w:tplc="2EB2F260">
      <w:start w:val="1"/>
      <w:numFmt w:val="bullet"/>
      <w:lvlText w:val="o"/>
      <w:lvlJc w:val="left"/>
      <w:pPr>
        <w:ind w:left="3600" w:hanging="360"/>
      </w:pPr>
      <w:rPr>
        <w:rFonts w:ascii="Courier New" w:hAnsi="Courier New" w:hint="default"/>
      </w:rPr>
    </w:lvl>
    <w:lvl w:ilvl="5" w:tplc="EB7A2ECA">
      <w:start w:val="1"/>
      <w:numFmt w:val="bullet"/>
      <w:lvlText w:val=""/>
      <w:lvlJc w:val="left"/>
      <w:pPr>
        <w:ind w:left="4320" w:hanging="360"/>
      </w:pPr>
      <w:rPr>
        <w:rFonts w:ascii="Wingdings" w:hAnsi="Wingdings" w:hint="default"/>
      </w:rPr>
    </w:lvl>
    <w:lvl w:ilvl="6" w:tplc="576E9B2E">
      <w:start w:val="1"/>
      <w:numFmt w:val="bullet"/>
      <w:lvlText w:val=""/>
      <w:lvlJc w:val="left"/>
      <w:pPr>
        <w:ind w:left="5040" w:hanging="360"/>
      </w:pPr>
      <w:rPr>
        <w:rFonts w:ascii="Symbol" w:hAnsi="Symbol" w:hint="default"/>
      </w:rPr>
    </w:lvl>
    <w:lvl w:ilvl="7" w:tplc="9F3AE83C">
      <w:start w:val="1"/>
      <w:numFmt w:val="bullet"/>
      <w:lvlText w:val="o"/>
      <w:lvlJc w:val="left"/>
      <w:pPr>
        <w:ind w:left="5760" w:hanging="360"/>
      </w:pPr>
      <w:rPr>
        <w:rFonts w:ascii="Courier New" w:hAnsi="Courier New" w:hint="default"/>
      </w:rPr>
    </w:lvl>
    <w:lvl w:ilvl="8" w:tplc="E2708238">
      <w:start w:val="1"/>
      <w:numFmt w:val="bullet"/>
      <w:lvlText w:val=""/>
      <w:lvlJc w:val="left"/>
      <w:pPr>
        <w:ind w:left="6480" w:hanging="360"/>
      </w:pPr>
      <w:rPr>
        <w:rFonts w:ascii="Wingdings" w:hAnsi="Wingdings" w:hint="default"/>
      </w:rPr>
    </w:lvl>
  </w:abstractNum>
  <w:abstractNum w:abstractNumId="37" w15:restartNumberingAfterBreak="0">
    <w:nsid w:val="62BC0A2A"/>
    <w:multiLevelType w:val="hybridMultilevel"/>
    <w:tmpl w:val="5CEEB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0305A4"/>
    <w:multiLevelType w:val="multilevel"/>
    <w:tmpl w:val="0EE6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84681E"/>
    <w:multiLevelType w:val="hybridMultilevel"/>
    <w:tmpl w:val="127C6AB2"/>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8E5684"/>
    <w:multiLevelType w:val="multilevel"/>
    <w:tmpl w:val="968AA2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7861B36"/>
    <w:multiLevelType w:val="multilevel"/>
    <w:tmpl w:val="2450739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3" w15:restartNumberingAfterBreak="0">
    <w:nsid w:val="7B553608"/>
    <w:multiLevelType w:val="hybridMultilevel"/>
    <w:tmpl w:val="13308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5" w15:restartNumberingAfterBreak="0">
    <w:nsid w:val="7ECC2F1D"/>
    <w:multiLevelType w:val="hybridMultilevel"/>
    <w:tmpl w:val="674C48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44719755">
    <w:abstractNumId w:val="36"/>
  </w:num>
  <w:num w:numId="2" w16cid:durableId="1497499320">
    <w:abstractNumId w:val="11"/>
  </w:num>
  <w:num w:numId="3" w16cid:durableId="778526518">
    <w:abstractNumId w:val="17"/>
  </w:num>
  <w:num w:numId="4" w16cid:durableId="432633271">
    <w:abstractNumId w:val="4"/>
  </w:num>
  <w:num w:numId="5" w16cid:durableId="351415347">
    <w:abstractNumId w:val="23"/>
  </w:num>
  <w:num w:numId="6" w16cid:durableId="584998934">
    <w:abstractNumId w:val="29"/>
  </w:num>
  <w:num w:numId="7" w16cid:durableId="321859378">
    <w:abstractNumId w:val="40"/>
  </w:num>
  <w:num w:numId="8" w16cid:durableId="995652124">
    <w:abstractNumId w:val="1"/>
  </w:num>
  <w:num w:numId="9" w16cid:durableId="1186747887">
    <w:abstractNumId w:val="44"/>
  </w:num>
  <w:num w:numId="10" w16cid:durableId="1338772380">
    <w:abstractNumId w:val="5"/>
  </w:num>
  <w:num w:numId="11" w16cid:durableId="1952668765">
    <w:abstractNumId w:val="19"/>
  </w:num>
  <w:num w:numId="12" w16cid:durableId="1511022345">
    <w:abstractNumId w:val="24"/>
  </w:num>
  <w:num w:numId="13" w16cid:durableId="2025983331">
    <w:abstractNumId w:val="13"/>
  </w:num>
  <w:num w:numId="14" w16cid:durableId="1627857586">
    <w:abstractNumId w:val="20"/>
  </w:num>
  <w:num w:numId="15" w16cid:durableId="1514756303">
    <w:abstractNumId w:val="28"/>
  </w:num>
  <w:num w:numId="16" w16cid:durableId="306015152">
    <w:abstractNumId w:val="43"/>
  </w:num>
  <w:num w:numId="17" w16cid:durableId="567568741">
    <w:abstractNumId w:val="12"/>
  </w:num>
  <w:num w:numId="18" w16cid:durableId="674650532">
    <w:abstractNumId w:val="22"/>
  </w:num>
  <w:num w:numId="19" w16cid:durableId="260144441">
    <w:abstractNumId w:val="38"/>
  </w:num>
  <w:num w:numId="20" w16cid:durableId="195703527">
    <w:abstractNumId w:val="45"/>
  </w:num>
  <w:num w:numId="21" w16cid:durableId="560561504">
    <w:abstractNumId w:val="15"/>
  </w:num>
  <w:num w:numId="22" w16cid:durableId="1714042121">
    <w:abstractNumId w:val="35"/>
  </w:num>
  <w:num w:numId="23" w16cid:durableId="67465385">
    <w:abstractNumId w:val="25"/>
  </w:num>
  <w:num w:numId="24" w16cid:durableId="445345675">
    <w:abstractNumId w:val="32"/>
  </w:num>
  <w:num w:numId="25" w16cid:durableId="1885436317">
    <w:abstractNumId w:val="41"/>
  </w:num>
  <w:num w:numId="26" w16cid:durableId="912812627">
    <w:abstractNumId w:val="42"/>
  </w:num>
  <w:num w:numId="27" w16cid:durableId="1941445053">
    <w:abstractNumId w:val="7"/>
  </w:num>
  <w:num w:numId="28" w16cid:durableId="840242432">
    <w:abstractNumId w:val="37"/>
  </w:num>
  <w:num w:numId="29" w16cid:durableId="2001955780">
    <w:abstractNumId w:val="8"/>
  </w:num>
  <w:num w:numId="30" w16cid:durableId="327288343">
    <w:abstractNumId w:val="26"/>
  </w:num>
  <w:num w:numId="31" w16cid:durableId="89546531">
    <w:abstractNumId w:val="33"/>
  </w:num>
  <w:num w:numId="32" w16cid:durableId="660890590">
    <w:abstractNumId w:val="3"/>
  </w:num>
  <w:num w:numId="33" w16cid:durableId="1831629831">
    <w:abstractNumId w:val="0"/>
  </w:num>
  <w:num w:numId="34" w16cid:durableId="939146475">
    <w:abstractNumId w:val="2"/>
  </w:num>
  <w:num w:numId="35" w16cid:durableId="24984771">
    <w:abstractNumId w:val="21"/>
  </w:num>
  <w:num w:numId="36" w16cid:durableId="1903365592">
    <w:abstractNumId w:val="30"/>
  </w:num>
  <w:num w:numId="37" w16cid:durableId="771440402">
    <w:abstractNumId w:val="31"/>
  </w:num>
  <w:num w:numId="38" w16cid:durableId="1939942633">
    <w:abstractNumId w:val="27"/>
  </w:num>
  <w:num w:numId="39" w16cid:durableId="2053916844">
    <w:abstractNumId w:val="9"/>
  </w:num>
  <w:num w:numId="40" w16cid:durableId="350108169">
    <w:abstractNumId w:val="10"/>
  </w:num>
  <w:num w:numId="41" w16cid:durableId="1823236201">
    <w:abstractNumId w:val="34"/>
  </w:num>
  <w:num w:numId="42" w16cid:durableId="576020920">
    <w:abstractNumId w:val="6"/>
  </w:num>
  <w:num w:numId="43" w16cid:durableId="2036150287">
    <w:abstractNumId w:val="39"/>
  </w:num>
  <w:num w:numId="44" w16cid:durableId="1741058356">
    <w:abstractNumId w:val="14"/>
  </w:num>
  <w:num w:numId="45" w16cid:durableId="2012218258">
    <w:abstractNumId w:val="18"/>
  </w:num>
  <w:num w:numId="46" w16cid:durableId="65241355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0075"/>
    <w:rsid w:val="000000C0"/>
    <w:rsid w:val="00000BE1"/>
    <w:rsid w:val="00000F97"/>
    <w:rsid w:val="00001251"/>
    <w:rsid w:val="000015F0"/>
    <w:rsid w:val="000016D8"/>
    <w:rsid w:val="00001758"/>
    <w:rsid w:val="00001A7D"/>
    <w:rsid w:val="00001B70"/>
    <w:rsid w:val="00001E1D"/>
    <w:rsid w:val="00002517"/>
    <w:rsid w:val="0000299A"/>
    <w:rsid w:val="000029D9"/>
    <w:rsid w:val="00002CF4"/>
    <w:rsid w:val="00002EE4"/>
    <w:rsid w:val="00003251"/>
    <w:rsid w:val="000032B3"/>
    <w:rsid w:val="00003743"/>
    <w:rsid w:val="000038C1"/>
    <w:rsid w:val="0000392A"/>
    <w:rsid w:val="00003D2A"/>
    <w:rsid w:val="00003FA1"/>
    <w:rsid w:val="00004230"/>
    <w:rsid w:val="000043C0"/>
    <w:rsid w:val="0000444D"/>
    <w:rsid w:val="000047B4"/>
    <w:rsid w:val="00004C50"/>
    <w:rsid w:val="000050FF"/>
    <w:rsid w:val="0000513C"/>
    <w:rsid w:val="00005571"/>
    <w:rsid w:val="00005693"/>
    <w:rsid w:val="00005712"/>
    <w:rsid w:val="000057FF"/>
    <w:rsid w:val="00005B1B"/>
    <w:rsid w:val="000071B9"/>
    <w:rsid w:val="000077E8"/>
    <w:rsid w:val="000078A1"/>
    <w:rsid w:val="00007B9E"/>
    <w:rsid w:val="00007FD8"/>
    <w:rsid w:val="00010106"/>
    <w:rsid w:val="00010202"/>
    <w:rsid w:val="00010C40"/>
    <w:rsid w:val="00010EE5"/>
    <w:rsid w:val="0001120A"/>
    <w:rsid w:val="000117F8"/>
    <w:rsid w:val="000119C0"/>
    <w:rsid w:val="00011D72"/>
    <w:rsid w:val="00011F95"/>
    <w:rsid w:val="00012EBA"/>
    <w:rsid w:val="000137E0"/>
    <w:rsid w:val="00013948"/>
    <w:rsid w:val="00013DFF"/>
    <w:rsid w:val="000140B2"/>
    <w:rsid w:val="000141A7"/>
    <w:rsid w:val="0001473C"/>
    <w:rsid w:val="00014E9C"/>
    <w:rsid w:val="00014EBE"/>
    <w:rsid w:val="000154AA"/>
    <w:rsid w:val="000156F9"/>
    <w:rsid w:val="00015917"/>
    <w:rsid w:val="00015B63"/>
    <w:rsid w:val="00015DEE"/>
    <w:rsid w:val="00015E37"/>
    <w:rsid w:val="00015F53"/>
    <w:rsid w:val="0001605F"/>
    <w:rsid w:val="00017054"/>
    <w:rsid w:val="00017475"/>
    <w:rsid w:val="0001779A"/>
    <w:rsid w:val="00017891"/>
    <w:rsid w:val="000178DF"/>
    <w:rsid w:val="00017CFB"/>
    <w:rsid w:val="00021DBC"/>
    <w:rsid w:val="00022070"/>
    <w:rsid w:val="00022175"/>
    <w:rsid w:val="000223EC"/>
    <w:rsid w:val="00022B1D"/>
    <w:rsid w:val="000231C9"/>
    <w:rsid w:val="000231E4"/>
    <w:rsid w:val="000231F5"/>
    <w:rsid w:val="00023C6B"/>
    <w:rsid w:val="00023E8F"/>
    <w:rsid w:val="0002432E"/>
    <w:rsid w:val="000245C8"/>
    <w:rsid w:val="00024F63"/>
    <w:rsid w:val="000258FD"/>
    <w:rsid w:val="00025EF6"/>
    <w:rsid w:val="00026139"/>
    <w:rsid w:val="00026256"/>
    <w:rsid w:val="00027071"/>
    <w:rsid w:val="00027601"/>
    <w:rsid w:val="000276D7"/>
    <w:rsid w:val="00027AB5"/>
    <w:rsid w:val="00027F07"/>
    <w:rsid w:val="000305F5"/>
    <w:rsid w:val="0003068F"/>
    <w:rsid w:val="00030F85"/>
    <w:rsid w:val="000315EE"/>
    <w:rsid w:val="0003189D"/>
    <w:rsid w:val="00031A0E"/>
    <w:rsid w:val="00031B15"/>
    <w:rsid w:val="00031DC1"/>
    <w:rsid w:val="00032469"/>
    <w:rsid w:val="00032647"/>
    <w:rsid w:val="000331B5"/>
    <w:rsid w:val="00033321"/>
    <w:rsid w:val="000335B1"/>
    <w:rsid w:val="000336FF"/>
    <w:rsid w:val="000338E5"/>
    <w:rsid w:val="00033ECC"/>
    <w:rsid w:val="0003422F"/>
    <w:rsid w:val="000342BD"/>
    <w:rsid w:val="00034374"/>
    <w:rsid w:val="00034A11"/>
    <w:rsid w:val="00034B41"/>
    <w:rsid w:val="00034B9B"/>
    <w:rsid w:val="00034E5E"/>
    <w:rsid w:val="00035345"/>
    <w:rsid w:val="00035D8B"/>
    <w:rsid w:val="0003647B"/>
    <w:rsid w:val="00036B4E"/>
    <w:rsid w:val="000372B1"/>
    <w:rsid w:val="0004007D"/>
    <w:rsid w:val="000412EA"/>
    <w:rsid w:val="00041739"/>
    <w:rsid w:val="00042393"/>
    <w:rsid w:val="00042B36"/>
    <w:rsid w:val="000438BC"/>
    <w:rsid w:val="00043B10"/>
    <w:rsid w:val="00043DBB"/>
    <w:rsid w:val="0004447B"/>
    <w:rsid w:val="000445E0"/>
    <w:rsid w:val="00044F85"/>
    <w:rsid w:val="0004504B"/>
    <w:rsid w:val="000450BF"/>
    <w:rsid w:val="000456B8"/>
    <w:rsid w:val="0004584C"/>
    <w:rsid w:val="00045C91"/>
    <w:rsid w:val="000460F3"/>
    <w:rsid w:val="000461EA"/>
    <w:rsid w:val="000466E1"/>
    <w:rsid w:val="000468D8"/>
    <w:rsid w:val="00046FF0"/>
    <w:rsid w:val="00047542"/>
    <w:rsid w:val="00047555"/>
    <w:rsid w:val="00047A4C"/>
    <w:rsid w:val="00047EEB"/>
    <w:rsid w:val="00050176"/>
    <w:rsid w:val="000509FB"/>
    <w:rsid w:val="00051AD7"/>
    <w:rsid w:val="0005221D"/>
    <w:rsid w:val="00052378"/>
    <w:rsid w:val="0005244C"/>
    <w:rsid w:val="000528A7"/>
    <w:rsid w:val="0005295E"/>
    <w:rsid w:val="00053536"/>
    <w:rsid w:val="00053826"/>
    <w:rsid w:val="0005387C"/>
    <w:rsid w:val="00053DF2"/>
    <w:rsid w:val="00053E1A"/>
    <w:rsid w:val="000547FE"/>
    <w:rsid w:val="0005531F"/>
    <w:rsid w:val="00056019"/>
    <w:rsid w:val="000577C7"/>
    <w:rsid w:val="00057AAB"/>
    <w:rsid w:val="00057D33"/>
    <w:rsid w:val="00060F10"/>
    <w:rsid w:val="0006156D"/>
    <w:rsid w:val="000619B7"/>
    <w:rsid w:val="0006213D"/>
    <w:rsid w:val="00062522"/>
    <w:rsid w:val="0006274B"/>
    <w:rsid w:val="00062B65"/>
    <w:rsid w:val="00062FC0"/>
    <w:rsid w:val="0006391D"/>
    <w:rsid w:val="000647A1"/>
    <w:rsid w:val="000657A0"/>
    <w:rsid w:val="00066092"/>
    <w:rsid w:val="00066650"/>
    <w:rsid w:val="00066C73"/>
    <w:rsid w:val="000670C1"/>
    <w:rsid w:val="00067346"/>
    <w:rsid w:val="0006737A"/>
    <w:rsid w:val="00067456"/>
    <w:rsid w:val="000700E5"/>
    <w:rsid w:val="00070659"/>
    <w:rsid w:val="00070722"/>
    <w:rsid w:val="00070966"/>
    <w:rsid w:val="00070A80"/>
    <w:rsid w:val="000711DE"/>
    <w:rsid w:val="00071506"/>
    <w:rsid w:val="0007154F"/>
    <w:rsid w:val="0007209F"/>
    <w:rsid w:val="00072B79"/>
    <w:rsid w:val="0007365F"/>
    <w:rsid w:val="00074059"/>
    <w:rsid w:val="00074185"/>
    <w:rsid w:val="00074358"/>
    <w:rsid w:val="0007445A"/>
    <w:rsid w:val="00074559"/>
    <w:rsid w:val="0007461F"/>
    <w:rsid w:val="000748FD"/>
    <w:rsid w:val="00074E25"/>
    <w:rsid w:val="000751D6"/>
    <w:rsid w:val="00075A6D"/>
    <w:rsid w:val="00075B32"/>
    <w:rsid w:val="00075E15"/>
    <w:rsid w:val="00076303"/>
    <w:rsid w:val="0007682A"/>
    <w:rsid w:val="000768BC"/>
    <w:rsid w:val="00076B31"/>
    <w:rsid w:val="00076DA5"/>
    <w:rsid w:val="00076EF2"/>
    <w:rsid w:val="00076F7B"/>
    <w:rsid w:val="00077FDA"/>
    <w:rsid w:val="000803DF"/>
    <w:rsid w:val="00080815"/>
    <w:rsid w:val="00080E6F"/>
    <w:rsid w:val="000816EF"/>
    <w:rsid w:val="00081AB1"/>
    <w:rsid w:val="00081D48"/>
    <w:rsid w:val="00081EB6"/>
    <w:rsid w:val="00082239"/>
    <w:rsid w:val="000834AB"/>
    <w:rsid w:val="00083B12"/>
    <w:rsid w:val="00084C6A"/>
    <w:rsid w:val="00084CDB"/>
    <w:rsid w:val="00084F24"/>
    <w:rsid w:val="00085E1A"/>
    <w:rsid w:val="00086071"/>
    <w:rsid w:val="00086083"/>
    <w:rsid w:val="000866D7"/>
    <w:rsid w:val="00086AF2"/>
    <w:rsid w:val="00086C89"/>
    <w:rsid w:val="00087064"/>
    <w:rsid w:val="00087665"/>
    <w:rsid w:val="00087D67"/>
    <w:rsid w:val="00090316"/>
    <w:rsid w:val="00090665"/>
    <w:rsid w:val="00090BDA"/>
    <w:rsid w:val="00091230"/>
    <w:rsid w:val="0009285A"/>
    <w:rsid w:val="00092E0A"/>
    <w:rsid w:val="00093981"/>
    <w:rsid w:val="00093CD9"/>
    <w:rsid w:val="000944C6"/>
    <w:rsid w:val="000947DF"/>
    <w:rsid w:val="00094D41"/>
    <w:rsid w:val="00094EF8"/>
    <w:rsid w:val="000957C1"/>
    <w:rsid w:val="00095B49"/>
    <w:rsid w:val="00096286"/>
    <w:rsid w:val="00096332"/>
    <w:rsid w:val="000963A4"/>
    <w:rsid w:val="0009670C"/>
    <w:rsid w:val="00096738"/>
    <w:rsid w:val="000974B0"/>
    <w:rsid w:val="00097E22"/>
    <w:rsid w:val="000A0E3E"/>
    <w:rsid w:val="000A1039"/>
    <w:rsid w:val="000A12AD"/>
    <w:rsid w:val="000A23C4"/>
    <w:rsid w:val="000A2FB0"/>
    <w:rsid w:val="000A35AF"/>
    <w:rsid w:val="000A3A26"/>
    <w:rsid w:val="000A47E2"/>
    <w:rsid w:val="000A5360"/>
    <w:rsid w:val="000A56E5"/>
    <w:rsid w:val="000A5B2C"/>
    <w:rsid w:val="000A5CA4"/>
    <w:rsid w:val="000A5FA0"/>
    <w:rsid w:val="000A637D"/>
    <w:rsid w:val="000B036F"/>
    <w:rsid w:val="000B0481"/>
    <w:rsid w:val="000B067A"/>
    <w:rsid w:val="000B0BC6"/>
    <w:rsid w:val="000B0E88"/>
    <w:rsid w:val="000B0FF3"/>
    <w:rsid w:val="000B1540"/>
    <w:rsid w:val="000B16DE"/>
    <w:rsid w:val="000B17FF"/>
    <w:rsid w:val="000B1C0F"/>
    <w:rsid w:val="000B2353"/>
    <w:rsid w:val="000B25E1"/>
    <w:rsid w:val="000B3206"/>
    <w:rsid w:val="000B33FD"/>
    <w:rsid w:val="000B3DA7"/>
    <w:rsid w:val="000B40A9"/>
    <w:rsid w:val="000B468A"/>
    <w:rsid w:val="000B4A05"/>
    <w:rsid w:val="000B4A76"/>
    <w:rsid w:val="000B4ABA"/>
    <w:rsid w:val="000B4B8D"/>
    <w:rsid w:val="000B4EAC"/>
    <w:rsid w:val="000B5222"/>
    <w:rsid w:val="000B53EE"/>
    <w:rsid w:val="000B5513"/>
    <w:rsid w:val="000B5CDD"/>
    <w:rsid w:val="000B6080"/>
    <w:rsid w:val="000B61AA"/>
    <w:rsid w:val="000B662B"/>
    <w:rsid w:val="000B67D9"/>
    <w:rsid w:val="000B6C7D"/>
    <w:rsid w:val="000B6E3A"/>
    <w:rsid w:val="000B7219"/>
    <w:rsid w:val="000C057E"/>
    <w:rsid w:val="000C06FE"/>
    <w:rsid w:val="000C1158"/>
    <w:rsid w:val="000C1652"/>
    <w:rsid w:val="000C207E"/>
    <w:rsid w:val="000C2D00"/>
    <w:rsid w:val="000C2E14"/>
    <w:rsid w:val="000C3604"/>
    <w:rsid w:val="000C38A3"/>
    <w:rsid w:val="000C3F2A"/>
    <w:rsid w:val="000C44B0"/>
    <w:rsid w:val="000C4609"/>
    <w:rsid w:val="000C4B16"/>
    <w:rsid w:val="000C5001"/>
    <w:rsid w:val="000C50C3"/>
    <w:rsid w:val="000C514C"/>
    <w:rsid w:val="000C531A"/>
    <w:rsid w:val="000C5331"/>
    <w:rsid w:val="000C6833"/>
    <w:rsid w:val="000C6B2C"/>
    <w:rsid w:val="000C6E31"/>
    <w:rsid w:val="000C712F"/>
    <w:rsid w:val="000C77D5"/>
    <w:rsid w:val="000D0428"/>
    <w:rsid w:val="000D07D2"/>
    <w:rsid w:val="000D0A1A"/>
    <w:rsid w:val="000D1684"/>
    <w:rsid w:val="000D1BFA"/>
    <w:rsid w:val="000D2032"/>
    <w:rsid w:val="000D21F6"/>
    <w:rsid w:val="000D2544"/>
    <w:rsid w:val="000D25F6"/>
    <w:rsid w:val="000D3868"/>
    <w:rsid w:val="000D42C3"/>
    <w:rsid w:val="000D4500"/>
    <w:rsid w:val="000D4917"/>
    <w:rsid w:val="000D56E4"/>
    <w:rsid w:val="000D5CF7"/>
    <w:rsid w:val="000D6AD7"/>
    <w:rsid w:val="000D6CC3"/>
    <w:rsid w:val="000D6FF4"/>
    <w:rsid w:val="000D726A"/>
    <w:rsid w:val="000D756D"/>
    <w:rsid w:val="000D7641"/>
    <w:rsid w:val="000D76FA"/>
    <w:rsid w:val="000D780F"/>
    <w:rsid w:val="000D788A"/>
    <w:rsid w:val="000D788E"/>
    <w:rsid w:val="000D7AEA"/>
    <w:rsid w:val="000D7B6F"/>
    <w:rsid w:val="000E01A9"/>
    <w:rsid w:val="000E02AF"/>
    <w:rsid w:val="000E06E8"/>
    <w:rsid w:val="000E0719"/>
    <w:rsid w:val="000E0C71"/>
    <w:rsid w:val="000E1518"/>
    <w:rsid w:val="000E2645"/>
    <w:rsid w:val="000E27DA"/>
    <w:rsid w:val="000E2B59"/>
    <w:rsid w:val="000E2C66"/>
    <w:rsid w:val="000E344B"/>
    <w:rsid w:val="000E3BBB"/>
    <w:rsid w:val="000E3CD6"/>
    <w:rsid w:val="000E40A3"/>
    <w:rsid w:val="000E443A"/>
    <w:rsid w:val="000E4E73"/>
    <w:rsid w:val="000E552D"/>
    <w:rsid w:val="000E5832"/>
    <w:rsid w:val="000E5A02"/>
    <w:rsid w:val="000E5AB4"/>
    <w:rsid w:val="000E5D4F"/>
    <w:rsid w:val="000E6321"/>
    <w:rsid w:val="000E6BED"/>
    <w:rsid w:val="000E6E7D"/>
    <w:rsid w:val="000E6F5F"/>
    <w:rsid w:val="000E71CA"/>
    <w:rsid w:val="000E7690"/>
    <w:rsid w:val="000E798D"/>
    <w:rsid w:val="000F03A6"/>
    <w:rsid w:val="000F05E3"/>
    <w:rsid w:val="000F1028"/>
    <w:rsid w:val="000F123C"/>
    <w:rsid w:val="000F180F"/>
    <w:rsid w:val="000F25AA"/>
    <w:rsid w:val="000F2C76"/>
    <w:rsid w:val="000F2FED"/>
    <w:rsid w:val="000F300F"/>
    <w:rsid w:val="000F430F"/>
    <w:rsid w:val="000F44F4"/>
    <w:rsid w:val="000F507D"/>
    <w:rsid w:val="000F5890"/>
    <w:rsid w:val="000F59C5"/>
    <w:rsid w:val="000F5BB4"/>
    <w:rsid w:val="000F5D70"/>
    <w:rsid w:val="000F7126"/>
    <w:rsid w:val="000F78FE"/>
    <w:rsid w:val="000F7989"/>
    <w:rsid w:val="001003C1"/>
    <w:rsid w:val="00100F6D"/>
    <w:rsid w:val="00101088"/>
    <w:rsid w:val="001026D8"/>
    <w:rsid w:val="00102D35"/>
    <w:rsid w:val="00102F85"/>
    <w:rsid w:val="00103686"/>
    <w:rsid w:val="00103709"/>
    <w:rsid w:val="00105409"/>
    <w:rsid w:val="00105667"/>
    <w:rsid w:val="00105A5A"/>
    <w:rsid w:val="00105B3E"/>
    <w:rsid w:val="00105CC6"/>
    <w:rsid w:val="0010602C"/>
    <w:rsid w:val="0010616D"/>
    <w:rsid w:val="001066C9"/>
    <w:rsid w:val="00106D35"/>
    <w:rsid w:val="001074B7"/>
    <w:rsid w:val="00107572"/>
    <w:rsid w:val="00107823"/>
    <w:rsid w:val="00107B0C"/>
    <w:rsid w:val="00107D26"/>
    <w:rsid w:val="0011002B"/>
    <w:rsid w:val="0011026D"/>
    <w:rsid w:val="00110478"/>
    <w:rsid w:val="001105F0"/>
    <w:rsid w:val="00110607"/>
    <w:rsid w:val="00110E1F"/>
    <w:rsid w:val="001118AE"/>
    <w:rsid w:val="00111C26"/>
    <w:rsid w:val="00111D91"/>
    <w:rsid w:val="00111F34"/>
    <w:rsid w:val="0011231D"/>
    <w:rsid w:val="0011264D"/>
    <w:rsid w:val="00112A30"/>
    <w:rsid w:val="00112E0B"/>
    <w:rsid w:val="00113727"/>
    <w:rsid w:val="0011388A"/>
    <w:rsid w:val="00114331"/>
    <w:rsid w:val="001150CC"/>
    <w:rsid w:val="0011520C"/>
    <w:rsid w:val="001157F2"/>
    <w:rsid w:val="0011598A"/>
    <w:rsid w:val="0011679B"/>
    <w:rsid w:val="0011711B"/>
    <w:rsid w:val="00117F56"/>
    <w:rsid w:val="00117F8A"/>
    <w:rsid w:val="001206CF"/>
    <w:rsid w:val="00120D51"/>
    <w:rsid w:val="00120FAD"/>
    <w:rsid w:val="001214AC"/>
    <w:rsid w:val="00121B9B"/>
    <w:rsid w:val="00121E62"/>
    <w:rsid w:val="00121FF3"/>
    <w:rsid w:val="0012232C"/>
    <w:rsid w:val="00122ADC"/>
    <w:rsid w:val="00123132"/>
    <w:rsid w:val="0012349A"/>
    <w:rsid w:val="001236AD"/>
    <w:rsid w:val="0012504F"/>
    <w:rsid w:val="001251C7"/>
    <w:rsid w:val="001257D8"/>
    <w:rsid w:val="00125D45"/>
    <w:rsid w:val="00125E1D"/>
    <w:rsid w:val="00126D85"/>
    <w:rsid w:val="00126E5A"/>
    <w:rsid w:val="00126FFD"/>
    <w:rsid w:val="00127347"/>
    <w:rsid w:val="00127582"/>
    <w:rsid w:val="001278FA"/>
    <w:rsid w:val="00127A96"/>
    <w:rsid w:val="00130F59"/>
    <w:rsid w:val="00131DD2"/>
    <w:rsid w:val="00131E7E"/>
    <w:rsid w:val="00132348"/>
    <w:rsid w:val="00133262"/>
    <w:rsid w:val="00133EC0"/>
    <w:rsid w:val="00133F03"/>
    <w:rsid w:val="0013466F"/>
    <w:rsid w:val="00134A8C"/>
    <w:rsid w:val="00134C39"/>
    <w:rsid w:val="00134CFF"/>
    <w:rsid w:val="001355A2"/>
    <w:rsid w:val="00135673"/>
    <w:rsid w:val="001357AF"/>
    <w:rsid w:val="00135FAF"/>
    <w:rsid w:val="001370C3"/>
    <w:rsid w:val="001376C2"/>
    <w:rsid w:val="00137D70"/>
    <w:rsid w:val="00140514"/>
    <w:rsid w:val="00141270"/>
    <w:rsid w:val="0014171E"/>
    <w:rsid w:val="0014183D"/>
    <w:rsid w:val="00141CE5"/>
    <w:rsid w:val="00142819"/>
    <w:rsid w:val="00142BDE"/>
    <w:rsid w:val="00142FD4"/>
    <w:rsid w:val="001432F5"/>
    <w:rsid w:val="00143368"/>
    <w:rsid w:val="001439E3"/>
    <w:rsid w:val="00143D16"/>
    <w:rsid w:val="00143FC9"/>
    <w:rsid w:val="00144332"/>
    <w:rsid w:val="001444A4"/>
    <w:rsid w:val="001445B9"/>
    <w:rsid w:val="00144657"/>
    <w:rsid w:val="00144908"/>
    <w:rsid w:val="00144A57"/>
    <w:rsid w:val="00144BC4"/>
    <w:rsid w:val="00145034"/>
    <w:rsid w:val="00146B2A"/>
    <w:rsid w:val="00146C75"/>
    <w:rsid w:val="001476AC"/>
    <w:rsid w:val="00147876"/>
    <w:rsid w:val="00147D13"/>
    <w:rsid w:val="001504DD"/>
    <w:rsid w:val="00150946"/>
    <w:rsid w:val="00150A22"/>
    <w:rsid w:val="00151223"/>
    <w:rsid w:val="00151BBD"/>
    <w:rsid w:val="00151EE8"/>
    <w:rsid w:val="00151F23"/>
    <w:rsid w:val="00151FBB"/>
    <w:rsid w:val="0015218E"/>
    <w:rsid w:val="001527D7"/>
    <w:rsid w:val="00152D9C"/>
    <w:rsid w:val="0015314F"/>
    <w:rsid w:val="00153C44"/>
    <w:rsid w:val="001541DC"/>
    <w:rsid w:val="0015442F"/>
    <w:rsid w:val="0015451A"/>
    <w:rsid w:val="001545DA"/>
    <w:rsid w:val="00154662"/>
    <w:rsid w:val="001550AC"/>
    <w:rsid w:val="001553D6"/>
    <w:rsid w:val="00155680"/>
    <w:rsid w:val="00155A27"/>
    <w:rsid w:val="00155B01"/>
    <w:rsid w:val="00155EB4"/>
    <w:rsid w:val="00156416"/>
    <w:rsid w:val="0015645B"/>
    <w:rsid w:val="001564D5"/>
    <w:rsid w:val="00156AB0"/>
    <w:rsid w:val="00156BD1"/>
    <w:rsid w:val="00156F60"/>
    <w:rsid w:val="001571C7"/>
    <w:rsid w:val="00157749"/>
    <w:rsid w:val="00157A87"/>
    <w:rsid w:val="001604BB"/>
    <w:rsid w:val="00160555"/>
    <w:rsid w:val="00160A74"/>
    <w:rsid w:val="00160B5F"/>
    <w:rsid w:val="0016105B"/>
    <w:rsid w:val="00161094"/>
    <w:rsid w:val="00161744"/>
    <w:rsid w:val="00161A04"/>
    <w:rsid w:val="00161AE5"/>
    <w:rsid w:val="00161F07"/>
    <w:rsid w:val="00162157"/>
    <w:rsid w:val="001621D8"/>
    <w:rsid w:val="00162716"/>
    <w:rsid w:val="0016290C"/>
    <w:rsid w:val="00162F71"/>
    <w:rsid w:val="00163105"/>
    <w:rsid w:val="00163534"/>
    <w:rsid w:val="00163641"/>
    <w:rsid w:val="00163DD8"/>
    <w:rsid w:val="001643A6"/>
    <w:rsid w:val="0016497B"/>
    <w:rsid w:val="00164DEA"/>
    <w:rsid w:val="00165331"/>
    <w:rsid w:val="001661B7"/>
    <w:rsid w:val="00166FA6"/>
    <w:rsid w:val="001670F8"/>
    <w:rsid w:val="001672EB"/>
    <w:rsid w:val="0016768A"/>
    <w:rsid w:val="001678F5"/>
    <w:rsid w:val="00170337"/>
    <w:rsid w:val="00170726"/>
    <w:rsid w:val="00170F39"/>
    <w:rsid w:val="00171716"/>
    <w:rsid w:val="00171955"/>
    <w:rsid w:val="00171DA5"/>
    <w:rsid w:val="0017234C"/>
    <w:rsid w:val="001726CA"/>
    <w:rsid w:val="00172A55"/>
    <w:rsid w:val="00172DF6"/>
    <w:rsid w:val="0017337E"/>
    <w:rsid w:val="00173D5F"/>
    <w:rsid w:val="0017444F"/>
    <w:rsid w:val="00174634"/>
    <w:rsid w:val="001748A5"/>
    <w:rsid w:val="001748C0"/>
    <w:rsid w:val="00174C5F"/>
    <w:rsid w:val="00175261"/>
    <w:rsid w:val="001753A9"/>
    <w:rsid w:val="00175825"/>
    <w:rsid w:val="001758CD"/>
    <w:rsid w:val="0017590B"/>
    <w:rsid w:val="0017591B"/>
    <w:rsid w:val="00175AEF"/>
    <w:rsid w:val="00176149"/>
    <w:rsid w:val="001762B0"/>
    <w:rsid w:val="0017637B"/>
    <w:rsid w:val="0017665C"/>
    <w:rsid w:val="0017682D"/>
    <w:rsid w:val="00176872"/>
    <w:rsid w:val="00176AA3"/>
    <w:rsid w:val="00176D73"/>
    <w:rsid w:val="00176DD2"/>
    <w:rsid w:val="0017764F"/>
    <w:rsid w:val="00177A04"/>
    <w:rsid w:val="00177AD2"/>
    <w:rsid w:val="00177CA1"/>
    <w:rsid w:val="00177D90"/>
    <w:rsid w:val="00180817"/>
    <w:rsid w:val="001815A8"/>
    <w:rsid w:val="001816AB"/>
    <w:rsid w:val="00182CB5"/>
    <w:rsid w:val="001833C5"/>
    <w:rsid w:val="001837C8"/>
    <w:rsid w:val="001840FA"/>
    <w:rsid w:val="00184183"/>
    <w:rsid w:val="00184361"/>
    <w:rsid w:val="00184514"/>
    <w:rsid w:val="001848AD"/>
    <w:rsid w:val="001851CB"/>
    <w:rsid w:val="0018686D"/>
    <w:rsid w:val="001874ED"/>
    <w:rsid w:val="001875C1"/>
    <w:rsid w:val="00187E03"/>
    <w:rsid w:val="00190079"/>
    <w:rsid w:val="00190E17"/>
    <w:rsid w:val="00190ECD"/>
    <w:rsid w:val="00191527"/>
    <w:rsid w:val="00191BD5"/>
    <w:rsid w:val="00191C77"/>
    <w:rsid w:val="0019288D"/>
    <w:rsid w:val="001931EF"/>
    <w:rsid w:val="001932A3"/>
    <w:rsid w:val="00193357"/>
    <w:rsid w:val="00193893"/>
    <w:rsid w:val="00193AAA"/>
    <w:rsid w:val="0019413B"/>
    <w:rsid w:val="001942E4"/>
    <w:rsid w:val="001944EC"/>
    <w:rsid w:val="00194684"/>
    <w:rsid w:val="001948EF"/>
    <w:rsid w:val="00194D1A"/>
    <w:rsid w:val="00195623"/>
    <w:rsid w:val="00195B41"/>
    <w:rsid w:val="0019622E"/>
    <w:rsid w:val="00196688"/>
    <w:rsid w:val="001966A7"/>
    <w:rsid w:val="0019766E"/>
    <w:rsid w:val="00197C09"/>
    <w:rsid w:val="001A00E6"/>
    <w:rsid w:val="001A0595"/>
    <w:rsid w:val="001A07D3"/>
    <w:rsid w:val="001A0D0B"/>
    <w:rsid w:val="001A165D"/>
    <w:rsid w:val="001A1DA3"/>
    <w:rsid w:val="001A2CBE"/>
    <w:rsid w:val="001A2D2A"/>
    <w:rsid w:val="001A342B"/>
    <w:rsid w:val="001A3B0E"/>
    <w:rsid w:val="001A4091"/>
    <w:rsid w:val="001A4122"/>
    <w:rsid w:val="001A4627"/>
    <w:rsid w:val="001A4979"/>
    <w:rsid w:val="001A4A1D"/>
    <w:rsid w:val="001A4D40"/>
    <w:rsid w:val="001A4EEF"/>
    <w:rsid w:val="001A5500"/>
    <w:rsid w:val="001A55BE"/>
    <w:rsid w:val="001A584B"/>
    <w:rsid w:val="001A5C6D"/>
    <w:rsid w:val="001A5E06"/>
    <w:rsid w:val="001A615F"/>
    <w:rsid w:val="001A7131"/>
    <w:rsid w:val="001A7137"/>
    <w:rsid w:val="001A71D8"/>
    <w:rsid w:val="001A7C8F"/>
    <w:rsid w:val="001B00FA"/>
    <w:rsid w:val="001B0341"/>
    <w:rsid w:val="001B0428"/>
    <w:rsid w:val="001B0575"/>
    <w:rsid w:val="001B090D"/>
    <w:rsid w:val="001B0B4F"/>
    <w:rsid w:val="001B0B65"/>
    <w:rsid w:val="001B0BD7"/>
    <w:rsid w:val="001B0D1A"/>
    <w:rsid w:val="001B1201"/>
    <w:rsid w:val="001B133E"/>
    <w:rsid w:val="001B15D3"/>
    <w:rsid w:val="001B1BD2"/>
    <w:rsid w:val="001B1E21"/>
    <w:rsid w:val="001B20E8"/>
    <w:rsid w:val="001B2700"/>
    <w:rsid w:val="001B2C11"/>
    <w:rsid w:val="001B3443"/>
    <w:rsid w:val="001B34C8"/>
    <w:rsid w:val="001B36FE"/>
    <w:rsid w:val="001B377F"/>
    <w:rsid w:val="001B3867"/>
    <w:rsid w:val="001B397D"/>
    <w:rsid w:val="001B536F"/>
    <w:rsid w:val="001B58E1"/>
    <w:rsid w:val="001B5A5A"/>
    <w:rsid w:val="001B6221"/>
    <w:rsid w:val="001B62D6"/>
    <w:rsid w:val="001C0326"/>
    <w:rsid w:val="001C0369"/>
    <w:rsid w:val="001C074A"/>
    <w:rsid w:val="001C0765"/>
    <w:rsid w:val="001C0783"/>
    <w:rsid w:val="001C0FFC"/>
    <w:rsid w:val="001C105F"/>
    <w:rsid w:val="001C192F"/>
    <w:rsid w:val="001C1C48"/>
    <w:rsid w:val="001C1C6E"/>
    <w:rsid w:val="001C1DF0"/>
    <w:rsid w:val="001C2F22"/>
    <w:rsid w:val="001C3280"/>
    <w:rsid w:val="001C38C1"/>
    <w:rsid w:val="001C3AD3"/>
    <w:rsid w:val="001C3C42"/>
    <w:rsid w:val="001C406C"/>
    <w:rsid w:val="001C41DF"/>
    <w:rsid w:val="001C438E"/>
    <w:rsid w:val="001C4542"/>
    <w:rsid w:val="001C464C"/>
    <w:rsid w:val="001C48F7"/>
    <w:rsid w:val="001C5866"/>
    <w:rsid w:val="001C6938"/>
    <w:rsid w:val="001C6BDA"/>
    <w:rsid w:val="001C775B"/>
    <w:rsid w:val="001D04EF"/>
    <w:rsid w:val="001D0BF3"/>
    <w:rsid w:val="001D15C4"/>
    <w:rsid w:val="001D1AE6"/>
    <w:rsid w:val="001D1D61"/>
    <w:rsid w:val="001D1E06"/>
    <w:rsid w:val="001D2086"/>
    <w:rsid w:val="001D2298"/>
    <w:rsid w:val="001D2DE7"/>
    <w:rsid w:val="001D31DA"/>
    <w:rsid w:val="001D329D"/>
    <w:rsid w:val="001D34E7"/>
    <w:rsid w:val="001D3522"/>
    <w:rsid w:val="001D3FE2"/>
    <w:rsid w:val="001D40C9"/>
    <w:rsid w:val="001D438E"/>
    <w:rsid w:val="001D4838"/>
    <w:rsid w:val="001D52C0"/>
    <w:rsid w:val="001D555D"/>
    <w:rsid w:val="001D61AB"/>
    <w:rsid w:val="001D63F9"/>
    <w:rsid w:val="001D6B1C"/>
    <w:rsid w:val="001D6BEB"/>
    <w:rsid w:val="001D6F1D"/>
    <w:rsid w:val="001D7869"/>
    <w:rsid w:val="001D7ABA"/>
    <w:rsid w:val="001D7D20"/>
    <w:rsid w:val="001E0557"/>
    <w:rsid w:val="001E0CC3"/>
    <w:rsid w:val="001E1396"/>
    <w:rsid w:val="001E1D91"/>
    <w:rsid w:val="001E22DA"/>
    <w:rsid w:val="001E3994"/>
    <w:rsid w:val="001E3A1A"/>
    <w:rsid w:val="001E3D84"/>
    <w:rsid w:val="001E4B2C"/>
    <w:rsid w:val="001E4CA0"/>
    <w:rsid w:val="001E4E1D"/>
    <w:rsid w:val="001E539C"/>
    <w:rsid w:val="001E5F6E"/>
    <w:rsid w:val="001E605B"/>
    <w:rsid w:val="001E6196"/>
    <w:rsid w:val="001E646B"/>
    <w:rsid w:val="001E651B"/>
    <w:rsid w:val="001E6E67"/>
    <w:rsid w:val="001E6F32"/>
    <w:rsid w:val="001E70D1"/>
    <w:rsid w:val="001E754F"/>
    <w:rsid w:val="001E769C"/>
    <w:rsid w:val="001E7F5C"/>
    <w:rsid w:val="001F09AD"/>
    <w:rsid w:val="001F0C10"/>
    <w:rsid w:val="001F197D"/>
    <w:rsid w:val="001F1C1B"/>
    <w:rsid w:val="001F1F95"/>
    <w:rsid w:val="001F202A"/>
    <w:rsid w:val="001F26F5"/>
    <w:rsid w:val="001F2B63"/>
    <w:rsid w:val="001F2F00"/>
    <w:rsid w:val="001F2F78"/>
    <w:rsid w:val="001F3376"/>
    <w:rsid w:val="001F3712"/>
    <w:rsid w:val="001F3BED"/>
    <w:rsid w:val="001F3E51"/>
    <w:rsid w:val="001F421F"/>
    <w:rsid w:val="001F4ABA"/>
    <w:rsid w:val="001F4B2C"/>
    <w:rsid w:val="001F5542"/>
    <w:rsid w:val="001F5EE6"/>
    <w:rsid w:val="001F6314"/>
    <w:rsid w:val="001F6D99"/>
    <w:rsid w:val="001F6FF3"/>
    <w:rsid w:val="001F7232"/>
    <w:rsid w:val="001F756A"/>
    <w:rsid w:val="001F76C0"/>
    <w:rsid w:val="001F7790"/>
    <w:rsid w:val="00200676"/>
    <w:rsid w:val="002006C5"/>
    <w:rsid w:val="00201321"/>
    <w:rsid w:val="002014FC"/>
    <w:rsid w:val="002019D7"/>
    <w:rsid w:val="00201BFE"/>
    <w:rsid w:val="00202057"/>
    <w:rsid w:val="00202176"/>
    <w:rsid w:val="0020225B"/>
    <w:rsid w:val="002026CD"/>
    <w:rsid w:val="00202A5C"/>
    <w:rsid w:val="00202E26"/>
    <w:rsid w:val="00203255"/>
    <w:rsid w:val="002033FC"/>
    <w:rsid w:val="00203608"/>
    <w:rsid w:val="00203A0D"/>
    <w:rsid w:val="002044BB"/>
    <w:rsid w:val="0020476D"/>
    <w:rsid w:val="00205329"/>
    <w:rsid w:val="00205A93"/>
    <w:rsid w:val="00205C23"/>
    <w:rsid w:val="00205DC5"/>
    <w:rsid w:val="002062DC"/>
    <w:rsid w:val="0020642B"/>
    <w:rsid w:val="002067BB"/>
    <w:rsid w:val="002070BC"/>
    <w:rsid w:val="00207100"/>
    <w:rsid w:val="0020736F"/>
    <w:rsid w:val="00207793"/>
    <w:rsid w:val="002107E1"/>
    <w:rsid w:val="002109A0"/>
    <w:rsid w:val="00210B09"/>
    <w:rsid w:val="00210C9E"/>
    <w:rsid w:val="0021159C"/>
    <w:rsid w:val="00211840"/>
    <w:rsid w:val="00211B45"/>
    <w:rsid w:val="002120B3"/>
    <w:rsid w:val="002125BC"/>
    <w:rsid w:val="0021296F"/>
    <w:rsid w:val="00212D61"/>
    <w:rsid w:val="002131EA"/>
    <w:rsid w:val="00213324"/>
    <w:rsid w:val="00213A5A"/>
    <w:rsid w:val="00214163"/>
    <w:rsid w:val="00214585"/>
    <w:rsid w:val="002154B6"/>
    <w:rsid w:val="00215757"/>
    <w:rsid w:val="00215980"/>
    <w:rsid w:val="00215C6F"/>
    <w:rsid w:val="00216D78"/>
    <w:rsid w:val="00216FD2"/>
    <w:rsid w:val="0021705C"/>
    <w:rsid w:val="00220161"/>
    <w:rsid w:val="002202EF"/>
    <w:rsid w:val="00220E5F"/>
    <w:rsid w:val="002210AB"/>
    <w:rsid w:val="002212B5"/>
    <w:rsid w:val="0022138A"/>
    <w:rsid w:val="00221861"/>
    <w:rsid w:val="00221A9B"/>
    <w:rsid w:val="00222340"/>
    <w:rsid w:val="0022330B"/>
    <w:rsid w:val="002237CF"/>
    <w:rsid w:val="002239B1"/>
    <w:rsid w:val="00223D29"/>
    <w:rsid w:val="00223F4F"/>
    <w:rsid w:val="00223F6D"/>
    <w:rsid w:val="00224477"/>
    <w:rsid w:val="002245B2"/>
    <w:rsid w:val="00224D0B"/>
    <w:rsid w:val="00224F07"/>
    <w:rsid w:val="00225640"/>
    <w:rsid w:val="00225A0B"/>
    <w:rsid w:val="00225A9A"/>
    <w:rsid w:val="00226668"/>
    <w:rsid w:val="002266A9"/>
    <w:rsid w:val="00226C40"/>
    <w:rsid w:val="00226D56"/>
    <w:rsid w:val="00227299"/>
    <w:rsid w:val="0022796F"/>
    <w:rsid w:val="00227C06"/>
    <w:rsid w:val="00227DB7"/>
    <w:rsid w:val="002309B2"/>
    <w:rsid w:val="00230A88"/>
    <w:rsid w:val="00230B21"/>
    <w:rsid w:val="00230F32"/>
    <w:rsid w:val="002313B0"/>
    <w:rsid w:val="0023177C"/>
    <w:rsid w:val="002318AD"/>
    <w:rsid w:val="00231B06"/>
    <w:rsid w:val="00231B60"/>
    <w:rsid w:val="0023209B"/>
    <w:rsid w:val="002320CF"/>
    <w:rsid w:val="002324E9"/>
    <w:rsid w:val="0023281B"/>
    <w:rsid w:val="00232DED"/>
    <w:rsid w:val="002331A2"/>
    <w:rsid w:val="0023326D"/>
    <w:rsid w:val="00233607"/>
    <w:rsid w:val="00233809"/>
    <w:rsid w:val="00233A59"/>
    <w:rsid w:val="00233F41"/>
    <w:rsid w:val="00234712"/>
    <w:rsid w:val="00234959"/>
    <w:rsid w:val="00234C40"/>
    <w:rsid w:val="002358E7"/>
    <w:rsid w:val="00235D3A"/>
    <w:rsid w:val="00236073"/>
    <w:rsid w:val="0023707F"/>
    <w:rsid w:val="002371AA"/>
    <w:rsid w:val="00237257"/>
    <w:rsid w:val="002372D0"/>
    <w:rsid w:val="00240046"/>
    <w:rsid w:val="00240FE1"/>
    <w:rsid w:val="0024103D"/>
    <w:rsid w:val="0024169F"/>
    <w:rsid w:val="00241DB6"/>
    <w:rsid w:val="00242C33"/>
    <w:rsid w:val="00242C89"/>
    <w:rsid w:val="002430EF"/>
    <w:rsid w:val="0024358B"/>
    <w:rsid w:val="00244266"/>
    <w:rsid w:val="0024426D"/>
    <w:rsid w:val="00244D84"/>
    <w:rsid w:val="00245546"/>
    <w:rsid w:val="00245CBF"/>
    <w:rsid w:val="002467E3"/>
    <w:rsid w:val="0024797F"/>
    <w:rsid w:val="00247E18"/>
    <w:rsid w:val="00247E6F"/>
    <w:rsid w:val="00250424"/>
    <w:rsid w:val="00250DB2"/>
    <w:rsid w:val="0025119E"/>
    <w:rsid w:val="00251269"/>
    <w:rsid w:val="00251320"/>
    <w:rsid w:val="00251F8E"/>
    <w:rsid w:val="00252DE8"/>
    <w:rsid w:val="0025310E"/>
    <w:rsid w:val="002533E6"/>
    <w:rsid w:val="002535C0"/>
    <w:rsid w:val="00253863"/>
    <w:rsid w:val="002549A2"/>
    <w:rsid w:val="00255DE7"/>
    <w:rsid w:val="00255FF4"/>
    <w:rsid w:val="00257183"/>
    <w:rsid w:val="00257672"/>
    <w:rsid w:val="002579FE"/>
    <w:rsid w:val="002604E6"/>
    <w:rsid w:val="0026066C"/>
    <w:rsid w:val="0026067C"/>
    <w:rsid w:val="00260E16"/>
    <w:rsid w:val="00260F35"/>
    <w:rsid w:val="00261BFE"/>
    <w:rsid w:val="00262430"/>
    <w:rsid w:val="002624BA"/>
    <w:rsid w:val="00262633"/>
    <w:rsid w:val="00262959"/>
    <w:rsid w:val="002629A5"/>
    <w:rsid w:val="00262B83"/>
    <w:rsid w:val="0026311C"/>
    <w:rsid w:val="002631BE"/>
    <w:rsid w:val="002636BE"/>
    <w:rsid w:val="00263978"/>
    <w:rsid w:val="00263FB0"/>
    <w:rsid w:val="002649D2"/>
    <w:rsid w:val="00264A7B"/>
    <w:rsid w:val="00264C6F"/>
    <w:rsid w:val="00264D49"/>
    <w:rsid w:val="00264E10"/>
    <w:rsid w:val="00264F77"/>
    <w:rsid w:val="00265EE2"/>
    <w:rsid w:val="0026668C"/>
    <w:rsid w:val="0026685A"/>
    <w:rsid w:val="00266965"/>
    <w:rsid w:val="00266AC1"/>
    <w:rsid w:val="002673ED"/>
    <w:rsid w:val="0026762A"/>
    <w:rsid w:val="0026789F"/>
    <w:rsid w:val="0027074C"/>
    <w:rsid w:val="0027094D"/>
    <w:rsid w:val="0027126A"/>
    <w:rsid w:val="00271553"/>
    <w:rsid w:val="0027178C"/>
    <w:rsid w:val="002719FA"/>
    <w:rsid w:val="00271FF0"/>
    <w:rsid w:val="002724A5"/>
    <w:rsid w:val="00272668"/>
    <w:rsid w:val="00272C3C"/>
    <w:rsid w:val="0027302E"/>
    <w:rsid w:val="002731C2"/>
    <w:rsid w:val="0027330B"/>
    <w:rsid w:val="00273937"/>
    <w:rsid w:val="00273A91"/>
    <w:rsid w:val="002743D8"/>
    <w:rsid w:val="0027490B"/>
    <w:rsid w:val="00274AED"/>
    <w:rsid w:val="00274B93"/>
    <w:rsid w:val="002753BD"/>
    <w:rsid w:val="002756D1"/>
    <w:rsid w:val="0027589A"/>
    <w:rsid w:val="002759A9"/>
    <w:rsid w:val="00275B82"/>
    <w:rsid w:val="00275B8B"/>
    <w:rsid w:val="00275C46"/>
    <w:rsid w:val="0027643C"/>
    <w:rsid w:val="00276564"/>
    <w:rsid w:val="002803AD"/>
    <w:rsid w:val="00280951"/>
    <w:rsid w:val="00280DB3"/>
    <w:rsid w:val="00281146"/>
    <w:rsid w:val="00281854"/>
    <w:rsid w:val="00281B47"/>
    <w:rsid w:val="00281C23"/>
    <w:rsid w:val="00282052"/>
    <w:rsid w:val="00282642"/>
    <w:rsid w:val="002829ED"/>
    <w:rsid w:val="00282A22"/>
    <w:rsid w:val="0028300C"/>
    <w:rsid w:val="00283016"/>
    <w:rsid w:val="002836F8"/>
    <w:rsid w:val="00283BCB"/>
    <w:rsid w:val="00284426"/>
    <w:rsid w:val="002844F7"/>
    <w:rsid w:val="002846C7"/>
    <w:rsid w:val="002849ED"/>
    <w:rsid w:val="00284B31"/>
    <w:rsid w:val="00285049"/>
    <w:rsid w:val="0028519E"/>
    <w:rsid w:val="002856A5"/>
    <w:rsid w:val="00285820"/>
    <w:rsid w:val="00285A53"/>
    <w:rsid w:val="002861C7"/>
    <w:rsid w:val="0028688D"/>
    <w:rsid w:val="002872ED"/>
    <w:rsid w:val="00287DDF"/>
    <w:rsid w:val="00290165"/>
    <w:rsid w:val="002905C2"/>
    <w:rsid w:val="00290603"/>
    <w:rsid w:val="0029064E"/>
    <w:rsid w:val="00290BC9"/>
    <w:rsid w:val="00290FD2"/>
    <w:rsid w:val="00291038"/>
    <w:rsid w:val="0029119D"/>
    <w:rsid w:val="00291315"/>
    <w:rsid w:val="002913E6"/>
    <w:rsid w:val="0029188C"/>
    <w:rsid w:val="002921F6"/>
    <w:rsid w:val="00293138"/>
    <w:rsid w:val="00293B29"/>
    <w:rsid w:val="00293CB1"/>
    <w:rsid w:val="00293F51"/>
    <w:rsid w:val="00294B44"/>
    <w:rsid w:val="00294FBA"/>
    <w:rsid w:val="0029589D"/>
    <w:rsid w:val="00295AF2"/>
    <w:rsid w:val="00295C91"/>
    <w:rsid w:val="00295E13"/>
    <w:rsid w:val="002966B1"/>
    <w:rsid w:val="00296A58"/>
    <w:rsid w:val="00297151"/>
    <w:rsid w:val="0029741A"/>
    <w:rsid w:val="002979FD"/>
    <w:rsid w:val="00297D74"/>
    <w:rsid w:val="00297DD6"/>
    <w:rsid w:val="002A0331"/>
    <w:rsid w:val="002A0D02"/>
    <w:rsid w:val="002A1374"/>
    <w:rsid w:val="002A1A5C"/>
    <w:rsid w:val="002A1C1A"/>
    <w:rsid w:val="002A2199"/>
    <w:rsid w:val="002A229A"/>
    <w:rsid w:val="002A2AD9"/>
    <w:rsid w:val="002A2DCA"/>
    <w:rsid w:val="002A361F"/>
    <w:rsid w:val="002A37CE"/>
    <w:rsid w:val="002A386A"/>
    <w:rsid w:val="002A3DC6"/>
    <w:rsid w:val="002A3EB6"/>
    <w:rsid w:val="002A435D"/>
    <w:rsid w:val="002A46C0"/>
    <w:rsid w:val="002A4C2E"/>
    <w:rsid w:val="002A4C9B"/>
    <w:rsid w:val="002A51CD"/>
    <w:rsid w:val="002A521C"/>
    <w:rsid w:val="002A538F"/>
    <w:rsid w:val="002A55B9"/>
    <w:rsid w:val="002A59BC"/>
    <w:rsid w:val="002A678A"/>
    <w:rsid w:val="002A68ED"/>
    <w:rsid w:val="002A6B40"/>
    <w:rsid w:val="002B10C8"/>
    <w:rsid w:val="002B20E6"/>
    <w:rsid w:val="002B2D3A"/>
    <w:rsid w:val="002B2D4E"/>
    <w:rsid w:val="002B2E46"/>
    <w:rsid w:val="002B3188"/>
    <w:rsid w:val="002B40BB"/>
    <w:rsid w:val="002B4181"/>
    <w:rsid w:val="002B42A3"/>
    <w:rsid w:val="002B43AE"/>
    <w:rsid w:val="002B4455"/>
    <w:rsid w:val="002B493F"/>
    <w:rsid w:val="002B543F"/>
    <w:rsid w:val="002B570C"/>
    <w:rsid w:val="002B61DD"/>
    <w:rsid w:val="002B657D"/>
    <w:rsid w:val="002B67D5"/>
    <w:rsid w:val="002B7DB3"/>
    <w:rsid w:val="002C0477"/>
    <w:rsid w:val="002C074E"/>
    <w:rsid w:val="002C0CDD"/>
    <w:rsid w:val="002C0EAB"/>
    <w:rsid w:val="002C103A"/>
    <w:rsid w:val="002C137F"/>
    <w:rsid w:val="002C1981"/>
    <w:rsid w:val="002C1F8C"/>
    <w:rsid w:val="002C27D8"/>
    <w:rsid w:val="002C2AF4"/>
    <w:rsid w:val="002C3118"/>
    <w:rsid w:val="002C33CA"/>
    <w:rsid w:val="002C345D"/>
    <w:rsid w:val="002C37D8"/>
    <w:rsid w:val="002C3845"/>
    <w:rsid w:val="002C4228"/>
    <w:rsid w:val="002C44C8"/>
    <w:rsid w:val="002C4749"/>
    <w:rsid w:val="002C4E48"/>
    <w:rsid w:val="002C500F"/>
    <w:rsid w:val="002C50A3"/>
    <w:rsid w:val="002C5118"/>
    <w:rsid w:val="002C5409"/>
    <w:rsid w:val="002C5631"/>
    <w:rsid w:val="002C5B7F"/>
    <w:rsid w:val="002C5CE8"/>
    <w:rsid w:val="002C5D02"/>
    <w:rsid w:val="002C6E9E"/>
    <w:rsid w:val="002C764A"/>
    <w:rsid w:val="002C76CC"/>
    <w:rsid w:val="002C7AD7"/>
    <w:rsid w:val="002C7C91"/>
    <w:rsid w:val="002D05E9"/>
    <w:rsid w:val="002D10A4"/>
    <w:rsid w:val="002D255B"/>
    <w:rsid w:val="002D290A"/>
    <w:rsid w:val="002D3097"/>
    <w:rsid w:val="002D386F"/>
    <w:rsid w:val="002D41CF"/>
    <w:rsid w:val="002D4EC1"/>
    <w:rsid w:val="002D5137"/>
    <w:rsid w:val="002D56D0"/>
    <w:rsid w:val="002D5A42"/>
    <w:rsid w:val="002D5B2B"/>
    <w:rsid w:val="002D5C09"/>
    <w:rsid w:val="002D5D29"/>
    <w:rsid w:val="002D608A"/>
    <w:rsid w:val="002D75C6"/>
    <w:rsid w:val="002E0513"/>
    <w:rsid w:val="002E0658"/>
    <w:rsid w:val="002E0A7A"/>
    <w:rsid w:val="002E0B8B"/>
    <w:rsid w:val="002E1A1D"/>
    <w:rsid w:val="002E1E31"/>
    <w:rsid w:val="002E2343"/>
    <w:rsid w:val="002E30D8"/>
    <w:rsid w:val="002E318C"/>
    <w:rsid w:val="002E4081"/>
    <w:rsid w:val="002E458B"/>
    <w:rsid w:val="002E5B78"/>
    <w:rsid w:val="002E5C0E"/>
    <w:rsid w:val="002E6077"/>
    <w:rsid w:val="002E67C7"/>
    <w:rsid w:val="002E6971"/>
    <w:rsid w:val="002E7401"/>
    <w:rsid w:val="002F0114"/>
    <w:rsid w:val="002F16C7"/>
    <w:rsid w:val="002F1E79"/>
    <w:rsid w:val="002F3892"/>
    <w:rsid w:val="002F3AE3"/>
    <w:rsid w:val="002F3DBA"/>
    <w:rsid w:val="002F4953"/>
    <w:rsid w:val="002F4D97"/>
    <w:rsid w:val="002F5226"/>
    <w:rsid w:val="002F5D77"/>
    <w:rsid w:val="002F60EA"/>
    <w:rsid w:val="002F64B2"/>
    <w:rsid w:val="002F6B3A"/>
    <w:rsid w:val="002F6F09"/>
    <w:rsid w:val="002F6FC3"/>
    <w:rsid w:val="002F70E3"/>
    <w:rsid w:val="002F7308"/>
    <w:rsid w:val="002F7709"/>
    <w:rsid w:val="002F782F"/>
    <w:rsid w:val="002F792A"/>
    <w:rsid w:val="003005EC"/>
    <w:rsid w:val="0030106E"/>
    <w:rsid w:val="003014B9"/>
    <w:rsid w:val="0030178C"/>
    <w:rsid w:val="003028A3"/>
    <w:rsid w:val="00302E5D"/>
    <w:rsid w:val="00302EFF"/>
    <w:rsid w:val="00302F90"/>
    <w:rsid w:val="003031E1"/>
    <w:rsid w:val="003032C3"/>
    <w:rsid w:val="00303ED3"/>
    <w:rsid w:val="00303F71"/>
    <w:rsid w:val="0030464B"/>
    <w:rsid w:val="00305349"/>
    <w:rsid w:val="003062C6"/>
    <w:rsid w:val="00306479"/>
    <w:rsid w:val="0030670E"/>
    <w:rsid w:val="00306B20"/>
    <w:rsid w:val="0030700A"/>
    <w:rsid w:val="00307079"/>
    <w:rsid w:val="003074EF"/>
    <w:rsid w:val="0030786C"/>
    <w:rsid w:val="00307B4A"/>
    <w:rsid w:val="0031040B"/>
    <w:rsid w:val="00310479"/>
    <w:rsid w:val="00310754"/>
    <w:rsid w:val="00310AF8"/>
    <w:rsid w:val="00310B41"/>
    <w:rsid w:val="00310BF8"/>
    <w:rsid w:val="00310CBC"/>
    <w:rsid w:val="00310FF2"/>
    <w:rsid w:val="0031119F"/>
    <w:rsid w:val="003111C9"/>
    <w:rsid w:val="00311C7E"/>
    <w:rsid w:val="003120CC"/>
    <w:rsid w:val="00312C45"/>
    <w:rsid w:val="00312D17"/>
    <w:rsid w:val="00313886"/>
    <w:rsid w:val="003138B7"/>
    <w:rsid w:val="0031404A"/>
    <w:rsid w:val="00314258"/>
    <w:rsid w:val="0031495F"/>
    <w:rsid w:val="00314EFE"/>
    <w:rsid w:val="003151BF"/>
    <w:rsid w:val="00315446"/>
    <w:rsid w:val="00315A02"/>
    <w:rsid w:val="00315A13"/>
    <w:rsid w:val="00315BE2"/>
    <w:rsid w:val="00315C1E"/>
    <w:rsid w:val="00316044"/>
    <w:rsid w:val="003165E5"/>
    <w:rsid w:val="00316A10"/>
    <w:rsid w:val="00316A93"/>
    <w:rsid w:val="00316F4C"/>
    <w:rsid w:val="00317489"/>
    <w:rsid w:val="00317F33"/>
    <w:rsid w:val="0032037A"/>
    <w:rsid w:val="00320914"/>
    <w:rsid w:val="00320A53"/>
    <w:rsid w:val="003220EC"/>
    <w:rsid w:val="00322960"/>
    <w:rsid w:val="00322AB5"/>
    <w:rsid w:val="003233DE"/>
    <w:rsid w:val="0032398F"/>
    <w:rsid w:val="00323BC9"/>
    <w:rsid w:val="003241C4"/>
    <w:rsid w:val="003245B8"/>
    <w:rsid w:val="0032466B"/>
    <w:rsid w:val="003249B3"/>
    <w:rsid w:val="00324FB2"/>
    <w:rsid w:val="00325324"/>
    <w:rsid w:val="00325513"/>
    <w:rsid w:val="003256A0"/>
    <w:rsid w:val="00326916"/>
    <w:rsid w:val="003269B8"/>
    <w:rsid w:val="00326D22"/>
    <w:rsid w:val="0032713A"/>
    <w:rsid w:val="00327B44"/>
    <w:rsid w:val="00327DAA"/>
    <w:rsid w:val="003304F0"/>
    <w:rsid w:val="00330B89"/>
    <w:rsid w:val="00331325"/>
    <w:rsid w:val="003314E5"/>
    <w:rsid w:val="00331D51"/>
    <w:rsid w:val="00332259"/>
    <w:rsid w:val="003328E1"/>
    <w:rsid w:val="00332DA8"/>
    <w:rsid w:val="003330EB"/>
    <w:rsid w:val="003332CB"/>
    <w:rsid w:val="00333776"/>
    <w:rsid w:val="00334187"/>
    <w:rsid w:val="00334AA4"/>
    <w:rsid w:val="003358F3"/>
    <w:rsid w:val="00335A53"/>
    <w:rsid w:val="00336605"/>
    <w:rsid w:val="00336688"/>
    <w:rsid w:val="00336AD5"/>
    <w:rsid w:val="003371FD"/>
    <w:rsid w:val="00337866"/>
    <w:rsid w:val="00337B01"/>
    <w:rsid w:val="00337D7D"/>
    <w:rsid w:val="00341330"/>
    <w:rsid w:val="0034137C"/>
    <w:rsid w:val="003415FD"/>
    <w:rsid w:val="00341AF8"/>
    <w:rsid w:val="00341DCA"/>
    <w:rsid w:val="00341F0F"/>
    <w:rsid w:val="0034289E"/>
    <w:rsid w:val="003429F0"/>
    <w:rsid w:val="00342D2A"/>
    <w:rsid w:val="00342ED9"/>
    <w:rsid w:val="0034341A"/>
    <w:rsid w:val="00343B12"/>
    <w:rsid w:val="00344AFA"/>
    <w:rsid w:val="00344C19"/>
    <w:rsid w:val="0034518D"/>
    <w:rsid w:val="0034554C"/>
    <w:rsid w:val="00345739"/>
    <w:rsid w:val="00345AB2"/>
    <w:rsid w:val="00345D40"/>
    <w:rsid w:val="00346592"/>
    <w:rsid w:val="0034675F"/>
    <w:rsid w:val="00346B7F"/>
    <w:rsid w:val="00346C2E"/>
    <w:rsid w:val="00346C4A"/>
    <w:rsid w:val="00346E70"/>
    <w:rsid w:val="00346EA3"/>
    <w:rsid w:val="00347311"/>
    <w:rsid w:val="003473F5"/>
    <w:rsid w:val="00347DE3"/>
    <w:rsid w:val="0035097A"/>
    <w:rsid w:val="00350CC3"/>
    <w:rsid w:val="003511B4"/>
    <w:rsid w:val="00351807"/>
    <w:rsid w:val="00351812"/>
    <w:rsid w:val="0035201F"/>
    <w:rsid w:val="003530A2"/>
    <w:rsid w:val="00353576"/>
    <w:rsid w:val="003535F3"/>
    <w:rsid w:val="00353667"/>
    <w:rsid w:val="003540A4"/>
    <w:rsid w:val="00354C63"/>
    <w:rsid w:val="00354C96"/>
    <w:rsid w:val="00355DE2"/>
    <w:rsid w:val="00356399"/>
    <w:rsid w:val="00356ABE"/>
    <w:rsid w:val="00356C0A"/>
    <w:rsid w:val="003571E3"/>
    <w:rsid w:val="0035746A"/>
    <w:rsid w:val="0036005C"/>
    <w:rsid w:val="003600D5"/>
    <w:rsid w:val="003603F4"/>
    <w:rsid w:val="00360559"/>
    <w:rsid w:val="003607B4"/>
    <w:rsid w:val="00360B9B"/>
    <w:rsid w:val="00360DF9"/>
    <w:rsid w:val="00360E4E"/>
    <w:rsid w:val="00361C39"/>
    <w:rsid w:val="003621E7"/>
    <w:rsid w:val="00362BE2"/>
    <w:rsid w:val="00363DDA"/>
    <w:rsid w:val="003641D5"/>
    <w:rsid w:val="003645A2"/>
    <w:rsid w:val="003649F3"/>
    <w:rsid w:val="00364AE9"/>
    <w:rsid w:val="00365136"/>
    <w:rsid w:val="00365794"/>
    <w:rsid w:val="003657E7"/>
    <w:rsid w:val="00366552"/>
    <w:rsid w:val="003669F9"/>
    <w:rsid w:val="00366A15"/>
    <w:rsid w:val="00366C52"/>
    <w:rsid w:val="00367355"/>
    <w:rsid w:val="00367597"/>
    <w:rsid w:val="003678D8"/>
    <w:rsid w:val="00370625"/>
    <w:rsid w:val="00370670"/>
    <w:rsid w:val="00370AAA"/>
    <w:rsid w:val="00370B03"/>
    <w:rsid w:val="00370CEE"/>
    <w:rsid w:val="0037128B"/>
    <w:rsid w:val="0037166E"/>
    <w:rsid w:val="00371F0F"/>
    <w:rsid w:val="00372813"/>
    <w:rsid w:val="00372C21"/>
    <w:rsid w:val="00372D48"/>
    <w:rsid w:val="00373DFF"/>
    <w:rsid w:val="00373E08"/>
    <w:rsid w:val="00373F8E"/>
    <w:rsid w:val="00373FBD"/>
    <w:rsid w:val="00374105"/>
    <w:rsid w:val="003744FB"/>
    <w:rsid w:val="00374795"/>
    <w:rsid w:val="00374FCB"/>
    <w:rsid w:val="003751AA"/>
    <w:rsid w:val="00375322"/>
    <w:rsid w:val="003754E9"/>
    <w:rsid w:val="00375F77"/>
    <w:rsid w:val="003761B6"/>
    <w:rsid w:val="0037631C"/>
    <w:rsid w:val="00376C60"/>
    <w:rsid w:val="00376CB3"/>
    <w:rsid w:val="00376F21"/>
    <w:rsid w:val="00376FCC"/>
    <w:rsid w:val="00377206"/>
    <w:rsid w:val="00377A78"/>
    <w:rsid w:val="00377C89"/>
    <w:rsid w:val="003809E3"/>
    <w:rsid w:val="00380FC6"/>
    <w:rsid w:val="00381743"/>
    <w:rsid w:val="00381B1B"/>
    <w:rsid w:val="00381BBE"/>
    <w:rsid w:val="00381EB3"/>
    <w:rsid w:val="003822C4"/>
    <w:rsid w:val="003823F4"/>
    <w:rsid w:val="0038249C"/>
    <w:rsid w:val="00382594"/>
    <w:rsid w:val="0038266A"/>
    <w:rsid w:val="003827E5"/>
    <w:rsid w:val="00382837"/>
    <w:rsid w:val="00382903"/>
    <w:rsid w:val="00383DF7"/>
    <w:rsid w:val="0038419D"/>
    <w:rsid w:val="003841EE"/>
    <w:rsid w:val="0038465D"/>
    <w:rsid w:val="003846FF"/>
    <w:rsid w:val="00384BC4"/>
    <w:rsid w:val="00384C92"/>
    <w:rsid w:val="00385028"/>
    <w:rsid w:val="00385AD4"/>
    <w:rsid w:val="003861D0"/>
    <w:rsid w:val="0038676D"/>
    <w:rsid w:val="00386C63"/>
    <w:rsid w:val="00387633"/>
    <w:rsid w:val="00387924"/>
    <w:rsid w:val="00387DDA"/>
    <w:rsid w:val="00387F86"/>
    <w:rsid w:val="00387F9F"/>
    <w:rsid w:val="00390195"/>
    <w:rsid w:val="00390E1B"/>
    <w:rsid w:val="003916C0"/>
    <w:rsid w:val="003918D6"/>
    <w:rsid w:val="0039193C"/>
    <w:rsid w:val="00391AEF"/>
    <w:rsid w:val="003924E5"/>
    <w:rsid w:val="00392AB2"/>
    <w:rsid w:val="0039304E"/>
    <w:rsid w:val="0039315C"/>
    <w:rsid w:val="00393318"/>
    <w:rsid w:val="003937E9"/>
    <w:rsid w:val="0039384D"/>
    <w:rsid w:val="00393B3E"/>
    <w:rsid w:val="00394200"/>
    <w:rsid w:val="00394D0F"/>
    <w:rsid w:val="00394E26"/>
    <w:rsid w:val="00395C23"/>
    <w:rsid w:val="00396D3B"/>
    <w:rsid w:val="0039756E"/>
    <w:rsid w:val="003975A4"/>
    <w:rsid w:val="003979E9"/>
    <w:rsid w:val="00397E31"/>
    <w:rsid w:val="003A01D9"/>
    <w:rsid w:val="003A047C"/>
    <w:rsid w:val="003A05B4"/>
    <w:rsid w:val="003A07F4"/>
    <w:rsid w:val="003A0C2D"/>
    <w:rsid w:val="003A0E44"/>
    <w:rsid w:val="003A1203"/>
    <w:rsid w:val="003A189A"/>
    <w:rsid w:val="003A1C94"/>
    <w:rsid w:val="003A2153"/>
    <w:rsid w:val="003A2446"/>
    <w:rsid w:val="003A24B6"/>
    <w:rsid w:val="003A2757"/>
    <w:rsid w:val="003A2E0B"/>
    <w:rsid w:val="003A2E4F"/>
    <w:rsid w:val="003A3650"/>
    <w:rsid w:val="003A3B07"/>
    <w:rsid w:val="003A4438"/>
    <w:rsid w:val="003A486F"/>
    <w:rsid w:val="003A5013"/>
    <w:rsid w:val="003A5078"/>
    <w:rsid w:val="003A521E"/>
    <w:rsid w:val="003A5768"/>
    <w:rsid w:val="003A5EE0"/>
    <w:rsid w:val="003A62DD"/>
    <w:rsid w:val="003A6461"/>
    <w:rsid w:val="003A689E"/>
    <w:rsid w:val="003A7017"/>
    <w:rsid w:val="003A775A"/>
    <w:rsid w:val="003A7DDA"/>
    <w:rsid w:val="003B0024"/>
    <w:rsid w:val="003B0DAB"/>
    <w:rsid w:val="003B0E30"/>
    <w:rsid w:val="003B1229"/>
    <w:rsid w:val="003B1708"/>
    <w:rsid w:val="003B213A"/>
    <w:rsid w:val="003B22F2"/>
    <w:rsid w:val="003B2E92"/>
    <w:rsid w:val="003B2EFE"/>
    <w:rsid w:val="003B325F"/>
    <w:rsid w:val="003B3415"/>
    <w:rsid w:val="003B4096"/>
    <w:rsid w:val="003B41B7"/>
    <w:rsid w:val="003B43AD"/>
    <w:rsid w:val="003B48DD"/>
    <w:rsid w:val="003B4ADD"/>
    <w:rsid w:val="003B4C90"/>
    <w:rsid w:val="003B4DFA"/>
    <w:rsid w:val="003B50E7"/>
    <w:rsid w:val="003B54CA"/>
    <w:rsid w:val="003B649F"/>
    <w:rsid w:val="003B6558"/>
    <w:rsid w:val="003B6C6F"/>
    <w:rsid w:val="003B6E17"/>
    <w:rsid w:val="003B6E99"/>
    <w:rsid w:val="003B6EB1"/>
    <w:rsid w:val="003B7558"/>
    <w:rsid w:val="003B7940"/>
    <w:rsid w:val="003B79CE"/>
    <w:rsid w:val="003C0230"/>
    <w:rsid w:val="003C062B"/>
    <w:rsid w:val="003C0769"/>
    <w:rsid w:val="003C0981"/>
    <w:rsid w:val="003C0FEC"/>
    <w:rsid w:val="003C12AF"/>
    <w:rsid w:val="003C15B8"/>
    <w:rsid w:val="003C17CD"/>
    <w:rsid w:val="003C1B1A"/>
    <w:rsid w:val="003C20ED"/>
    <w:rsid w:val="003C2596"/>
    <w:rsid w:val="003C2AC8"/>
    <w:rsid w:val="003C3451"/>
    <w:rsid w:val="003C36B5"/>
    <w:rsid w:val="003C38B9"/>
    <w:rsid w:val="003C3E09"/>
    <w:rsid w:val="003C457F"/>
    <w:rsid w:val="003C47ED"/>
    <w:rsid w:val="003C5A48"/>
    <w:rsid w:val="003C5B3F"/>
    <w:rsid w:val="003C6EB5"/>
    <w:rsid w:val="003C6F4A"/>
    <w:rsid w:val="003C78BD"/>
    <w:rsid w:val="003D07C9"/>
    <w:rsid w:val="003D0E28"/>
    <w:rsid w:val="003D0EB3"/>
    <w:rsid w:val="003D118A"/>
    <w:rsid w:val="003D173E"/>
    <w:rsid w:val="003D17F9"/>
    <w:rsid w:val="003D188E"/>
    <w:rsid w:val="003D2C88"/>
    <w:rsid w:val="003D2D88"/>
    <w:rsid w:val="003D329F"/>
    <w:rsid w:val="003D33DE"/>
    <w:rsid w:val="003D34DC"/>
    <w:rsid w:val="003D357F"/>
    <w:rsid w:val="003D35DC"/>
    <w:rsid w:val="003D3AC0"/>
    <w:rsid w:val="003D3D00"/>
    <w:rsid w:val="003D3D2C"/>
    <w:rsid w:val="003D40AE"/>
    <w:rsid w:val="003D41EA"/>
    <w:rsid w:val="003D442E"/>
    <w:rsid w:val="003D4850"/>
    <w:rsid w:val="003D4E06"/>
    <w:rsid w:val="003D535A"/>
    <w:rsid w:val="003D5494"/>
    <w:rsid w:val="003D54E3"/>
    <w:rsid w:val="003D60B2"/>
    <w:rsid w:val="003D64B0"/>
    <w:rsid w:val="003D661B"/>
    <w:rsid w:val="003D6847"/>
    <w:rsid w:val="003D6B79"/>
    <w:rsid w:val="003D6E4C"/>
    <w:rsid w:val="003D75E8"/>
    <w:rsid w:val="003D7CFD"/>
    <w:rsid w:val="003D7ED4"/>
    <w:rsid w:val="003E09F2"/>
    <w:rsid w:val="003E0C6E"/>
    <w:rsid w:val="003E0E79"/>
    <w:rsid w:val="003E10B8"/>
    <w:rsid w:val="003E2506"/>
    <w:rsid w:val="003E2BCE"/>
    <w:rsid w:val="003E2BDB"/>
    <w:rsid w:val="003E2D88"/>
    <w:rsid w:val="003E2DF3"/>
    <w:rsid w:val="003E312E"/>
    <w:rsid w:val="003E34FC"/>
    <w:rsid w:val="003E46E0"/>
    <w:rsid w:val="003E5265"/>
    <w:rsid w:val="003E5794"/>
    <w:rsid w:val="003E590B"/>
    <w:rsid w:val="003E5C0B"/>
    <w:rsid w:val="003E5FC5"/>
    <w:rsid w:val="003E62CD"/>
    <w:rsid w:val="003E652E"/>
    <w:rsid w:val="003E6611"/>
    <w:rsid w:val="003E672E"/>
    <w:rsid w:val="003E67B1"/>
    <w:rsid w:val="003E6C78"/>
    <w:rsid w:val="003E6F26"/>
    <w:rsid w:val="003E6FCA"/>
    <w:rsid w:val="003E71AC"/>
    <w:rsid w:val="003E7C22"/>
    <w:rsid w:val="003E7D1B"/>
    <w:rsid w:val="003E7D3E"/>
    <w:rsid w:val="003F0647"/>
    <w:rsid w:val="003F0955"/>
    <w:rsid w:val="003F0DB9"/>
    <w:rsid w:val="003F1A59"/>
    <w:rsid w:val="003F281F"/>
    <w:rsid w:val="003F3562"/>
    <w:rsid w:val="003F36A2"/>
    <w:rsid w:val="003F3D24"/>
    <w:rsid w:val="003F3DCF"/>
    <w:rsid w:val="003F485F"/>
    <w:rsid w:val="003F6822"/>
    <w:rsid w:val="003F6B47"/>
    <w:rsid w:val="003F6FE1"/>
    <w:rsid w:val="003F7DC8"/>
    <w:rsid w:val="00400454"/>
    <w:rsid w:val="00400711"/>
    <w:rsid w:val="00400EF0"/>
    <w:rsid w:val="00400F00"/>
    <w:rsid w:val="00401BD9"/>
    <w:rsid w:val="00401FC8"/>
    <w:rsid w:val="0040234E"/>
    <w:rsid w:val="00402A68"/>
    <w:rsid w:val="00402B56"/>
    <w:rsid w:val="00402D10"/>
    <w:rsid w:val="004030F3"/>
    <w:rsid w:val="0040383F"/>
    <w:rsid w:val="0040459F"/>
    <w:rsid w:val="00404AA6"/>
    <w:rsid w:val="00404CAD"/>
    <w:rsid w:val="00404D26"/>
    <w:rsid w:val="00404F8B"/>
    <w:rsid w:val="00405256"/>
    <w:rsid w:val="0040558E"/>
    <w:rsid w:val="004055DC"/>
    <w:rsid w:val="00405F49"/>
    <w:rsid w:val="0040617F"/>
    <w:rsid w:val="004064CE"/>
    <w:rsid w:val="004067A4"/>
    <w:rsid w:val="004068FB"/>
    <w:rsid w:val="00406AC9"/>
    <w:rsid w:val="00406EF8"/>
    <w:rsid w:val="00406FEE"/>
    <w:rsid w:val="00407360"/>
    <w:rsid w:val="004079E9"/>
    <w:rsid w:val="00407BCD"/>
    <w:rsid w:val="00407FA2"/>
    <w:rsid w:val="00410031"/>
    <w:rsid w:val="004101D4"/>
    <w:rsid w:val="004102B1"/>
    <w:rsid w:val="00410F67"/>
    <w:rsid w:val="004115A2"/>
    <w:rsid w:val="00412F52"/>
    <w:rsid w:val="004130C0"/>
    <w:rsid w:val="00413C66"/>
    <w:rsid w:val="00413E73"/>
    <w:rsid w:val="00413F2E"/>
    <w:rsid w:val="00413F5B"/>
    <w:rsid w:val="00414227"/>
    <w:rsid w:val="004144A4"/>
    <w:rsid w:val="004149F1"/>
    <w:rsid w:val="00414C1A"/>
    <w:rsid w:val="00415C6B"/>
    <w:rsid w:val="00415C81"/>
    <w:rsid w:val="0041622D"/>
    <w:rsid w:val="00416731"/>
    <w:rsid w:val="00416D29"/>
    <w:rsid w:val="00417061"/>
    <w:rsid w:val="00417FC8"/>
    <w:rsid w:val="00420B0D"/>
    <w:rsid w:val="00420C4B"/>
    <w:rsid w:val="004210D6"/>
    <w:rsid w:val="004212D8"/>
    <w:rsid w:val="00421E40"/>
    <w:rsid w:val="004220E3"/>
    <w:rsid w:val="004229D2"/>
    <w:rsid w:val="00422CEC"/>
    <w:rsid w:val="00423492"/>
    <w:rsid w:val="00423AC0"/>
    <w:rsid w:val="004240F7"/>
    <w:rsid w:val="00424718"/>
    <w:rsid w:val="0042515A"/>
    <w:rsid w:val="00425218"/>
    <w:rsid w:val="00425C79"/>
    <w:rsid w:val="00425CB3"/>
    <w:rsid w:val="0042610E"/>
    <w:rsid w:val="0042640A"/>
    <w:rsid w:val="00426873"/>
    <w:rsid w:val="00426ECB"/>
    <w:rsid w:val="00427415"/>
    <w:rsid w:val="00427A90"/>
    <w:rsid w:val="00430055"/>
    <w:rsid w:val="0043026C"/>
    <w:rsid w:val="004303CD"/>
    <w:rsid w:val="00430448"/>
    <w:rsid w:val="00430630"/>
    <w:rsid w:val="00430EBE"/>
    <w:rsid w:val="004316CB"/>
    <w:rsid w:val="00431802"/>
    <w:rsid w:val="00431E6A"/>
    <w:rsid w:val="00431F15"/>
    <w:rsid w:val="00432093"/>
    <w:rsid w:val="00432378"/>
    <w:rsid w:val="00432BBB"/>
    <w:rsid w:val="0043441F"/>
    <w:rsid w:val="004344E7"/>
    <w:rsid w:val="00434C0D"/>
    <w:rsid w:val="00434E6B"/>
    <w:rsid w:val="00436102"/>
    <w:rsid w:val="004367E5"/>
    <w:rsid w:val="00436B58"/>
    <w:rsid w:val="00436BBA"/>
    <w:rsid w:val="00436BF6"/>
    <w:rsid w:val="00436C11"/>
    <w:rsid w:val="00436EBC"/>
    <w:rsid w:val="0043731A"/>
    <w:rsid w:val="0043784F"/>
    <w:rsid w:val="00437AE0"/>
    <w:rsid w:val="00437F19"/>
    <w:rsid w:val="004401E1"/>
    <w:rsid w:val="004403EA"/>
    <w:rsid w:val="00440CE2"/>
    <w:rsid w:val="00440D65"/>
    <w:rsid w:val="00442E00"/>
    <w:rsid w:val="00443535"/>
    <w:rsid w:val="004435E6"/>
    <w:rsid w:val="004435F1"/>
    <w:rsid w:val="00443605"/>
    <w:rsid w:val="00443AFA"/>
    <w:rsid w:val="0044483E"/>
    <w:rsid w:val="00444B5A"/>
    <w:rsid w:val="00444B98"/>
    <w:rsid w:val="004452D6"/>
    <w:rsid w:val="00445358"/>
    <w:rsid w:val="0044569B"/>
    <w:rsid w:val="00445782"/>
    <w:rsid w:val="00445C08"/>
    <w:rsid w:val="00445DE0"/>
    <w:rsid w:val="004461C3"/>
    <w:rsid w:val="004462FC"/>
    <w:rsid w:val="0044653B"/>
    <w:rsid w:val="004465B0"/>
    <w:rsid w:val="0044673B"/>
    <w:rsid w:val="00446902"/>
    <w:rsid w:val="00446D66"/>
    <w:rsid w:val="00447800"/>
    <w:rsid w:val="00447E31"/>
    <w:rsid w:val="00450BA4"/>
    <w:rsid w:val="004510CF"/>
    <w:rsid w:val="00451241"/>
    <w:rsid w:val="00451620"/>
    <w:rsid w:val="004516F4"/>
    <w:rsid w:val="00451C98"/>
    <w:rsid w:val="004523D9"/>
    <w:rsid w:val="0045254C"/>
    <w:rsid w:val="00452623"/>
    <w:rsid w:val="00452D82"/>
    <w:rsid w:val="00452F43"/>
    <w:rsid w:val="004530CF"/>
    <w:rsid w:val="00453923"/>
    <w:rsid w:val="00453A38"/>
    <w:rsid w:val="00453CF7"/>
    <w:rsid w:val="00453ED1"/>
    <w:rsid w:val="00454B9B"/>
    <w:rsid w:val="00454CEC"/>
    <w:rsid w:val="00455C71"/>
    <w:rsid w:val="0045698B"/>
    <w:rsid w:val="00457858"/>
    <w:rsid w:val="00457B27"/>
    <w:rsid w:val="00460A1F"/>
    <w:rsid w:val="00460B0B"/>
    <w:rsid w:val="00460C1A"/>
    <w:rsid w:val="00460EA6"/>
    <w:rsid w:val="00461023"/>
    <w:rsid w:val="00461516"/>
    <w:rsid w:val="00461706"/>
    <w:rsid w:val="0046247B"/>
    <w:rsid w:val="004625EF"/>
    <w:rsid w:val="004629BD"/>
    <w:rsid w:val="00462CAE"/>
    <w:rsid w:val="00462E9E"/>
    <w:rsid w:val="00462FAC"/>
    <w:rsid w:val="00463347"/>
    <w:rsid w:val="00463870"/>
    <w:rsid w:val="004638E4"/>
    <w:rsid w:val="00463B90"/>
    <w:rsid w:val="00464631"/>
    <w:rsid w:val="0046499C"/>
    <w:rsid w:val="00464B79"/>
    <w:rsid w:val="00465333"/>
    <w:rsid w:val="00465716"/>
    <w:rsid w:val="00467660"/>
    <w:rsid w:val="00467BBF"/>
    <w:rsid w:val="00467CB1"/>
    <w:rsid w:val="00467EDC"/>
    <w:rsid w:val="004701FB"/>
    <w:rsid w:val="0047186D"/>
    <w:rsid w:val="0047193D"/>
    <w:rsid w:val="004719F1"/>
    <w:rsid w:val="00471E8F"/>
    <w:rsid w:val="00472D9A"/>
    <w:rsid w:val="00472DD0"/>
    <w:rsid w:val="00473096"/>
    <w:rsid w:val="00473B6B"/>
    <w:rsid w:val="00473C43"/>
    <w:rsid w:val="0047495E"/>
    <w:rsid w:val="0047506D"/>
    <w:rsid w:val="004752B5"/>
    <w:rsid w:val="00475770"/>
    <w:rsid w:val="00475B71"/>
    <w:rsid w:val="004762CD"/>
    <w:rsid w:val="004777B6"/>
    <w:rsid w:val="00477942"/>
    <w:rsid w:val="0048088B"/>
    <w:rsid w:val="00481F12"/>
    <w:rsid w:val="004823B6"/>
    <w:rsid w:val="004823C1"/>
    <w:rsid w:val="00482C47"/>
    <w:rsid w:val="0048319C"/>
    <w:rsid w:val="0048362E"/>
    <w:rsid w:val="00483867"/>
    <w:rsid w:val="00483AFA"/>
    <w:rsid w:val="00483E69"/>
    <w:rsid w:val="00484E71"/>
    <w:rsid w:val="004851AA"/>
    <w:rsid w:val="0048575D"/>
    <w:rsid w:val="00485D1E"/>
    <w:rsid w:val="00486574"/>
    <w:rsid w:val="004867D7"/>
    <w:rsid w:val="004867E2"/>
    <w:rsid w:val="00486D51"/>
    <w:rsid w:val="0048706D"/>
    <w:rsid w:val="004871BA"/>
    <w:rsid w:val="0048776A"/>
    <w:rsid w:val="00487AA6"/>
    <w:rsid w:val="004906D4"/>
    <w:rsid w:val="00490A20"/>
    <w:rsid w:val="00490C3F"/>
    <w:rsid w:val="0049140B"/>
    <w:rsid w:val="00491596"/>
    <w:rsid w:val="004916BF"/>
    <w:rsid w:val="00491F02"/>
    <w:rsid w:val="00491F91"/>
    <w:rsid w:val="0049270B"/>
    <w:rsid w:val="004929A9"/>
    <w:rsid w:val="004930EB"/>
    <w:rsid w:val="004934B1"/>
    <w:rsid w:val="00493563"/>
    <w:rsid w:val="00493EAB"/>
    <w:rsid w:val="00494220"/>
    <w:rsid w:val="00494378"/>
    <w:rsid w:val="00494A10"/>
    <w:rsid w:val="00495039"/>
    <w:rsid w:val="004952B0"/>
    <w:rsid w:val="0049574B"/>
    <w:rsid w:val="00495C52"/>
    <w:rsid w:val="004965D8"/>
    <w:rsid w:val="00496A0A"/>
    <w:rsid w:val="00496D85"/>
    <w:rsid w:val="00497369"/>
    <w:rsid w:val="0049794A"/>
    <w:rsid w:val="004A147C"/>
    <w:rsid w:val="004A1484"/>
    <w:rsid w:val="004A1542"/>
    <w:rsid w:val="004A17CA"/>
    <w:rsid w:val="004A1D9F"/>
    <w:rsid w:val="004A1DC4"/>
    <w:rsid w:val="004A22C8"/>
    <w:rsid w:val="004A25AD"/>
    <w:rsid w:val="004A2738"/>
    <w:rsid w:val="004A2AAA"/>
    <w:rsid w:val="004A301E"/>
    <w:rsid w:val="004A39AE"/>
    <w:rsid w:val="004A3AEB"/>
    <w:rsid w:val="004A3EAD"/>
    <w:rsid w:val="004A4DD1"/>
    <w:rsid w:val="004A4F7F"/>
    <w:rsid w:val="004A51CF"/>
    <w:rsid w:val="004A7070"/>
    <w:rsid w:val="004A7F9B"/>
    <w:rsid w:val="004B044C"/>
    <w:rsid w:val="004B0801"/>
    <w:rsid w:val="004B0920"/>
    <w:rsid w:val="004B0F1A"/>
    <w:rsid w:val="004B132C"/>
    <w:rsid w:val="004B172D"/>
    <w:rsid w:val="004B18D7"/>
    <w:rsid w:val="004B2132"/>
    <w:rsid w:val="004B21BC"/>
    <w:rsid w:val="004B2378"/>
    <w:rsid w:val="004B296A"/>
    <w:rsid w:val="004B2B1D"/>
    <w:rsid w:val="004B2E43"/>
    <w:rsid w:val="004B3AF8"/>
    <w:rsid w:val="004B3BE5"/>
    <w:rsid w:val="004B3C62"/>
    <w:rsid w:val="004B4493"/>
    <w:rsid w:val="004B489F"/>
    <w:rsid w:val="004B4FFE"/>
    <w:rsid w:val="004B5084"/>
    <w:rsid w:val="004B55FC"/>
    <w:rsid w:val="004B5F8F"/>
    <w:rsid w:val="004B60E2"/>
    <w:rsid w:val="004B6428"/>
    <w:rsid w:val="004B66A6"/>
    <w:rsid w:val="004B6A7E"/>
    <w:rsid w:val="004B6D31"/>
    <w:rsid w:val="004B74F0"/>
    <w:rsid w:val="004B78A7"/>
    <w:rsid w:val="004C0647"/>
    <w:rsid w:val="004C0C6A"/>
    <w:rsid w:val="004C118A"/>
    <w:rsid w:val="004C1381"/>
    <w:rsid w:val="004C1DBC"/>
    <w:rsid w:val="004C20AA"/>
    <w:rsid w:val="004C2BDF"/>
    <w:rsid w:val="004C2FEC"/>
    <w:rsid w:val="004C3345"/>
    <w:rsid w:val="004C34E4"/>
    <w:rsid w:val="004C3B5E"/>
    <w:rsid w:val="004C3DB9"/>
    <w:rsid w:val="004C3FF0"/>
    <w:rsid w:val="004C420B"/>
    <w:rsid w:val="004C43D4"/>
    <w:rsid w:val="004C4767"/>
    <w:rsid w:val="004C4ADD"/>
    <w:rsid w:val="004C4EF3"/>
    <w:rsid w:val="004C52AB"/>
    <w:rsid w:val="004C5604"/>
    <w:rsid w:val="004C5726"/>
    <w:rsid w:val="004C5A05"/>
    <w:rsid w:val="004C5CFE"/>
    <w:rsid w:val="004C61EA"/>
    <w:rsid w:val="004C66F8"/>
    <w:rsid w:val="004C6856"/>
    <w:rsid w:val="004C699B"/>
    <w:rsid w:val="004C6AEA"/>
    <w:rsid w:val="004C6BCF"/>
    <w:rsid w:val="004C77E3"/>
    <w:rsid w:val="004C7FA3"/>
    <w:rsid w:val="004D048E"/>
    <w:rsid w:val="004D0664"/>
    <w:rsid w:val="004D0D39"/>
    <w:rsid w:val="004D1240"/>
    <w:rsid w:val="004D1339"/>
    <w:rsid w:val="004D1E9B"/>
    <w:rsid w:val="004D2C14"/>
    <w:rsid w:val="004D2CC7"/>
    <w:rsid w:val="004D2F5A"/>
    <w:rsid w:val="004D3307"/>
    <w:rsid w:val="004D339A"/>
    <w:rsid w:val="004D35D5"/>
    <w:rsid w:val="004D404C"/>
    <w:rsid w:val="004D4229"/>
    <w:rsid w:val="004D4CCA"/>
    <w:rsid w:val="004D514E"/>
    <w:rsid w:val="004D54D5"/>
    <w:rsid w:val="004D573D"/>
    <w:rsid w:val="004D58BF"/>
    <w:rsid w:val="004D5FEE"/>
    <w:rsid w:val="004D6552"/>
    <w:rsid w:val="004D6A4B"/>
    <w:rsid w:val="004E06B6"/>
    <w:rsid w:val="004E0A7E"/>
    <w:rsid w:val="004E12A9"/>
    <w:rsid w:val="004E1316"/>
    <w:rsid w:val="004E1868"/>
    <w:rsid w:val="004E2082"/>
    <w:rsid w:val="004E2116"/>
    <w:rsid w:val="004E2D5E"/>
    <w:rsid w:val="004E396F"/>
    <w:rsid w:val="004E3CD4"/>
    <w:rsid w:val="004E4010"/>
    <w:rsid w:val="004E4121"/>
    <w:rsid w:val="004E421D"/>
    <w:rsid w:val="004E4335"/>
    <w:rsid w:val="004E53FE"/>
    <w:rsid w:val="004E5ACF"/>
    <w:rsid w:val="004E5CD3"/>
    <w:rsid w:val="004E5DDB"/>
    <w:rsid w:val="004E620C"/>
    <w:rsid w:val="004E69E7"/>
    <w:rsid w:val="004E7442"/>
    <w:rsid w:val="004E7539"/>
    <w:rsid w:val="004E77D1"/>
    <w:rsid w:val="004E7F8B"/>
    <w:rsid w:val="004F032C"/>
    <w:rsid w:val="004F0EFA"/>
    <w:rsid w:val="004F1286"/>
    <w:rsid w:val="004F13A4"/>
    <w:rsid w:val="004F13EE"/>
    <w:rsid w:val="004F1BD7"/>
    <w:rsid w:val="004F2022"/>
    <w:rsid w:val="004F26D2"/>
    <w:rsid w:val="004F2839"/>
    <w:rsid w:val="004F2896"/>
    <w:rsid w:val="004F2A19"/>
    <w:rsid w:val="004F2C54"/>
    <w:rsid w:val="004F2D67"/>
    <w:rsid w:val="004F3067"/>
    <w:rsid w:val="004F33EF"/>
    <w:rsid w:val="004F3645"/>
    <w:rsid w:val="004F372C"/>
    <w:rsid w:val="004F4521"/>
    <w:rsid w:val="004F4E32"/>
    <w:rsid w:val="004F4EC5"/>
    <w:rsid w:val="004F569D"/>
    <w:rsid w:val="004F5A98"/>
    <w:rsid w:val="004F62A3"/>
    <w:rsid w:val="004F6A65"/>
    <w:rsid w:val="004F71DF"/>
    <w:rsid w:val="004F753B"/>
    <w:rsid w:val="004F79BC"/>
    <w:rsid w:val="004F7C05"/>
    <w:rsid w:val="005004AF"/>
    <w:rsid w:val="0050060D"/>
    <w:rsid w:val="005010BE"/>
    <w:rsid w:val="005017C3"/>
    <w:rsid w:val="00501C94"/>
    <w:rsid w:val="00501F8A"/>
    <w:rsid w:val="00501FEE"/>
    <w:rsid w:val="00502640"/>
    <w:rsid w:val="00502F56"/>
    <w:rsid w:val="00502FC1"/>
    <w:rsid w:val="005038C0"/>
    <w:rsid w:val="00503F3D"/>
    <w:rsid w:val="0050454A"/>
    <w:rsid w:val="005047FA"/>
    <w:rsid w:val="005048A6"/>
    <w:rsid w:val="00504D67"/>
    <w:rsid w:val="00504DBA"/>
    <w:rsid w:val="00504EEC"/>
    <w:rsid w:val="005054B8"/>
    <w:rsid w:val="00505BE6"/>
    <w:rsid w:val="00506163"/>
    <w:rsid w:val="00506432"/>
    <w:rsid w:val="00506524"/>
    <w:rsid w:val="00506E23"/>
    <w:rsid w:val="00507591"/>
    <w:rsid w:val="005102E9"/>
    <w:rsid w:val="00510B8E"/>
    <w:rsid w:val="00510D1D"/>
    <w:rsid w:val="0051144E"/>
    <w:rsid w:val="00511755"/>
    <w:rsid w:val="00511AE4"/>
    <w:rsid w:val="00512044"/>
    <w:rsid w:val="0051242B"/>
    <w:rsid w:val="00512A1C"/>
    <w:rsid w:val="00512AD3"/>
    <w:rsid w:val="00513538"/>
    <w:rsid w:val="00513A8F"/>
    <w:rsid w:val="00513D06"/>
    <w:rsid w:val="00513DD8"/>
    <w:rsid w:val="00513F46"/>
    <w:rsid w:val="00513FD1"/>
    <w:rsid w:val="00514904"/>
    <w:rsid w:val="0051491A"/>
    <w:rsid w:val="0051499C"/>
    <w:rsid w:val="005149EB"/>
    <w:rsid w:val="00514BE2"/>
    <w:rsid w:val="00514C58"/>
    <w:rsid w:val="00516195"/>
    <w:rsid w:val="0051652E"/>
    <w:rsid w:val="00516EA3"/>
    <w:rsid w:val="00516EAB"/>
    <w:rsid w:val="005201A7"/>
    <w:rsid w:val="005203A2"/>
    <w:rsid w:val="0052051D"/>
    <w:rsid w:val="00520AEB"/>
    <w:rsid w:val="00520B15"/>
    <w:rsid w:val="005219C0"/>
    <w:rsid w:val="00521FB2"/>
    <w:rsid w:val="00522147"/>
    <w:rsid w:val="005221B6"/>
    <w:rsid w:val="005235E6"/>
    <w:rsid w:val="00524492"/>
    <w:rsid w:val="0052451E"/>
    <w:rsid w:val="0052489F"/>
    <w:rsid w:val="00524AAD"/>
    <w:rsid w:val="00524B50"/>
    <w:rsid w:val="0052534A"/>
    <w:rsid w:val="00525C32"/>
    <w:rsid w:val="00526677"/>
    <w:rsid w:val="005269BD"/>
    <w:rsid w:val="00527801"/>
    <w:rsid w:val="00527AAB"/>
    <w:rsid w:val="005312F6"/>
    <w:rsid w:val="00531348"/>
    <w:rsid w:val="005315FD"/>
    <w:rsid w:val="00531E07"/>
    <w:rsid w:val="00532B2D"/>
    <w:rsid w:val="00532D38"/>
    <w:rsid w:val="00533045"/>
    <w:rsid w:val="005338B6"/>
    <w:rsid w:val="00533A9D"/>
    <w:rsid w:val="00533B68"/>
    <w:rsid w:val="00533B9B"/>
    <w:rsid w:val="005341BB"/>
    <w:rsid w:val="005342BE"/>
    <w:rsid w:val="005342CC"/>
    <w:rsid w:val="005354B1"/>
    <w:rsid w:val="00535635"/>
    <w:rsid w:val="005356B5"/>
    <w:rsid w:val="00535D1E"/>
    <w:rsid w:val="00535DCE"/>
    <w:rsid w:val="00535F92"/>
    <w:rsid w:val="0053603B"/>
    <w:rsid w:val="0053731B"/>
    <w:rsid w:val="005374EE"/>
    <w:rsid w:val="005375BE"/>
    <w:rsid w:val="00537C73"/>
    <w:rsid w:val="00541618"/>
    <w:rsid w:val="00541C12"/>
    <w:rsid w:val="00541FF9"/>
    <w:rsid w:val="0054236E"/>
    <w:rsid w:val="00542493"/>
    <w:rsid w:val="00542A8B"/>
    <w:rsid w:val="00542B5E"/>
    <w:rsid w:val="00543349"/>
    <w:rsid w:val="00543352"/>
    <w:rsid w:val="00543859"/>
    <w:rsid w:val="005441B0"/>
    <w:rsid w:val="005444A1"/>
    <w:rsid w:val="00544BD0"/>
    <w:rsid w:val="00544F18"/>
    <w:rsid w:val="00544FA5"/>
    <w:rsid w:val="005450EB"/>
    <w:rsid w:val="00545513"/>
    <w:rsid w:val="005455FA"/>
    <w:rsid w:val="00545DEF"/>
    <w:rsid w:val="00545EE6"/>
    <w:rsid w:val="005460A4"/>
    <w:rsid w:val="00547269"/>
    <w:rsid w:val="005476C3"/>
    <w:rsid w:val="00550003"/>
    <w:rsid w:val="005501EA"/>
    <w:rsid w:val="005503E1"/>
    <w:rsid w:val="005506C1"/>
    <w:rsid w:val="005507E8"/>
    <w:rsid w:val="00550928"/>
    <w:rsid w:val="00550B40"/>
    <w:rsid w:val="00550DBA"/>
    <w:rsid w:val="00550E22"/>
    <w:rsid w:val="00551431"/>
    <w:rsid w:val="005516F9"/>
    <w:rsid w:val="00551752"/>
    <w:rsid w:val="005517C6"/>
    <w:rsid w:val="005518E7"/>
    <w:rsid w:val="0055196B"/>
    <w:rsid w:val="00551E60"/>
    <w:rsid w:val="005520BD"/>
    <w:rsid w:val="00552164"/>
    <w:rsid w:val="00552507"/>
    <w:rsid w:val="005526AE"/>
    <w:rsid w:val="00553247"/>
    <w:rsid w:val="0055407B"/>
    <w:rsid w:val="005540F5"/>
    <w:rsid w:val="005542FE"/>
    <w:rsid w:val="005545A2"/>
    <w:rsid w:val="005550E7"/>
    <w:rsid w:val="005555A7"/>
    <w:rsid w:val="00555631"/>
    <w:rsid w:val="00555BBA"/>
    <w:rsid w:val="005563EE"/>
    <w:rsid w:val="005564FB"/>
    <w:rsid w:val="00556508"/>
    <w:rsid w:val="005569D4"/>
    <w:rsid w:val="00556BFE"/>
    <w:rsid w:val="00557181"/>
    <w:rsid w:val="005572C7"/>
    <w:rsid w:val="005572FC"/>
    <w:rsid w:val="0055767B"/>
    <w:rsid w:val="0055774A"/>
    <w:rsid w:val="00557D5A"/>
    <w:rsid w:val="00557EB1"/>
    <w:rsid w:val="005609B5"/>
    <w:rsid w:val="00560E85"/>
    <w:rsid w:val="0056225E"/>
    <w:rsid w:val="005629A6"/>
    <w:rsid w:val="00562DBD"/>
    <w:rsid w:val="005630D5"/>
    <w:rsid w:val="00563309"/>
    <w:rsid w:val="005636FD"/>
    <w:rsid w:val="005643E5"/>
    <w:rsid w:val="00564702"/>
    <w:rsid w:val="0056486D"/>
    <w:rsid w:val="00564D77"/>
    <w:rsid w:val="005650ED"/>
    <w:rsid w:val="00565677"/>
    <w:rsid w:val="00565A2F"/>
    <w:rsid w:val="00565C37"/>
    <w:rsid w:val="0056648F"/>
    <w:rsid w:val="00566C5D"/>
    <w:rsid w:val="00566FE7"/>
    <w:rsid w:val="00567853"/>
    <w:rsid w:val="00567E5B"/>
    <w:rsid w:val="00570344"/>
    <w:rsid w:val="00570578"/>
    <w:rsid w:val="00570629"/>
    <w:rsid w:val="00570E7A"/>
    <w:rsid w:val="005710CB"/>
    <w:rsid w:val="0057115C"/>
    <w:rsid w:val="00571DCD"/>
    <w:rsid w:val="005726F5"/>
    <w:rsid w:val="00572710"/>
    <w:rsid w:val="00572752"/>
    <w:rsid w:val="00572B27"/>
    <w:rsid w:val="00574599"/>
    <w:rsid w:val="005746EC"/>
    <w:rsid w:val="00574767"/>
    <w:rsid w:val="0057557F"/>
    <w:rsid w:val="00575754"/>
    <w:rsid w:val="0057712C"/>
    <w:rsid w:val="0057741E"/>
    <w:rsid w:val="00577553"/>
    <w:rsid w:val="005778BB"/>
    <w:rsid w:val="00577DC3"/>
    <w:rsid w:val="005802F6"/>
    <w:rsid w:val="00580B80"/>
    <w:rsid w:val="00580E0C"/>
    <w:rsid w:val="00581125"/>
    <w:rsid w:val="0058144F"/>
    <w:rsid w:val="005815DE"/>
    <w:rsid w:val="0058247F"/>
    <w:rsid w:val="005824ED"/>
    <w:rsid w:val="005824FD"/>
    <w:rsid w:val="005826F8"/>
    <w:rsid w:val="00582843"/>
    <w:rsid w:val="00582B03"/>
    <w:rsid w:val="005833D1"/>
    <w:rsid w:val="00583C82"/>
    <w:rsid w:val="00583CAC"/>
    <w:rsid w:val="00584B7E"/>
    <w:rsid w:val="0058536C"/>
    <w:rsid w:val="00585C7F"/>
    <w:rsid w:val="0058682A"/>
    <w:rsid w:val="005869EA"/>
    <w:rsid w:val="00586A29"/>
    <w:rsid w:val="00586CEF"/>
    <w:rsid w:val="0058725C"/>
    <w:rsid w:val="00587373"/>
    <w:rsid w:val="00587621"/>
    <w:rsid w:val="00587F0F"/>
    <w:rsid w:val="00590152"/>
    <w:rsid w:val="005910CB"/>
    <w:rsid w:val="005914EA"/>
    <w:rsid w:val="00591E20"/>
    <w:rsid w:val="0059222E"/>
    <w:rsid w:val="005935CE"/>
    <w:rsid w:val="005945BC"/>
    <w:rsid w:val="0059482E"/>
    <w:rsid w:val="00594C38"/>
    <w:rsid w:val="00594E8B"/>
    <w:rsid w:val="00594F1A"/>
    <w:rsid w:val="00595408"/>
    <w:rsid w:val="00595754"/>
    <w:rsid w:val="00595B81"/>
    <w:rsid w:val="00595E84"/>
    <w:rsid w:val="00596BAE"/>
    <w:rsid w:val="005971C1"/>
    <w:rsid w:val="00597557"/>
    <w:rsid w:val="00597808"/>
    <w:rsid w:val="00597CF7"/>
    <w:rsid w:val="005A0C59"/>
    <w:rsid w:val="005A0DB4"/>
    <w:rsid w:val="005A10E5"/>
    <w:rsid w:val="005A13A0"/>
    <w:rsid w:val="005A224A"/>
    <w:rsid w:val="005A27C5"/>
    <w:rsid w:val="005A2895"/>
    <w:rsid w:val="005A2B10"/>
    <w:rsid w:val="005A2C2D"/>
    <w:rsid w:val="005A3963"/>
    <w:rsid w:val="005A3A79"/>
    <w:rsid w:val="005A4293"/>
    <w:rsid w:val="005A4385"/>
    <w:rsid w:val="005A4774"/>
    <w:rsid w:val="005A48EB"/>
    <w:rsid w:val="005A4937"/>
    <w:rsid w:val="005A501B"/>
    <w:rsid w:val="005A6ABF"/>
    <w:rsid w:val="005A6CFB"/>
    <w:rsid w:val="005A6F82"/>
    <w:rsid w:val="005A795A"/>
    <w:rsid w:val="005B0545"/>
    <w:rsid w:val="005B0D5A"/>
    <w:rsid w:val="005B0F05"/>
    <w:rsid w:val="005B1356"/>
    <w:rsid w:val="005B1BBD"/>
    <w:rsid w:val="005B1EDE"/>
    <w:rsid w:val="005B26C3"/>
    <w:rsid w:val="005B2A21"/>
    <w:rsid w:val="005B30B0"/>
    <w:rsid w:val="005B31F0"/>
    <w:rsid w:val="005B39D1"/>
    <w:rsid w:val="005B3F97"/>
    <w:rsid w:val="005B40D4"/>
    <w:rsid w:val="005B5155"/>
    <w:rsid w:val="005B562A"/>
    <w:rsid w:val="005B6186"/>
    <w:rsid w:val="005B6A93"/>
    <w:rsid w:val="005B6CB4"/>
    <w:rsid w:val="005B7092"/>
    <w:rsid w:val="005B7254"/>
    <w:rsid w:val="005B7275"/>
    <w:rsid w:val="005B74A5"/>
    <w:rsid w:val="005B7C7F"/>
    <w:rsid w:val="005C0C3F"/>
    <w:rsid w:val="005C0D3B"/>
    <w:rsid w:val="005C11BC"/>
    <w:rsid w:val="005C2136"/>
    <w:rsid w:val="005C23C5"/>
    <w:rsid w:val="005C2613"/>
    <w:rsid w:val="005C267E"/>
    <w:rsid w:val="005C29CC"/>
    <w:rsid w:val="005C32C2"/>
    <w:rsid w:val="005C371C"/>
    <w:rsid w:val="005C39A9"/>
    <w:rsid w:val="005C3BE0"/>
    <w:rsid w:val="005C3D0F"/>
    <w:rsid w:val="005C4D1A"/>
    <w:rsid w:val="005C4EB2"/>
    <w:rsid w:val="005C51ED"/>
    <w:rsid w:val="005C538C"/>
    <w:rsid w:val="005C544F"/>
    <w:rsid w:val="005C5AEB"/>
    <w:rsid w:val="005C6188"/>
    <w:rsid w:val="005C61D8"/>
    <w:rsid w:val="005C73D5"/>
    <w:rsid w:val="005C7555"/>
    <w:rsid w:val="005C75E2"/>
    <w:rsid w:val="005C7634"/>
    <w:rsid w:val="005C76CD"/>
    <w:rsid w:val="005D00A5"/>
    <w:rsid w:val="005D021D"/>
    <w:rsid w:val="005D032F"/>
    <w:rsid w:val="005D09ED"/>
    <w:rsid w:val="005D14CA"/>
    <w:rsid w:val="005D1C97"/>
    <w:rsid w:val="005D2A52"/>
    <w:rsid w:val="005D3F64"/>
    <w:rsid w:val="005D52A5"/>
    <w:rsid w:val="005D5F38"/>
    <w:rsid w:val="005D65B5"/>
    <w:rsid w:val="005D6BD9"/>
    <w:rsid w:val="005D743D"/>
    <w:rsid w:val="005D77B1"/>
    <w:rsid w:val="005D7F5C"/>
    <w:rsid w:val="005E0264"/>
    <w:rsid w:val="005E059E"/>
    <w:rsid w:val="005E0A3F"/>
    <w:rsid w:val="005E1160"/>
    <w:rsid w:val="005E11BC"/>
    <w:rsid w:val="005E14C7"/>
    <w:rsid w:val="005E181F"/>
    <w:rsid w:val="005E1876"/>
    <w:rsid w:val="005E1EC6"/>
    <w:rsid w:val="005E24E1"/>
    <w:rsid w:val="005E2AED"/>
    <w:rsid w:val="005E30EC"/>
    <w:rsid w:val="005E31F6"/>
    <w:rsid w:val="005E3512"/>
    <w:rsid w:val="005E3A16"/>
    <w:rsid w:val="005E4255"/>
    <w:rsid w:val="005E49D8"/>
    <w:rsid w:val="005E5570"/>
    <w:rsid w:val="005E56E5"/>
    <w:rsid w:val="005E602C"/>
    <w:rsid w:val="005E6320"/>
    <w:rsid w:val="005E6413"/>
    <w:rsid w:val="005E6564"/>
    <w:rsid w:val="005E678B"/>
    <w:rsid w:val="005E6883"/>
    <w:rsid w:val="005E6C33"/>
    <w:rsid w:val="005E772F"/>
    <w:rsid w:val="005E7A76"/>
    <w:rsid w:val="005F04AD"/>
    <w:rsid w:val="005F0B96"/>
    <w:rsid w:val="005F0EC3"/>
    <w:rsid w:val="005F0F82"/>
    <w:rsid w:val="005F11B0"/>
    <w:rsid w:val="005F1BBC"/>
    <w:rsid w:val="005F26C1"/>
    <w:rsid w:val="005F2AA9"/>
    <w:rsid w:val="005F2DD7"/>
    <w:rsid w:val="005F33D7"/>
    <w:rsid w:val="005F413A"/>
    <w:rsid w:val="005F46D7"/>
    <w:rsid w:val="005F4B2F"/>
    <w:rsid w:val="005F4C42"/>
    <w:rsid w:val="005F4ECA"/>
    <w:rsid w:val="005F5622"/>
    <w:rsid w:val="005F5754"/>
    <w:rsid w:val="005F57B1"/>
    <w:rsid w:val="005F5FF7"/>
    <w:rsid w:val="005F632B"/>
    <w:rsid w:val="005F6A49"/>
    <w:rsid w:val="005F6E20"/>
    <w:rsid w:val="005F718A"/>
    <w:rsid w:val="005F7581"/>
    <w:rsid w:val="005F7C21"/>
    <w:rsid w:val="005F7D8E"/>
    <w:rsid w:val="005F7E68"/>
    <w:rsid w:val="00600103"/>
    <w:rsid w:val="0060052C"/>
    <w:rsid w:val="00600DCB"/>
    <w:rsid w:val="00601A27"/>
    <w:rsid w:val="00601BDE"/>
    <w:rsid w:val="00601D5E"/>
    <w:rsid w:val="00601DF7"/>
    <w:rsid w:val="006020FA"/>
    <w:rsid w:val="006023BC"/>
    <w:rsid w:val="006030C1"/>
    <w:rsid w:val="0060370C"/>
    <w:rsid w:val="0060411B"/>
    <w:rsid w:val="006041BE"/>
    <w:rsid w:val="006043C7"/>
    <w:rsid w:val="00604E76"/>
    <w:rsid w:val="00604FC9"/>
    <w:rsid w:val="006053DD"/>
    <w:rsid w:val="006059C5"/>
    <w:rsid w:val="00605BE1"/>
    <w:rsid w:val="00605EE9"/>
    <w:rsid w:val="00605F9D"/>
    <w:rsid w:val="00606785"/>
    <w:rsid w:val="00606AEB"/>
    <w:rsid w:val="00606D13"/>
    <w:rsid w:val="0060767D"/>
    <w:rsid w:val="006105AC"/>
    <w:rsid w:val="00610D48"/>
    <w:rsid w:val="00611610"/>
    <w:rsid w:val="0061188F"/>
    <w:rsid w:val="00611AA8"/>
    <w:rsid w:val="00612262"/>
    <w:rsid w:val="006126AD"/>
    <w:rsid w:val="00612A3F"/>
    <w:rsid w:val="00613483"/>
    <w:rsid w:val="00613A7A"/>
    <w:rsid w:val="00613F3F"/>
    <w:rsid w:val="0061436C"/>
    <w:rsid w:val="006145BF"/>
    <w:rsid w:val="00614823"/>
    <w:rsid w:val="00614924"/>
    <w:rsid w:val="006149D1"/>
    <w:rsid w:val="006154EB"/>
    <w:rsid w:val="006155E7"/>
    <w:rsid w:val="0061621D"/>
    <w:rsid w:val="00616EF9"/>
    <w:rsid w:val="006171B0"/>
    <w:rsid w:val="0061758D"/>
    <w:rsid w:val="00620166"/>
    <w:rsid w:val="00620A02"/>
    <w:rsid w:val="00621258"/>
    <w:rsid w:val="00621283"/>
    <w:rsid w:val="00621CC6"/>
    <w:rsid w:val="006227EB"/>
    <w:rsid w:val="00622C64"/>
    <w:rsid w:val="00622CAA"/>
    <w:rsid w:val="006237C2"/>
    <w:rsid w:val="006237DB"/>
    <w:rsid w:val="0062399F"/>
    <w:rsid w:val="00623B4A"/>
    <w:rsid w:val="00623DAB"/>
    <w:rsid w:val="006245BF"/>
    <w:rsid w:val="00624B0A"/>
    <w:rsid w:val="00624B52"/>
    <w:rsid w:val="00624E65"/>
    <w:rsid w:val="00625568"/>
    <w:rsid w:val="00625902"/>
    <w:rsid w:val="0062617E"/>
    <w:rsid w:val="0062679D"/>
    <w:rsid w:val="00626B54"/>
    <w:rsid w:val="00626FBB"/>
    <w:rsid w:val="0062764A"/>
    <w:rsid w:val="00627964"/>
    <w:rsid w:val="00627A7F"/>
    <w:rsid w:val="00627B4B"/>
    <w:rsid w:val="0063065E"/>
    <w:rsid w:val="006309EE"/>
    <w:rsid w:val="00631DF4"/>
    <w:rsid w:val="00632069"/>
    <w:rsid w:val="00632339"/>
    <w:rsid w:val="00632456"/>
    <w:rsid w:val="00632789"/>
    <w:rsid w:val="006328EC"/>
    <w:rsid w:val="0063305E"/>
    <w:rsid w:val="00633C4E"/>
    <w:rsid w:val="00634175"/>
    <w:rsid w:val="00634288"/>
    <w:rsid w:val="006345D5"/>
    <w:rsid w:val="00635A79"/>
    <w:rsid w:val="00635C8C"/>
    <w:rsid w:val="00635E43"/>
    <w:rsid w:val="00636595"/>
    <w:rsid w:val="00636B87"/>
    <w:rsid w:val="006374A3"/>
    <w:rsid w:val="006378AB"/>
    <w:rsid w:val="00637E73"/>
    <w:rsid w:val="00640391"/>
    <w:rsid w:val="006407F9"/>
    <w:rsid w:val="00640809"/>
    <w:rsid w:val="006408AC"/>
    <w:rsid w:val="00640DBE"/>
    <w:rsid w:val="0064245D"/>
    <w:rsid w:val="00643316"/>
    <w:rsid w:val="00643937"/>
    <w:rsid w:val="00645B98"/>
    <w:rsid w:val="00645EC2"/>
    <w:rsid w:val="00646260"/>
    <w:rsid w:val="00646FA5"/>
    <w:rsid w:val="00647B7C"/>
    <w:rsid w:val="00647E5B"/>
    <w:rsid w:val="00647EF4"/>
    <w:rsid w:val="00647F41"/>
    <w:rsid w:val="00650A62"/>
    <w:rsid w:val="00650B31"/>
    <w:rsid w:val="00650B8C"/>
    <w:rsid w:val="006511B6"/>
    <w:rsid w:val="006513D5"/>
    <w:rsid w:val="00651706"/>
    <w:rsid w:val="00652662"/>
    <w:rsid w:val="00652742"/>
    <w:rsid w:val="00652C98"/>
    <w:rsid w:val="00652D04"/>
    <w:rsid w:val="00652D42"/>
    <w:rsid w:val="00652DBB"/>
    <w:rsid w:val="00653F2A"/>
    <w:rsid w:val="006542C8"/>
    <w:rsid w:val="006549D6"/>
    <w:rsid w:val="006551E3"/>
    <w:rsid w:val="00655649"/>
    <w:rsid w:val="00655B37"/>
    <w:rsid w:val="006564E8"/>
    <w:rsid w:val="006566F3"/>
    <w:rsid w:val="00656A6B"/>
    <w:rsid w:val="00657D9D"/>
    <w:rsid w:val="00657FF8"/>
    <w:rsid w:val="00660244"/>
    <w:rsid w:val="0066034A"/>
    <w:rsid w:val="00660DB8"/>
    <w:rsid w:val="00661892"/>
    <w:rsid w:val="00661D89"/>
    <w:rsid w:val="00662216"/>
    <w:rsid w:val="00662591"/>
    <w:rsid w:val="0066279E"/>
    <w:rsid w:val="00662ABE"/>
    <w:rsid w:val="006635BC"/>
    <w:rsid w:val="00663866"/>
    <w:rsid w:val="00664A1C"/>
    <w:rsid w:val="00664ECD"/>
    <w:rsid w:val="0066539F"/>
    <w:rsid w:val="00665510"/>
    <w:rsid w:val="0066583C"/>
    <w:rsid w:val="00666197"/>
    <w:rsid w:val="00666383"/>
    <w:rsid w:val="00666703"/>
    <w:rsid w:val="0066690E"/>
    <w:rsid w:val="00666ED1"/>
    <w:rsid w:val="006673E3"/>
    <w:rsid w:val="00667BB0"/>
    <w:rsid w:val="00667D6C"/>
    <w:rsid w:val="00670060"/>
    <w:rsid w:val="006701D5"/>
    <w:rsid w:val="00670D99"/>
    <w:rsid w:val="00670E2B"/>
    <w:rsid w:val="006711DF"/>
    <w:rsid w:val="0067138D"/>
    <w:rsid w:val="006717A0"/>
    <w:rsid w:val="00671EFF"/>
    <w:rsid w:val="0067291C"/>
    <w:rsid w:val="006734BB"/>
    <w:rsid w:val="00673DCC"/>
    <w:rsid w:val="006744A1"/>
    <w:rsid w:val="00674638"/>
    <w:rsid w:val="0067531B"/>
    <w:rsid w:val="0067631B"/>
    <w:rsid w:val="006767D6"/>
    <w:rsid w:val="00676E75"/>
    <w:rsid w:val="00677990"/>
    <w:rsid w:val="00677F50"/>
    <w:rsid w:val="006810A7"/>
    <w:rsid w:val="0068158F"/>
    <w:rsid w:val="00681A34"/>
    <w:rsid w:val="006821EB"/>
    <w:rsid w:val="0068222C"/>
    <w:rsid w:val="0068230B"/>
    <w:rsid w:val="00682DBB"/>
    <w:rsid w:val="0068330F"/>
    <w:rsid w:val="006833DB"/>
    <w:rsid w:val="006839ED"/>
    <w:rsid w:val="00683B26"/>
    <w:rsid w:val="00683CDA"/>
    <w:rsid w:val="00683ED8"/>
    <w:rsid w:val="00683F0B"/>
    <w:rsid w:val="00684707"/>
    <w:rsid w:val="00684909"/>
    <w:rsid w:val="00684FF1"/>
    <w:rsid w:val="00685A3D"/>
    <w:rsid w:val="00685E51"/>
    <w:rsid w:val="00686408"/>
    <w:rsid w:val="006872E0"/>
    <w:rsid w:val="0068753F"/>
    <w:rsid w:val="006904AA"/>
    <w:rsid w:val="00690B16"/>
    <w:rsid w:val="0069193E"/>
    <w:rsid w:val="00691A5F"/>
    <w:rsid w:val="00691B61"/>
    <w:rsid w:val="00691FC3"/>
    <w:rsid w:val="006923CB"/>
    <w:rsid w:val="00692BBC"/>
    <w:rsid w:val="00692C63"/>
    <w:rsid w:val="00693D55"/>
    <w:rsid w:val="00693DF8"/>
    <w:rsid w:val="00694AD4"/>
    <w:rsid w:val="00694CC3"/>
    <w:rsid w:val="00694E41"/>
    <w:rsid w:val="00695610"/>
    <w:rsid w:val="00695B87"/>
    <w:rsid w:val="00696901"/>
    <w:rsid w:val="00696DB4"/>
    <w:rsid w:val="00697774"/>
    <w:rsid w:val="0069795C"/>
    <w:rsid w:val="00697A34"/>
    <w:rsid w:val="00697EAD"/>
    <w:rsid w:val="006A0382"/>
    <w:rsid w:val="006A0C62"/>
    <w:rsid w:val="006A10C7"/>
    <w:rsid w:val="006A247F"/>
    <w:rsid w:val="006A26D6"/>
    <w:rsid w:val="006A2AE1"/>
    <w:rsid w:val="006A2FC0"/>
    <w:rsid w:val="006A381E"/>
    <w:rsid w:val="006A3E87"/>
    <w:rsid w:val="006A4725"/>
    <w:rsid w:val="006A544C"/>
    <w:rsid w:val="006A54D4"/>
    <w:rsid w:val="006A63D2"/>
    <w:rsid w:val="006A64A9"/>
    <w:rsid w:val="006A67BD"/>
    <w:rsid w:val="006A6F50"/>
    <w:rsid w:val="006A708C"/>
    <w:rsid w:val="006A70E3"/>
    <w:rsid w:val="006A7240"/>
    <w:rsid w:val="006A78AC"/>
    <w:rsid w:val="006A7C0F"/>
    <w:rsid w:val="006B122A"/>
    <w:rsid w:val="006B1F5F"/>
    <w:rsid w:val="006B21A9"/>
    <w:rsid w:val="006B2286"/>
    <w:rsid w:val="006B2C84"/>
    <w:rsid w:val="006B2D84"/>
    <w:rsid w:val="006B30C5"/>
    <w:rsid w:val="006B3504"/>
    <w:rsid w:val="006B36F9"/>
    <w:rsid w:val="006B3851"/>
    <w:rsid w:val="006B3E3C"/>
    <w:rsid w:val="006B4EA4"/>
    <w:rsid w:val="006B5201"/>
    <w:rsid w:val="006B56BB"/>
    <w:rsid w:val="006B5BC8"/>
    <w:rsid w:val="006B645B"/>
    <w:rsid w:val="006B6CE9"/>
    <w:rsid w:val="006B7B04"/>
    <w:rsid w:val="006C027C"/>
    <w:rsid w:val="006C16E9"/>
    <w:rsid w:val="006C17CA"/>
    <w:rsid w:val="006C1EBF"/>
    <w:rsid w:val="006C2418"/>
    <w:rsid w:val="006C245A"/>
    <w:rsid w:val="006C2A5A"/>
    <w:rsid w:val="006C346C"/>
    <w:rsid w:val="006C369B"/>
    <w:rsid w:val="006C3A00"/>
    <w:rsid w:val="006C3E5F"/>
    <w:rsid w:val="006C41C5"/>
    <w:rsid w:val="006C5039"/>
    <w:rsid w:val="006C617C"/>
    <w:rsid w:val="006C6806"/>
    <w:rsid w:val="006C6C4B"/>
    <w:rsid w:val="006C71A3"/>
    <w:rsid w:val="006C76EE"/>
    <w:rsid w:val="006C77A8"/>
    <w:rsid w:val="006C7C5A"/>
    <w:rsid w:val="006D12CE"/>
    <w:rsid w:val="006D1909"/>
    <w:rsid w:val="006D1B7E"/>
    <w:rsid w:val="006D24B6"/>
    <w:rsid w:val="006D24C2"/>
    <w:rsid w:val="006D2A16"/>
    <w:rsid w:val="006D3468"/>
    <w:rsid w:val="006D4098"/>
    <w:rsid w:val="006D459D"/>
    <w:rsid w:val="006D4A44"/>
    <w:rsid w:val="006D543C"/>
    <w:rsid w:val="006D5588"/>
    <w:rsid w:val="006D5C5A"/>
    <w:rsid w:val="006D64CE"/>
    <w:rsid w:val="006D661F"/>
    <w:rsid w:val="006D7681"/>
    <w:rsid w:val="006D7B01"/>
    <w:rsid w:val="006D7B2E"/>
    <w:rsid w:val="006D7E72"/>
    <w:rsid w:val="006D7F02"/>
    <w:rsid w:val="006E0246"/>
    <w:rsid w:val="006E02BD"/>
    <w:rsid w:val="006E02EA"/>
    <w:rsid w:val="006E0968"/>
    <w:rsid w:val="006E09BA"/>
    <w:rsid w:val="006E1318"/>
    <w:rsid w:val="006E1C4D"/>
    <w:rsid w:val="006E1EDD"/>
    <w:rsid w:val="006E1FEF"/>
    <w:rsid w:val="006E23EA"/>
    <w:rsid w:val="006E2AF6"/>
    <w:rsid w:val="006E34DC"/>
    <w:rsid w:val="006E3831"/>
    <w:rsid w:val="006E38D9"/>
    <w:rsid w:val="006E3E69"/>
    <w:rsid w:val="006E44F9"/>
    <w:rsid w:val="006E4D69"/>
    <w:rsid w:val="006E4D78"/>
    <w:rsid w:val="006E4E23"/>
    <w:rsid w:val="006E4EBE"/>
    <w:rsid w:val="006E55A5"/>
    <w:rsid w:val="006E55AF"/>
    <w:rsid w:val="006E612E"/>
    <w:rsid w:val="006E68D1"/>
    <w:rsid w:val="006E6A73"/>
    <w:rsid w:val="006E6B1A"/>
    <w:rsid w:val="006E6DE6"/>
    <w:rsid w:val="006E6FC8"/>
    <w:rsid w:val="006E7533"/>
    <w:rsid w:val="006E7743"/>
    <w:rsid w:val="006F03B0"/>
    <w:rsid w:val="006F1330"/>
    <w:rsid w:val="006F1B88"/>
    <w:rsid w:val="006F1D33"/>
    <w:rsid w:val="006F21AE"/>
    <w:rsid w:val="006F285C"/>
    <w:rsid w:val="006F3105"/>
    <w:rsid w:val="006F386A"/>
    <w:rsid w:val="006F4B0C"/>
    <w:rsid w:val="006F4B1F"/>
    <w:rsid w:val="006F50D3"/>
    <w:rsid w:val="006F56BD"/>
    <w:rsid w:val="006F6D54"/>
    <w:rsid w:val="006F736C"/>
    <w:rsid w:val="006F779E"/>
    <w:rsid w:val="006F7EFA"/>
    <w:rsid w:val="0070103C"/>
    <w:rsid w:val="007010E4"/>
    <w:rsid w:val="00701275"/>
    <w:rsid w:val="007025FF"/>
    <w:rsid w:val="00703814"/>
    <w:rsid w:val="00703887"/>
    <w:rsid w:val="007048A6"/>
    <w:rsid w:val="00704CF5"/>
    <w:rsid w:val="00705897"/>
    <w:rsid w:val="00705DD4"/>
    <w:rsid w:val="0070647F"/>
    <w:rsid w:val="007067C1"/>
    <w:rsid w:val="00706DF0"/>
    <w:rsid w:val="0070791B"/>
    <w:rsid w:val="00707F56"/>
    <w:rsid w:val="0071059E"/>
    <w:rsid w:val="00710810"/>
    <w:rsid w:val="00710FFC"/>
    <w:rsid w:val="00711852"/>
    <w:rsid w:val="00711F19"/>
    <w:rsid w:val="0071241C"/>
    <w:rsid w:val="007125D8"/>
    <w:rsid w:val="007129BF"/>
    <w:rsid w:val="00712BE2"/>
    <w:rsid w:val="0071331F"/>
    <w:rsid w:val="00713558"/>
    <w:rsid w:val="007139D1"/>
    <w:rsid w:val="0071415B"/>
    <w:rsid w:val="007143F9"/>
    <w:rsid w:val="007147D6"/>
    <w:rsid w:val="00714DC8"/>
    <w:rsid w:val="00715656"/>
    <w:rsid w:val="00715673"/>
    <w:rsid w:val="00715AC3"/>
    <w:rsid w:val="00715ACC"/>
    <w:rsid w:val="0071628F"/>
    <w:rsid w:val="00716726"/>
    <w:rsid w:val="007169EE"/>
    <w:rsid w:val="00716B8F"/>
    <w:rsid w:val="007175A7"/>
    <w:rsid w:val="00717620"/>
    <w:rsid w:val="00717A2B"/>
    <w:rsid w:val="00720C9F"/>
    <w:rsid w:val="00720D08"/>
    <w:rsid w:val="00720D23"/>
    <w:rsid w:val="00720EA0"/>
    <w:rsid w:val="00720F96"/>
    <w:rsid w:val="007210EA"/>
    <w:rsid w:val="0072183C"/>
    <w:rsid w:val="00721CF2"/>
    <w:rsid w:val="007227CE"/>
    <w:rsid w:val="00722A38"/>
    <w:rsid w:val="0072368D"/>
    <w:rsid w:val="00724225"/>
    <w:rsid w:val="00724531"/>
    <w:rsid w:val="007247A9"/>
    <w:rsid w:val="00724848"/>
    <w:rsid w:val="00724F49"/>
    <w:rsid w:val="0072517D"/>
    <w:rsid w:val="0072520F"/>
    <w:rsid w:val="0072550C"/>
    <w:rsid w:val="00725678"/>
    <w:rsid w:val="00725F53"/>
    <w:rsid w:val="0072626F"/>
    <w:rsid w:val="007263B9"/>
    <w:rsid w:val="007268D8"/>
    <w:rsid w:val="0072724D"/>
    <w:rsid w:val="00727337"/>
    <w:rsid w:val="00727B9E"/>
    <w:rsid w:val="00727CBA"/>
    <w:rsid w:val="00727F05"/>
    <w:rsid w:val="007306C3"/>
    <w:rsid w:val="00730D87"/>
    <w:rsid w:val="007313F8"/>
    <w:rsid w:val="007314D7"/>
    <w:rsid w:val="007317E1"/>
    <w:rsid w:val="00731E7C"/>
    <w:rsid w:val="007321CC"/>
    <w:rsid w:val="00732242"/>
    <w:rsid w:val="00732875"/>
    <w:rsid w:val="00732BB9"/>
    <w:rsid w:val="00732D13"/>
    <w:rsid w:val="007334F8"/>
    <w:rsid w:val="007337DF"/>
    <w:rsid w:val="007339CD"/>
    <w:rsid w:val="007339E8"/>
    <w:rsid w:val="00733FDE"/>
    <w:rsid w:val="0073490F"/>
    <w:rsid w:val="00734E1F"/>
    <w:rsid w:val="0073503C"/>
    <w:rsid w:val="0073567B"/>
    <w:rsid w:val="00735727"/>
    <w:rsid w:val="007359D8"/>
    <w:rsid w:val="00735A3F"/>
    <w:rsid w:val="00736119"/>
    <w:rsid w:val="007362D4"/>
    <w:rsid w:val="00736CEB"/>
    <w:rsid w:val="007375EA"/>
    <w:rsid w:val="00737679"/>
    <w:rsid w:val="00737D57"/>
    <w:rsid w:val="007412C8"/>
    <w:rsid w:val="00741C81"/>
    <w:rsid w:val="00741D51"/>
    <w:rsid w:val="00741DD6"/>
    <w:rsid w:val="007420A2"/>
    <w:rsid w:val="00744781"/>
    <w:rsid w:val="00745029"/>
    <w:rsid w:val="007467C2"/>
    <w:rsid w:val="00746F62"/>
    <w:rsid w:val="00746F95"/>
    <w:rsid w:val="00747BCA"/>
    <w:rsid w:val="00747EDB"/>
    <w:rsid w:val="00750228"/>
    <w:rsid w:val="00750C83"/>
    <w:rsid w:val="00750D1A"/>
    <w:rsid w:val="00750E46"/>
    <w:rsid w:val="00751851"/>
    <w:rsid w:val="00751A23"/>
    <w:rsid w:val="0075267A"/>
    <w:rsid w:val="00752A0F"/>
    <w:rsid w:val="0075351E"/>
    <w:rsid w:val="00753C21"/>
    <w:rsid w:val="00753CBD"/>
    <w:rsid w:val="00754606"/>
    <w:rsid w:val="00754A18"/>
    <w:rsid w:val="00755215"/>
    <w:rsid w:val="0075544D"/>
    <w:rsid w:val="007556EA"/>
    <w:rsid w:val="00755F82"/>
    <w:rsid w:val="007563FF"/>
    <w:rsid w:val="0075671A"/>
    <w:rsid w:val="00756C1F"/>
    <w:rsid w:val="00756D57"/>
    <w:rsid w:val="0075726E"/>
    <w:rsid w:val="007575F4"/>
    <w:rsid w:val="00757A7E"/>
    <w:rsid w:val="00757F0B"/>
    <w:rsid w:val="00757F62"/>
    <w:rsid w:val="0076001F"/>
    <w:rsid w:val="00760857"/>
    <w:rsid w:val="0076093E"/>
    <w:rsid w:val="00760DD5"/>
    <w:rsid w:val="00761281"/>
    <w:rsid w:val="00761338"/>
    <w:rsid w:val="00761814"/>
    <w:rsid w:val="00761EFC"/>
    <w:rsid w:val="00762645"/>
    <w:rsid w:val="00762C4D"/>
    <w:rsid w:val="0076325A"/>
    <w:rsid w:val="007638BC"/>
    <w:rsid w:val="007639C5"/>
    <w:rsid w:val="007639D4"/>
    <w:rsid w:val="00763A02"/>
    <w:rsid w:val="00763B51"/>
    <w:rsid w:val="00763DE5"/>
    <w:rsid w:val="00764030"/>
    <w:rsid w:val="00764F75"/>
    <w:rsid w:val="0076530E"/>
    <w:rsid w:val="007659D0"/>
    <w:rsid w:val="00765AB6"/>
    <w:rsid w:val="00765C60"/>
    <w:rsid w:val="0076672A"/>
    <w:rsid w:val="00766999"/>
    <w:rsid w:val="00766B26"/>
    <w:rsid w:val="007675B9"/>
    <w:rsid w:val="007701AC"/>
    <w:rsid w:val="0077039E"/>
    <w:rsid w:val="00771426"/>
    <w:rsid w:val="007717B3"/>
    <w:rsid w:val="00771D8B"/>
    <w:rsid w:val="00772522"/>
    <w:rsid w:val="00772866"/>
    <w:rsid w:val="00772CB2"/>
    <w:rsid w:val="007734D2"/>
    <w:rsid w:val="00773C59"/>
    <w:rsid w:val="00773CF8"/>
    <w:rsid w:val="00773E23"/>
    <w:rsid w:val="00773E64"/>
    <w:rsid w:val="00774162"/>
    <w:rsid w:val="00774EE0"/>
    <w:rsid w:val="00775316"/>
    <w:rsid w:val="007755AE"/>
    <w:rsid w:val="00775614"/>
    <w:rsid w:val="00775B68"/>
    <w:rsid w:val="00775DDE"/>
    <w:rsid w:val="00775E45"/>
    <w:rsid w:val="007761F6"/>
    <w:rsid w:val="007769B5"/>
    <w:rsid w:val="00776DB6"/>
    <w:rsid w:val="00776E74"/>
    <w:rsid w:val="00777216"/>
    <w:rsid w:val="00777FB9"/>
    <w:rsid w:val="0078047E"/>
    <w:rsid w:val="00781894"/>
    <w:rsid w:val="0078299E"/>
    <w:rsid w:val="007845F7"/>
    <w:rsid w:val="007847F4"/>
    <w:rsid w:val="00784A2D"/>
    <w:rsid w:val="00784A3A"/>
    <w:rsid w:val="00784C2E"/>
    <w:rsid w:val="00785169"/>
    <w:rsid w:val="007858FF"/>
    <w:rsid w:val="00785BF8"/>
    <w:rsid w:val="00785DC6"/>
    <w:rsid w:val="00786E28"/>
    <w:rsid w:val="00787195"/>
    <w:rsid w:val="00787D36"/>
    <w:rsid w:val="00790477"/>
    <w:rsid w:val="00790AB0"/>
    <w:rsid w:val="0079101A"/>
    <w:rsid w:val="00791027"/>
    <w:rsid w:val="00792136"/>
    <w:rsid w:val="00792390"/>
    <w:rsid w:val="00792B74"/>
    <w:rsid w:val="00792CB1"/>
    <w:rsid w:val="00793E63"/>
    <w:rsid w:val="00794306"/>
    <w:rsid w:val="007948AB"/>
    <w:rsid w:val="00794B44"/>
    <w:rsid w:val="0079540D"/>
    <w:rsid w:val="007954AB"/>
    <w:rsid w:val="007955CD"/>
    <w:rsid w:val="00796BCA"/>
    <w:rsid w:val="00796C5E"/>
    <w:rsid w:val="00796DDD"/>
    <w:rsid w:val="007975AC"/>
    <w:rsid w:val="007A071F"/>
    <w:rsid w:val="007A0D62"/>
    <w:rsid w:val="007A13CA"/>
    <w:rsid w:val="007A14C5"/>
    <w:rsid w:val="007A1E36"/>
    <w:rsid w:val="007A26B5"/>
    <w:rsid w:val="007A28A0"/>
    <w:rsid w:val="007A2AE5"/>
    <w:rsid w:val="007A2BE8"/>
    <w:rsid w:val="007A2F03"/>
    <w:rsid w:val="007A3170"/>
    <w:rsid w:val="007A345D"/>
    <w:rsid w:val="007A3614"/>
    <w:rsid w:val="007A36B7"/>
    <w:rsid w:val="007A3ABD"/>
    <w:rsid w:val="007A3E38"/>
    <w:rsid w:val="007A4923"/>
    <w:rsid w:val="007A4A10"/>
    <w:rsid w:val="007A51C3"/>
    <w:rsid w:val="007A541C"/>
    <w:rsid w:val="007A557C"/>
    <w:rsid w:val="007A5B4A"/>
    <w:rsid w:val="007A62D6"/>
    <w:rsid w:val="007A65B3"/>
    <w:rsid w:val="007A6948"/>
    <w:rsid w:val="007A6A2F"/>
    <w:rsid w:val="007A6BB2"/>
    <w:rsid w:val="007A70D0"/>
    <w:rsid w:val="007A73FE"/>
    <w:rsid w:val="007A777F"/>
    <w:rsid w:val="007A7D76"/>
    <w:rsid w:val="007B0530"/>
    <w:rsid w:val="007B0965"/>
    <w:rsid w:val="007B0C07"/>
    <w:rsid w:val="007B159C"/>
    <w:rsid w:val="007B1760"/>
    <w:rsid w:val="007B1A46"/>
    <w:rsid w:val="007B1BBD"/>
    <w:rsid w:val="007B21AF"/>
    <w:rsid w:val="007B2202"/>
    <w:rsid w:val="007B2601"/>
    <w:rsid w:val="007B27D6"/>
    <w:rsid w:val="007B2856"/>
    <w:rsid w:val="007B3000"/>
    <w:rsid w:val="007B31F2"/>
    <w:rsid w:val="007B3332"/>
    <w:rsid w:val="007B35F4"/>
    <w:rsid w:val="007B3718"/>
    <w:rsid w:val="007B504D"/>
    <w:rsid w:val="007B5565"/>
    <w:rsid w:val="007B5853"/>
    <w:rsid w:val="007B5EEF"/>
    <w:rsid w:val="007B5F41"/>
    <w:rsid w:val="007B604C"/>
    <w:rsid w:val="007B66AA"/>
    <w:rsid w:val="007B68E2"/>
    <w:rsid w:val="007B6AA0"/>
    <w:rsid w:val="007B7103"/>
    <w:rsid w:val="007B74B7"/>
    <w:rsid w:val="007B76E9"/>
    <w:rsid w:val="007C0F94"/>
    <w:rsid w:val="007C1A3A"/>
    <w:rsid w:val="007C20AF"/>
    <w:rsid w:val="007C2142"/>
    <w:rsid w:val="007C2791"/>
    <w:rsid w:val="007C32D7"/>
    <w:rsid w:val="007C35AE"/>
    <w:rsid w:val="007C375E"/>
    <w:rsid w:val="007C39FD"/>
    <w:rsid w:val="007C3DBA"/>
    <w:rsid w:val="007C474B"/>
    <w:rsid w:val="007C6291"/>
    <w:rsid w:val="007C6D9C"/>
    <w:rsid w:val="007C6DB6"/>
    <w:rsid w:val="007C6DCD"/>
    <w:rsid w:val="007C7703"/>
    <w:rsid w:val="007C7B3B"/>
    <w:rsid w:val="007C7DDB"/>
    <w:rsid w:val="007D05E0"/>
    <w:rsid w:val="007D0E72"/>
    <w:rsid w:val="007D114E"/>
    <w:rsid w:val="007D16DB"/>
    <w:rsid w:val="007D1762"/>
    <w:rsid w:val="007D1BCA"/>
    <w:rsid w:val="007D1E5D"/>
    <w:rsid w:val="007D22CC"/>
    <w:rsid w:val="007D2CC7"/>
    <w:rsid w:val="007D3061"/>
    <w:rsid w:val="007D352F"/>
    <w:rsid w:val="007D41CD"/>
    <w:rsid w:val="007D4244"/>
    <w:rsid w:val="007D448B"/>
    <w:rsid w:val="007D4541"/>
    <w:rsid w:val="007D5990"/>
    <w:rsid w:val="007D5AA8"/>
    <w:rsid w:val="007D5EC1"/>
    <w:rsid w:val="007D62BC"/>
    <w:rsid w:val="007D673D"/>
    <w:rsid w:val="007D697C"/>
    <w:rsid w:val="007D7016"/>
    <w:rsid w:val="007D79EB"/>
    <w:rsid w:val="007D7A04"/>
    <w:rsid w:val="007D7AF9"/>
    <w:rsid w:val="007D7D41"/>
    <w:rsid w:val="007E0254"/>
    <w:rsid w:val="007E0439"/>
    <w:rsid w:val="007E0BDB"/>
    <w:rsid w:val="007E1009"/>
    <w:rsid w:val="007E12CF"/>
    <w:rsid w:val="007E1336"/>
    <w:rsid w:val="007E1E01"/>
    <w:rsid w:val="007E2419"/>
    <w:rsid w:val="007E2548"/>
    <w:rsid w:val="007E372E"/>
    <w:rsid w:val="007E415F"/>
    <w:rsid w:val="007E476C"/>
    <w:rsid w:val="007E4B03"/>
    <w:rsid w:val="007E4DCF"/>
    <w:rsid w:val="007E516E"/>
    <w:rsid w:val="007E55FA"/>
    <w:rsid w:val="007E5704"/>
    <w:rsid w:val="007E57BE"/>
    <w:rsid w:val="007E5ADB"/>
    <w:rsid w:val="007E5EF1"/>
    <w:rsid w:val="007E5FC0"/>
    <w:rsid w:val="007E61BD"/>
    <w:rsid w:val="007E6A8C"/>
    <w:rsid w:val="007F00EF"/>
    <w:rsid w:val="007F0300"/>
    <w:rsid w:val="007F051A"/>
    <w:rsid w:val="007F055A"/>
    <w:rsid w:val="007F11DE"/>
    <w:rsid w:val="007F20D8"/>
    <w:rsid w:val="007F2220"/>
    <w:rsid w:val="007F36FE"/>
    <w:rsid w:val="007F3942"/>
    <w:rsid w:val="007F4B3E"/>
    <w:rsid w:val="007F4BF2"/>
    <w:rsid w:val="007F4FC6"/>
    <w:rsid w:val="007F588A"/>
    <w:rsid w:val="007F58DF"/>
    <w:rsid w:val="007F5A8D"/>
    <w:rsid w:val="007F5BBB"/>
    <w:rsid w:val="007F75A4"/>
    <w:rsid w:val="007F7BE8"/>
    <w:rsid w:val="007F7C10"/>
    <w:rsid w:val="007F7D65"/>
    <w:rsid w:val="00800517"/>
    <w:rsid w:val="0080169D"/>
    <w:rsid w:val="00801A77"/>
    <w:rsid w:val="00801BC7"/>
    <w:rsid w:val="00801C8F"/>
    <w:rsid w:val="00801DC6"/>
    <w:rsid w:val="00801EFC"/>
    <w:rsid w:val="00802416"/>
    <w:rsid w:val="008035E7"/>
    <w:rsid w:val="008037BA"/>
    <w:rsid w:val="00803A72"/>
    <w:rsid w:val="00803B0F"/>
    <w:rsid w:val="00803C34"/>
    <w:rsid w:val="008046A9"/>
    <w:rsid w:val="00804852"/>
    <w:rsid w:val="00804C7E"/>
    <w:rsid w:val="00806114"/>
    <w:rsid w:val="00806C6C"/>
    <w:rsid w:val="00806E73"/>
    <w:rsid w:val="008072B3"/>
    <w:rsid w:val="00807436"/>
    <w:rsid w:val="00807572"/>
    <w:rsid w:val="008105D7"/>
    <w:rsid w:val="008109EE"/>
    <w:rsid w:val="008110EE"/>
    <w:rsid w:val="008122F9"/>
    <w:rsid w:val="008127AF"/>
    <w:rsid w:val="00812A73"/>
    <w:rsid w:val="00812B46"/>
    <w:rsid w:val="00814A10"/>
    <w:rsid w:val="0081532B"/>
    <w:rsid w:val="00815700"/>
    <w:rsid w:val="008163EE"/>
    <w:rsid w:val="008169CD"/>
    <w:rsid w:val="008171A7"/>
    <w:rsid w:val="00817640"/>
    <w:rsid w:val="0081779D"/>
    <w:rsid w:val="00817935"/>
    <w:rsid w:val="00817A35"/>
    <w:rsid w:val="00817B70"/>
    <w:rsid w:val="00817EF0"/>
    <w:rsid w:val="00817FA2"/>
    <w:rsid w:val="0082025F"/>
    <w:rsid w:val="008210AD"/>
    <w:rsid w:val="008214F2"/>
    <w:rsid w:val="00821B98"/>
    <w:rsid w:val="0082237F"/>
    <w:rsid w:val="008224D1"/>
    <w:rsid w:val="00822A1C"/>
    <w:rsid w:val="00822FEE"/>
    <w:rsid w:val="00823110"/>
    <w:rsid w:val="00823676"/>
    <w:rsid w:val="00823D4D"/>
    <w:rsid w:val="00824027"/>
    <w:rsid w:val="00824162"/>
    <w:rsid w:val="00824354"/>
    <w:rsid w:val="00824368"/>
    <w:rsid w:val="00824739"/>
    <w:rsid w:val="0082496B"/>
    <w:rsid w:val="00824D70"/>
    <w:rsid w:val="008257D8"/>
    <w:rsid w:val="00826162"/>
    <w:rsid w:val="00826241"/>
    <w:rsid w:val="008264EB"/>
    <w:rsid w:val="0082687A"/>
    <w:rsid w:val="00826A0C"/>
    <w:rsid w:val="00826B8F"/>
    <w:rsid w:val="00826BC0"/>
    <w:rsid w:val="00827AFF"/>
    <w:rsid w:val="00827DCE"/>
    <w:rsid w:val="00830923"/>
    <w:rsid w:val="00830D5A"/>
    <w:rsid w:val="00831CC5"/>
    <w:rsid w:val="00831E8A"/>
    <w:rsid w:val="00832A7E"/>
    <w:rsid w:val="00832BE9"/>
    <w:rsid w:val="0083302E"/>
    <w:rsid w:val="00833BEA"/>
    <w:rsid w:val="00834D5C"/>
    <w:rsid w:val="008350BD"/>
    <w:rsid w:val="00835C76"/>
    <w:rsid w:val="00835DB4"/>
    <w:rsid w:val="0083701E"/>
    <w:rsid w:val="0083759C"/>
    <w:rsid w:val="008377AD"/>
    <w:rsid w:val="00837B3C"/>
    <w:rsid w:val="00840E0E"/>
    <w:rsid w:val="00841111"/>
    <w:rsid w:val="00841745"/>
    <w:rsid w:val="008418B8"/>
    <w:rsid w:val="00841CF9"/>
    <w:rsid w:val="00841DE3"/>
    <w:rsid w:val="008427D6"/>
    <w:rsid w:val="00842872"/>
    <w:rsid w:val="00842BF1"/>
    <w:rsid w:val="00842DC3"/>
    <w:rsid w:val="00843049"/>
    <w:rsid w:val="00843B1A"/>
    <w:rsid w:val="008442A9"/>
    <w:rsid w:val="00844619"/>
    <w:rsid w:val="00844650"/>
    <w:rsid w:val="00845808"/>
    <w:rsid w:val="0084589B"/>
    <w:rsid w:val="00845919"/>
    <w:rsid w:val="008462B1"/>
    <w:rsid w:val="00846AA7"/>
    <w:rsid w:val="008470DF"/>
    <w:rsid w:val="00847443"/>
    <w:rsid w:val="00847636"/>
    <w:rsid w:val="008501E4"/>
    <w:rsid w:val="00850388"/>
    <w:rsid w:val="00850738"/>
    <w:rsid w:val="008509B3"/>
    <w:rsid w:val="008511CE"/>
    <w:rsid w:val="008513B2"/>
    <w:rsid w:val="0085209B"/>
    <w:rsid w:val="00852543"/>
    <w:rsid w:val="0085260E"/>
    <w:rsid w:val="00852839"/>
    <w:rsid w:val="008528BD"/>
    <w:rsid w:val="00852B35"/>
    <w:rsid w:val="00852B62"/>
    <w:rsid w:val="00852C77"/>
    <w:rsid w:val="00853241"/>
    <w:rsid w:val="00853941"/>
    <w:rsid w:val="00853AA0"/>
    <w:rsid w:val="00853C01"/>
    <w:rsid w:val="00853F20"/>
    <w:rsid w:val="00853F84"/>
    <w:rsid w:val="00854569"/>
    <w:rsid w:val="0085499C"/>
    <w:rsid w:val="00855777"/>
    <w:rsid w:val="00855FF4"/>
    <w:rsid w:val="0085615B"/>
    <w:rsid w:val="00856B66"/>
    <w:rsid w:val="00856C35"/>
    <w:rsid w:val="00856D2D"/>
    <w:rsid w:val="008576D1"/>
    <w:rsid w:val="0085797A"/>
    <w:rsid w:val="008579B5"/>
    <w:rsid w:val="00857B45"/>
    <w:rsid w:val="00857DCD"/>
    <w:rsid w:val="0086022D"/>
    <w:rsid w:val="00860668"/>
    <w:rsid w:val="008607A4"/>
    <w:rsid w:val="00860811"/>
    <w:rsid w:val="00860853"/>
    <w:rsid w:val="00860C0A"/>
    <w:rsid w:val="00860C66"/>
    <w:rsid w:val="00861A5F"/>
    <w:rsid w:val="00861C68"/>
    <w:rsid w:val="008636A2"/>
    <w:rsid w:val="008636DD"/>
    <w:rsid w:val="00863D76"/>
    <w:rsid w:val="008644AD"/>
    <w:rsid w:val="008644B7"/>
    <w:rsid w:val="008646FD"/>
    <w:rsid w:val="008648AE"/>
    <w:rsid w:val="00864C0E"/>
    <w:rsid w:val="00864DC0"/>
    <w:rsid w:val="00865431"/>
    <w:rsid w:val="00865616"/>
    <w:rsid w:val="00865735"/>
    <w:rsid w:val="00865DDB"/>
    <w:rsid w:val="00865FF4"/>
    <w:rsid w:val="008660E8"/>
    <w:rsid w:val="0086634F"/>
    <w:rsid w:val="00866558"/>
    <w:rsid w:val="00866730"/>
    <w:rsid w:val="00866F0A"/>
    <w:rsid w:val="0086706A"/>
    <w:rsid w:val="00867538"/>
    <w:rsid w:val="00867589"/>
    <w:rsid w:val="00867673"/>
    <w:rsid w:val="00867D44"/>
    <w:rsid w:val="008700B4"/>
    <w:rsid w:val="008706E6"/>
    <w:rsid w:val="008708B6"/>
    <w:rsid w:val="00871385"/>
    <w:rsid w:val="008715E7"/>
    <w:rsid w:val="00871870"/>
    <w:rsid w:val="0087190C"/>
    <w:rsid w:val="008722A8"/>
    <w:rsid w:val="00872479"/>
    <w:rsid w:val="00872E90"/>
    <w:rsid w:val="0087358D"/>
    <w:rsid w:val="00873A75"/>
    <w:rsid w:val="00873D90"/>
    <w:rsid w:val="00873FC8"/>
    <w:rsid w:val="00874040"/>
    <w:rsid w:val="00874491"/>
    <w:rsid w:val="0087454E"/>
    <w:rsid w:val="008755BB"/>
    <w:rsid w:val="00875644"/>
    <w:rsid w:val="0087592E"/>
    <w:rsid w:val="00876598"/>
    <w:rsid w:val="008766E3"/>
    <w:rsid w:val="0087702D"/>
    <w:rsid w:val="0088093B"/>
    <w:rsid w:val="008809FF"/>
    <w:rsid w:val="00880ED7"/>
    <w:rsid w:val="00880FAF"/>
    <w:rsid w:val="008811C4"/>
    <w:rsid w:val="00881A18"/>
    <w:rsid w:val="00882DAF"/>
    <w:rsid w:val="008830E3"/>
    <w:rsid w:val="00883FE4"/>
    <w:rsid w:val="008847E1"/>
    <w:rsid w:val="00884C63"/>
    <w:rsid w:val="00884CA1"/>
    <w:rsid w:val="0088589B"/>
    <w:rsid w:val="00885908"/>
    <w:rsid w:val="00885B48"/>
    <w:rsid w:val="008861F4"/>
    <w:rsid w:val="008864B7"/>
    <w:rsid w:val="008867BB"/>
    <w:rsid w:val="008867E8"/>
    <w:rsid w:val="00886971"/>
    <w:rsid w:val="00886A45"/>
    <w:rsid w:val="008876A9"/>
    <w:rsid w:val="008904C4"/>
    <w:rsid w:val="00890C84"/>
    <w:rsid w:val="00891234"/>
    <w:rsid w:val="00891241"/>
    <w:rsid w:val="00891249"/>
    <w:rsid w:val="00891F8F"/>
    <w:rsid w:val="008924A5"/>
    <w:rsid w:val="00892AFB"/>
    <w:rsid w:val="008934BF"/>
    <w:rsid w:val="00893755"/>
    <w:rsid w:val="00893BA2"/>
    <w:rsid w:val="0089457F"/>
    <w:rsid w:val="00894B09"/>
    <w:rsid w:val="00894CBB"/>
    <w:rsid w:val="0089541B"/>
    <w:rsid w:val="00895C0B"/>
    <w:rsid w:val="00895C4E"/>
    <w:rsid w:val="00895E5A"/>
    <w:rsid w:val="00896085"/>
    <w:rsid w:val="00896635"/>
    <w:rsid w:val="0089677E"/>
    <w:rsid w:val="0089686C"/>
    <w:rsid w:val="00896E8C"/>
    <w:rsid w:val="00897E54"/>
    <w:rsid w:val="00897EA7"/>
    <w:rsid w:val="008A0B40"/>
    <w:rsid w:val="008A1221"/>
    <w:rsid w:val="008A13AC"/>
    <w:rsid w:val="008A13DF"/>
    <w:rsid w:val="008A1883"/>
    <w:rsid w:val="008A1AEB"/>
    <w:rsid w:val="008A1E2A"/>
    <w:rsid w:val="008A2661"/>
    <w:rsid w:val="008A2C7E"/>
    <w:rsid w:val="008A31D1"/>
    <w:rsid w:val="008A36BA"/>
    <w:rsid w:val="008A3AB9"/>
    <w:rsid w:val="008A3F70"/>
    <w:rsid w:val="008A41E4"/>
    <w:rsid w:val="008A47B0"/>
    <w:rsid w:val="008A4AD1"/>
    <w:rsid w:val="008A4B7E"/>
    <w:rsid w:val="008A5483"/>
    <w:rsid w:val="008A5A5A"/>
    <w:rsid w:val="008A630E"/>
    <w:rsid w:val="008A6621"/>
    <w:rsid w:val="008A6678"/>
    <w:rsid w:val="008A6958"/>
    <w:rsid w:val="008A6DF6"/>
    <w:rsid w:val="008A6F82"/>
    <w:rsid w:val="008A7438"/>
    <w:rsid w:val="008A7633"/>
    <w:rsid w:val="008A7669"/>
    <w:rsid w:val="008A7E9F"/>
    <w:rsid w:val="008B00CA"/>
    <w:rsid w:val="008B0C87"/>
    <w:rsid w:val="008B1334"/>
    <w:rsid w:val="008B1922"/>
    <w:rsid w:val="008B1F5D"/>
    <w:rsid w:val="008B22A0"/>
    <w:rsid w:val="008B22CC"/>
    <w:rsid w:val="008B2E64"/>
    <w:rsid w:val="008B368E"/>
    <w:rsid w:val="008B38E9"/>
    <w:rsid w:val="008B3F8F"/>
    <w:rsid w:val="008B44A4"/>
    <w:rsid w:val="008B4C91"/>
    <w:rsid w:val="008B4DD1"/>
    <w:rsid w:val="008B4F22"/>
    <w:rsid w:val="008B5202"/>
    <w:rsid w:val="008B5237"/>
    <w:rsid w:val="008B5D4B"/>
    <w:rsid w:val="008B6209"/>
    <w:rsid w:val="008B6374"/>
    <w:rsid w:val="008B63D7"/>
    <w:rsid w:val="008B6CD0"/>
    <w:rsid w:val="008B71DE"/>
    <w:rsid w:val="008B747C"/>
    <w:rsid w:val="008B7AB0"/>
    <w:rsid w:val="008B7B2D"/>
    <w:rsid w:val="008B7C2A"/>
    <w:rsid w:val="008B7D2F"/>
    <w:rsid w:val="008C0278"/>
    <w:rsid w:val="008C0CD4"/>
    <w:rsid w:val="008C0D7E"/>
    <w:rsid w:val="008C1097"/>
    <w:rsid w:val="008C1257"/>
    <w:rsid w:val="008C1625"/>
    <w:rsid w:val="008C1962"/>
    <w:rsid w:val="008C1B21"/>
    <w:rsid w:val="008C24DD"/>
    <w:rsid w:val="008C24E9"/>
    <w:rsid w:val="008C260A"/>
    <w:rsid w:val="008C2A7A"/>
    <w:rsid w:val="008C377E"/>
    <w:rsid w:val="008C3B41"/>
    <w:rsid w:val="008C3B5E"/>
    <w:rsid w:val="008C4042"/>
    <w:rsid w:val="008C4133"/>
    <w:rsid w:val="008C456D"/>
    <w:rsid w:val="008C45D9"/>
    <w:rsid w:val="008C49BF"/>
    <w:rsid w:val="008C5168"/>
    <w:rsid w:val="008C55F3"/>
    <w:rsid w:val="008C61FD"/>
    <w:rsid w:val="008C6CEB"/>
    <w:rsid w:val="008C6DC0"/>
    <w:rsid w:val="008C769E"/>
    <w:rsid w:val="008C7C7F"/>
    <w:rsid w:val="008D00A7"/>
    <w:rsid w:val="008D025D"/>
    <w:rsid w:val="008D0533"/>
    <w:rsid w:val="008D0661"/>
    <w:rsid w:val="008D06C9"/>
    <w:rsid w:val="008D0D77"/>
    <w:rsid w:val="008D1E70"/>
    <w:rsid w:val="008D23B9"/>
    <w:rsid w:val="008D2EDE"/>
    <w:rsid w:val="008D302F"/>
    <w:rsid w:val="008D350C"/>
    <w:rsid w:val="008D38C6"/>
    <w:rsid w:val="008D3DD0"/>
    <w:rsid w:val="008D3F34"/>
    <w:rsid w:val="008D42CB"/>
    <w:rsid w:val="008D48C9"/>
    <w:rsid w:val="008D4E47"/>
    <w:rsid w:val="008D53B0"/>
    <w:rsid w:val="008D5B79"/>
    <w:rsid w:val="008D5FA0"/>
    <w:rsid w:val="008D6381"/>
    <w:rsid w:val="008D719B"/>
    <w:rsid w:val="008D742E"/>
    <w:rsid w:val="008D772B"/>
    <w:rsid w:val="008D7961"/>
    <w:rsid w:val="008D7A14"/>
    <w:rsid w:val="008D7D49"/>
    <w:rsid w:val="008E0993"/>
    <w:rsid w:val="008E0C77"/>
    <w:rsid w:val="008E2086"/>
    <w:rsid w:val="008E20C0"/>
    <w:rsid w:val="008E22AB"/>
    <w:rsid w:val="008E28A7"/>
    <w:rsid w:val="008E29D8"/>
    <w:rsid w:val="008E2B00"/>
    <w:rsid w:val="008E337B"/>
    <w:rsid w:val="008E3579"/>
    <w:rsid w:val="008E3999"/>
    <w:rsid w:val="008E441B"/>
    <w:rsid w:val="008E448B"/>
    <w:rsid w:val="008E48E1"/>
    <w:rsid w:val="008E4D3B"/>
    <w:rsid w:val="008E4FAC"/>
    <w:rsid w:val="008E538B"/>
    <w:rsid w:val="008E53B0"/>
    <w:rsid w:val="008E59AB"/>
    <w:rsid w:val="008E5B0F"/>
    <w:rsid w:val="008E5B1C"/>
    <w:rsid w:val="008E5BC8"/>
    <w:rsid w:val="008E5F54"/>
    <w:rsid w:val="008E625F"/>
    <w:rsid w:val="008E6968"/>
    <w:rsid w:val="008E6FA5"/>
    <w:rsid w:val="008E7333"/>
    <w:rsid w:val="008E7523"/>
    <w:rsid w:val="008E7AC6"/>
    <w:rsid w:val="008F04BE"/>
    <w:rsid w:val="008F083E"/>
    <w:rsid w:val="008F0BC7"/>
    <w:rsid w:val="008F0C3C"/>
    <w:rsid w:val="008F1B66"/>
    <w:rsid w:val="008F1DD0"/>
    <w:rsid w:val="008F200D"/>
    <w:rsid w:val="008F22A1"/>
    <w:rsid w:val="008F264D"/>
    <w:rsid w:val="008F30D3"/>
    <w:rsid w:val="008F42E3"/>
    <w:rsid w:val="008F4E8E"/>
    <w:rsid w:val="008F5231"/>
    <w:rsid w:val="008F533D"/>
    <w:rsid w:val="008F5345"/>
    <w:rsid w:val="008F5B22"/>
    <w:rsid w:val="008F5D5A"/>
    <w:rsid w:val="008F5FF5"/>
    <w:rsid w:val="008F6B69"/>
    <w:rsid w:val="008F6B77"/>
    <w:rsid w:val="008F6C5D"/>
    <w:rsid w:val="008F7604"/>
    <w:rsid w:val="008F7C82"/>
    <w:rsid w:val="008F7EE1"/>
    <w:rsid w:val="00900D92"/>
    <w:rsid w:val="009027D5"/>
    <w:rsid w:val="00902CDF"/>
    <w:rsid w:val="00902E47"/>
    <w:rsid w:val="00903356"/>
    <w:rsid w:val="00903D65"/>
    <w:rsid w:val="00903D9A"/>
    <w:rsid w:val="00904109"/>
    <w:rsid w:val="00904677"/>
    <w:rsid w:val="00904760"/>
    <w:rsid w:val="00904F15"/>
    <w:rsid w:val="009053AC"/>
    <w:rsid w:val="00906516"/>
    <w:rsid w:val="00906544"/>
    <w:rsid w:val="009067F1"/>
    <w:rsid w:val="00906D9D"/>
    <w:rsid w:val="00907024"/>
    <w:rsid w:val="009074E1"/>
    <w:rsid w:val="00907852"/>
    <w:rsid w:val="00907877"/>
    <w:rsid w:val="00910204"/>
    <w:rsid w:val="00910BED"/>
    <w:rsid w:val="00910D46"/>
    <w:rsid w:val="009112F7"/>
    <w:rsid w:val="009116F0"/>
    <w:rsid w:val="00911CB7"/>
    <w:rsid w:val="00911EA9"/>
    <w:rsid w:val="00912151"/>
    <w:rsid w:val="009122AF"/>
    <w:rsid w:val="009127BC"/>
    <w:rsid w:val="009129A6"/>
    <w:rsid w:val="00912A2C"/>
    <w:rsid w:val="00912AF6"/>
    <w:rsid w:val="00912D54"/>
    <w:rsid w:val="00912EB6"/>
    <w:rsid w:val="0091333E"/>
    <w:rsid w:val="0091361C"/>
    <w:rsid w:val="0091389F"/>
    <w:rsid w:val="00913CC3"/>
    <w:rsid w:val="00913D5B"/>
    <w:rsid w:val="009143CE"/>
    <w:rsid w:val="0091448E"/>
    <w:rsid w:val="00914522"/>
    <w:rsid w:val="00914808"/>
    <w:rsid w:val="009154B0"/>
    <w:rsid w:val="00915779"/>
    <w:rsid w:val="00915B14"/>
    <w:rsid w:val="00915D6D"/>
    <w:rsid w:val="00916A40"/>
    <w:rsid w:val="009203FE"/>
    <w:rsid w:val="009208F7"/>
    <w:rsid w:val="00920941"/>
    <w:rsid w:val="009211AD"/>
    <w:rsid w:val="00921CCA"/>
    <w:rsid w:val="00922517"/>
    <w:rsid w:val="00922722"/>
    <w:rsid w:val="009237E4"/>
    <w:rsid w:val="0092384A"/>
    <w:rsid w:val="00923AE6"/>
    <w:rsid w:val="0092457D"/>
    <w:rsid w:val="00924D90"/>
    <w:rsid w:val="00924DA0"/>
    <w:rsid w:val="009253D2"/>
    <w:rsid w:val="009253E1"/>
    <w:rsid w:val="00925AD3"/>
    <w:rsid w:val="009261E6"/>
    <w:rsid w:val="0092664D"/>
    <w:rsid w:val="00926892"/>
    <w:rsid w:val="009268E1"/>
    <w:rsid w:val="00926EB8"/>
    <w:rsid w:val="00927CC1"/>
    <w:rsid w:val="00927DD8"/>
    <w:rsid w:val="009301AB"/>
    <w:rsid w:val="009304B3"/>
    <w:rsid w:val="00930BB3"/>
    <w:rsid w:val="009313CF"/>
    <w:rsid w:val="0093164B"/>
    <w:rsid w:val="00931DE6"/>
    <w:rsid w:val="00932E13"/>
    <w:rsid w:val="0093301B"/>
    <w:rsid w:val="009336BF"/>
    <w:rsid w:val="00933867"/>
    <w:rsid w:val="0093494A"/>
    <w:rsid w:val="00934ADA"/>
    <w:rsid w:val="00935070"/>
    <w:rsid w:val="00935986"/>
    <w:rsid w:val="00935EAB"/>
    <w:rsid w:val="00936333"/>
    <w:rsid w:val="00936AE4"/>
    <w:rsid w:val="009379DA"/>
    <w:rsid w:val="00940E2C"/>
    <w:rsid w:val="009414D8"/>
    <w:rsid w:val="00941536"/>
    <w:rsid w:val="0094174D"/>
    <w:rsid w:val="009419E1"/>
    <w:rsid w:val="00942180"/>
    <w:rsid w:val="0094252D"/>
    <w:rsid w:val="009425FB"/>
    <w:rsid w:val="0094284C"/>
    <w:rsid w:val="00943167"/>
    <w:rsid w:val="0094338A"/>
    <w:rsid w:val="009434D0"/>
    <w:rsid w:val="009435D1"/>
    <w:rsid w:val="00943E41"/>
    <w:rsid w:val="00943F82"/>
    <w:rsid w:val="0094407A"/>
    <w:rsid w:val="009442FC"/>
    <w:rsid w:val="00944473"/>
    <w:rsid w:val="009447A0"/>
    <w:rsid w:val="00944938"/>
    <w:rsid w:val="0094563F"/>
    <w:rsid w:val="00945E7F"/>
    <w:rsid w:val="009461AF"/>
    <w:rsid w:val="009467DF"/>
    <w:rsid w:val="00947962"/>
    <w:rsid w:val="00947B60"/>
    <w:rsid w:val="00947FED"/>
    <w:rsid w:val="00950109"/>
    <w:rsid w:val="009506EE"/>
    <w:rsid w:val="00951127"/>
    <w:rsid w:val="00951B14"/>
    <w:rsid w:val="0095222E"/>
    <w:rsid w:val="009525FA"/>
    <w:rsid w:val="0095266C"/>
    <w:rsid w:val="009527C1"/>
    <w:rsid w:val="00952AB8"/>
    <w:rsid w:val="00952D92"/>
    <w:rsid w:val="00953DA4"/>
    <w:rsid w:val="00953FEA"/>
    <w:rsid w:val="009549CC"/>
    <w:rsid w:val="00955661"/>
    <w:rsid w:val="009557C1"/>
    <w:rsid w:val="00955BD5"/>
    <w:rsid w:val="00955F0E"/>
    <w:rsid w:val="009568F7"/>
    <w:rsid w:val="009569EE"/>
    <w:rsid w:val="009579D7"/>
    <w:rsid w:val="00957ADE"/>
    <w:rsid w:val="0096011B"/>
    <w:rsid w:val="00960261"/>
    <w:rsid w:val="00960616"/>
    <w:rsid w:val="00960D67"/>
    <w:rsid w:val="00960D6E"/>
    <w:rsid w:val="00960DA6"/>
    <w:rsid w:val="0096123C"/>
    <w:rsid w:val="00961560"/>
    <w:rsid w:val="00961DA9"/>
    <w:rsid w:val="00962B52"/>
    <w:rsid w:val="00962FA3"/>
    <w:rsid w:val="00963B6C"/>
    <w:rsid w:val="00963D8F"/>
    <w:rsid w:val="00964113"/>
    <w:rsid w:val="00964ABA"/>
    <w:rsid w:val="00965042"/>
    <w:rsid w:val="0096510C"/>
    <w:rsid w:val="0096522A"/>
    <w:rsid w:val="009675AE"/>
    <w:rsid w:val="00967EE4"/>
    <w:rsid w:val="0097011C"/>
    <w:rsid w:val="009704A3"/>
    <w:rsid w:val="00970627"/>
    <w:rsid w:val="00970E66"/>
    <w:rsid w:val="0097130C"/>
    <w:rsid w:val="009715D2"/>
    <w:rsid w:val="00971AD4"/>
    <w:rsid w:val="00971D17"/>
    <w:rsid w:val="0097223E"/>
    <w:rsid w:val="00972A20"/>
    <w:rsid w:val="00972BC1"/>
    <w:rsid w:val="00972F99"/>
    <w:rsid w:val="00974223"/>
    <w:rsid w:val="00974B59"/>
    <w:rsid w:val="00974E8F"/>
    <w:rsid w:val="00974EBD"/>
    <w:rsid w:val="009754A8"/>
    <w:rsid w:val="009755F7"/>
    <w:rsid w:val="0097562C"/>
    <w:rsid w:val="009758C7"/>
    <w:rsid w:val="00975C62"/>
    <w:rsid w:val="00975E90"/>
    <w:rsid w:val="00976205"/>
    <w:rsid w:val="009764F9"/>
    <w:rsid w:val="0097679A"/>
    <w:rsid w:val="00976A26"/>
    <w:rsid w:val="00976FB0"/>
    <w:rsid w:val="009772B9"/>
    <w:rsid w:val="009772FD"/>
    <w:rsid w:val="009774F3"/>
    <w:rsid w:val="00977CB1"/>
    <w:rsid w:val="00980360"/>
    <w:rsid w:val="0098082B"/>
    <w:rsid w:val="00980F92"/>
    <w:rsid w:val="009814F9"/>
    <w:rsid w:val="00982BD6"/>
    <w:rsid w:val="00982D3D"/>
    <w:rsid w:val="0098340B"/>
    <w:rsid w:val="0098379B"/>
    <w:rsid w:val="009838DC"/>
    <w:rsid w:val="00983E25"/>
    <w:rsid w:val="00983FCA"/>
    <w:rsid w:val="009843D2"/>
    <w:rsid w:val="00984E0A"/>
    <w:rsid w:val="00985257"/>
    <w:rsid w:val="00985AAE"/>
    <w:rsid w:val="00985EF5"/>
    <w:rsid w:val="00986179"/>
    <w:rsid w:val="00986830"/>
    <w:rsid w:val="00986B7D"/>
    <w:rsid w:val="009875F4"/>
    <w:rsid w:val="009878DF"/>
    <w:rsid w:val="009901D6"/>
    <w:rsid w:val="00990682"/>
    <w:rsid w:val="009907B1"/>
    <w:rsid w:val="00990A64"/>
    <w:rsid w:val="00990AE9"/>
    <w:rsid w:val="00991699"/>
    <w:rsid w:val="00991DAA"/>
    <w:rsid w:val="009924C3"/>
    <w:rsid w:val="00992A6F"/>
    <w:rsid w:val="00992C85"/>
    <w:rsid w:val="00993102"/>
    <w:rsid w:val="00993617"/>
    <w:rsid w:val="009938F2"/>
    <w:rsid w:val="0099417E"/>
    <w:rsid w:val="009942D0"/>
    <w:rsid w:val="009947AC"/>
    <w:rsid w:val="00994CD0"/>
    <w:rsid w:val="0099614F"/>
    <w:rsid w:val="009962C5"/>
    <w:rsid w:val="009967F4"/>
    <w:rsid w:val="009967F9"/>
    <w:rsid w:val="0099786F"/>
    <w:rsid w:val="009A0BB7"/>
    <w:rsid w:val="009A1519"/>
    <w:rsid w:val="009A1F06"/>
    <w:rsid w:val="009A214D"/>
    <w:rsid w:val="009A2498"/>
    <w:rsid w:val="009A270E"/>
    <w:rsid w:val="009A326C"/>
    <w:rsid w:val="009A32AB"/>
    <w:rsid w:val="009A32EB"/>
    <w:rsid w:val="009A35C0"/>
    <w:rsid w:val="009A3BC2"/>
    <w:rsid w:val="009A3DC6"/>
    <w:rsid w:val="009A3F55"/>
    <w:rsid w:val="009A46FD"/>
    <w:rsid w:val="009A4A18"/>
    <w:rsid w:val="009A529C"/>
    <w:rsid w:val="009A52BC"/>
    <w:rsid w:val="009A5414"/>
    <w:rsid w:val="009A6BAE"/>
    <w:rsid w:val="009A729F"/>
    <w:rsid w:val="009A7482"/>
    <w:rsid w:val="009A76FF"/>
    <w:rsid w:val="009B007E"/>
    <w:rsid w:val="009B0C47"/>
    <w:rsid w:val="009B0C9E"/>
    <w:rsid w:val="009B1266"/>
    <w:rsid w:val="009B1BC3"/>
    <w:rsid w:val="009B2AB2"/>
    <w:rsid w:val="009B3F38"/>
    <w:rsid w:val="009B42D4"/>
    <w:rsid w:val="009B48CB"/>
    <w:rsid w:val="009B4E82"/>
    <w:rsid w:val="009B518D"/>
    <w:rsid w:val="009B5E48"/>
    <w:rsid w:val="009B5EDB"/>
    <w:rsid w:val="009B6187"/>
    <w:rsid w:val="009B69C8"/>
    <w:rsid w:val="009B6A43"/>
    <w:rsid w:val="009B6FAB"/>
    <w:rsid w:val="009B7414"/>
    <w:rsid w:val="009B77D8"/>
    <w:rsid w:val="009B7880"/>
    <w:rsid w:val="009C002C"/>
    <w:rsid w:val="009C051D"/>
    <w:rsid w:val="009C0815"/>
    <w:rsid w:val="009C0F19"/>
    <w:rsid w:val="009C10EB"/>
    <w:rsid w:val="009C1742"/>
    <w:rsid w:val="009C1EB0"/>
    <w:rsid w:val="009C2A7F"/>
    <w:rsid w:val="009C2C4E"/>
    <w:rsid w:val="009C2D4A"/>
    <w:rsid w:val="009C2FA2"/>
    <w:rsid w:val="009C3BB0"/>
    <w:rsid w:val="009C3F64"/>
    <w:rsid w:val="009C414F"/>
    <w:rsid w:val="009C428D"/>
    <w:rsid w:val="009C43E2"/>
    <w:rsid w:val="009C4A39"/>
    <w:rsid w:val="009C4BCB"/>
    <w:rsid w:val="009C4CA7"/>
    <w:rsid w:val="009C5256"/>
    <w:rsid w:val="009C5D6F"/>
    <w:rsid w:val="009C6196"/>
    <w:rsid w:val="009C642A"/>
    <w:rsid w:val="009C6F10"/>
    <w:rsid w:val="009C71EA"/>
    <w:rsid w:val="009C7203"/>
    <w:rsid w:val="009C723D"/>
    <w:rsid w:val="009D0BCC"/>
    <w:rsid w:val="009D10A9"/>
    <w:rsid w:val="009D148F"/>
    <w:rsid w:val="009D14F6"/>
    <w:rsid w:val="009D15AA"/>
    <w:rsid w:val="009D2627"/>
    <w:rsid w:val="009D3274"/>
    <w:rsid w:val="009D3327"/>
    <w:rsid w:val="009D34BF"/>
    <w:rsid w:val="009D3D70"/>
    <w:rsid w:val="009D3F4E"/>
    <w:rsid w:val="009D40DF"/>
    <w:rsid w:val="009D4452"/>
    <w:rsid w:val="009D4770"/>
    <w:rsid w:val="009D51F2"/>
    <w:rsid w:val="009D59B5"/>
    <w:rsid w:val="009D5A10"/>
    <w:rsid w:val="009D687E"/>
    <w:rsid w:val="009D68EF"/>
    <w:rsid w:val="009D6A8D"/>
    <w:rsid w:val="009D6DBE"/>
    <w:rsid w:val="009D6EB7"/>
    <w:rsid w:val="009D77D5"/>
    <w:rsid w:val="009E018B"/>
    <w:rsid w:val="009E10F1"/>
    <w:rsid w:val="009E1CCF"/>
    <w:rsid w:val="009E239C"/>
    <w:rsid w:val="009E2B88"/>
    <w:rsid w:val="009E2FDF"/>
    <w:rsid w:val="009E307F"/>
    <w:rsid w:val="009E3282"/>
    <w:rsid w:val="009E345E"/>
    <w:rsid w:val="009E36EE"/>
    <w:rsid w:val="009E373A"/>
    <w:rsid w:val="009E3B2C"/>
    <w:rsid w:val="009E4232"/>
    <w:rsid w:val="009E43B6"/>
    <w:rsid w:val="009E47C8"/>
    <w:rsid w:val="009E4DDF"/>
    <w:rsid w:val="009E4E96"/>
    <w:rsid w:val="009E524F"/>
    <w:rsid w:val="009E6006"/>
    <w:rsid w:val="009E64A5"/>
    <w:rsid w:val="009E6A20"/>
    <w:rsid w:val="009E6F7E"/>
    <w:rsid w:val="009E7352"/>
    <w:rsid w:val="009E79DC"/>
    <w:rsid w:val="009E7A57"/>
    <w:rsid w:val="009E7F11"/>
    <w:rsid w:val="009F05A4"/>
    <w:rsid w:val="009F072C"/>
    <w:rsid w:val="009F0B52"/>
    <w:rsid w:val="009F0C31"/>
    <w:rsid w:val="009F0C4D"/>
    <w:rsid w:val="009F1A69"/>
    <w:rsid w:val="009F1A96"/>
    <w:rsid w:val="009F23BA"/>
    <w:rsid w:val="009F29B6"/>
    <w:rsid w:val="009F2B31"/>
    <w:rsid w:val="009F3DAC"/>
    <w:rsid w:val="009F3E46"/>
    <w:rsid w:val="009F3F63"/>
    <w:rsid w:val="009F42AA"/>
    <w:rsid w:val="009F442C"/>
    <w:rsid w:val="009F4F6A"/>
    <w:rsid w:val="009F52ED"/>
    <w:rsid w:val="009F53EE"/>
    <w:rsid w:val="009F542A"/>
    <w:rsid w:val="009F575D"/>
    <w:rsid w:val="009F7727"/>
    <w:rsid w:val="00A00164"/>
    <w:rsid w:val="00A0020D"/>
    <w:rsid w:val="00A0029F"/>
    <w:rsid w:val="00A00343"/>
    <w:rsid w:val="00A0050F"/>
    <w:rsid w:val="00A00797"/>
    <w:rsid w:val="00A011FA"/>
    <w:rsid w:val="00A0161A"/>
    <w:rsid w:val="00A01E5C"/>
    <w:rsid w:val="00A02027"/>
    <w:rsid w:val="00A02CA1"/>
    <w:rsid w:val="00A02FED"/>
    <w:rsid w:val="00A03ED8"/>
    <w:rsid w:val="00A04084"/>
    <w:rsid w:val="00A0436C"/>
    <w:rsid w:val="00A0472E"/>
    <w:rsid w:val="00A04EFC"/>
    <w:rsid w:val="00A05D84"/>
    <w:rsid w:val="00A05DCA"/>
    <w:rsid w:val="00A06111"/>
    <w:rsid w:val="00A06155"/>
    <w:rsid w:val="00A065D2"/>
    <w:rsid w:val="00A0779E"/>
    <w:rsid w:val="00A07E19"/>
    <w:rsid w:val="00A1010E"/>
    <w:rsid w:val="00A10489"/>
    <w:rsid w:val="00A109BE"/>
    <w:rsid w:val="00A11254"/>
    <w:rsid w:val="00A11420"/>
    <w:rsid w:val="00A11660"/>
    <w:rsid w:val="00A125DF"/>
    <w:rsid w:val="00A127E1"/>
    <w:rsid w:val="00A12ABD"/>
    <w:rsid w:val="00A12AC7"/>
    <w:rsid w:val="00A12DD7"/>
    <w:rsid w:val="00A130D0"/>
    <w:rsid w:val="00A13FB6"/>
    <w:rsid w:val="00A140E6"/>
    <w:rsid w:val="00A14241"/>
    <w:rsid w:val="00A144FF"/>
    <w:rsid w:val="00A152D5"/>
    <w:rsid w:val="00A168B7"/>
    <w:rsid w:val="00A16E36"/>
    <w:rsid w:val="00A170E2"/>
    <w:rsid w:val="00A174A5"/>
    <w:rsid w:val="00A20B0C"/>
    <w:rsid w:val="00A21759"/>
    <w:rsid w:val="00A219E6"/>
    <w:rsid w:val="00A21CA3"/>
    <w:rsid w:val="00A221D5"/>
    <w:rsid w:val="00A22AFE"/>
    <w:rsid w:val="00A22C6C"/>
    <w:rsid w:val="00A22C86"/>
    <w:rsid w:val="00A22D04"/>
    <w:rsid w:val="00A23AFF"/>
    <w:rsid w:val="00A24453"/>
    <w:rsid w:val="00A244D5"/>
    <w:rsid w:val="00A24802"/>
    <w:rsid w:val="00A24961"/>
    <w:rsid w:val="00A249D6"/>
    <w:rsid w:val="00A24B10"/>
    <w:rsid w:val="00A24C48"/>
    <w:rsid w:val="00A24CBC"/>
    <w:rsid w:val="00A255BF"/>
    <w:rsid w:val="00A2561C"/>
    <w:rsid w:val="00A25748"/>
    <w:rsid w:val="00A25A58"/>
    <w:rsid w:val="00A274DC"/>
    <w:rsid w:val="00A27626"/>
    <w:rsid w:val="00A278E7"/>
    <w:rsid w:val="00A27C71"/>
    <w:rsid w:val="00A30763"/>
    <w:rsid w:val="00A3083A"/>
    <w:rsid w:val="00A30E9B"/>
    <w:rsid w:val="00A31706"/>
    <w:rsid w:val="00A3244D"/>
    <w:rsid w:val="00A32C70"/>
    <w:rsid w:val="00A32F95"/>
    <w:rsid w:val="00A339B5"/>
    <w:rsid w:val="00A34880"/>
    <w:rsid w:val="00A348D7"/>
    <w:rsid w:val="00A35A44"/>
    <w:rsid w:val="00A35BFE"/>
    <w:rsid w:val="00A35DD6"/>
    <w:rsid w:val="00A3616A"/>
    <w:rsid w:val="00A36182"/>
    <w:rsid w:val="00A361BA"/>
    <w:rsid w:val="00A364E0"/>
    <w:rsid w:val="00A36600"/>
    <w:rsid w:val="00A36773"/>
    <w:rsid w:val="00A36A85"/>
    <w:rsid w:val="00A3755F"/>
    <w:rsid w:val="00A37DA1"/>
    <w:rsid w:val="00A41245"/>
    <w:rsid w:val="00A41481"/>
    <w:rsid w:val="00A41640"/>
    <w:rsid w:val="00A41F92"/>
    <w:rsid w:val="00A41FC1"/>
    <w:rsid w:val="00A42C1C"/>
    <w:rsid w:val="00A42F28"/>
    <w:rsid w:val="00A432EC"/>
    <w:rsid w:val="00A4347B"/>
    <w:rsid w:val="00A4357D"/>
    <w:rsid w:val="00A4359C"/>
    <w:rsid w:val="00A43F4D"/>
    <w:rsid w:val="00A443BB"/>
    <w:rsid w:val="00A450E6"/>
    <w:rsid w:val="00A4512D"/>
    <w:rsid w:val="00A452C2"/>
    <w:rsid w:val="00A45539"/>
    <w:rsid w:val="00A45728"/>
    <w:rsid w:val="00A46165"/>
    <w:rsid w:val="00A46553"/>
    <w:rsid w:val="00A46623"/>
    <w:rsid w:val="00A46B45"/>
    <w:rsid w:val="00A46EDE"/>
    <w:rsid w:val="00A474D1"/>
    <w:rsid w:val="00A478F9"/>
    <w:rsid w:val="00A479AA"/>
    <w:rsid w:val="00A50244"/>
    <w:rsid w:val="00A505BB"/>
    <w:rsid w:val="00A51474"/>
    <w:rsid w:val="00A51834"/>
    <w:rsid w:val="00A51BD7"/>
    <w:rsid w:val="00A52038"/>
    <w:rsid w:val="00A521FC"/>
    <w:rsid w:val="00A524B5"/>
    <w:rsid w:val="00A53476"/>
    <w:rsid w:val="00A5433C"/>
    <w:rsid w:val="00A54346"/>
    <w:rsid w:val="00A54886"/>
    <w:rsid w:val="00A5492E"/>
    <w:rsid w:val="00A54A9E"/>
    <w:rsid w:val="00A54AF1"/>
    <w:rsid w:val="00A54D17"/>
    <w:rsid w:val="00A54E96"/>
    <w:rsid w:val="00A54EF6"/>
    <w:rsid w:val="00A5548F"/>
    <w:rsid w:val="00A56CAF"/>
    <w:rsid w:val="00A56DCE"/>
    <w:rsid w:val="00A56F17"/>
    <w:rsid w:val="00A5726D"/>
    <w:rsid w:val="00A575BD"/>
    <w:rsid w:val="00A5761A"/>
    <w:rsid w:val="00A57952"/>
    <w:rsid w:val="00A579A6"/>
    <w:rsid w:val="00A609DE"/>
    <w:rsid w:val="00A60A58"/>
    <w:rsid w:val="00A60DFD"/>
    <w:rsid w:val="00A6110D"/>
    <w:rsid w:val="00A61306"/>
    <w:rsid w:val="00A614B9"/>
    <w:rsid w:val="00A616BF"/>
    <w:rsid w:val="00A627D7"/>
    <w:rsid w:val="00A62BA9"/>
    <w:rsid w:val="00A63195"/>
    <w:rsid w:val="00A635FD"/>
    <w:rsid w:val="00A63DC2"/>
    <w:rsid w:val="00A64264"/>
    <w:rsid w:val="00A6489B"/>
    <w:rsid w:val="00A64A1C"/>
    <w:rsid w:val="00A64B40"/>
    <w:rsid w:val="00A652CF"/>
    <w:rsid w:val="00A655C7"/>
    <w:rsid w:val="00A656C7"/>
    <w:rsid w:val="00A65727"/>
    <w:rsid w:val="00A65AAF"/>
    <w:rsid w:val="00A668BB"/>
    <w:rsid w:val="00A67058"/>
    <w:rsid w:val="00A67609"/>
    <w:rsid w:val="00A70080"/>
    <w:rsid w:val="00A705AF"/>
    <w:rsid w:val="00A70902"/>
    <w:rsid w:val="00A71281"/>
    <w:rsid w:val="00A719DD"/>
    <w:rsid w:val="00A71B9A"/>
    <w:rsid w:val="00A72454"/>
    <w:rsid w:val="00A7247F"/>
    <w:rsid w:val="00A72E16"/>
    <w:rsid w:val="00A737AA"/>
    <w:rsid w:val="00A738D1"/>
    <w:rsid w:val="00A73CDD"/>
    <w:rsid w:val="00A73DDC"/>
    <w:rsid w:val="00A744CA"/>
    <w:rsid w:val="00A74B06"/>
    <w:rsid w:val="00A74CEA"/>
    <w:rsid w:val="00A7514A"/>
    <w:rsid w:val="00A752D8"/>
    <w:rsid w:val="00A75C43"/>
    <w:rsid w:val="00A75C95"/>
    <w:rsid w:val="00A75D65"/>
    <w:rsid w:val="00A75F96"/>
    <w:rsid w:val="00A764C8"/>
    <w:rsid w:val="00A7670F"/>
    <w:rsid w:val="00A768D2"/>
    <w:rsid w:val="00A7731B"/>
    <w:rsid w:val="00A77696"/>
    <w:rsid w:val="00A80557"/>
    <w:rsid w:val="00A80584"/>
    <w:rsid w:val="00A80A68"/>
    <w:rsid w:val="00A80F68"/>
    <w:rsid w:val="00A80FD9"/>
    <w:rsid w:val="00A810C5"/>
    <w:rsid w:val="00A8112B"/>
    <w:rsid w:val="00A814AB"/>
    <w:rsid w:val="00A81C1F"/>
    <w:rsid w:val="00A81D33"/>
    <w:rsid w:val="00A821A7"/>
    <w:rsid w:val="00A821C1"/>
    <w:rsid w:val="00A82E16"/>
    <w:rsid w:val="00A830CE"/>
    <w:rsid w:val="00A83905"/>
    <w:rsid w:val="00A8390C"/>
    <w:rsid w:val="00A8414F"/>
    <w:rsid w:val="00A84E58"/>
    <w:rsid w:val="00A852FF"/>
    <w:rsid w:val="00A85757"/>
    <w:rsid w:val="00A85F97"/>
    <w:rsid w:val="00A867C5"/>
    <w:rsid w:val="00A86964"/>
    <w:rsid w:val="00A86F31"/>
    <w:rsid w:val="00A8790A"/>
    <w:rsid w:val="00A9034B"/>
    <w:rsid w:val="00A90B8F"/>
    <w:rsid w:val="00A90CCD"/>
    <w:rsid w:val="00A90FB2"/>
    <w:rsid w:val="00A91081"/>
    <w:rsid w:val="00A9165C"/>
    <w:rsid w:val="00A923CC"/>
    <w:rsid w:val="00A92C34"/>
    <w:rsid w:val="00A930AE"/>
    <w:rsid w:val="00A930D6"/>
    <w:rsid w:val="00A934DE"/>
    <w:rsid w:val="00A939B5"/>
    <w:rsid w:val="00A93A91"/>
    <w:rsid w:val="00A93B31"/>
    <w:rsid w:val="00A93C64"/>
    <w:rsid w:val="00A94422"/>
    <w:rsid w:val="00A948F2"/>
    <w:rsid w:val="00A94E2A"/>
    <w:rsid w:val="00A952C6"/>
    <w:rsid w:val="00A95516"/>
    <w:rsid w:val="00A95836"/>
    <w:rsid w:val="00A95A00"/>
    <w:rsid w:val="00A95C53"/>
    <w:rsid w:val="00A95EF7"/>
    <w:rsid w:val="00A9661F"/>
    <w:rsid w:val="00A970BA"/>
    <w:rsid w:val="00A972C4"/>
    <w:rsid w:val="00A97962"/>
    <w:rsid w:val="00A97FB3"/>
    <w:rsid w:val="00AA03F1"/>
    <w:rsid w:val="00AA0870"/>
    <w:rsid w:val="00AA0C62"/>
    <w:rsid w:val="00AA0F38"/>
    <w:rsid w:val="00AA13D6"/>
    <w:rsid w:val="00AA1550"/>
    <w:rsid w:val="00AA191F"/>
    <w:rsid w:val="00AA1A3E"/>
    <w:rsid w:val="00AA1A95"/>
    <w:rsid w:val="00AA1B82"/>
    <w:rsid w:val="00AA1D66"/>
    <w:rsid w:val="00AA260F"/>
    <w:rsid w:val="00AA266F"/>
    <w:rsid w:val="00AA2C40"/>
    <w:rsid w:val="00AA3F43"/>
    <w:rsid w:val="00AA46C0"/>
    <w:rsid w:val="00AA46F3"/>
    <w:rsid w:val="00AA4F06"/>
    <w:rsid w:val="00AA53E1"/>
    <w:rsid w:val="00AA5633"/>
    <w:rsid w:val="00AA56A4"/>
    <w:rsid w:val="00AA57B4"/>
    <w:rsid w:val="00AA5A49"/>
    <w:rsid w:val="00AA5D2B"/>
    <w:rsid w:val="00AA6B14"/>
    <w:rsid w:val="00AA6CC6"/>
    <w:rsid w:val="00AA6CD6"/>
    <w:rsid w:val="00AA750A"/>
    <w:rsid w:val="00AA75EA"/>
    <w:rsid w:val="00AA763F"/>
    <w:rsid w:val="00AA77AE"/>
    <w:rsid w:val="00AB0067"/>
    <w:rsid w:val="00AB0313"/>
    <w:rsid w:val="00AB0D2B"/>
    <w:rsid w:val="00AB0D3B"/>
    <w:rsid w:val="00AB100D"/>
    <w:rsid w:val="00AB1738"/>
    <w:rsid w:val="00AB1D66"/>
    <w:rsid w:val="00AB1EE7"/>
    <w:rsid w:val="00AB1F08"/>
    <w:rsid w:val="00AB26AE"/>
    <w:rsid w:val="00AB2783"/>
    <w:rsid w:val="00AB31B8"/>
    <w:rsid w:val="00AB3675"/>
    <w:rsid w:val="00AB3912"/>
    <w:rsid w:val="00AB3AAA"/>
    <w:rsid w:val="00AB3CF9"/>
    <w:rsid w:val="00AB42F8"/>
    <w:rsid w:val="00AB4402"/>
    <w:rsid w:val="00AB4B37"/>
    <w:rsid w:val="00AB56E2"/>
    <w:rsid w:val="00AB5762"/>
    <w:rsid w:val="00AB6313"/>
    <w:rsid w:val="00AB6D51"/>
    <w:rsid w:val="00AB78B2"/>
    <w:rsid w:val="00AB7C0A"/>
    <w:rsid w:val="00AC0C70"/>
    <w:rsid w:val="00AC119D"/>
    <w:rsid w:val="00AC147B"/>
    <w:rsid w:val="00AC156B"/>
    <w:rsid w:val="00AC1648"/>
    <w:rsid w:val="00AC1C24"/>
    <w:rsid w:val="00AC1FB6"/>
    <w:rsid w:val="00AC2187"/>
    <w:rsid w:val="00AC25C5"/>
    <w:rsid w:val="00AC260E"/>
    <w:rsid w:val="00AC2679"/>
    <w:rsid w:val="00AC3FA1"/>
    <w:rsid w:val="00AC42B4"/>
    <w:rsid w:val="00AC4A98"/>
    <w:rsid w:val="00AC4BE4"/>
    <w:rsid w:val="00AC4E5C"/>
    <w:rsid w:val="00AC4FB7"/>
    <w:rsid w:val="00AC526F"/>
    <w:rsid w:val="00AC5513"/>
    <w:rsid w:val="00AC5606"/>
    <w:rsid w:val="00AC57AB"/>
    <w:rsid w:val="00AC6BF9"/>
    <w:rsid w:val="00AC77F0"/>
    <w:rsid w:val="00AC7C78"/>
    <w:rsid w:val="00AC7FA9"/>
    <w:rsid w:val="00AD02C5"/>
    <w:rsid w:val="00AD05E6"/>
    <w:rsid w:val="00AD0600"/>
    <w:rsid w:val="00AD0D3F"/>
    <w:rsid w:val="00AD0F43"/>
    <w:rsid w:val="00AD1251"/>
    <w:rsid w:val="00AD1802"/>
    <w:rsid w:val="00AD1817"/>
    <w:rsid w:val="00AD2BBB"/>
    <w:rsid w:val="00AD35B2"/>
    <w:rsid w:val="00AD3676"/>
    <w:rsid w:val="00AD3779"/>
    <w:rsid w:val="00AD3BB4"/>
    <w:rsid w:val="00AD3D8A"/>
    <w:rsid w:val="00AD53AD"/>
    <w:rsid w:val="00AD58B0"/>
    <w:rsid w:val="00AD598B"/>
    <w:rsid w:val="00AD59E1"/>
    <w:rsid w:val="00AD5FDE"/>
    <w:rsid w:val="00AD6486"/>
    <w:rsid w:val="00AD6FE1"/>
    <w:rsid w:val="00AD786B"/>
    <w:rsid w:val="00AD7BD8"/>
    <w:rsid w:val="00AD7F2B"/>
    <w:rsid w:val="00AE0854"/>
    <w:rsid w:val="00AE088E"/>
    <w:rsid w:val="00AE0ADA"/>
    <w:rsid w:val="00AE1610"/>
    <w:rsid w:val="00AE1D5F"/>
    <w:rsid w:val="00AE1D7D"/>
    <w:rsid w:val="00AE26A2"/>
    <w:rsid w:val="00AE2A8B"/>
    <w:rsid w:val="00AE2AC7"/>
    <w:rsid w:val="00AE2D68"/>
    <w:rsid w:val="00AE3103"/>
    <w:rsid w:val="00AE3F64"/>
    <w:rsid w:val="00AE40C9"/>
    <w:rsid w:val="00AE4B20"/>
    <w:rsid w:val="00AE4F8E"/>
    <w:rsid w:val="00AE4FD5"/>
    <w:rsid w:val="00AE5297"/>
    <w:rsid w:val="00AE58A4"/>
    <w:rsid w:val="00AE688D"/>
    <w:rsid w:val="00AE6BB7"/>
    <w:rsid w:val="00AF0404"/>
    <w:rsid w:val="00AF0CB4"/>
    <w:rsid w:val="00AF2013"/>
    <w:rsid w:val="00AF2121"/>
    <w:rsid w:val="00AF3063"/>
    <w:rsid w:val="00AF3191"/>
    <w:rsid w:val="00AF3197"/>
    <w:rsid w:val="00AF37A8"/>
    <w:rsid w:val="00AF380A"/>
    <w:rsid w:val="00AF3B74"/>
    <w:rsid w:val="00AF4AA5"/>
    <w:rsid w:val="00AF555F"/>
    <w:rsid w:val="00AF5AE7"/>
    <w:rsid w:val="00AF5CB6"/>
    <w:rsid w:val="00AF5EBF"/>
    <w:rsid w:val="00AF6039"/>
    <w:rsid w:val="00AF65A7"/>
    <w:rsid w:val="00AF6E99"/>
    <w:rsid w:val="00AF7386"/>
    <w:rsid w:val="00AF78D5"/>
    <w:rsid w:val="00AF7934"/>
    <w:rsid w:val="00AF7AB6"/>
    <w:rsid w:val="00AF7E92"/>
    <w:rsid w:val="00B0021E"/>
    <w:rsid w:val="00B00581"/>
    <w:rsid w:val="00B00757"/>
    <w:rsid w:val="00B009D9"/>
    <w:rsid w:val="00B00A44"/>
    <w:rsid w:val="00B00B81"/>
    <w:rsid w:val="00B00F85"/>
    <w:rsid w:val="00B01202"/>
    <w:rsid w:val="00B0144C"/>
    <w:rsid w:val="00B0149D"/>
    <w:rsid w:val="00B0201C"/>
    <w:rsid w:val="00B0211E"/>
    <w:rsid w:val="00B02A49"/>
    <w:rsid w:val="00B02FBD"/>
    <w:rsid w:val="00B032E2"/>
    <w:rsid w:val="00B034D9"/>
    <w:rsid w:val="00B0372D"/>
    <w:rsid w:val="00B04580"/>
    <w:rsid w:val="00B04B09"/>
    <w:rsid w:val="00B04BB9"/>
    <w:rsid w:val="00B04CFD"/>
    <w:rsid w:val="00B05153"/>
    <w:rsid w:val="00B059B1"/>
    <w:rsid w:val="00B06EC8"/>
    <w:rsid w:val="00B1043C"/>
    <w:rsid w:val="00B1097D"/>
    <w:rsid w:val="00B10C34"/>
    <w:rsid w:val="00B10CFF"/>
    <w:rsid w:val="00B1102D"/>
    <w:rsid w:val="00B115B6"/>
    <w:rsid w:val="00B1191F"/>
    <w:rsid w:val="00B119D3"/>
    <w:rsid w:val="00B11FE2"/>
    <w:rsid w:val="00B124A2"/>
    <w:rsid w:val="00B137F5"/>
    <w:rsid w:val="00B15058"/>
    <w:rsid w:val="00B15555"/>
    <w:rsid w:val="00B15D01"/>
    <w:rsid w:val="00B16A51"/>
    <w:rsid w:val="00B1714A"/>
    <w:rsid w:val="00B172BB"/>
    <w:rsid w:val="00B1772F"/>
    <w:rsid w:val="00B20946"/>
    <w:rsid w:val="00B20B1A"/>
    <w:rsid w:val="00B21BF8"/>
    <w:rsid w:val="00B22036"/>
    <w:rsid w:val="00B22554"/>
    <w:rsid w:val="00B227E0"/>
    <w:rsid w:val="00B228FA"/>
    <w:rsid w:val="00B22938"/>
    <w:rsid w:val="00B22E78"/>
    <w:rsid w:val="00B23C81"/>
    <w:rsid w:val="00B23D2A"/>
    <w:rsid w:val="00B24478"/>
    <w:rsid w:val="00B24514"/>
    <w:rsid w:val="00B24858"/>
    <w:rsid w:val="00B25190"/>
    <w:rsid w:val="00B251B7"/>
    <w:rsid w:val="00B25440"/>
    <w:rsid w:val="00B256B7"/>
    <w:rsid w:val="00B25992"/>
    <w:rsid w:val="00B26202"/>
    <w:rsid w:val="00B266FE"/>
    <w:rsid w:val="00B26787"/>
    <w:rsid w:val="00B268E7"/>
    <w:rsid w:val="00B26A06"/>
    <w:rsid w:val="00B27443"/>
    <w:rsid w:val="00B27ABE"/>
    <w:rsid w:val="00B27C82"/>
    <w:rsid w:val="00B27E09"/>
    <w:rsid w:val="00B302CB"/>
    <w:rsid w:val="00B30ED4"/>
    <w:rsid w:val="00B312F1"/>
    <w:rsid w:val="00B31A19"/>
    <w:rsid w:val="00B31F59"/>
    <w:rsid w:val="00B3208C"/>
    <w:rsid w:val="00B32222"/>
    <w:rsid w:val="00B3289C"/>
    <w:rsid w:val="00B332ED"/>
    <w:rsid w:val="00B34BD2"/>
    <w:rsid w:val="00B34BE2"/>
    <w:rsid w:val="00B34FB7"/>
    <w:rsid w:val="00B359B8"/>
    <w:rsid w:val="00B3618D"/>
    <w:rsid w:val="00B36233"/>
    <w:rsid w:val="00B363B4"/>
    <w:rsid w:val="00B36914"/>
    <w:rsid w:val="00B36A89"/>
    <w:rsid w:val="00B36F2C"/>
    <w:rsid w:val="00B373FC"/>
    <w:rsid w:val="00B374A4"/>
    <w:rsid w:val="00B3755C"/>
    <w:rsid w:val="00B37B13"/>
    <w:rsid w:val="00B37C47"/>
    <w:rsid w:val="00B4062C"/>
    <w:rsid w:val="00B40B62"/>
    <w:rsid w:val="00B411B2"/>
    <w:rsid w:val="00B41533"/>
    <w:rsid w:val="00B4184F"/>
    <w:rsid w:val="00B418A2"/>
    <w:rsid w:val="00B41CC7"/>
    <w:rsid w:val="00B41FC4"/>
    <w:rsid w:val="00B42851"/>
    <w:rsid w:val="00B428F9"/>
    <w:rsid w:val="00B43914"/>
    <w:rsid w:val="00B43A69"/>
    <w:rsid w:val="00B43D04"/>
    <w:rsid w:val="00B44010"/>
    <w:rsid w:val="00B448C9"/>
    <w:rsid w:val="00B45AC7"/>
    <w:rsid w:val="00B45D0D"/>
    <w:rsid w:val="00B45F87"/>
    <w:rsid w:val="00B4628A"/>
    <w:rsid w:val="00B46903"/>
    <w:rsid w:val="00B4699E"/>
    <w:rsid w:val="00B46EA9"/>
    <w:rsid w:val="00B47A34"/>
    <w:rsid w:val="00B47AA6"/>
    <w:rsid w:val="00B47C5E"/>
    <w:rsid w:val="00B47CB6"/>
    <w:rsid w:val="00B47DEA"/>
    <w:rsid w:val="00B50329"/>
    <w:rsid w:val="00B507DB"/>
    <w:rsid w:val="00B51163"/>
    <w:rsid w:val="00B51B1E"/>
    <w:rsid w:val="00B51FDC"/>
    <w:rsid w:val="00B52540"/>
    <w:rsid w:val="00B5283F"/>
    <w:rsid w:val="00B52EE8"/>
    <w:rsid w:val="00B5305F"/>
    <w:rsid w:val="00B5308E"/>
    <w:rsid w:val="00B53124"/>
    <w:rsid w:val="00B53421"/>
    <w:rsid w:val="00B5372F"/>
    <w:rsid w:val="00B54B35"/>
    <w:rsid w:val="00B55A25"/>
    <w:rsid w:val="00B55F0F"/>
    <w:rsid w:val="00B563B5"/>
    <w:rsid w:val="00B563EA"/>
    <w:rsid w:val="00B5699C"/>
    <w:rsid w:val="00B57411"/>
    <w:rsid w:val="00B57A13"/>
    <w:rsid w:val="00B57BB3"/>
    <w:rsid w:val="00B57BC0"/>
    <w:rsid w:val="00B609B7"/>
    <w:rsid w:val="00B60A15"/>
    <w:rsid w:val="00B61129"/>
    <w:rsid w:val="00B61471"/>
    <w:rsid w:val="00B61B41"/>
    <w:rsid w:val="00B61B84"/>
    <w:rsid w:val="00B62881"/>
    <w:rsid w:val="00B62A67"/>
    <w:rsid w:val="00B62DD2"/>
    <w:rsid w:val="00B631F8"/>
    <w:rsid w:val="00B637D9"/>
    <w:rsid w:val="00B641FF"/>
    <w:rsid w:val="00B64C14"/>
    <w:rsid w:val="00B64C61"/>
    <w:rsid w:val="00B67E7F"/>
    <w:rsid w:val="00B70FB7"/>
    <w:rsid w:val="00B71416"/>
    <w:rsid w:val="00B7180E"/>
    <w:rsid w:val="00B71F72"/>
    <w:rsid w:val="00B7222E"/>
    <w:rsid w:val="00B729A5"/>
    <w:rsid w:val="00B72AE4"/>
    <w:rsid w:val="00B7325B"/>
    <w:rsid w:val="00B73C4B"/>
    <w:rsid w:val="00B73C86"/>
    <w:rsid w:val="00B73C97"/>
    <w:rsid w:val="00B73CDA"/>
    <w:rsid w:val="00B74769"/>
    <w:rsid w:val="00B75A04"/>
    <w:rsid w:val="00B75BEC"/>
    <w:rsid w:val="00B75EC6"/>
    <w:rsid w:val="00B761B3"/>
    <w:rsid w:val="00B7644C"/>
    <w:rsid w:val="00B77472"/>
    <w:rsid w:val="00B77FAA"/>
    <w:rsid w:val="00B802F0"/>
    <w:rsid w:val="00B80592"/>
    <w:rsid w:val="00B808D0"/>
    <w:rsid w:val="00B80B3B"/>
    <w:rsid w:val="00B8134B"/>
    <w:rsid w:val="00B81F46"/>
    <w:rsid w:val="00B81F55"/>
    <w:rsid w:val="00B82222"/>
    <w:rsid w:val="00B82603"/>
    <w:rsid w:val="00B828D2"/>
    <w:rsid w:val="00B83201"/>
    <w:rsid w:val="00B83336"/>
    <w:rsid w:val="00B83503"/>
    <w:rsid w:val="00B83933"/>
    <w:rsid w:val="00B839B2"/>
    <w:rsid w:val="00B839CF"/>
    <w:rsid w:val="00B83AEA"/>
    <w:rsid w:val="00B841B2"/>
    <w:rsid w:val="00B84F5E"/>
    <w:rsid w:val="00B85409"/>
    <w:rsid w:val="00B85798"/>
    <w:rsid w:val="00B85849"/>
    <w:rsid w:val="00B85896"/>
    <w:rsid w:val="00B85BB1"/>
    <w:rsid w:val="00B85DDD"/>
    <w:rsid w:val="00B87A5B"/>
    <w:rsid w:val="00B87DCE"/>
    <w:rsid w:val="00B9001B"/>
    <w:rsid w:val="00B9014E"/>
    <w:rsid w:val="00B90CCA"/>
    <w:rsid w:val="00B9156D"/>
    <w:rsid w:val="00B9218A"/>
    <w:rsid w:val="00B927AF"/>
    <w:rsid w:val="00B92857"/>
    <w:rsid w:val="00B93419"/>
    <w:rsid w:val="00B935A4"/>
    <w:rsid w:val="00B93B9B"/>
    <w:rsid w:val="00B93F5D"/>
    <w:rsid w:val="00B94252"/>
    <w:rsid w:val="00B9470F"/>
    <w:rsid w:val="00B94828"/>
    <w:rsid w:val="00B94C24"/>
    <w:rsid w:val="00B951B4"/>
    <w:rsid w:val="00B9534D"/>
    <w:rsid w:val="00B95412"/>
    <w:rsid w:val="00B957FA"/>
    <w:rsid w:val="00B95A80"/>
    <w:rsid w:val="00B964A6"/>
    <w:rsid w:val="00B9660D"/>
    <w:rsid w:val="00B96803"/>
    <w:rsid w:val="00B96CE3"/>
    <w:rsid w:val="00B96CF1"/>
    <w:rsid w:val="00B9715A"/>
    <w:rsid w:val="00B975D8"/>
    <w:rsid w:val="00B97675"/>
    <w:rsid w:val="00B97895"/>
    <w:rsid w:val="00B97CA7"/>
    <w:rsid w:val="00B97DD8"/>
    <w:rsid w:val="00BA03F0"/>
    <w:rsid w:val="00BA0588"/>
    <w:rsid w:val="00BA0651"/>
    <w:rsid w:val="00BA0A46"/>
    <w:rsid w:val="00BA10A9"/>
    <w:rsid w:val="00BA132C"/>
    <w:rsid w:val="00BA14BE"/>
    <w:rsid w:val="00BA157F"/>
    <w:rsid w:val="00BA1841"/>
    <w:rsid w:val="00BA1DDC"/>
    <w:rsid w:val="00BA21D2"/>
    <w:rsid w:val="00BA2339"/>
    <w:rsid w:val="00BA26B2"/>
    <w:rsid w:val="00BA2732"/>
    <w:rsid w:val="00BA293D"/>
    <w:rsid w:val="00BA2B89"/>
    <w:rsid w:val="00BA3A30"/>
    <w:rsid w:val="00BA3A9B"/>
    <w:rsid w:val="00BA42A8"/>
    <w:rsid w:val="00BA45F0"/>
    <w:rsid w:val="00BA4964"/>
    <w:rsid w:val="00BA49BC"/>
    <w:rsid w:val="00BA56B7"/>
    <w:rsid w:val="00BA5CBE"/>
    <w:rsid w:val="00BA5D1A"/>
    <w:rsid w:val="00BA5F34"/>
    <w:rsid w:val="00BA5F61"/>
    <w:rsid w:val="00BA66E6"/>
    <w:rsid w:val="00BA6D8E"/>
    <w:rsid w:val="00BA70AB"/>
    <w:rsid w:val="00BA74EA"/>
    <w:rsid w:val="00BA7A1E"/>
    <w:rsid w:val="00BA7CA9"/>
    <w:rsid w:val="00BB03E0"/>
    <w:rsid w:val="00BB07E8"/>
    <w:rsid w:val="00BB0884"/>
    <w:rsid w:val="00BB10B4"/>
    <w:rsid w:val="00BB1295"/>
    <w:rsid w:val="00BB1682"/>
    <w:rsid w:val="00BB182D"/>
    <w:rsid w:val="00BB1F08"/>
    <w:rsid w:val="00BB25CC"/>
    <w:rsid w:val="00BB25FD"/>
    <w:rsid w:val="00BB27D7"/>
    <w:rsid w:val="00BB2B7D"/>
    <w:rsid w:val="00BB2E2F"/>
    <w:rsid w:val="00BB2F6C"/>
    <w:rsid w:val="00BB311F"/>
    <w:rsid w:val="00BB3273"/>
    <w:rsid w:val="00BB36E4"/>
    <w:rsid w:val="00BB3875"/>
    <w:rsid w:val="00BB5369"/>
    <w:rsid w:val="00BB5479"/>
    <w:rsid w:val="00BB5860"/>
    <w:rsid w:val="00BB5A0F"/>
    <w:rsid w:val="00BB5EE0"/>
    <w:rsid w:val="00BB5F8B"/>
    <w:rsid w:val="00BB640D"/>
    <w:rsid w:val="00BB6AAD"/>
    <w:rsid w:val="00BB716C"/>
    <w:rsid w:val="00BB754E"/>
    <w:rsid w:val="00BC042D"/>
    <w:rsid w:val="00BC0B88"/>
    <w:rsid w:val="00BC1093"/>
    <w:rsid w:val="00BC1F00"/>
    <w:rsid w:val="00BC25BC"/>
    <w:rsid w:val="00BC2617"/>
    <w:rsid w:val="00BC274C"/>
    <w:rsid w:val="00BC2795"/>
    <w:rsid w:val="00BC4334"/>
    <w:rsid w:val="00BC4760"/>
    <w:rsid w:val="00BC48AE"/>
    <w:rsid w:val="00BC4A19"/>
    <w:rsid w:val="00BC4E6D"/>
    <w:rsid w:val="00BC5262"/>
    <w:rsid w:val="00BC56BF"/>
    <w:rsid w:val="00BC56D6"/>
    <w:rsid w:val="00BC6627"/>
    <w:rsid w:val="00BC6962"/>
    <w:rsid w:val="00BC6A0A"/>
    <w:rsid w:val="00BC6BD7"/>
    <w:rsid w:val="00BC7771"/>
    <w:rsid w:val="00BD0617"/>
    <w:rsid w:val="00BD06E4"/>
    <w:rsid w:val="00BD1B16"/>
    <w:rsid w:val="00BD2040"/>
    <w:rsid w:val="00BD2E9B"/>
    <w:rsid w:val="00BD30E7"/>
    <w:rsid w:val="00BD3190"/>
    <w:rsid w:val="00BD332A"/>
    <w:rsid w:val="00BD3CAC"/>
    <w:rsid w:val="00BD4ACF"/>
    <w:rsid w:val="00BD50BF"/>
    <w:rsid w:val="00BD5207"/>
    <w:rsid w:val="00BD5484"/>
    <w:rsid w:val="00BD58ED"/>
    <w:rsid w:val="00BD5962"/>
    <w:rsid w:val="00BD5AC8"/>
    <w:rsid w:val="00BD64B9"/>
    <w:rsid w:val="00BD6ACA"/>
    <w:rsid w:val="00BD7374"/>
    <w:rsid w:val="00BD7464"/>
    <w:rsid w:val="00BD7D7C"/>
    <w:rsid w:val="00BD7F20"/>
    <w:rsid w:val="00BE0595"/>
    <w:rsid w:val="00BE0CE1"/>
    <w:rsid w:val="00BE1273"/>
    <w:rsid w:val="00BE1606"/>
    <w:rsid w:val="00BE1C89"/>
    <w:rsid w:val="00BE1C8E"/>
    <w:rsid w:val="00BE244D"/>
    <w:rsid w:val="00BE2738"/>
    <w:rsid w:val="00BE37C0"/>
    <w:rsid w:val="00BE3CF7"/>
    <w:rsid w:val="00BE467E"/>
    <w:rsid w:val="00BE4CFE"/>
    <w:rsid w:val="00BE5AA1"/>
    <w:rsid w:val="00BE6109"/>
    <w:rsid w:val="00BE61F9"/>
    <w:rsid w:val="00BE6673"/>
    <w:rsid w:val="00BE6A70"/>
    <w:rsid w:val="00BE6CF5"/>
    <w:rsid w:val="00BE7031"/>
    <w:rsid w:val="00BE7A56"/>
    <w:rsid w:val="00BE7D74"/>
    <w:rsid w:val="00BF032D"/>
    <w:rsid w:val="00BF07ED"/>
    <w:rsid w:val="00BF13B6"/>
    <w:rsid w:val="00BF1ABD"/>
    <w:rsid w:val="00BF2700"/>
    <w:rsid w:val="00BF27E3"/>
    <w:rsid w:val="00BF294E"/>
    <w:rsid w:val="00BF32B1"/>
    <w:rsid w:val="00BF3470"/>
    <w:rsid w:val="00BF36D3"/>
    <w:rsid w:val="00BF3BF7"/>
    <w:rsid w:val="00BF3EFC"/>
    <w:rsid w:val="00BF42E6"/>
    <w:rsid w:val="00BF512B"/>
    <w:rsid w:val="00BF512E"/>
    <w:rsid w:val="00BF565D"/>
    <w:rsid w:val="00BF6139"/>
    <w:rsid w:val="00BF7267"/>
    <w:rsid w:val="00BF772E"/>
    <w:rsid w:val="00BF775D"/>
    <w:rsid w:val="00C005FA"/>
    <w:rsid w:val="00C00930"/>
    <w:rsid w:val="00C01026"/>
    <w:rsid w:val="00C012BE"/>
    <w:rsid w:val="00C01844"/>
    <w:rsid w:val="00C019D8"/>
    <w:rsid w:val="00C021D8"/>
    <w:rsid w:val="00C02396"/>
    <w:rsid w:val="00C025F2"/>
    <w:rsid w:val="00C0267F"/>
    <w:rsid w:val="00C02BB4"/>
    <w:rsid w:val="00C02CAA"/>
    <w:rsid w:val="00C031FB"/>
    <w:rsid w:val="00C033C1"/>
    <w:rsid w:val="00C033F2"/>
    <w:rsid w:val="00C03488"/>
    <w:rsid w:val="00C03F81"/>
    <w:rsid w:val="00C04500"/>
    <w:rsid w:val="00C04700"/>
    <w:rsid w:val="00C04900"/>
    <w:rsid w:val="00C04E8B"/>
    <w:rsid w:val="00C0537A"/>
    <w:rsid w:val="00C060AD"/>
    <w:rsid w:val="00C0670D"/>
    <w:rsid w:val="00C068AC"/>
    <w:rsid w:val="00C06D04"/>
    <w:rsid w:val="00C0769E"/>
    <w:rsid w:val="00C077BA"/>
    <w:rsid w:val="00C10169"/>
    <w:rsid w:val="00C10A62"/>
    <w:rsid w:val="00C10E7B"/>
    <w:rsid w:val="00C113BF"/>
    <w:rsid w:val="00C14160"/>
    <w:rsid w:val="00C14177"/>
    <w:rsid w:val="00C1445D"/>
    <w:rsid w:val="00C14A36"/>
    <w:rsid w:val="00C14A4A"/>
    <w:rsid w:val="00C14FE3"/>
    <w:rsid w:val="00C15284"/>
    <w:rsid w:val="00C165FE"/>
    <w:rsid w:val="00C173E8"/>
    <w:rsid w:val="00C174DF"/>
    <w:rsid w:val="00C17C4A"/>
    <w:rsid w:val="00C201DA"/>
    <w:rsid w:val="00C20447"/>
    <w:rsid w:val="00C2091A"/>
    <w:rsid w:val="00C209E6"/>
    <w:rsid w:val="00C211D5"/>
    <w:rsid w:val="00C214FF"/>
    <w:rsid w:val="00C21519"/>
    <w:rsid w:val="00C2176E"/>
    <w:rsid w:val="00C2189A"/>
    <w:rsid w:val="00C22B85"/>
    <w:rsid w:val="00C23430"/>
    <w:rsid w:val="00C23AB1"/>
    <w:rsid w:val="00C23FB6"/>
    <w:rsid w:val="00C2427F"/>
    <w:rsid w:val="00C24599"/>
    <w:rsid w:val="00C249A4"/>
    <w:rsid w:val="00C24EC2"/>
    <w:rsid w:val="00C25C92"/>
    <w:rsid w:val="00C26038"/>
    <w:rsid w:val="00C2610F"/>
    <w:rsid w:val="00C26D5B"/>
    <w:rsid w:val="00C27D67"/>
    <w:rsid w:val="00C307DC"/>
    <w:rsid w:val="00C30A12"/>
    <w:rsid w:val="00C31BE8"/>
    <w:rsid w:val="00C327F7"/>
    <w:rsid w:val="00C32EEB"/>
    <w:rsid w:val="00C33700"/>
    <w:rsid w:val="00C3397D"/>
    <w:rsid w:val="00C34255"/>
    <w:rsid w:val="00C343EA"/>
    <w:rsid w:val="00C348B1"/>
    <w:rsid w:val="00C34A9B"/>
    <w:rsid w:val="00C34F4F"/>
    <w:rsid w:val="00C34FA4"/>
    <w:rsid w:val="00C35220"/>
    <w:rsid w:val="00C358F1"/>
    <w:rsid w:val="00C359FC"/>
    <w:rsid w:val="00C35F17"/>
    <w:rsid w:val="00C36588"/>
    <w:rsid w:val="00C36728"/>
    <w:rsid w:val="00C36F0E"/>
    <w:rsid w:val="00C371D5"/>
    <w:rsid w:val="00C377D9"/>
    <w:rsid w:val="00C40D51"/>
    <w:rsid w:val="00C40FCF"/>
    <w:rsid w:val="00C4231F"/>
    <w:rsid w:val="00C42571"/>
    <w:rsid w:val="00C42AD1"/>
    <w:rsid w:val="00C430CB"/>
    <w:rsid w:val="00C436B0"/>
    <w:rsid w:val="00C4444D"/>
    <w:rsid w:val="00C444AD"/>
    <w:rsid w:val="00C458FC"/>
    <w:rsid w:val="00C45CAF"/>
    <w:rsid w:val="00C4631F"/>
    <w:rsid w:val="00C463E3"/>
    <w:rsid w:val="00C46F84"/>
    <w:rsid w:val="00C47131"/>
    <w:rsid w:val="00C5003D"/>
    <w:rsid w:val="00C504A5"/>
    <w:rsid w:val="00C506EC"/>
    <w:rsid w:val="00C5097D"/>
    <w:rsid w:val="00C50A27"/>
    <w:rsid w:val="00C50AA1"/>
    <w:rsid w:val="00C50E16"/>
    <w:rsid w:val="00C50F68"/>
    <w:rsid w:val="00C51679"/>
    <w:rsid w:val="00C51A1A"/>
    <w:rsid w:val="00C51A8E"/>
    <w:rsid w:val="00C51D82"/>
    <w:rsid w:val="00C5211D"/>
    <w:rsid w:val="00C5217E"/>
    <w:rsid w:val="00C52678"/>
    <w:rsid w:val="00C52925"/>
    <w:rsid w:val="00C53060"/>
    <w:rsid w:val="00C53379"/>
    <w:rsid w:val="00C53427"/>
    <w:rsid w:val="00C535E3"/>
    <w:rsid w:val="00C53F2C"/>
    <w:rsid w:val="00C54487"/>
    <w:rsid w:val="00C54834"/>
    <w:rsid w:val="00C55258"/>
    <w:rsid w:val="00C55593"/>
    <w:rsid w:val="00C5582D"/>
    <w:rsid w:val="00C55D6D"/>
    <w:rsid w:val="00C56121"/>
    <w:rsid w:val="00C56B17"/>
    <w:rsid w:val="00C57358"/>
    <w:rsid w:val="00C57660"/>
    <w:rsid w:val="00C57B83"/>
    <w:rsid w:val="00C60235"/>
    <w:rsid w:val="00C6061B"/>
    <w:rsid w:val="00C60699"/>
    <w:rsid w:val="00C606CA"/>
    <w:rsid w:val="00C60DBE"/>
    <w:rsid w:val="00C61492"/>
    <w:rsid w:val="00C614EA"/>
    <w:rsid w:val="00C6152E"/>
    <w:rsid w:val="00C616D8"/>
    <w:rsid w:val="00C61886"/>
    <w:rsid w:val="00C61F92"/>
    <w:rsid w:val="00C623EA"/>
    <w:rsid w:val="00C626ED"/>
    <w:rsid w:val="00C6272E"/>
    <w:rsid w:val="00C62744"/>
    <w:rsid w:val="00C632D6"/>
    <w:rsid w:val="00C63394"/>
    <w:rsid w:val="00C63ECB"/>
    <w:rsid w:val="00C6414D"/>
    <w:rsid w:val="00C64603"/>
    <w:rsid w:val="00C64AB9"/>
    <w:rsid w:val="00C653A4"/>
    <w:rsid w:val="00C654F3"/>
    <w:rsid w:val="00C66224"/>
    <w:rsid w:val="00C664DE"/>
    <w:rsid w:val="00C66A5A"/>
    <w:rsid w:val="00C66BFE"/>
    <w:rsid w:val="00C66C6F"/>
    <w:rsid w:val="00C66FF8"/>
    <w:rsid w:val="00C67F3C"/>
    <w:rsid w:val="00C72DF2"/>
    <w:rsid w:val="00C731AA"/>
    <w:rsid w:val="00C731CB"/>
    <w:rsid w:val="00C732FC"/>
    <w:rsid w:val="00C73481"/>
    <w:rsid w:val="00C73905"/>
    <w:rsid w:val="00C73D37"/>
    <w:rsid w:val="00C73E22"/>
    <w:rsid w:val="00C7413F"/>
    <w:rsid w:val="00C748E7"/>
    <w:rsid w:val="00C74C03"/>
    <w:rsid w:val="00C75CEB"/>
    <w:rsid w:val="00C762B0"/>
    <w:rsid w:val="00C76575"/>
    <w:rsid w:val="00C766A3"/>
    <w:rsid w:val="00C767F3"/>
    <w:rsid w:val="00C76F48"/>
    <w:rsid w:val="00C770D0"/>
    <w:rsid w:val="00C77DCA"/>
    <w:rsid w:val="00C77F81"/>
    <w:rsid w:val="00C77F86"/>
    <w:rsid w:val="00C77FAB"/>
    <w:rsid w:val="00C8031E"/>
    <w:rsid w:val="00C80DF8"/>
    <w:rsid w:val="00C817DA"/>
    <w:rsid w:val="00C81C8B"/>
    <w:rsid w:val="00C8262F"/>
    <w:rsid w:val="00C826F7"/>
    <w:rsid w:val="00C827B2"/>
    <w:rsid w:val="00C82EEB"/>
    <w:rsid w:val="00C83ADC"/>
    <w:rsid w:val="00C83B31"/>
    <w:rsid w:val="00C84675"/>
    <w:rsid w:val="00C8535D"/>
    <w:rsid w:val="00C859B5"/>
    <w:rsid w:val="00C85E63"/>
    <w:rsid w:val="00C86A53"/>
    <w:rsid w:val="00C86BAB"/>
    <w:rsid w:val="00C873BC"/>
    <w:rsid w:val="00C87414"/>
    <w:rsid w:val="00C87455"/>
    <w:rsid w:val="00C879DA"/>
    <w:rsid w:val="00C87B95"/>
    <w:rsid w:val="00C87FE2"/>
    <w:rsid w:val="00C90ACC"/>
    <w:rsid w:val="00C90B35"/>
    <w:rsid w:val="00C90C6D"/>
    <w:rsid w:val="00C9260B"/>
    <w:rsid w:val="00C92807"/>
    <w:rsid w:val="00C935C4"/>
    <w:rsid w:val="00C936BE"/>
    <w:rsid w:val="00C9442E"/>
    <w:rsid w:val="00C9485A"/>
    <w:rsid w:val="00C949C0"/>
    <w:rsid w:val="00C94BC7"/>
    <w:rsid w:val="00C95555"/>
    <w:rsid w:val="00C9559A"/>
    <w:rsid w:val="00C957FF"/>
    <w:rsid w:val="00C95845"/>
    <w:rsid w:val="00C9597B"/>
    <w:rsid w:val="00C95AFC"/>
    <w:rsid w:val="00C95D01"/>
    <w:rsid w:val="00C962D3"/>
    <w:rsid w:val="00C963D3"/>
    <w:rsid w:val="00C96563"/>
    <w:rsid w:val="00C967EB"/>
    <w:rsid w:val="00C96840"/>
    <w:rsid w:val="00C971DC"/>
    <w:rsid w:val="00CA0247"/>
    <w:rsid w:val="00CA0420"/>
    <w:rsid w:val="00CA04D9"/>
    <w:rsid w:val="00CA16B7"/>
    <w:rsid w:val="00CA1C24"/>
    <w:rsid w:val="00CA2021"/>
    <w:rsid w:val="00CA257D"/>
    <w:rsid w:val="00CA271E"/>
    <w:rsid w:val="00CA2D10"/>
    <w:rsid w:val="00CA2F1B"/>
    <w:rsid w:val="00CA3248"/>
    <w:rsid w:val="00CA3285"/>
    <w:rsid w:val="00CA34A4"/>
    <w:rsid w:val="00CA450A"/>
    <w:rsid w:val="00CA4621"/>
    <w:rsid w:val="00CA4668"/>
    <w:rsid w:val="00CA499B"/>
    <w:rsid w:val="00CA4BE3"/>
    <w:rsid w:val="00CA536F"/>
    <w:rsid w:val="00CA54E2"/>
    <w:rsid w:val="00CA5915"/>
    <w:rsid w:val="00CA5CE1"/>
    <w:rsid w:val="00CA5D73"/>
    <w:rsid w:val="00CA5E6B"/>
    <w:rsid w:val="00CA62AE"/>
    <w:rsid w:val="00CA667B"/>
    <w:rsid w:val="00CA69C5"/>
    <w:rsid w:val="00CA6EE8"/>
    <w:rsid w:val="00CA79CF"/>
    <w:rsid w:val="00CA7F98"/>
    <w:rsid w:val="00CB02B0"/>
    <w:rsid w:val="00CB03D1"/>
    <w:rsid w:val="00CB0C52"/>
    <w:rsid w:val="00CB1015"/>
    <w:rsid w:val="00CB11C9"/>
    <w:rsid w:val="00CB1221"/>
    <w:rsid w:val="00CB27EE"/>
    <w:rsid w:val="00CB2E33"/>
    <w:rsid w:val="00CB34BD"/>
    <w:rsid w:val="00CB356F"/>
    <w:rsid w:val="00CB43E1"/>
    <w:rsid w:val="00CB5217"/>
    <w:rsid w:val="00CB571B"/>
    <w:rsid w:val="00CB5B1A"/>
    <w:rsid w:val="00CB63FC"/>
    <w:rsid w:val="00CB6501"/>
    <w:rsid w:val="00CB700F"/>
    <w:rsid w:val="00CB712B"/>
    <w:rsid w:val="00CB72B5"/>
    <w:rsid w:val="00CB741C"/>
    <w:rsid w:val="00CB7E09"/>
    <w:rsid w:val="00CB7EAC"/>
    <w:rsid w:val="00CC00D5"/>
    <w:rsid w:val="00CC02C9"/>
    <w:rsid w:val="00CC0316"/>
    <w:rsid w:val="00CC078C"/>
    <w:rsid w:val="00CC0D8B"/>
    <w:rsid w:val="00CC0E7A"/>
    <w:rsid w:val="00CC124A"/>
    <w:rsid w:val="00CC12A9"/>
    <w:rsid w:val="00CC1766"/>
    <w:rsid w:val="00CC1E10"/>
    <w:rsid w:val="00CC220B"/>
    <w:rsid w:val="00CC29DF"/>
    <w:rsid w:val="00CC2A3D"/>
    <w:rsid w:val="00CC3905"/>
    <w:rsid w:val="00CC39E5"/>
    <w:rsid w:val="00CC3A4C"/>
    <w:rsid w:val="00CC40EC"/>
    <w:rsid w:val="00CC4523"/>
    <w:rsid w:val="00CC462C"/>
    <w:rsid w:val="00CC467F"/>
    <w:rsid w:val="00CC498F"/>
    <w:rsid w:val="00CC4A08"/>
    <w:rsid w:val="00CC554E"/>
    <w:rsid w:val="00CC5C43"/>
    <w:rsid w:val="00CC6662"/>
    <w:rsid w:val="00CC70A8"/>
    <w:rsid w:val="00CC739C"/>
    <w:rsid w:val="00CC7939"/>
    <w:rsid w:val="00CC7B68"/>
    <w:rsid w:val="00CD02AE"/>
    <w:rsid w:val="00CD0565"/>
    <w:rsid w:val="00CD06E8"/>
    <w:rsid w:val="00CD0722"/>
    <w:rsid w:val="00CD111D"/>
    <w:rsid w:val="00CD1AF3"/>
    <w:rsid w:val="00CD2760"/>
    <w:rsid w:val="00CD2A4F"/>
    <w:rsid w:val="00CD3492"/>
    <w:rsid w:val="00CD4668"/>
    <w:rsid w:val="00CD4AB7"/>
    <w:rsid w:val="00CD4C19"/>
    <w:rsid w:val="00CD5078"/>
    <w:rsid w:val="00CD5635"/>
    <w:rsid w:val="00CD5864"/>
    <w:rsid w:val="00CD5883"/>
    <w:rsid w:val="00CD6167"/>
    <w:rsid w:val="00CE03CA"/>
    <w:rsid w:val="00CE09E4"/>
    <w:rsid w:val="00CE0B8A"/>
    <w:rsid w:val="00CE1151"/>
    <w:rsid w:val="00CE123D"/>
    <w:rsid w:val="00CE13C1"/>
    <w:rsid w:val="00CE22F1"/>
    <w:rsid w:val="00CE282E"/>
    <w:rsid w:val="00CE28E5"/>
    <w:rsid w:val="00CE3B5B"/>
    <w:rsid w:val="00CE3C46"/>
    <w:rsid w:val="00CE3EF6"/>
    <w:rsid w:val="00CE4408"/>
    <w:rsid w:val="00CE48D8"/>
    <w:rsid w:val="00CE4AFD"/>
    <w:rsid w:val="00CE50F2"/>
    <w:rsid w:val="00CE5B49"/>
    <w:rsid w:val="00CE6332"/>
    <w:rsid w:val="00CE6502"/>
    <w:rsid w:val="00CE7441"/>
    <w:rsid w:val="00CE74C4"/>
    <w:rsid w:val="00CF0427"/>
    <w:rsid w:val="00CF141D"/>
    <w:rsid w:val="00CF14A6"/>
    <w:rsid w:val="00CF1961"/>
    <w:rsid w:val="00CF1A68"/>
    <w:rsid w:val="00CF25A4"/>
    <w:rsid w:val="00CF2790"/>
    <w:rsid w:val="00CF3120"/>
    <w:rsid w:val="00CF4325"/>
    <w:rsid w:val="00CF5163"/>
    <w:rsid w:val="00CF605D"/>
    <w:rsid w:val="00CF657D"/>
    <w:rsid w:val="00CF69BC"/>
    <w:rsid w:val="00CF6F61"/>
    <w:rsid w:val="00CF74B8"/>
    <w:rsid w:val="00CF7850"/>
    <w:rsid w:val="00CF79EC"/>
    <w:rsid w:val="00CF7D3C"/>
    <w:rsid w:val="00D000B2"/>
    <w:rsid w:val="00D002FC"/>
    <w:rsid w:val="00D00C3E"/>
    <w:rsid w:val="00D00D92"/>
    <w:rsid w:val="00D00EDB"/>
    <w:rsid w:val="00D0173D"/>
    <w:rsid w:val="00D02767"/>
    <w:rsid w:val="00D028E4"/>
    <w:rsid w:val="00D02BA6"/>
    <w:rsid w:val="00D0351E"/>
    <w:rsid w:val="00D03880"/>
    <w:rsid w:val="00D03993"/>
    <w:rsid w:val="00D04C17"/>
    <w:rsid w:val="00D04EA7"/>
    <w:rsid w:val="00D054D1"/>
    <w:rsid w:val="00D05805"/>
    <w:rsid w:val="00D05973"/>
    <w:rsid w:val="00D0600A"/>
    <w:rsid w:val="00D061B7"/>
    <w:rsid w:val="00D0636A"/>
    <w:rsid w:val="00D0677A"/>
    <w:rsid w:val="00D07C16"/>
    <w:rsid w:val="00D07C96"/>
    <w:rsid w:val="00D10193"/>
    <w:rsid w:val="00D103D5"/>
    <w:rsid w:val="00D10469"/>
    <w:rsid w:val="00D10641"/>
    <w:rsid w:val="00D116EA"/>
    <w:rsid w:val="00D11CDD"/>
    <w:rsid w:val="00D11D85"/>
    <w:rsid w:val="00D11EEE"/>
    <w:rsid w:val="00D12BCA"/>
    <w:rsid w:val="00D12D5A"/>
    <w:rsid w:val="00D136AF"/>
    <w:rsid w:val="00D138D6"/>
    <w:rsid w:val="00D139A7"/>
    <w:rsid w:val="00D14294"/>
    <w:rsid w:val="00D14417"/>
    <w:rsid w:val="00D147EB"/>
    <w:rsid w:val="00D148F1"/>
    <w:rsid w:val="00D15B96"/>
    <w:rsid w:val="00D16257"/>
    <w:rsid w:val="00D16821"/>
    <w:rsid w:val="00D1690D"/>
    <w:rsid w:val="00D16A2D"/>
    <w:rsid w:val="00D201F0"/>
    <w:rsid w:val="00D204D3"/>
    <w:rsid w:val="00D20514"/>
    <w:rsid w:val="00D20691"/>
    <w:rsid w:val="00D20A27"/>
    <w:rsid w:val="00D20B3E"/>
    <w:rsid w:val="00D20BD6"/>
    <w:rsid w:val="00D213A8"/>
    <w:rsid w:val="00D21D5D"/>
    <w:rsid w:val="00D222B0"/>
    <w:rsid w:val="00D226AF"/>
    <w:rsid w:val="00D22D29"/>
    <w:rsid w:val="00D23255"/>
    <w:rsid w:val="00D238B9"/>
    <w:rsid w:val="00D23BCB"/>
    <w:rsid w:val="00D23CC4"/>
    <w:rsid w:val="00D24154"/>
    <w:rsid w:val="00D2416E"/>
    <w:rsid w:val="00D246C9"/>
    <w:rsid w:val="00D24AFF"/>
    <w:rsid w:val="00D24B55"/>
    <w:rsid w:val="00D2502B"/>
    <w:rsid w:val="00D250BE"/>
    <w:rsid w:val="00D2535D"/>
    <w:rsid w:val="00D25FAB"/>
    <w:rsid w:val="00D263CD"/>
    <w:rsid w:val="00D26C6A"/>
    <w:rsid w:val="00D27168"/>
    <w:rsid w:val="00D27698"/>
    <w:rsid w:val="00D277BE"/>
    <w:rsid w:val="00D277E7"/>
    <w:rsid w:val="00D27E76"/>
    <w:rsid w:val="00D27F74"/>
    <w:rsid w:val="00D2AAD8"/>
    <w:rsid w:val="00D30D87"/>
    <w:rsid w:val="00D31128"/>
    <w:rsid w:val="00D317D0"/>
    <w:rsid w:val="00D31DC8"/>
    <w:rsid w:val="00D32219"/>
    <w:rsid w:val="00D322C2"/>
    <w:rsid w:val="00D32E8F"/>
    <w:rsid w:val="00D3304E"/>
    <w:rsid w:val="00D334AD"/>
    <w:rsid w:val="00D34667"/>
    <w:rsid w:val="00D354B6"/>
    <w:rsid w:val="00D35622"/>
    <w:rsid w:val="00D358C8"/>
    <w:rsid w:val="00D35F00"/>
    <w:rsid w:val="00D369F2"/>
    <w:rsid w:val="00D36BEB"/>
    <w:rsid w:val="00D378C8"/>
    <w:rsid w:val="00D37E82"/>
    <w:rsid w:val="00D401E1"/>
    <w:rsid w:val="00D40861"/>
    <w:rsid w:val="00D408B4"/>
    <w:rsid w:val="00D414F3"/>
    <w:rsid w:val="00D41847"/>
    <w:rsid w:val="00D41862"/>
    <w:rsid w:val="00D421C6"/>
    <w:rsid w:val="00D4284B"/>
    <w:rsid w:val="00D42A3F"/>
    <w:rsid w:val="00D42D58"/>
    <w:rsid w:val="00D4303C"/>
    <w:rsid w:val="00D43569"/>
    <w:rsid w:val="00D43802"/>
    <w:rsid w:val="00D43B9D"/>
    <w:rsid w:val="00D442C5"/>
    <w:rsid w:val="00D44407"/>
    <w:rsid w:val="00D444EE"/>
    <w:rsid w:val="00D44A44"/>
    <w:rsid w:val="00D44C6F"/>
    <w:rsid w:val="00D44F94"/>
    <w:rsid w:val="00D45081"/>
    <w:rsid w:val="00D45D94"/>
    <w:rsid w:val="00D45DDD"/>
    <w:rsid w:val="00D46129"/>
    <w:rsid w:val="00D46388"/>
    <w:rsid w:val="00D46926"/>
    <w:rsid w:val="00D475B3"/>
    <w:rsid w:val="00D47DED"/>
    <w:rsid w:val="00D50062"/>
    <w:rsid w:val="00D5057E"/>
    <w:rsid w:val="00D50B1E"/>
    <w:rsid w:val="00D50CCF"/>
    <w:rsid w:val="00D51953"/>
    <w:rsid w:val="00D51D73"/>
    <w:rsid w:val="00D51D74"/>
    <w:rsid w:val="00D51D9B"/>
    <w:rsid w:val="00D51EB4"/>
    <w:rsid w:val="00D51F2D"/>
    <w:rsid w:val="00D524C8"/>
    <w:rsid w:val="00D52665"/>
    <w:rsid w:val="00D52D11"/>
    <w:rsid w:val="00D52F86"/>
    <w:rsid w:val="00D52FEE"/>
    <w:rsid w:val="00D53030"/>
    <w:rsid w:val="00D534B4"/>
    <w:rsid w:val="00D539AC"/>
    <w:rsid w:val="00D53D4A"/>
    <w:rsid w:val="00D542D4"/>
    <w:rsid w:val="00D5450F"/>
    <w:rsid w:val="00D5491B"/>
    <w:rsid w:val="00D54A0C"/>
    <w:rsid w:val="00D54D2C"/>
    <w:rsid w:val="00D561DC"/>
    <w:rsid w:val="00D56B19"/>
    <w:rsid w:val="00D57DCB"/>
    <w:rsid w:val="00D57E28"/>
    <w:rsid w:val="00D57E2A"/>
    <w:rsid w:val="00D602DF"/>
    <w:rsid w:val="00D6066F"/>
    <w:rsid w:val="00D60833"/>
    <w:rsid w:val="00D60E25"/>
    <w:rsid w:val="00D61C01"/>
    <w:rsid w:val="00D61D08"/>
    <w:rsid w:val="00D62339"/>
    <w:rsid w:val="00D62A18"/>
    <w:rsid w:val="00D62B72"/>
    <w:rsid w:val="00D62EA9"/>
    <w:rsid w:val="00D635AC"/>
    <w:rsid w:val="00D63757"/>
    <w:rsid w:val="00D638A9"/>
    <w:rsid w:val="00D63D49"/>
    <w:rsid w:val="00D644A8"/>
    <w:rsid w:val="00D64A24"/>
    <w:rsid w:val="00D64BBA"/>
    <w:rsid w:val="00D64C7A"/>
    <w:rsid w:val="00D6509F"/>
    <w:rsid w:val="00D6511D"/>
    <w:rsid w:val="00D657F6"/>
    <w:rsid w:val="00D65C58"/>
    <w:rsid w:val="00D65D97"/>
    <w:rsid w:val="00D65FD3"/>
    <w:rsid w:val="00D667AB"/>
    <w:rsid w:val="00D66BF5"/>
    <w:rsid w:val="00D66D1B"/>
    <w:rsid w:val="00D66DC9"/>
    <w:rsid w:val="00D67149"/>
    <w:rsid w:val="00D67A8E"/>
    <w:rsid w:val="00D67E2C"/>
    <w:rsid w:val="00D67E9D"/>
    <w:rsid w:val="00D70418"/>
    <w:rsid w:val="00D7098A"/>
    <w:rsid w:val="00D70BCA"/>
    <w:rsid w:val="00D70DEA"/>
    <w:rsid w:val="00D70E24"/>
    <w:rsid w:val="00D716B3"/>
    <w:rsid w:val="00D71F51"/>
    <w:rsid w:val="00D720BF"/>
    <w:rsid w:val="00D727F5"/>
    <w:rsid w:val="00D72AE9"/>
    <w:rsid w:val="00D72B61"/>
    <w:rsid w:val="00D73035"/>
    <w:rsid w:val="00D73E02"/>
    <w:rsid w:val="00D73E93"/>
    <w:rsid w:val="00D7400E"/>
    <w:rsid w:val="00D7496F"/>
    <w:rsid w:val="00D75041"/>
    <w:rsid w:val="00D752BB"/>
    <w:rsid w:val="00D7614C"/>
    <w:rsid w:val="00D76BD5"/>
    <w:rsid w:val="00D76F07"/>
    <w:rsid w:val="00D77251"/>
    <w:rsid w:val="00D77264"/>
    <w:rsid w:val="00D77F53"/>
    <w:rsid w:val="00D80132"/>
    <w:rsid w:val="00D80F94"/>
    <w:rsid w:val="00D813AF"/>
    <w:rsid w:val="00D82278"/>
    <w:rsid w:val="00D8250C"/>
    <w:rsid w:val="00D8386B"/>
    <w:rsid w:val="00D83905"/>
    <w:rsid w:val="00D84B09"/>
    <w:rsid w:val="00D84CA4"/>
    <w:rsid w:val="00D853F6"/>
    <w:rsid w:val="00D8570D"/>
    <w:rsid w:val="00D85FCB"/>
    <w:rsid w:val="00D86518"/>
    <w:rsid w:val="00D8795A"/>
    <w:rsid w:val="00D87E4E"/>
    <w:rsid w:val="00D87EBB"/>
    <w:rsid w:val="00D90103"/>
    <w:rsid w:val="00D9037C"/>
    <w:rsid w:val="00D90C34"/>
    <w:rsid w:val="00D91A32"/>
    <w:rsid w:val="00D91B20"/>
    <w:rsid w:val="00D91C3B"/>
    <w:rsid w:val="00D91D0D"/>
    <w:rsid w:val="00D91EDF"/>
    <w:rsid w:val="00D92BED"/>
    <w:rsid w:val="00D92F0B"/>
    <w:rsid w:val="00D932D1"/>
    <w:rsid w:val="00D93ACA"/>
    <w:rsid w:val="00D93BEF"/>
    <w:rsid w:val="00D93CEE"/>
    <w:rsid w:val="00D93DAB"/>
    <w:rsid w:val="00D94198"/>
    <w:rsid w:val="00D943A2"/>
    <w:rsid w:val="00D9485D"/>
    <w:rsid w:val="00D94AA8"/>
    <w:rsid w:val="00D94CD1"/>
    <w:rsid w:val="00D96318"/>
    <w:rsid w:val="00D9651B"/>
    <w:rsid w:val="00D971F7"/>
    <w:rsid w:val="00D97259"/>
    <w:rsid w:val="00D974DF"/>
    <w:rsid w:val="00D97B44"/>
    <w:rsid w:val="00D97B4E"/>
    <w:rsid w:val="00D97E63"/>
    <w:rsid w:val="00DA01FE"/>
    <w:rsid w:val="00DA0785"/>
    <w:rsid w:val="00DA0AB3"/>
    <w:rsid w:val="00DA0B9D"/>
    <w:rsid w:val="00DA0F11"/>
    <w:rsid w:val="00DA10BB"/>
    <w:rsid w:val="00DA1579"/>
    <w:rsid w:val="00DA1641"/>
    <w:rsid w:val="00DA1C78"/>
    <w:rsid w:val="00DA1D9C"/>
    <w:rsid w:val="00DA1E96"/>
    <w:rsid w:val="00DA20B3"/>
    <w:rsid w:val="00DA23C2"/>
    <w:rsid w:val="00DA2890"/>
    <w:rsid w:val="00DA2A0E"/>
    <w:rsid w:val="00DA2CBE"/>
    <w:rsid w:val="00DA2D49"/>
    <w:rsid w:val="00DA3525"/>
    <w:rsid w:val="00DA35EF"/>
    <w:rsid w:val="00DA3A15"/>
    <w:rsid w:val="00DA3D0D"/>
    <w:rsid w:val="00DA3D1D"/>
    <w:rsid w:val="00DA3DC9"/>
    <w:rsid w:val="00DA3EA7"/>
    <w:rsid w:val="00DA470E"/>
    <w:rsid w:val="00DA48AB"/>
    <w:rsid w:val="00DA4BE3"/>
    <w:rsid w:val="00DA4FC9"/>
    <w:rsid w:val="00DA5026"/>
    <w:rsid w:val="00DA5382"/>
    <w:rsid w:val="00DA6038"/>
    <w:rsid w:val="00DA65E8"/>
    <w:rsid w:val="00DA6B00"/>
    <w:rsid w:val="00DA6DDD"/>
    <w:rsid w:val="00DA7E00"/>
    <w:rsid w:val="00DB0138"/>
    <w:rsid w:val="00DB043B"/>
    <w:rsid w:val="00DB069B"/>
    <w:rsid w:val="00DB069D"/>
    <w:rsid w:val="00DB12A7"/>
    <w:rsid w:val="00DB21FE"/>
    <w:rsid w:val="00DB2634"/>
    <w:rsid w:val="00DB3190"/>
    <w:rsid w:val="00DB35A3"/>
    <w:rsid w:val="00DB3C86"/>
    <w:rsid w:val="00DB4E56"/>
    <w:rsid w:val="00DB5BDF"/>
    <w:rsid w:val="00DB5BEE"/>
    <w:rsid w:val="00DB5CC7"/>
    <w:rsid w:val="00DB6286"/>
    <w:rsid w:val="00DB645F"/>
    <w:rsid w:val="00DB6913"/>
    <w:rsid w:val="00DB6CCD"/>
    <w:rsid w:val="00DB6E73"/>
    <w:rsid w:val="00DB710C"/>
    <w:rsid w:val="00DB74BC"/>
    <w:rsid w:val="00DB76E9"/>
    <w:rsid w:val="00DC033B"/>
    <w:rsid w:val="00DC06D2"/>
    <w:rsid w:val="00DC0A67"/>
    <w:rsid w:val="00DC0B69"/>
    <w:rsid w:val="00DC11B4"/>
    <w:rsid w:val="00DC11BC"/>
    <w:rsid w:val="00DC1200"/>
    <w:rsid w:val="00DC12CD"/>
    <w:rsid w:val="00DC1618"/>
    <w:rsid w:val="00DC1653"/>
    <w:rsid w:val="00DC18B0"/>
    <w:rsid w:val="00DC1AA5"/>
    <w:rsid w:val="00DC1D5E"/>
    <w:rsid w:val="00DC1EAA"/>
    <w:rsid w:val="00DC1F4C"/>
    <w:rsid w:val="00DC22EB"/>
    <w:rsid w:val="00DC2313"/>
    <w:rsid w:val="00DC2D37"/>
    <w:rsid w:val="00DC2DFC"/>
    <w:rsid w:val="00DC3141"/>
    <w:rsid w:val="00DC3754"/>
    <w:rsid w:val="00DC3784"/>
    <w:rsid w:val="00DC3AC8"/>
    <w:rsid w:val="00DC3F22"/>
    <w:rsid w:val="00DC4476"/>
    <w:rsid w:val="00DC478F"/>
    <w:rsid w:val="00DC4B93"/>
    <w:rsid w:val="00DC5220"/>
    <w:rsid w:val="00DC5AA6"/>
    <w:rsid w:val="00DC6365"/>
    <w:rsid w:val="00DC68C8"/>
    <w:rsid w:val="00DC68D0"/>
    <w:rsid w:val="00DC6C56"/>
    <w:rsid w:val="00DC7490"/>
    <w:rsid w:val="00DC767C"/>
    <w:rsid w:val="00DC7722"/>
    <w:rsid w:val="00DC7827"/>
    <w:rsid w:val="00DC7910"/>
    <w:rsid w:val="00DC7E47"/>
    <w:rsid w:val="00DD031D"/>
    <w:rsid w:val="00DD0CA1"/>
    <w:rsid w:val="00DD1642"/>
    <w:rsid w:val="00DD1EBF"/>
    <w:rsid w:val="00DD2061"/>
    <w:rsid w:val="00DD274D"/>
    <w:rsid w:val="00DD2C14"/>
    <w:rsid w:val="00DD3F3E"/>
    <w:rsid w:val="00DD40AF"/>
    <w:rsid w:val="00DD46CD"/>
    <w:rsid w:val="00DD510C"/>
    <w:rsid w:val="00DD5390"/>
    <w:rsid w:val="00DD58AE"/>
    <w:rsid w:val="00DD5FEE"/>
    <w:rsid w:val="00DD60A7"/>
    <w:rsid w:val="00DD617B"/>
    <w:rsid w:val="00DD69E4"/>
    <w:rsid w:val="00DD6F40"/>
    <w:rsid w:val="00DD7278"/>
    <w:rsid w:val="00DD7C6A"/>
    <w:rsid w:val="00DD7DAB"/>
    <w:rsid w:val="00DE0B2F"/>
    <w:rsid w:val="00DE0EC3"/>
    <w:rsid w:val="00DE1035"/>
    <w:rsid w:val="00DE12D9"/>
    <w:rsid w:val="00DE17CB"/>
    <w:rsid w:val="00DE2346"/>
    <w:rsid w:val="00DE3355"/>
    <w:rsid w:val="00DE432C"/>
    <w:rsid w:val="00DE457A"/>
    <w:rsid w:val="00DE4B7E"/>
    <w:rsid w:val="00DE4D02"/>
    <w:rsid w:val="00DE50BA"/>
    <w:rsid w:val="00DE58F8"/>
    <w:rsid w:val="00DE5B48"/>
    <w:rsid w:val="00DE5C91"/>
    <w:rsid w:val="00DE5F3D"/>
    <w:rsid w:val="00DE6219"/>
    <w:rsid w:val="00DE657D"/>
    <w:rsid w:val="00DE6A3A"/>
    <w:rsid w:val="00DE7447"/>
    <w:rsid w:val="00DE75D7"/>
    <w:rsid w:val="00DE779C"/>
    <w:rsid w:val="00DE7B1F"/>
    <w:rsid w:val="00DE7D10"/>
    <w:rsid w:val="00DE7EDD"/>
    <w:rsid w:val="00DF00A9"/>
    <w:rsid w:val="00DF0175"/>
    <w:rsid w:val="00DF0399"/>
    <w:rsid w:val="00DF0BEE"/>
    <w:rsid w:val="00DF148B"/>
    <w:rsid w:val="00DF184E"/>
    <w:rsid w:val="00DF26B6"/>
    <w:rsid w:val="00DF27F0"/>
    <w:rsid w:val="00DF282A"/>
    <w:rsid w:val="00DF29F2"/>
    <w:rsid w:val="00DF2A87"/>
    <w:rsid w:val="00DF2AE4"/>
    <w:rsid w:val="00DF2D62"/>
    <w:rsid w:val="00DF308A"/>
    <w:rsid w:val="00DF41D4"/>
    <w:rsid w:val="00DF4366"/>
    <w:rsid w:val="00DF4689"/>
    <w:rsid w:val="00DF486F"/>
    <w:rsid w:val="00DF49D7"/>
    <w:rsid w:val="00DF5B5B"/>
    <w:rsid w:val="00DF5B90"/>
    <w:rsid w:val="00DF5EC1"/>
    <w:rsid w:val="00DF602E"/>
    <w:rsid w:val="00DF622D"/>
    <w:rsid w:val="00DF67A5"/>
    <w:rsid w:val="00DF67B1"/>
    <w:rsid w:val="00DF6C9D"/>
    <w:rsid w:val="00DF6F74"/>
    <w:rsid w:val="00DF7224"/>
    <w:rsid w:val="00DF728C"/>
    <w:rsid w:val="00DF72EB"/>
    <w:rsid w:val="00DF7619"/>
    <w:rsid w:val="00DF779B"/>
    <w:rsid w:val="00DF7C61"/>
    <w:rsid w:val="00E00447"/>
    <w:rsid w:val="00E0084A"/>
    <w:rsid w:val="00E0091F"/>
    <w:rsid w:val="00E017C4"/>
    <w:rsid w:val="00E02199"/>
    <w:rsid w:val="00E025F5"/>
    <w:rsid w:val="00E027BE"/>
    <w:rsid w:val="00E02B6C"/>
    <w:rsid w:val="00E02F30"/>
    <w:rsid w:val="00E0323B"/>
    <w:rsid w:val="00E03DEF"/>
    <w:rsid w:val="00E042D8"/>
    <w:rsid w:val="00E0431C"/>
    <w:rsid w:val="00E0543E"/>
    <w:rsid w:val="00E0547E"/>
    <w:rsid w:val="00E06A88"/>
    <w:rsid w:val="00E07046"/>
    <w:rsid w:val="00E07EE7"/>
    <w:rsid w:val="00E07F04"/>
    <w:rsid w:val="00E1038C"/>
    <w:rsid w:val="00E10762"/>
    <w:rsid w:val="00E10821"/>
    <w:rsid w:val="00E10892"/>
    <w:rsid w:val="00E1099F"/>
    <w:rsid w:val="00E1103B"/>
    <w:rsid w:val="00E11463"/>
    <w:rsid w:val="00E1160B"/>
    <w:rsid w:val="00E11D7C"/>
    <w:rsid w:val="00E1203F"/>
    <w:rsid w:val="00E124D7"/>
    <w:rsid w:val="00E12955"/>
    <w:rsid w:val="00E131A4"/>
    <w:rsid w:val="00E141B4"/>
    <w:rsid w:val="00E1434B"/>
    <w:rsid w:val="00E143C6"/>
    <w:rsid w:val="00E153CF"/>
    <w:rsid w:val="00E155C3"/>
    <w:rsid w:val="00E15E08"/>
    <w:rsid w:val="00E16741"/>
    <w:rsid w:val="00E16A74"/>
    <w:rsid w:val="00E16FA1"/>
    <w:rsid w:val="00E172C2"/>
    <w:rsid w:val="00E172CD"/>
    <w:rsid w:val="00E175A0"/>
    <w:rsid w:val="00E17B44"/>
    <w:rsid w:val="00E20ED2"/>
    <w:rsid w:val="00E2140C"/>
    <w:rsid w:val="00E220A6"/>
    <w:rsid w:val="00E22703"/>
    <w:rsid w:val="00E22C78"/>
    <w:rsid w:val="00E22CBC"/>
    <w:rsid w:val="00E234B9"/>
    <w:rsid w:val="00E237A4"/>
    <w:rsid w:val="00E23B8A"/>
    <w:rsid w:val="00E23C16"/>
    <w:rsid w:val="00E23D03"/>
    <w:rsid w:val="00E242E5"/>
    <w:rsid w:val="00E2451F"/>
    <w:rsid w:val="00E246D2"/>
    <w:rsid w:val="00E24895"/>
    <w:rsid w:val="00E24D59"/>
    <w:rsid w:val="00E251FA"/>
    <w:rsid w:val="00E255A4"/>
    <w:rsid w:val="00E25632"/>
    <w:rsid w:val="00E25F49"/>
    <w:rsid w:val="00E264D8"/>
    <w:rsid w:val="00E268C7"/>
    <w:rsid w:val="00E274C8"/>
    <w:rsid w:val="00E27696"/>
    <w:rsid w:val="00E27FEA"/>
    <w:rsid w:val="00E300F2"/>
    <w:rsid w:val="00E30335"/>
    <w:rsid w:val="00E309F6"/>
    <w:rsid w:val="00E30A0F"/>
    <w:rsid w:val="00E30CCA"/>
    <w:rsid w:val="00E316C5"/>
    <w:rsid w:val="00E32004"/>
    <w:rsid w:val="00E32CAB"/>
    <w:rsid w:val="00E32FE5"/>
    <w:rsid w:val="00E33014"/>
    <w:rsid w:val="00E33027"/>
    <w:rsid w:val="00E33118"/>
    <w:rsid w:val="00E331DD"/>
    <w:rsid w:val="00E331F4"/>
    <w:rsid w:val="00E33805"/>
    <w:rsid w:val="00E339EC"/>
    <w:rsid w:val="00E33B9A"/>
    <w:rsid w:val="00E342E9"/>
    <w:rsid w:val="00E34A84"/>
    <w:rsid w:val="00E34AB9"/>
    <w:rsid w:val="00E359D2"/>
    <w:rsid w:val="00E35BBE"/>
    <w:rsid w:val="00E35CB7"/>
    <w:rsid w:val="00E36BE2"/>
    <w:rsid w:val="00E36C57"/>
    <w:rsid w:val="00E36C7A"/>
    <w:rsid w:val="00E36E3B"/>
    <w:rsid w:val="00E40210"/>
    <w:rsid w:val="00E4053A"/>
    <w:rsid w:val="00E4086F"/>
    <w:rsid w:val="00E40917"/>
    <w:rsid w:val="00E40D2D"/>
    <w:rsid w:val="00E40DFC"/>
    <w:rsid w:val="00E417A1"/>
    <w:rsid w:val="00E41BFA"/>
    <w:rsid w:val="00E42817"/>
    <w:rsid w:val="00E4293C"/>
    <w:rsid w:val="00E43472"/>
    <w:rsid w:val="00E439DA"/>
    <w:rsid w:val="00E43B3C"/>
    <w:rsid w:val="00E43F70"/>
    <w:rsid w:val="00E440EB"/>
    <w:rsid w:val="00E44B56"/>
    <w:rsid w:val="00E4576C"/>
    <w:rsid w:val="00E45B84"/>
    <w:rsid w:val="00E45CBC"/>
    <w:rsid w:val="00E45E38"/>
    <w:rsid w:val="00E46731"/>
    <w:rsid w:val="00E4763F"/>
    <w:rsid w:val="00E50188"/>
    <w:rsid w:val="00E509B2"/>
    <w:rsid w:val="00E50C49"/>
    <w:rsid w:val="00E50E68"/>
    <w:rsid w:val="00E515CB"/>
    <w:rsid w:val="00E51901"/>
    <w:rsid w:val="00E51F6C"/>
    <w:rsid w:val="00E52047"/>
    <w:rsid w:val="00E52260"/>
    <w:rsid w:val="00E52958"/>
    <w:rsid w:val="00E52E67"/>
    <w:rsid w:val="00E53407"/>
    <w:rsid w:val="00E54965"/>
    <w:rsid w:val="00E54A73"/>
    <w:rsid w:val="00E54F9D"/>
    <w:rsid w:val="00E5501E"/>
    <w:rsid w:val="00E55A82"/>
    <w:rsid w:val="00E55FA6"/>
    <w:rsid w:val="00E56546"/>
    <w:rsid w:val="00E56690"/>
    <w:rsid w:val="00E56B7F"/>
    <w:rsid w:val="00E56B8D"/>
    <w:rsid w:val="00E57025"/>
    <w:rsid w:val="00E5745A"/>
    <w:rsid w:val="00E57559"/>
    <w:rsid w:val="00E60223"/>
    <w:rsid w:val="00E6038F"/>
    <w:rsid w:val="00E606DC"/>
    <w:rsid w:val="00E60824"/>
    <w:rsid w:val="00E60CA0"/>
    <w:rsid w:val="00E60EF3"/>
    <w:rsid w:val="00E60F5D"/>
    <w:rsid w:val="00E61334"/>
    <w:rsid w:val="00E6163A"/>
    <w:rsid w:val="00E61B13"/>
    <w:rsid w:val="00E620B6"/>
    <w:rsid w:val="00E6215A"/>
    <w:rsid w:val="00E62CE9"/>
    <w:rsid w:val="00E62D4D"/>
    <w:rsid w:val="00E631F6"/>
    <w:rsid w:val="00E6353E"/>
    <w:rsid w:val="00E637BF"/>
    <w:rsid w:val="00E639B6"/>
    <w:rsid w:val="00E6434B"/>
    <w:rsid w:val="00E6463D"/>
    <w:rsid w:val="00E648D9"/>
    <w:rsid w:val="00E64FC6"/>
    <w:rsid w:val="00E6515F"/>
    <w:rsid w:val="00E65B96"/>
    <w:rsid w:val="00E661E4"/>
    <w:rsid w:val="00E665CE"/>
    <w:rsid w:val="00E665E6"/>
    <w:rsid w:val="00E666B3"/>
    <w:rsid w:val="00E66E1C"/>
    <w:rsid w:val="00E6773D"/>
    <w:rsid w:val="00E67CB6"/>
    <w:rsid w:val="00E67CD0"/>
    <w:rsid w:val="00E70189"/>
    <w:rsid w:val="00E703AB"/>
    <w:rsid w:val="00E7090B"/>
    <w:rsid w:val="00E7097F"/>
    <w:rsid w:val="00E70EAB"/>
    <w:rsid w:val="00E71419"/>
    <w:rsid w:val="00E718C1"/>
    <w:rsid w:val="00E724B8"/>
    <w:rsid w:val="00E72547"/>
    <w:rsid w:val="00E72701"/>
    <w:rsid w:val="00E72E37"/>
    <w:rsid w:val="00E72E9B"/>
    <w:rsid w:val="00E73060"/>
    <w:rsid w:val="00E73103"/>
    <w:rsid w:val="00E738C8"/>
    <w:rsid w:val="00E74254"/>
    <w:rsid w:val="00E74EA3"/>
    <w:rsid w:val="00E75150"/>
    <w:rsid w:val="00E7560C"/>
    <w:rsid w:val="00E75FD4"/>
    <w:rsid w:val="00E76115"/>
    <w:rsid w:val="00E76BF0"/>
    <w:rsid w:val="00E7700D"/>
    <w:rsid w:val="00E777E6"/>
    <w:rsid w:val="00E77AD1"/>
    <w:rsid w:val="00E77B67"/>
    <w:rsid w:val="00E8024D"/>
    <w:rsid w:val="00E805DD"/>
    <w:rsid w:val="00E80721"/>
    <w:rsid w:val="00E810A4"/>
    <w:rsid w:val="00E81F6B"/>
    <w:rsid w:val="00E82B4A"/>
    <w:rsid w:val="00E833FA"/>
    <w:rsid w:val="00E83613"/>
    <w:rsid w:val="00E837C0"/>
    <w:rsid w:val="00E83C49"/>
    <w:rsid w:val="00E83E4E"/>
    <w:rsid w:val="00E84778"/>
    <w:rsid w:val="00E849DA"/>
    <w:rsid w:val="00E85706"/>
    <w:rsid w:val="00E85922"/>
    <w:rsid w:val="00E85A03"/>
    <w:rsid w:val="00E85A6E"/>
    <w:rsid w:val="00E85E88"/>
    <w:rsid w:val="00E86AA4"/>
    <w:rsid w:val="00E87075"/>
    <w:rsid w:val="00E871B8"/>
    <w:rsid w:val="00E87691"/>
    <w:rsid w:val="00E876BE"/>
    <w:rsid w:val="00E87744"/>
    <w:rsid w:val="00E906AF"/>
    <w:rsid w:val="00E90C05"/>
    <w:rsid w:val="00E911CE"/>
    <w:rsid w:val="00E911F2"/>
    <w:rsid w:val="00E9230B"/>
    <w:rsid w:val="00E929F3"/>
    <w:rsid w:val="00E92BF1"/>
    <w:rsid w:val="00E932DF"/>
    <w:rsid w:val="00E93409"/>
    <w:rsid w:val="00E93429"/>
    <w:rsid w:val="00E94079"/>
    <w:rsid w:val="00E943AC"/>
    <w:rsid w:val="00E945A0"/>
    <w:rsid w:val="00E9462E"/>
    <w:rsid w:val="00E947DD"/>
    <w:rsid w:val="00E94C0A"/>
    <w:rsid w:val="00E95D12"/>
    <w:rsid w:val="00E965A4"/>
    <w:rsid w:val="00E96837"/>
    <w:rsid w:val="00E96890"/>
    <w:rsid w:val="00E96B23"/>
    <w:rsid w:val="00E96F47"/>
    <w:rsid w:val="00E97766"/>
    <w:rsid w:val="00EA01F7"/>
    <w:rsid w:val="00EA08C5"/>
    <w:rsid w:val="00EA09C9"/>
    <w:rsid w:val="00EA0A95"/>
    <w:rsid w:val="00EA102B"/>
    <w:rsid w:val="00EA121C"/>
    <w:rsid w:val="00EA1847"/>
    <w:rsid w:val="00EA1EF6"/>
    <w:rsid w:val="00EA1F4B"/>
    <w:rsid w:val="00EA34D8"/>
    <w:rsid w:val="00EA398E"/>
    <w:rsid w:val="00EA3BEE"/>
    <w:rsid w:val="00EA43D2"/>
    <w:rsid w:val="00EA470E"/>
    <w:rsid w:val="00EA47A7"/>
    <w:rsid w:val="00EA4A02"/>
    <w:rsid w:val="00EA4B3C"/>
    <w:rsid w:val="00EA53D8"/>
    <w:rsid w:val="00EA57EB"/>
    <w:rsid w:val="00EA598F"/>
    <w:rsid w:val="00EA61E0"/>
    <w:rsid w:val="00EA6705"/>
    <w:rsid w:val="00EA6895"/>
    <w:rsid w:val="00EA6B03"/>
    <w:rsid w:val="00EA79D2"/>
    <w:rsid w:val="00EA7DA6"/>
    <w:rsid w:val="00EB0A04"/>
    <w:rsid w:val="00EB10C8"/>
    <w:rsid w:val="00EB121F"/>
    <w:rsid w:val="00EB151E"/>
    <w:rsid w:val="00EB1C28"/>
    <w:rsid w:val="00EB227D"/>
    <w:rsid w:val="00EB292F"/>
    <w:rsid w:val="00EB2F56"/>
    <w:rsid w:val="00EB3226"/>
    <w:rsid w:val="00EB39E4"/>
    <w:rsid w:val="00EB3B95"/>
    <w:rsid w:val="00EB4164"/>
    <w:rsid w:val="00EB47B8"/>
    <w:rsid w:val="00EB4C3E"/>
    <w:rsid w:val="00EB59DF"/>
    <w:rsid w:val="00EB5BD6"/>
    <w:rsid w:val="00EB607E"/>
    <w:rsid w:val="00EB6A5C"/>
    <w:rsid w:val="00EB7312"/>
    <w:rsid w:val="00EB7979"/>
    <w:rsid w:val="00EB7C8E"/>
    <w:rsid w:val="00EC033A"/>
    <w:rsid w:val="00EC0A55"/>
    <w:rsid w:val="00EC0BB5"/>
    <w:rsid w:val="00EC0EE4"/>
    <w:rsid w:val="00EC1480"/>
    <w:rsid w:val="00EC180D"/>
    <w:rsid w:val="00EC1D60"/>
    <w:rsid w:val="00EC1D96"/>
    <w:rsid w:val="00EC213A"/>
    <w:rsid w:val="00EC243C"/>
    <w:rsid w:val="00EC26C9"/>
    <w:rsid w:val="00EC272E"/>
    <w:rsid w:val="00EC2BCF"/>
    <w:rsid w:val="00EC2CC5"/>
    <w:rsid w:val="00EC2E67"/>
    <w:rsid w:val="00EC3597"/>
    <w:rsid w:val="00EC381B"/>
    <w:rsid w:val="00EC388F"/>
    <w:rsid w:val="00EC38E9"/>
    <w:rsid w:val="00EC38F8"/>
    <w:rsid w:val="00EC3AD9"/>
    <w:rsid w:val="00EC405E"/>
    <w:rsid w:val="00EC4658"/>
    <w:rsid w:val="00EC5AAF"/>
    <w:rsid w:val="00EC5D45"/>
    <w:rsid w:val="00EC60EF"/>
    <w:rsid w:val="00EC6130"/>
    <w:rsid w:val="00EC646B"/>
    <w:rsid w:val="00EC6603"/>
    <w:rsid w:val="00EC7744"/>
    <w:rsid w:val="00EC7F3E"/>
    <w:rsid w:val="00ED0AD9"/>
    <w:rsid w:val="00ED0DAD"/>
    <w:rsid w:val="00ED0E45"/>
    <w:rsid w:val="00ED0F46"/>
    <w:rsid w:val="00ED14A4"/>
    <w:rsid w:val="00ED22BE"/>
    <w:rsid w:val="00ED2373"/>
    <w:rsid w:val="00ED24BE"/>
    <w:rsid w:val="00ED2912"/>
    <w:rsid w:val="00ED2B5D"/>
    <w:rsid w:val="00ED308E"/>
    <w:rsid w:val="00ED36AE"/>
    <w:rsid w:val="00ED3771"/>
    <w:rsid w:val="00ED3D4B"/>
    <w:rsid w:val="00ED4899"/>
    <w:rsid w:val="00ED4A2F"/>
    <w:rsid w:val="00ED4C6C"/>
    <w:rsid w:val="00ED554C"/>
    <w:rsid w:val="00ED5F84"/>
    <w:rsid w:val="00ED601B"/>
    <w:rsid w:val="00ED61E1"/>
    <w:rsid w:val="00ED6599"/>
    <w:rsid w:val="00ED67ED"/>
    <w:rsid w:val="00ED6BA5"/>
    <w:rsid w:val="00ED6D92"/>
    <w:rsid w:val="00ED6DE6"/>
    <w:rsid w:val="00ED7107"/>
    <w:rsid w:val="00ED7650"/>
    <w:rsid w:val="00EE007C"/>
    <w:rsid w:val="00EE1B96"/>
    <w:rsid w:val="00EE1BAF"/>
    <w:rsid w:val="00EE1DF4"/>
    <w:rsid w:val="00EE2094"/>
    <w:rsid w:val="00EE2289"/>
    <w:rsid w:val="00EE255A"/>
    <w:rsid w:val="00EE2572"/>
    <w:rsid w:val="00EE3E8A"/>
    <w:rsid w:val="00EE3EB2"/>
    <w:rsid w:val="00EE4B5E"/>
    <w:rsid w:val="00EE50FC"/>
    <w:rsid w:val="00EE57D9"/>
    <w:rsid w:val="00EE5E61"/>
    <w:rsid w:val="00EE60AD"/>
    <w:rsid w:val="00EE7152"/>
    <w:rsid w:val="00EE7199"/>
    <w:rsid w:val="00EF070B"/>
    <w:rsid w:val="00EF0A3D"/>
    <w:rsid w:val="00EF0AFC"/>
    <w:rsid w:val="00EF0D71"/>
    <w:rsid w:val="00EF13E5"/>
    <w:rsid w:val="00EF1ACD"/>
    <w:rsid w:val="00EF1CE2"/>
    <w:rsid w:val="00EF2082"/>
    <w:rsid w:val="00EF22F1"/>
    <w:rsid w:val="00EF256A"/>
    <w:rsid w:val="00EF310E"/>
    <w:rsid w:val="00EF365C"/>
    <w:rsid w:val="00EF3977"/>
    <w:rsid w:val="00EF4124"/>
    <w:rsid w:val="00EF41E0"/>
    <w:rsid w:val="00EF4E4D"/>
    <w:rsid w:val="00EF53E1"/>
    <w:rsid w:val="00EF5CD1"/>
    <w:rsid w:val="00EF6B9A"/>
    <w:rsid w:val="00EF6BF9"/>
    <w:rsid w:val="00EF6C04"/>
    <w:rsid w:val="00EF6C86"/>
    <w:rsid w:val="00EF6ECA"/>
    <w:rsid w:val="00EF71A1"/>
    <w:rsid w:val="00EF748E"/>
    <w:rsid w:val="00EF79EB"/>
    <w:rsid w:val="00F008F3"/>
    <w:rsid w:val="00F01078"/>
    <w:rsid w:val="00F013BE"/>
    <w:rsid w:val="00F01C4B"/>
    <w:rsid w:val="00F01DC0"/>
    <w:rsid w:val="00F0232D"/>
    <w:rsid w:val="00F024E1"/>
    <w:rsid w:val="00F02B7F"/>
    <w:rsid w:val="00F0333A"/>
    <w:rsid w:val="00F03546"/>
    <w:rsid w:val="00F03CC0"/>
    <w:rsid w:val="00F049D4"/>
    <w:rsid w:val="00F04C0B"/>
    <w:rsid w:val="00F05B92"/>
    <w:rsid w:val="00F06C10"/>
    <w:rsid w:val="00F06FDF"/>
    <w:rsid w:val="00F071D6"/>
    <w:rsid w:val="00F0763F"/>
    <w:rsid w:val="00F07845"/>
    <w:rsid w:val="00F078F8"/>
    <w:rsid w:val="00F079DF"/>
    <w:rsid w:val="00F103F5"/>
    <w:rsid w:val="00F1073F"/>
    <w:rsid w:val="00F1077F"/>
    <w:rsid w:val="00F10937"/>
    <w:rsid w:val="00F1096F"/>
    <w:rsid w:val="00F113C5"/>
    <w:rsid w:val="00F11CD8"/>
    <w:rsid w:val="00F11D5D"/>
    <w:rsid w:val="00F11F49"/>
    <w:rsid w:val="00F12589"/>
    <w:rsid w:val="00F12595"/>
    <w:rsid w:val="00F12A9E"/>
    <w:rsid w:val="00F12F03"/>
    <w:rsid w:val="00F132ED"/>
    <w:rsid w:val="00F132F6"/>
    <w:rsid w:val="00F134D9"/>
    <w:rsid w:val="00F13B7F"/>
    <w:rsid w:val="00F1403D"/>
    <w:rsid w:val="00F1463F"/>
    <w:rsid w:val="00F14B57"/>
    <w:rsid w:val="00F14CF8"/>
    <w:rsid w:val="00F15336"/>
    <w:rsid w:val="00F15DB6"/>
    <w:rsid w:val="00F164B7"/>
    <w:rsid w:val="00F167D6"/>
    <w:rsid w:val="00F1793F"/>
    <w:rsid w:val="00F204CF"/>
    <w:rsid w:val="00F21136"/>
    <w:rsid w:val="00F21302"/>
    <w:rsid w:val="00F215E2"/>
    <w:rsid w:val="00F2178A"/>
    <w:rsid w:val="00F21DFB"/>
    <w:rsid w:val="00F221EE"/>
    <w:rsid w:val="00F225AD"/>
    <w:rsid w:val="00F22958"/>
    <w:rsid w:val="00F22F50"/>
    <w:rsid w:val="00F2323A"/>
    <w:rsid w:val="00F234B1"/>
    <w:rsid w:val="00F237AA"/>
    <w:rsid w:val="00F23CCA"/>
    <w:rsid w:val="00F23F6E"/>
    <w:rsid w:val="00F24084"/>
    <w:rsid w:val="00F2422D"/>
    <w:rsid w:val="00F249EB"/>
    <w:rsid w:val="00F24FFB"/>
    <w:rsid w:val="00F2542E"/>
    <w:rsid w:val="00F25CFE"/>
    <w:rsid w:val="00F2630B"/>
    <w:rsid w:val="00F2689E"/>
    <w:rsid w:val="00F27826"/>
    <w:rsid w:val="00F27D28"/>
    <w:rsid w:val="00F306D0"/>
    <w:rsid w:val="00F306EF"/>
    <w:rsid w:val="00F3077E"/>
    <w:rsid w:val="00F31709"/>
    <w:rsid w:val="00F31F93"/>
    <w:rsid w:val="00F321DE"/>
    <w:rsid w:val="00F32218"/>
    <w:rsid w:val="00F3356E"/>
    <w:rsid w:val="00F33777"/>
    <w:rsid w:val="00F338A1"/>
    <w:rsid w:val="00F33D17"/>
    <w:rsid w:val="00F33F69"/>
    <w:rsid w:val="00F34E74"/>
    <w:rsid w:val="00F35ADD"/>
    <w:rsid w:val="00F35B2C"/>
    <w:rsid w:val="00F363A9"/>
    <w:rsid w:val="00F36CA5"/>
    <w:rsid w:val="00F36D74"/>
    <w:rsid w:val="00F374C5"/>
    <w:rsid w:val="00F37916"/>
    <w:rsid w:val="00F37AEA"/>
    <w:rsid w:val="00F400C8"/>
    <w:rsid w:val="00F404BD"/>
    <w:rsid w:val="00F40617"/>
    <w:rsid w:val="00F40648"/>
    <w:rsid w:val="00F40649"/>
    <w:rsid w:val="00F40A55"/>
    <w:rsid w:val="00F411D1"/>
    <w:rsid w:val="00F42328"/>
    <w:rsid w:val="00F42348"/>
    <w:rsid w:val="00F4241C"/>
    <w:rsid w:val="00F42A48"/>
    <w:rsid w:val="00F42A5F"/>
    <w:rsid w:val="00F4350F"/>
    <w:rsid w:val="00F43565"/>
    <w:rsid w:val="00F43685"/>
    <w:rsid w:val="00F43B78"/>
    <w:rsid w:val="00F43BDD"/>
    <w:rsid w:val="00F43CFB"/>
    <w:rsid w:val="00F4480E"/>
    <w:rsid w:val="00F44B4B"/>
    <w:rsid w:val="00F44D83"/>
    <w:rsid w:val="00F44E12"/>
    <w:rsid w:val="00F45375"/>
    <w:rsid w:val="00F45EE1"/>
    <w:rsid w:val="00F46B40"/>
    <w:rsid w:val="00F47DA2"/>
    <w:rsid w:val="00F50417"/>
    <w:rsid w:val="00F508CE"/>
    <w:rsid w:val="00F51781"/>
    <w:rsid w:val="00F519FC"/>
    <w:rsid w:val="00F5200F"/>
    <w:rsid w:val="00F523B8"/>
    <w:rsid w:val="00F52656"/>
    <w:rsid w:val="00F526B6"/>
    <w:rsid w:val="00F535F9"/>
    <w:rsid w:val="00F536C2"/>
    <w:rsid w:val="00F53A9A"/>
    <w:rsid w:val="00F549E0"/>
    <w:rsid w:val="00F54C49"/>
    <w:rsid w:val="00F54EFE"/>
    <w:rsid w:val="00F54F56"/>
    <w:rsid w:val="00F54FC1"/>
    <w:rsid w:val="00F55293"/>
    <w:rsid w:val="00F5539C"/>
    <w:rsid w:val="00F5587A"/>
    <w:rsid w:val="00F55A4E"/>
    <w:rsid w:val="00F55BFE"/>
    <w:rsid w:val="00F55EFC"/>
    <w:rsid w:val="00F55EFE"/>
    <w:rsid w:val="00F56103"/>
    <w:rsid w:val="00F56A02"/>
    <w:rsid w:val="00F56A08"/>
    <w:rsid w:val="00F56BD6"/>
    <w:rsid w:val="00F572E3"/>
    <w:rsid w:val="00F5755A"/>
    <w:rsid w:val="00F60207"/>
    <w:rsid w:val="00F602A2"/>
    <w:rsid w:val="00F607A6"/>
    <w:rsid w:val="00F608D4"/>
    <w:rsid w:val="00F60E1A"/>
    <w:rsid w:val="00F61362"/>
    <w:rsid w:val="00F61808"/>
    <w:rsid w:val="00F61C39"/>
    <w:rsid w:val="00F6239D"/>
    <w:rsid w:val="00F62604"/>
    <w:rsid w:val="00F626CE"/>
    <w:rsid w:val="00F627B2"/>
    <w:rsid w:val="00F627C3"/>
    <w:rsid w:val="00F62A1D"/>
    <w:rsid w:val="00F6304B"/>
    <w:rsid w:val="00F640A1"/>
    <w:rsid w:val="00F64ED1"/>
    <w:rsid w:val="00F64EF7"/>
    <w:rsid w:val="00F64F4D"/>
    <w:rsid w:val="00F65AC1"/>
    <w:rsid w:val="00F65F96"/>
    <w:rsid w:val="00F66D10"/>
    <w:rsid w:val="00F67957"/>
    <w:rsid w:val="00F7024C"/>
    <w:rsid w:val="00F7078B"/>
    <w:rsid w:val="00F70ACD"/>
    <w:rsid w:val="00F70CE5"/>
    <w:rsid w:val="00F70CF3"/>
    <w:rsid w:val="00F70EED"/>
    <w:rsid w:val="00F712D3"/>
    <w:rsid w:val="00F715D2"/>
    <w:rsid w:val="00F71680"/>
    <w:rsid w:val="00F71D78"/>
    <w:rsid w:val="00F7274F"/>
    <w:rsid w:val="00F738E0"/>
    <w:rsid w:val="00F739A7"/>
    <w:rsid w:val="00F74056"/>
    <w:rsid w:val="00F75A97"/>
    <w:rsid w:val="00F75AE4"/>
    <w:rsid w:val="00F75BBD"/>
    <w:rsid w:val="00F760A2"/>
    <w:rsid w:val="00F7682A"/>
    <w:rsid w:val="00F768D8"/>
    <w:rsid w:val="00F76A2E"/>
    <w:rsid w:val="00F76FA8"/>
    <w:rsid w:val="00F7709A"/>
    <w:rsid w:val="00F77168"/>
    <w:rsid w:val="00F7731B"/>
    <w:rsid w:val="00F77C29"/>
    <w:rsid w:val="00F80255"/>
    <w:rsid w:val="00F80C5B"/>
    <w:rsid w:val="00F81138"/>
    <w:rsid w:val="00F811E8"/>
    <w:rsid w:val="00F8129E"/>
    <w:rsid w:val="00F81466"/>
    <w:rsid w:val="00F816B2"/>
    <w:rsid w:val="00F81B4F"/>
    <w:rsid w:val="00F81C30"/>
    <w:rsid w:val="00F824E6"/>
    <w:rsid w:val="00F8254F"/>
    <w:rsid w:val="00F82FFF"/>
    <w:rsid w:val="00F8315C"/>
    <w:rsid w:val="00F83372"/>
    <w:rsid w:val="00F83770"/>
    <w:rsid w:val="00F84A21"/>
    <w:rsid w:val="00F85141"/>
    <w:rsid w:val="00F85D98"/>
    <w:rsid w:val="00F86319"/>
    <w:rsid w:val="00F86F85"/>
    <w:rsid w:val="00F874D6"/>
    <w:rsid w:val="00F8799B"/>
    <w:rsid w:val="00F87A8D"/>
    <w:rsid w:val="00F9005F"/>
    <w:rsid w:val="00F900AC"/>
    <w:rsid w:val="00F90743"/>
    <w:rsid w:val="00F90EF9"/>
    <w:rsid w:val="00F90F06"/>
    <w:rsid w:val="00F93D23"/>
    <w:rsid w:val="00F93E01"/>
    <w:rsid w:val="00F93F08"/>
    <w:rsid w:val="00F93F12"/>
    <w:rsid w:val="00F94CED"/>
    <w:rsid w:val="00F9531C"/>
    <w:rsid w:val="00F95828"/>
    <w:rsid w:val="00F958A4"/>
    <w:rsid w:val="00F95F37"/>
    <w:rsid w:val="00F96321"/>
    <w:rsid w:val="00F96C95"/>
    <w:rsid w:val="00F9714F"/>
    <w:rsid w:val="00F978B9"/>
    <w:rsid w:val="00F97DB8"/>
    <w:rsid w:val="00FA0033"/>
    <w:rsid w:val="00FA0BD3"/>
    <w:rsid w:val="00FA1751"/>
    <w:rsid w:val="00FA1787"/>
    <w:rsid w:val="00FA1D44"/>
    <w:rsid w:val="00FA2388"/>
    <w:rsid w:val="00FA2CEE"/>
    <w:rsid w:val="00FA318C"/>
    <w:rsid w:val="00FA3CE6"/>
    <w:rsid w:val="00FA47B1"/>
    <w:rsid w:val="00FA49DE"/>
    <w:rsid w:val="00FA4C01"/>
    <w:rsid w:val="00FA4C1D"/>
    <w:rsid w:val="00FA4E81"/>
    <w:rsid w:val="00FA501E"/>
    <w:rsid w:val="00FA51BF"/>
    <w:rsid w:val="00FA54A1"/>
    <w:rsid w:val="00FA55F5"/>
    <w:rsid w:val="00FA5C6D"/>
    <w:rsid w:val="00FA5D1F"/>
    <w:rsid w:val="00FA5F83"/>
    <w:rsid w:val="00FA68AE"/>
    <w:rsid w:val="00FA77BD"/>
    <w:rsid w:val="00FA7816"/>
    <w:rsid w:val="00FA7CB0"/>
    <w:rsid w:val="00FA7D11"/>
    <w:rsid w:val="00FB0084"/>
    <w:rsid w:val="00FB0867"/>
    <w:rsid w:val="00FB0B1F"/>
    <w:rsid w:val="00FB1275"/>
    <w:rsid w:val="00FB12E0"/>
    <w:rsid w:val="00FB17BC"/>
    <w:rsid w:val="00FB2194"/>
    <w:rsid w:val="00FB21BC"/>
    <w:rsid w:val="00FB23A0"/>
    <w:rsid w:val="00FB2445"/>
    <w:rsid w:val="00FB3722"/>
    <w:rsid w:val="00FB37F8"/>
    <w:rsid w:val="00FB3C39"/>
    <w:rsid w:val="00FB3DE4"/>
    <w:rsid w:val="00FB439D"/>
    <w:rsid w:val="00FB4915"/>
    <w:rsid w:val="00FB5B2B"/>
    <w:rsid w:val="00FB5EEE"/>
    <w:rsid w:val="00FB6075"/>
    <w:rsid w:val="00FB6158"/>
    <w:rsid w:val="00FB61DC"/>
    <w:rsid w:val="00FB686C"/>
    <w:rsid w:val="00FB6AA9"/>
    <w:rsid w:val="00FB6F92"/>
    <w:rsid w:val="00FB73C4"/>
    <w:rsid w:val="00FB7A7A"/>
    <w:rsid w:val="00FB7CDD"/>
    <w:rsid w:val="00FC0051"/>
    <w:rsid w:val="00FC026E"/>
    <w:rsid w:val="00FC05F1"/>
    <w:rsid w:val="00FC085F"/>
    <w:rsid w:val="00FC1C06"/>
    <w:rsid w:val="00FC1EB3"/>
    <w:rsid w:val="00FC2635"/>
    <w:rsid w:val="00FC2696"/>
    <w:rsid w:val="00FC2CB5"/>
    <w:rsid w:val="00FC2CE4"/>
    <w:rsid w:val="00FC2E9F"/>
    <w:rsid w:val="00FC3052"/>
    <w:rsid w:val="00FC31D4"/>
    <w:rsid w:val="00FC32D4"/>
    <w:rsid w:val="00FC3CE7"/>
    <w:rsid w:val="00FC3FB0"/>
    <w:rsid w:val="00FC474A"/>
    <w:rsid w:val="00FC4E53"/>
    <w:rsid w:val="00FC5124"/>
    <w:rsid w:val="00FC5141"/>
    <w:rsid w:val="00FC5670"/>
    <w:rsid w:val="00FC5E97"/>
    <w:rsid w:val="00FC65A3"/>
    <w:rsid w:val="00FC77D8"/>
    <w:rsid w:val="00FC791D"/>
    <w:rsid w:val="00FD07F0"/>
    <w:rsid w:val="00FD0FAE"/>
    <w:rsid w:val="00FD18EC"/>
    <w:rsid w:val="00FD2C09"/>
    <w:rsid w:val="00FD4731"/>
    <w:rsid w:val="00FD48CD"/>
    <w:rsid w:val="00FD5BBC"/>
    <w:rsid w:val="00FD5C4D"/>
    <w:rsid w:val="00FD5D18"/>
    <w:rsid w:val="00FD5D59"/>
    <w:rsid w:val="00FD6C27"/>
    <w:rsid w:val="00FD6C7B"/>
    <w:rsid w:val="00FD6FE1"/>
    <w:rsid w:val="00FD7075"/>
    <w:rsid w:val="00FD7602"/>
    <w:rsid w:val="00FD7803"/>
    <w:rsid w:val="00FD7B12"/>
    <w:rsid w:val="00FD7DF4"/>
    <w:rsid w:val="00FD7EE4"/>
    <w:rsid w:val="00FE1135"/>
    <w:rsid w:val="00FE158A"/>
    <w:rsid w:val="00FE15F0"/>
    <w:rsid w:val="00FE1FBA"/>
    <w:rsid w:val="00FE21FA"/>
    <w:rsid w:val="00FE23E2"/>
    <w:rsid w:val="00FE268E"/>
    <w:rsid w:val="00FE3147"/>
    <w:rsid w:val="00FE3328"/>
    <w:rsid w:val="00FE34EC"/>
    <w:rsid w:val="00FE39CD"/>
    <w:rsid w:val="00FE39FF"/>
    <w:rsid w:val="00FE3A82"/>
    <w:rsid w:val="00FE48AE"/>
    <w:rsid w:val="00FE48B4"/>
    <w:rsid w:val="00FE5130"/>
    <w:rsid w:val="00FE53D8"/>
    <w:rsid w:val="00FE55F3"/>
    <w:rsid w:val="00FE5C4C"/>
    <w:rsid w:val="00FE692E"/>
    <w:rsid w:val="00FE6CFD"/>
    <w:rsid w:val="00FE6D61"/>
    <w:rsid w:val="00FE7CD8"/>
    <w:rsid w:val="00FE7ED4"/>
    <w:rsid w:val="00FF025C"/>
    <w:rsid w:val="00FF06FB"/>
    <w:rsid w:val="00FF0971"/>
    <w:rsid w:val="00FF0989"/>
    <w:rsid w:val="00FF0AB0"/>
    <w:rsid w:val="00FF1AD0"/>
    <w:rsid w:val="00FF1B76"/>
    <w:rsid w:val="00FF23FB"/>
    <w:rsid w:val="00FF2534"/>
    <w:rsid w:val="00FF263A"/>
    <w:rsid w:val="00FF28AC"/>
    <w:rsid w:val="00FF3471"/>
    <w:rsid w:val="00FF38EB"/>
    <w:rsid w:val="00FF4305"/>
    <w:rsid w:val="00FF4381"/>
    <w:rsid w:val="00FF494D"/>
    <w:rsid w:val="00FF559F"/>
    <w:rsid w:val="00FF5D10"/>
    <w:rsid w:val="00FF60B4"/>
    <w:rsid w:val="00FF6545"/>
    <w:rsid w:val="00FF68AC"/>
    <w:rsid w:val="00FF6974"/>
    <w:rsid w:val="00FF6A94"/>
    <w:rsid w:val="00FF6CD2"/>
    <w:rsid w:val="00FF7641"/>
    <w:rsid w:val="00FF7872"/>
    <w:rsid w:val="00FF7F62"/>
    <w:rsid w:val="010705D9"/>
    <w:rsid w:val="0171A7C9"/>
    <w:rsid w:val="0256C7CA"/>
    <w:rsid w:val="027F7799"/>
    <w:rsid w:val="02AFA026"/>
    <w:rsid w:val="02CF4E30"/>
    <w:rsid w:val="031DCA49"/>
    <w:rsid w:val="0338F2B5"/>
    <w:rsid w:val="036D763A"/>
    <w:rsid w:val="03EDBD17"/>
    <w:rsid w:val="03F61F82"/>
    <w:rsid w:val="04307957"/>
    <w:rsid w:val="045FD5C0"/>
    <w:rsid w:val="04788601"/>
    <w:rsid w:val="047D9EFA"/>
    <w:rsid w:val="0496B86C"/>
    <w:rsid w:val="0532FC89"/>
    <w:rsid w:val="05AE58D6"/>
    <w:rsid w:val="05B945BB"/>
    <w:rsid w:val="05D7510C"/>
    <w:rsid w:val="061452F7"/>
    <w:rsid w:val="061AE364"/>
    <w:rsid w:val="0648E5CF"/>
    <w:rsid w:val="064BEE7C"/>
    <w:rsid w:val="06EE209F"/>
    <w:rsid w:val="072B8B16"/>
    <w:rsid w:val="0766D1B5"/>
    <w:rsid w:val="079DABD0"/>
    <w:rsid w:val="07C1F76A"/>
    <w:rsid w:val="0831BB9E"/>
    <w:rsid w:val="085F1C81"/>
    <w:rsid w:val="0892C343"/>
    <w:rsid w:val="08A2F10A"/>
    <w:rsid w:val="08C9339A"/>
    <w:rsid w:val="08F32A2F"/>
    <w:rsid w:val="097921B2"/>
    <w:rsid w:val="09D6130C"/>
    <w:rsid w:val="09E92C4A"/>
    <w:rsid w:val="09F225D7"/>
    <w:rsid w:val="0AB351BB"/>
    <w:rsid w:val="0AF6A8CB"/>
    <w:rsid w:val="0B0E6D21"/>
    <w:rsid w:val="0B4A41C5"/>
    <w:rsid w:val="0B87D6E0"/>
    <w:rsid w:val="0BC7984B"/>
    <w:rsid w:val="0BDB3B08"/>
    <w:rsid w:val="0C2159B0"/>
    <w:rsid w:val="0C5B68D6"/>
    <w:rsid w:val="0C694FEF"/>
    <w:rsid w:val="0C7EDFEA"/>
    <w:rsid w:val="0CAD4DF7"/>
    <w:rsid w:val="0CE173E8"/>
    <w:rsid w:val="0D612E17"/>
    <w:rsid w:val="0DC519AC"/>
    <w:rsid w:val="0DF211ED"/>
    <w:rsid w:val="0E3D4155"/>
    <w:rsid w:val="0EA4C487"/>
    <w:rsid w:val="0EC8FF6D"/>
    <w:rsid w:val="0EDA13BE"/>
    <w:rsid w:val="0EEACFC7"/>
    <w:rsid w:val="0F01284B"/>
    <w:rsid w:val="0F0A557C"/>
    <w:rsid w:val="0F1961AF"/>
    <w:rsid w:val="0F304575"/>
    <w:rsid w:val="0FEE4033"/>
    <w:rsid w:val="10C2F540"/>
    <w:rsid w:val="110F3D11"/>
    <w:rsid w:val="11156765"/>
    <w:rsid w:val="1157A11E"/>
    <w:rsid w:val="116AD758"/>
    <w:rsid w:val="119D50E7"/>
    <w:rsid w:val="11A097B9"/>
    <w:rsid w:val="11D21A32"/>
    <w:rsid w:val="1226CD6D"/>
    <w:rsid w:val="125360F9"/>
    <w:rsid w:val="125AD1D4"/>
    <w:rsid w:val="125C32D2"/>
    <w:rsid w:val="12870139"/>
    <w:rsid w:val="12CCEC84"/>
    <w:rsid w:val="1305FB42"/>
    <w:rsid w:val="133C2980"/>
    <w:rsid w:val="13924FF2"/>
    <w:rsid w:val="1399B4DB"/>
    <w:rsid w:val="14159701"/>
    <w:rsid w:val="1437953F"/>
    <w:rsid w:val="147851AF"/>
    <w:rsid w:val="14B5E2B4"/>
    <w:rsid w:val="14C9B29B"/>
    <w:rsid w:val="14E8C4E4"/>
    <w:rsid w:val="15E27A61"/>
    <w:rsid w:val="160E01E4"/>
    <w:rsid w:val="1631ABD7"/>
    <w:rsid w:val="16E5C01D"/>
    <w:rsid w:val="170B4FE0"/>
    <w:rsid w:val="177790BC"/>
    <w:rsid w:val="179A149D"/>
    <w:rsid w:val="17D161A2"/>
    <w:rsid w:val="18BCE52F"/>
    <w:rsid w:val="18D90767"/>
    <w:rsid w:val="18F9F095"/>
    <w:rsid w:val="190B5DC3"/>
    <w:rsid w:val="197C214A"/>
    <w:rsid w:val="1993312A"/>
    <w:rsid w:val="19AE6908"/>
    <w:rsid w:val="1A1A5B2D"/>
    <w:rsid w:val="1A353F86"/>
    <w:rsid w:val="1B1B8A87"/>
    <w:rsid w:val="1B253807"/>
    <w:rsid w:val="1B35EE55"/>
    <w:rsid w:val="1B817F6E"/>
    <w:rsid w:val="1BC4E671"/>
    <w:rsid w:val="1BF82249"/>
    <w:rsid w:val="1C1600FF"/>
    <w:rsid w:val="1CCB0CC2"/>
    <w:rsid w:val="1CD84991"/>
    <w:rsid w:val="1CF69D34"/>
    <w:rsid w:val="1D0DE186"/>
    <w:rsid w:val="1D29C7C2"/>
    <w:rsid w:val="1D9C91EC"/>
    <w:rsid w:val="1DFC2F33"/>
    <w:rsid w:val="1E2F4ADC"/>
    <w:rsid w:val="1E75BE0C"/>
    <w:rsid w:val="1EDF751B"/>
    <w:rsid w:val="1EE00866"/>
    <w:rsid w:val="1EFEA822"/>
    <w:rsid w:val="1F1D9812"/>
    <w:rsid w:val="1F36C7D5"/>
    <w:rsid w:val="1F3C471E"/>
    <w:rsid w:val="1F79F0A0"/>
    <w:rsid w:val="1F7B6EDE"/>
    <w:rsid w:val="1F94586D"/>
    <w:rsid w:val="1F9C48C7"/>
    <w:rsid w:val="1FF11691"/>
    <w:rsid w:val="2017E103"/>
    <w:rsid w:val="2067AFB7"/>
    <w:rsid w:val="20AF8BFA"/>
    <w:rsid w:val="20B81764"/>
    <w:rsid w:val="20E27CDA"/>
    <w:rsid w:val="20FF0CE1"/>
    <w:rsid w:val="214F15B1"/>
    <w:rsid w:val="21706C52"/>
    <w:rsid w:val="218CD468"/>
    <w:rsid w:val="21BF3349"/>
    <w:rsid w:val="21F7C6E8"/>
    <w:rsid w:val="2245E509"/>
    <w:rsid w:val="224D0D3E"/>
    <w:rsid w:val="225B54D4"/>
    <w:rsid w:val="2282C190"/>
    <w:rsid w:val="22B97405"/>
    <w:rsid w:val="233823A8"/>
    <w:rsid w:val="23499131"/>
    <w:rsid w:val="2358DEFD"/>
    <w:rsid w:val="23857C13"/>
    <w:rsid w:val="24180A9E"/>
    <w:rsid w:val="241A9711"/>
    <w:rsid w:val="24300D97"/>
    <w:rsid w:val="24350D00"/>
    <w:rsid w:val="2479D639"/>
    <w:rsid w:val="2495C448"/>
    <w:rsid w:val="24DE3FBC"/>
    <w:rsid w:val="257E3519"/>
    <w:rsid w:val="25C9431B"/>
    <w:rsid w:val="25D461FC"/>
    <w:rsid w:val="263D498B"/>
    <w:rsid w:val="26CAFB79"/>
    <w:rsid w:val="27450E56"/>
    <w:rsid w:val="2762432D"/>
    <w:rsid w:val="2764E3F3"/>
    <w:rsid w:val="2774D7B6"/>
    <w:rsid w:val="2787134F"/>
    <w:rsid w:val="27E3C749"/>
    <w:rsid w:val="27ECC726"/>
    <w:rsid w:val="281C0AAB"/>
    <w:rsid w:val="292207E9"/>
    <w:rsid w:val="293E9E69"/>
    <w:rsid w:val="29444EA4"/>
    <w:rsid w:val="29457784"/>
    <w:rsid w:val="295FC618"/>
    <w:rsid w:val="296456A5"/>
    <w:rsid w:val="2978FBE7"/>
    <w:rsid w:val="2982EA47"/>
    <w:rsid w:val="29AE0AD5"/>
    <w:rsid w:val="2A0C8594"/>
    <w:rsid w:val="2A2F2A41"/>
    <w:rsid w:val="2A6A9F82"/>
    <w:rsid w:val="2A9EE551"/>
    <w:rsid w:val="2B18F7D0"/>
    <w:rsid w:val="2B275A80"/>
    <w:rsid w:val="2B2C77F5"/>
    <w:rsid w:val="2B7E6AFA"/>
    <w:rsid w:val="2B93A450"/>
    <w:rsid w:val="2BDF0144"/>
    <w:rsid w:val="2BE57E4A"/>
    <w:rsid w:val="2BF2A1A4"/>
    <w:rsid w:val="2C1E4F02"/>
    <w:rsid w:val="2C20A3C4"/>
    <w:rsid w:val="2C2ED90E"/>
    <w:rsid w:val="2D1919DC"/>
    <w:rsid w:val="2D27A8F3"/>
    <w:rsid w:val="2D36861E"/>
    <w:rsid w:val="2D841627"/>
    <w:rsid w:val="2DD7A1D8"/>
    <w:rsid w:val="2DE5A5E0"/>
    <w:rsid w:val="2DF42761"/>
    <w:rsid w:val="2E69624C"/>
    <w:rsid w:val="2E738E93"/>
    <w:rsid w:val="2EBA97DF"/>
    <w:rsid w:val="2EE06653"/>
    <w:rsid w:val="2F1E2D06"/>
    <w:rsid w:val="2F3F83E1"/>
    <w:rsid w:val="2F88D98E"/>
    <w:rsid w:val="2FC00FA0"/>
    <w:rsid w:val="2FF25756"/>
    <w:rsid w:val="307D214C"/>
    <w:rsid w:val="30A6DEA8"/>
    <w:rsid w:val="30DAA8AB"/>
    <w:rsid w:val="30DE0BBD"/>
    <w:rsid w:val="30E2452A"/>
    <w:rsid w:val="30FE1180"/>
    <w:rsid w:val="310EA075"/>
    <w:rsid w:val="31283B10"/>
    <w:rsid w:val="3135F801"/>
    <w:rsid w:val="3230F4E0"/>
    <w:rsid w:val="3287B1B4"/>
    <w:rsid w:val="32B255A3"/>
    <w:rsid w:val="32C0DCE4"/>
    <w:rsid w:val="32D30054"/>
    <w:rsid w:val="32DD2A2E"/>
    <w:rsid w:val="32DF8BE4"/>
    <w:rsid w:val="32F0513B"/>
    <w:rsid w:val="32F17A04"/>
    <w:rsid w:val="330E107F"/>
    <w:rsid w:val="333AB9E7"/>
    <w:rsid w:val="3355CED9"/>
    <w:rsid w:val="3362D66F"/>
    <w:rsid w:val="33AC780D"/>
    <w:rsid w:val="33CD3647"/>
    <w:rsid w:val="342F01D0"/>
    <w:rsid w:val="347EA1E9"/>
    <w:rsid w:val="34E708C2"/>
    <w:rsid w:val="34E7E83F"/>
    <w:rsid w:val="351AC8BF"/>
    <w:rsid w:val="354DF34D"/>
    <w:rsid w:val="356FD902"/>
    <w:rsid w:val="358C87AB"/>
    <w:rsid w:val="35A7116A"/>
    <w:rsid w:val="35C25842"/>
    <w:rsid w:val="35C84483"/>
    <w:rsid w:val="35D0DFB9"/>
    <w:rsid w:val="3606F65C"/>
    <w:rsid w:val="361DBDF5"/>
    <w:rsid w:val="36254B37"/>
    <w:rsid w:val="36274F32"/>
    <w:rsid w:val="36C3B82C"/>
    <w:rsid w:val="36C80049"/>
    <w:rsid w:val="3702BB98"/>
    <w:rsid w:val="3739ACCC"/>
    <w:rsid w:val="376B1700"/>
    <w:rsid w:val="3780EC84"/>
    <w:rsid w:val="3807CD58"/>
    <w:rsid w:val="389B1278"/>
    <w:rsid w:val="38E19C8E"/>
    <w:rsid w:val="38ECFEED"/>
    <w:rsid w:val="390BC8EC"/>
    <w:rsid w:val="39215978"/>
    <w:rsid w:val="39393E53"/>
    <w:rsid w:val="3971B758"/>
    <w:rsid w:val="39B29479"/>
    <w:rsid w:val="39EA9ED8"/>
    <w:rsid w:val="3A2305AF"/>
    <w:rsid w:val="3A45B0EA"/>
    <w:rsid w:val="3A8A25BC"/>
    <w:rsid w:val="3AB3CB9F"/>
    <w:rsid w:val="3B2E2BA7"/>
    <w:rsid w:val="3B43052C"/>
    <w:rsid w:val="3B4A0E9F"/>
    <w:rsid w:val="3B4C1BA2"/>
    <w:rsid w:val="3B704A4F"/>
    <w:rsid w:val="3C3D2B71"/>
    <w:rsid w:val="3C40D954"/>
    <w:rsid w:val="3DDF1042"/>
    <w:rsid w:val="3E2EAFDD"/>
    <w:rsid w:val="3E38243C"/>
    <w:rsid w:val="3E4206F0"/>
    <w:rsid w:val="3E7C437E"/>
    <w:rsid w:val="3E805A54"/>
    <w:rsid w:val="3E8E4167"/>
    <w:rsid w:val="3EB3AC5D"/>
    <w:rsid w:val="3ECCB9F5"/>
    <w:rsid w:val="3FED981F"/>
    <w:rsid w:val="404485AC"/>
    <w:rsid w:val="40FF3C87"/>
    <w:rsid w:val="41E874A2"/>
    <w:rsid w:val="42B0FAF6"/>
    <w:rsid w:val="431DF702"/>
    <w:rsid w:val="43475634"/>
    <w:rsid w:val="43553D28"/>
    <w:rsid w:val="4355CDA1"/>
    <w:rsid w:val="43720528"/>
    <w:rsid w:val="43780509"/>
    <w:rsid w:val="43A2CBA3"/>
    <w:rsid w:val="43AF01E4"/>
    <w:rsid w:val="43C277A9"/>
    <w:rsid w:val="43DABE3D"/>
    <w:rsid w:val="44089026"/>
    <w:rsid w:val="44413DCF"/>
    <w:rsid w:val="444ABC92"/>
    <w:rsid w:val="44768009"/>
    <w:rsid w:val="4484EE6D"/>
    <w:rsid w:val="4490C6E3"/>
    <w:rsid w:val="44AE3624"/>
    <w:rsid w:val="4518F56D"/>
    <w:rsid w:val="45579726"/>
    <w:rsid w:val="457E1F01"/>
    <w:rsid w:val="45D96B39"/>
    <w:rsid w:val="4600EDBD"/>
    <w:rsid w:val="46542C46"/>
    <w:rsid w:val="4682F5AA"/>
    <w:rsid w:val="468D6C74"/>
    <w:rsid w:val="46B729CF"/>
    <w:rsid w:val="46D695D7"/>
    <w:rsid w:val="47288D40"/>
    <w:rsid w:val="475863A0"/>
    <w:rsid w:val="47D159D4"/>
    <w:rsid w:val="4813DDA5"/>
    <w:rsid w:val="481847E2"/>
    <w:rsid w:val="4820ADBC"/>
    <w:rsid w:val="4841A0D9"/>
    <w:rsid w:val="48560889"/>
    <w:rsid w:val="4877742D"/>
    <w:rsid w:val="48B40BAE"/>
    <w:rsid w:val="4920174E"/>
    <w:rsid w:val="494F1E93"/>
    <w:rsid w:val="49CDBD1B"/>
    <w:rsid w:val="49F52D49"/>
    <w:rsid w:val="4A3CD3C9"/>
    <w:rsid w:val="4AA23C08"/>
    <w:rsid w:val="4AFC6B9D"/>
    <w:rsid w:val="4B115963"/>
    <w:rsid w:val="4B58EA51"/>
    <w:rsid w:val="4B6AB8E0"/>
    <w:rsid w:val="4B707B7B"/>
    <w:rsid w:val="4B7DE63C"/>
    <w:rsid w:val="4BC69782"/>
    <w:rsid w:val="4BE105B4"/>
    <w:rsid w:val="4C02AA9D"/>
    <w:rsid w:val="4C2F80FC"/>
    <w:rsid w:val="4C71FD19"/>
    <w:rsid w:val="4CB5D22D"/>
    <w:rsid w:val="4CB750BF"/>
    <w:rsid w:val="4DAE24D9"/>
    <w:rsid w:val="4E1151E9"/>
    <w:rsid w:val="4E1CCB14"/>
    <w:rsid w:val="4E5BCB5C"/>
    <w:rsid w:val="4EB3722B"/>
    <w:rsid w:val="4F047AE3"/>
    <w:rsid w:val="4F3F1256"/>
    <w:rsid w:val="4F7B53B6"/>
    <w:rsid w:val="4F7C73C9"/>
    <w:rsid w:val="4F8E36C2"/>
    <w:rsid w:val="4FB5D3D7"/>
    <w:rsid w:val="4FDB91B9"/>
    <w:rsid w:val="506120B2"/>
    <w:rsid w:val="50A459D8"/>
    <w:rsid w:val="510EDDD9"/>
    <w:rsid w:val="514F0AB2"/>
    <w:rsid w:val="5191B2F6"/>
    <w:rsid w:val="51A930AE"/>
    <w:rsid w:val="51C11575"/>
    <w:rsid w:val="520DF737"/>
    <w:rsid w:val="52554178"/>
    <w:rsid w:val="52CD27FD"/>
    <w:rsid w:val="534AA1F6"/>
    <w:rsid w:val="538D1D88"/>
    <w:rsid w:val="54106796"/>
    <w:rsid w:val="54473AF5"/>
    <w:rsid w:val="5447A4EB"/>
    <w:rsid w:val="548E8BA3"/>
    <w:rsid w:val="54CF5F1F"/>
    <w:rsid w:val="5574770D"/>
    <w:rsid w:val="55EDFDA9"/>
    <w:rsid w:val="564CD145"/>
    <w:rsid w:val="5675D316"/>
    <w:rsid w:val="56A56B42"/>
    <w:rsid w:val="56A60DB0"/>
    <w:rsid w:val="56C5DE83"/>
    <w:rsid w:val="5773C88B"/>
    <w:rsid w:val="5783BC9D"/>
    <w:rsid w:val="5863020D"/>
    <w:rsid w:val="588570DE"/>
    <w:rsid w:val="589993D0"/>
    <w:rsid w:val="58A695A2"/>
    <w:rsid w:val="58EC6BFA"/>
    <w:rsid w:val="58F93551"/>
    <w:rsid w:val="5918BAF1"/>
    <w:rsid w:val="59D534D6"/>
    <w:rsid w:val="5A620AF1"/>
    <w:rsid w:val="5A9121D3"/>
    <w:rsid w:val="5AD9AE1A"/>
    <w:rsid w:val="5AFBA0E2"/>
    <w:rsid w:val="5B12FE9F"/>
    <w:rsid w:val="5B3EEDBC"/>
    <w:rsid w:val="5B6C7433"/>
    <w:rsid w:val="5C8FC52E"/>
    <w:rsid w:val="5C912AF6"/>
    <w:rsid w:val="5CCA780F"/>
    <w:rsid w:val="5CF3870A"/>
    <w:rsid w:val="5D0C200D"/>
    <w:rsid w:val="5D199C3A"/>
    <w:rsid w:val="5D200C03"/>
    <w:rsid w:val="5D78AF97"/>
    <w:rsid w:val="5D98E0C0"/>
    <w:rsid w:val="5DEC9E76"/>
    <w:rsid w:val="5E19D99B"/>
    <w:rsid w:val="5E2D11BA"/>
    <w:rsid w:val="5E38E58B"/>
    <w:rsid w:val="5E6C47A2"/>
    <w:rsid w:val="5E78362E"/>
    <w:rsid w:val="5EA00504"/>
    <w:rsid w:val="5EBEC4D3"/>
    <w:rsid w:val="5F7347D1"/>
    <w:rsid w:val="5F7ACA0B"/>
    <w:rsid w:val="5FABE1A8"/>
    <w:rsid w:val="5FE4E8B4"/>
    <w:rsid w:val="600EA722"/>
    <w:rsid w:val="601F7759"/>
    <w:rsid w:val="60865CC4"/>
    <w:rsid w:val="60AC6CC8"/>
    <w:rsid w:val="60E971DE"/>
    <w:rsid w:val="60FE4914"/>
    <w:rsid w:val="6123DEEE"/>
    <w:rsid w:val="61778826"/>
    <w:rsid w:val="6181E1E2"/>
    <w:rsid w:val="61E8A7E3"/>
    <w:rsid w:val="62368A07"/>
    <w:rsid w:val="6278BA41"/>
    <w:rsid w:val="630BEC06"/>
    <w:rsid w:val="632837D5"/>
    <w:rsid w:val="633238B8"/>
    <w:rsid w:val="63561781"/>
    <w:rsid w:val="6359FDEF"/>
    <w:rsid w:val="63763780"/>
    <w:rsid w:val="63DF6C2A"/>
    <w:rsid w:val="63EFF01C"/>
    <w:rsid w:val="640F8A63"/>
    <w:rsid w:val="64538B9B"/>
    <w:rsid w:val="648A445D"/>
    <w:rsid w:val="6498F6C2"/>
    <w:rsid w:val="64EE2693"/>
    <w:rsid w:val="64F8853C"/>
    <w:rsid w:val="650FAE9E"/>
    <w:rsid w:val="65857002"/>
    <w:rsid w:val="6641EF40"/>
    <w:rsid w:val="6698DFF5"/>
    <w:rsid w:val="669CD77D"/>
    <w:rsid w:val="6720BD18"/>
    <w:rsid w:val="674C5744"/>
    <w:rsid w:val="67CFB7B6"/>
    <w:rsid w:val="68C53A69"/>
    <w:rsid w:val="68C69C5E"/>
    <w:rsid w:val="69128E3E"/>
    <w:rsid w:val="691F2EDE"/>
    <w:rsid w:val="6920FDE7"/>
    <w:rsid w:val="692EE0A2"/>
    <w:rsid w:val="69B47A0B"/>
    <w:rsid w:val="69F6D57B"/>
    <w:rsid w:val="6A1573AE"/>
    <w:rsid w:val="6A7B9976"/>
    <w:rsid w:val="6A8BE9D4"/>
    <w:rsid w:val="6A96D892"/>
    <w:rsid w:val="6A96ED38"/>
    <w:rsid w:val="6B44A12A"/>
    <w:rsid w:val="6BBE28E7"/>
    <w:rsid w:val="6C76C4F5"/>
    <w:rsid w:val="6C94DB74"/>
    <w:rsid w:val="6CBDA4C0"/>
    <w:rsid w:val="6CC68978"/>
    <w:rsid w:val="6CF1AED4"/>
    <w:rsid w:val="6D07043B"/>
    <w:rsid w:val="6D11AF24"/>
    <w:rsid w:val="6D983F7E"/>
    <w:rsid w:val="6E2A5FA9"/>
    <w:rsid w:val="6E37E82D"/>
    <w:rsid w:val="6EC0E176"/>
    <w:rsid w:val="706DCCD3"/>
    <w:rsid w:val="70BA32A0"/>
    <w:rsid w:val="7142EA66"/>
    <w:rsid w:val="715E12A3"/>
    <w:rsid w:val="7174FD64"/>
    <w:rsid w:val="71DD4C53"/>
    <w:rsid w:val="7206318F"/>
    <w:rsid w:val="7297D6CA"/>
    <w:rsid w:val="729F0B78"/>
    <w:rsid w:val="72C9C6D3"/>
    <w:rsid w:val="72CE27D0"/>
    <w:rsid w:val="72D0D9EF"/>
    <w:rsid w:val="72E08CDE"/>
    <w:rsid w:val="72EF1843"/>
    <w:rsid w:val="72FDF90A"/>
    <w:rsid w:val="734DD607"/>
    <w:rsid w:val="73757E71"/>
    <w:rsid w:val="73785FDE"/>
    <w:rsid w:val="73899CF8"/>
    <w:rsid w:val="73C43C23"/>
    <w:rsid w:val="73D3D98F"/>
    <w:rsid w:val="73E31434"/>
    <w:rsid w:val="7422C29A"/>
    <w:rsid w:val="743F9F2C"/>
    <w:rsid w:val="7471BDBE"/>
    <w:rsid w:val="7476AE29"/>
    <w:rsid w:val="7485CCE3"/>
    <w:rsid w:val="748A5B52"/>
    <w:rsid w:val="749E1338"/>
    <w:rsid w:val="74DF32C3"/>
    <w:rsid w:val="75284379"/>
    <w:rsid w:val="7633D91B"/>
    <w:rsid w:val="76897C8A"/>
    <w:rsid w:val="76DA41F5"/>
    <w:rsid w:val="771F894E"/>
    <w:rsid w:val="77383CF6"/>
    <w:rsid w:val="774C7ABB"/>
    <w:rsid w:val="77E6AF77"/>
    <w:rsid w:val="77EAE848"/>
    <w:rsid w:val="78070EAE"/>
    <w:rsid w:val="78083A14"/>
    <w:rsid w:val="7837D1EA"/>
    <w:rsid w:val="78B16CCA"/>
    <w:rsid w:val="78CF413E"/>
    <w:rsid w:val="78D6F6D9"/>
    <w:rsid w:val="78E534F1"/>
    <w:rsid w:val="78E705AC"/>
    <w:rsid w:val="78FA0533"/>
    <w:rsid w:val="794F6EAB"/>
    <w:rsid w:val="79B5DC6A"/>
    <w:rsid w:val="79EC43F4"/>
    <w:rsid w:val="7A0C7CE1"/>
    <w:rsid w:val="7A16B273"/>
    <w:rsid w:val="7A3B2C46"/>
    <w:rsid w:val="7A796165"/>
    <w:rsid w:val="7B2537EC"/>
    <w:rsid w:val="7B7EA0DF"/>
    <w:rsid w:val="7BAF5C14"/>
    <w:rsid w:val="7BB2A562"/>
    <w:rsid w:val="7BC5D146"/>
    <w:rsid w:val="7BC76E6D"/>
    <w:rsid w:val="7BF5A2E8"/>
    <w:rsid w:val="7BF5D50B"/>
    <w:rsid w:val="7BF99D81"/>
    <w:rsid w:val="7C24F4A7"/>
    <w:rsid w:val="7C6215CB"/>
    <w:rsid w:val="7CD9DADA"/>
    <w:rsid w:val="7CE0CC3C"/>
    <w:rsid w:val="7D1BD565"/>
    <w:rsid w:val="7D88B2B6"/>
    <w:rsid w:val="7DC1ADD4"/>
    <w:rsid w:val="7DDE6319"/>
    <w:rsid w:val="7E1C854E"/>
    <w:rsid w:val="7E2E7436"/>
    <w:rsid w:val="7E36D2DD"/>
    <w:rsid w:val="7E5EB973"/>
    <w:rsid w:val="7E991747"/>
    <w:rsid w:val="7EA736FF"/>
    <w:rsid w:val="7EAD25DB"/>
    <w:rsid w:val="7EFB0508"/>
    <w:rsid w:val="7F582C68"/>
    <w:rsid w:val="7F8E89E7"/>
    <w:rsid w:val="7FF616A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3B64039F-7CDE-4FF2-BB70-4B01DE3F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A70AB"/>
    <w:pPr>
      <w:spacing w:before="120" w:after="120" w:line="276" w:lineRule="auto"/>
    </w:pPr>
    <w:rPr>
      <w:rFonts w:ascii="Arial" w:hAnsi="Arial"/>
      <w:color w:val="000000" w:themeColor="text1"/>
      <w:sz w:val="22"/>
      <w:szCs w:val="24"/>
      <w:lang w:eastAsia="en-US"/>
    </w:rPr>
  </w:style>
  <w:style w:type="paragraph" w:styleId="Heading1">
    <w:name w:val="heading 1"/>
    <w:next w:val="Normal"/>
    <w:link w:val="Heading1Char"/>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basedOn w:val="Normal"/>
    <w:next w:val="Normal"/>
    <w:link w:val="Heading4Char"/>
    <w:qFormat/>
    <w:rsid w:val="00891249"/>
    <w:pPr>
      <w:keepNext/>
      <w:spacing w:before="240" w:after="60" w:line="240" w:lineRule="auto"/>
      <w:outlineLvl w:val="3"/>
    </w:pPr>
    <w:rPr>
      <w:b/>
      <w:bCs/>
      <w:sz w:val="24"/>
      <w:szCs w:val="28"/>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72C2"/>
    <w:rPr>
      <w:rFonts w:ascii="Arial" w:hAnsi="Arial" w:cs="Arial"/>
      <w:b/>
      <w:bCs/>
      <w:color w:val="3F4A75"/>
      <w:kern w:val="28"/>
      <w:sz w:val="44"/>
      <w:szCs w:val="36"/>
      <w:lang w:eastAsia="en-US"/>
    </w:rPr>
  </w:style>
  <w:style w:type="character" w:customStyle="1" w:styleId="Heading4Char">
    <w:name w:val="Heading 4 Char"/>
    <w:basedOn w:val="DefaultParagraphFont"/>
    <w:link w:val="Heading4"/>
    <w:rsid w:val="00891249"/>
    <w:rPr>
      <w:rFonts w:ascii="Arial" w:hAnsi="Arial"/>
      <w:b/>
      <w:bCs/>
      <w:color w:val="000000" w:themeColor="text1"/>
      <w:sz w:val="24"/>
      <w:szCs w:val="28"/>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styleId="Emphasis">
    <w:name w:val="Emphasis"/>
    <w:basedOn w:val="DefaultParagraphFon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9"/>
      </w:numPr>
      <w:ind w:left="568" w:hanging="284"/>
    </w:pPr>
  </w:style>
  <w:style w:type="paragraph" w:styleId="ListNumber2">
    <w:name w:val="List Number 2"/>
    <w:basedOn w:val="ListBullet"/>
    <w:qFormat/>
    <w:rsid w:val="00BA70AB"/>
    <w:pPr>
      <w:numPr>
        <w:numId w:val="11"/>
      </w:numPr>
      <w:ind w:left="680" w:hanging="340"/>
    </w:pPr>
  </w:style>
  <w:style w:type="paragraph" w:styleId="ListBullet">
    <w:name w:val="List Bullet"/>
    <w:basedOn w:val="Normal"/>
    <w:qFormat/>
    <w:rsid w:val="00BA70AB"/>
    <w:pPr>
      <w:numPr>
        <w:numId w:val="10"/>
      </w:numPr>
      <w:tabs>
        <w:tab w:val="left" w:pos="340"/>
        <w:tab w:val="left" w:pos="680"/>
      </w:tabs>
      <w:spacing w:before="60" w:after="60"/>
      <w:ind w:left="340" w:hanging="340"/>
    </w:pPr>
  </w:style>
  <w:style w:type="paragraph" w:styleId="ListParagraph">
    <w:name w:val="List Paragraph"/>
    <w:aliases w:val="#List Paragraph,L,List Paragraph1,List Paragraph11,Recommendation,Bullet point,CV text,Dot pt,F5 List Paragraph,FooterText,List Paragraph111,List Paragraph2,Medium Grid 1 - Accent 21,NAST Quote,NFP GP Bulleted List,Numbered Paragraph,列"/>
    <w:basedOn w:val="Normal"/>
    <w:link w:val="ListParagraphChar"/>
    <w:uiPriority w:val="34"/>
    <w:qFormat/>
    <w:rsid w:val="00A4512D"/>
    <w:pPr>
      <w:ind w:left="720"/>
      <w:contextualSpacing/>
    </w:pPr>
  </w:style>
  <w:style w:type="character" w:customStyle="1" w:styleId="ListParagraphChar">
    <w:name w:val="List Paragraph Char"/>
    <w:aliases w:val="#List Paragraph Char,L Char,List Paragraph1 Char,List Paragraph11 Char,Recommendation Char,Bullet point Char,CV text Char,Dot pt Char,F5 List Paragraph Char,FooterText Char,List Paragraph111 Char,List Paragraph2 Char,NAST Quote Char"/>
    <w:link w:val="ListParagraph"/>
    <w:uiPriority w:val="34"/>
    <w:qFormat/>
    <w:locked/>
    <w:rsid w:val="00E43F70"/>
    <w:rPr>
      <w:rFonts w:ascii="Arial" w:hAnsi="Arial"/>
      <w:color w:val="000000" w:themeColor="text1"/>
      <w:sz w:val="22"/>
      <w:szCs w:val="24"/>
      <w:lang w:eastAsia="en-US"/>
    </w:rPr>
  </w:style>
  <w:style w:type="paragraph" w:styleId="ListNumber3">
    <w:name w:val="List Number 3"/>
    <w:aliases w:val="List Third Level"/>
    <w:basedOn w:val="ListNumber2"/>
    <w:rsid w:val="00BA56B7"/>
    <w:pPr>
      <w:numPr>
        <w:numId w:val="6"/>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6513D5"/>
    <w:pPr>
      <w:spacing w:before="60" w:after="60"/>
    </w:pPr>
    <w:rPr>
      <w:rFonts w:ascii="Arial" w:hAnsi="Arial"/>
      <w:b/>
      <w:bCs/>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E0B2F"/>
    <w:pPr>
      <w:spacing w:before="80" w:after="80"/>
    </w:pPr>
    <w:rPr>
      <w:rFonts w:eastAsia="Cambria"/>
      <w:b/>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7"/>
      </w:numPr>
      <w:ind w:left="284" w:hanging="284"/>
    </w:pPr>
    <w:rPr>
      <w:szCs w:val="20"/>
    </w:rPr>
  </w:style>
  <w:style w:type="paragraph" w:customStyle="1" w:styleId="Tablelistnumber">
    <w:name w:val="Table list number"/>
    <w:basedOn w:val="Tabletextleft"/>
    <w:qFormat/>
    <w:rsid w:val="00DD2061"/>
    <w:pPr>
      <w:numPr>
        <w:numId w:val="8"/>
      </w:numPr>
    </w:pPr>
    <w:rPr>
      <w:bCs w:val="0"/>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paragraph" w:styleId="TOCHeading">
    <w:name w:val="TOC Heading"/>
    <w:basedOn w:val="Heading1"/>
    <w:next w:val="Normal"/>
    <w:uiPriority w:val="39"/>
    <w:unhideWhenUsed/>
    <w:qFormat/>
    <w:rsid w:val="000B0E88"/>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val="en-US"/>
    </w:rPr>
  </w:style>
  <w:style w:type="paragraph" w:styleId="TOC1">
    <w:name w:val="toc 1"/>
    <w:basedOn w:val="Normal"/>
    <w:next w:val="Normal"/>
    <w:autoRedefine/>
    <w:uiPriority w:val="39"/>
    <w:unhideWhenUsed/>
    <w:rsid w:val="00155EB4"/>
    <w:pPr>
      <w:tabs>
        <w:tab w:val="left" w:pos="440"/>
        <w:tab w:val="right" w:leader="dot" w:pos="9060"/>
      </w:tabs>
      <w:spacing w:after="100"/>
    </w:pPr>
    <w:rPr>
      <w:noProof/>
    </w:rPr>
  </w:style>
  <w:style w:type="paragraph" w:styleId="TOC2">
    <w:name w:val="toc 2"/>
    <w:basedOn w:val="Normal"/>
    <w:next w:val="Normal"/>
    <w:autoRedefine/>
    <w:uiPriority w:val="39"/>
    <w:unhideWhenUsed/>
    <w:rsid w:val="00B9014E"/>
    <w:pPr>
      <w:tabs>
        <w:tab w:val="left" w:pos="1200"/>
        <w:tab w:val="right" w:leader="dot" w:pos="9060"/>
      </w:tabs>
      <w:spacing w:after="100"/>
      <w:ind w:left="220"/>
    </w:pPr>
    <w:rPr>
      <w:noProof/>
    </w:rPr>
  </w:style>
  <w:style w:type="paragraph" w:styleId="TOC3">
    <w:name w:val="toc 3"/>
    <w:basedOn w:val="Normal"/>
    <w:next w:val="Normal"/>
    <w:autoRedefine/>
    <w:uiPriority w:val="39"/>
    <w:unhideWhenUsed/>
    <w:rsid w:val="000B0E88"/>
    <w:pPr>
      <w:spacing w:after="100"/>
      <w:ind w:left="440"/>
    </w:pPr>
  </w:style>
  <w:style w:type="character" w:styleId="CommentReference">
    <w:name w:val="annotation reference"/>
    <w:basedOn w:val="DefaultParagraphFont"/>
    <w:semiHidden/>
    <w:unhideWhenUsed/>
    <w:rsid w:val="00AB100D"/>
    <w:rPr>
      <w:sz w:val="16"/>
      <w:szCs w:val="16"/>
    </w:rPr>
  </w:style>
  <w:style w:type="paragraph" w:styleId="CommentText">
    <w:name w:val="annotation text"/>
    <w:basedOn w:val="Normal"/>
    <w:link w:val="CommentTextChar"/>
    <w:unhideWhenUsed/>
    <w:rsid w:val="00AB100D"/>
    <w:pPr>
      <w:spacing w:line="240" w:lineRule="auto"/>
    </w:pPr>
    <w:rPr>
      <w:sz w:val="20"/>
      <w:szCs w:val="20"/>
    </w:rPr>
  </w:style>
  <w:style w:type="character" w:customStyle="1" w:styleId="CommentTextChar">
    <w:name w:val="Comment Text Char"/>
    <w:basedOn w:val="DefaultParagraphFont"/>
    <w:link w:val="CommentText"/>
    <w:rsid w:val="00AB100D"/>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AB100D"/>
    <w:rPr>
      <w:b/>
      <w:bCs/>
    </w:rPr>
  </w:style>
  <w:style w:type="character" w:customStyle="1" w:styleId="CommentSubjectChar">
    <w:name w:val="Comment Subject Char"/>
    <w:basedOn w:val="CommentTextChar"/>
    <w:link w:val="CommentSubject"/>
    <w:semiHidden/>
    <w:rsid w:val="00AB100D"/>
    <w:rPr>
      <w:rFonts w:ascii="Arial" w:hAnsi="Arial"/>
      <w:b/>
      <w:bCs/>
      <w:color w:val="000000" w:themeColor="text1"/>
      <w:lang w:eastAsia="en-US"/>
    </w:rPr>
  </w:style>
  <w:style w:type="character" w:styleId="UnresolvedMention">
    <w:name w:val="Unresolved Mention"/>
    <w:basedOn w:val="DefaultParagraphFont"/>
    <w:uiPriority w:val="99"/>
    <w:semiHidden/>
    <w:unhideWhenUsed/>
    <w:rsid w:val="00160A74"/>
    <w:rPr>
      <w:color w:val="605E5C"/>
      <w:shd w:val="clear" w:color="auto" w:fill="E1DFDD"/>
    </w:rPr>
  </w:style>
  <w:style w:type="paragraph" w:styleId="Revision">
    <w:name w:val="Revision"/>
    <w:hidden/>
    <w:uiPriority w:val="99"/>
    <w:semiHidden/>
    <w:rsid w:val="00D91C3B"/>
    <w:rPr>
      <w:rFonts w:ascii="Arial" w:hAnsi="Arial"/>
      <w:color w:val="000000" w:themeColor="text1"/>
      <w:sz w:val="22"/>
      <w:szCs w:val="24"/>
      <w:lang w:eastAsia="en-US"/>
    </w:rPr>
  </w:style>
  <w:style w:type="character" w:styleId="Mention">
    <w:name w:val="Mention"/>
    <w:basedOn w:val="DefaultParagraphFont"/>
    <w:uiPriority w:val="99"/>
    <w:unhideWhenUsed/>
    <w:rsid w:val="009F23BA"/>
    <w:rPr>
      <w:color w:val="2B579A"/>
      <w:shd w:val="clear" w:color="auto" w:fill="E1DFDD"/>
    </w:rPr>
  </w:style>
  <w:style w:type="paragraph" w:customStyle="1" w:styleId="Style2">
    <w:name w:val="Style2"/>
    <w:basedOn w:val="Heading4"/>
    <w:next w:val="Heading4"/>
    <w:link w:val="Style2Char"/>
    <w:qFormat/>
    <w:rsid w:val="0040383F"/>
    <w:rPr>
      <w:i/>
    </w:rPr>
  </w:style>
  <w:style w:type="character" w:customStyle="1" w:styleId="Style2Char">
    <w:name w:val="Style2 Char"/>
    <w:basedOn w:val="Heading4Char"/>
    <w:link w:val="Style2"/>
    <w:rsid w:val="0040383F"/>
    <w:rPr>
      <w:rFonts w:ascii="Arial" w:hAnsi="Arial"/>
      <w:b/>
      <w:bCs/>
      <w:i/>
      <w:color w:val="000000" w:themeColor="text1"/>
      <w:sz w:val="24"/>
      <w:szCs w:val="28"/>
      <w:lang w:eastAsia="en-US"/>
    </w:rPr>
  </w:style>
  <w:style w:type="paragraph" w:styleId="TOC4">
    <w:name w:val="toc 4"/>
    <w:basedOn w:val="Normal"/>
    <w:next w:val="Normal"/>
    <w:autoRedefine/>
    <w:uiPriority w:val="39"/>
    <w:unhideWhenUsed/>
    <w:rsid w:val="008579B5"/>
    <w:pPr>
      <w:tabs>
        <w:tab w:val="right" w:leader="dot" w:pos="9072"/>
      </w:tabs>
      <w:spacing w:after="100"/>
      <w:ind w:left="660" w:right="425"/>
    </w:pPr>
  </w:style>
  <w:style w:type="paragraph" w:styleId="TOC5">
    <w:name w:val="toc 5"/>
    <w:basedOn w:val="Normal"/>
    <w:next w:val="Normal"/>
    <w:autoRedefine/>
    <w:uiPriority w:val="39"/>
    <w:unhideWhenUsed/>
    <w:rsid w:val="00F33F69"/>
    <w:pPr>
      <w:tabs>
        <w:tab w:val="right" w:leader="dot" w:pos="9072"/>
      </w:tabs>
      <w:spacing w:after="100"/>
      <w:ind w:left="220"/>
    </w:pPr>
  </w:style>
  <w:style w:type="paragraph" w:styleId="TOC6">
    <w:name w:val="toc 6"/>
    <w:basedOn w:val="Normal"/>
    <w:next w:val="Normal"/>
    <w:autoRedefine/>
    <w:uiPriority w:val="39"/>
    <w:unhideWhenUsed/>
    <w:rsid w:val="00337D7D"/>
    <w:pPr>
      <w:spacing w:before="0" w:after="100" w:line="278" w:lineRule="auto"/>
      <w:ind w:left="1200"/>
    </w:pPr>
    <w:rPr>
      <w:rFonts w:asciiTheme="minorHAnsi" w:eastAsiaTheme="minorEastAsia" w:hAnsiTheme="minorHAnsi" w:cstheme="minorBidi"/>
      <w:color w:val="auto"/>
      <w:kern w:val="2"/>
      <w:sz w:val="24"/>
      <w:lang w:eastAsia="en-AU"/>
      <w14:ligatures w14:val="standardContextual"/>
    </w:rPr>
  </w:style>
  <w:style w:type="paragraph" w:styleId="TOC7">
    <w:name w:val="toc 7"/>
    <w:basedOn w:val="Normal"/>
    <w:next w:val="Normal"/>
    <w:autoRedefine/>
    <w:uiPriority w:val="39"/>
    <w:unhideWhenUsed/>
    <w:rsid w:val="00337D7D"/>
    <w:pPr>
      <w:spacing w:before="0" w:after="100" w:line="278" w:lineRule="auto"/>
      <w:ind w:left="1440"/>
    </w:pPr>
    <w:rPr>
      <w:rFonts w:asciiTheme="minorHAnsi" w:eastAsiaTheme="minorEastAsia" w:hAnsiTheme="minorHAnsi" w:cstheme="minorBidi"/>
      <w:color w:val="auto"/>
      <w:kern w:val="2"/>
      <w:sz w:val="24"/>
      <w:lang w:eastAsia="en-AU"/>
      <w14:ligatures w14:val="standardContextual"/>
    </w:rPr>
  </w:style>
  <w:style w:type="paragraph" w:styleId="TOC8">
    <w:name w:val="toc 8"/>
    <w:basedOn w:val="Normal"/>
    <w:next w:val="Normal"/>
    <w:autoRedefine/>
    <w:uiPriority w:val="39"/>
    <w:unhideWhenUsed/>
    <w:rsid w:val="00337D7D"/>
    <w:pPr>
      <w:spacing w:before="0" w:after="100" w:line="278" w:lineRule="auto"/>
      <w:ind w:left="1680"/>
    </w:pPr>
    <w:rPr>
      <w:rFonts w:asciiTheme="minorHAnsi" w:eastAsiaTheme="minorEastAsia" w:hAnsiTheme="minorHAnsi" w:cstheme="minorBidi"/>
      <w:color w:val="auto"/>
      <w:kern w:val="2"/>
      <w:sz w:val="24"/>
      <w:lang w:eastAsia="en-AU"/>
      <w14:ligatures w14:val="standardContextual"/>
    </w:rPr>
  </w:style>
  <w:style w:type="paragraph" w:styleId="TOC9">
    <w:name w:val="toc 9"/>
    <w:basedOn w:val="Normal"/>
    <w:next w:val="Normal"/>
    <w:autoRedefine/>
    <w:uiPriority w:val="39"/>
    <w:unhideWhenUsed/>
    <w:rsid w:val="00337D7D"/>
    <w:pPr>
      <w:spacing w:before="0" w:after="100" w:line="278" w:lineRule="auto"/>
      <w:ind w:left="1920"/>
    </w:pPr>
    <w:rPr>
      <w:rFonts w:asciiTheme="minorHAnsi" w:eastAsiaTheme="minorEastAsia" w:hAnsiTheme="minorHAnsi" w:cstheme="minorBidi"/>
      <w:color w:val="auto"/>
      <w:kern w:val="2"/>
      <w:sz w:val="24"/>
      <w:lang w:eastAsia="en-AU"/>
      <w14:ligatures w14:val="standardContextual"/>
    </w:rPr>
  </w:style>
  <w:style w:type="character" w:styleId="SmartLink">
    <w:name w:val="Smart Link"/>
    <w:basedOn w:val="DefaultParagraphFont"/>
    <w:uiPriority w:val="99"/>
    <w:semiHidden/>
    <w:unhideWhenUsed/>
    <w:rsid w:val="001F6FF3"/>
    <w:rPr>
      <w:color w:val="0000FF"/>
      <w:u w:val="single"/>
      <w:shd w:val="clear" w:color="auto" w:fill="F3F2F1"/>
    </w:rPr>
  </w:style>
  <w:style w:type="character" w:customStyle="1" w:styleId="fui-styledtext">
    <w:name w:val="fui-styledtext"/>
    <w:basedOn w:val="DefaultParagraphFont"/>
    <w:rsid w:val="003511B4"/>
  </w:style>
  <w:style w:type="paragraph" w:customStyle="1" w:styleId="ui-menuitem">
    <w:name w:val="ui-menu__item"/>
    <w:basedOn w:val="Normal"/>
    <w:rsid w:val="003511B4"/>
    <w:pPr>
      <w:spacing w:before="100" w:beforeAutospacing="1" w:after="100" w:afterAutospacing="1" w:line="240" w:lineRule="auto"/>
    </w:pPr>
    <w:rPr>
      <w:rFonts w:ascii="Times New Roman" w:hAnsi="Times New Roman"/>
      <w:color w:val="auto"/>
      <w:sz w:val="24"/>
      <w:lang w:eastAsia="en-AU"/>
    </w:rPr>
  </w:style>
  <w:style w:type="character" w:customStyle="1" w:styleId="ui-text">
    <w:name w:val="ui-text"/>
    <w:basedOn w:val="DefaultParagraphFont"/>
    <w:rsid w:val="003511B4"/>
  </w:style>
  <w:style w:type="paragraph" w:customStyle="1" w:styleId="ck-placeholder">
    <w:name w:val="ck-placeholder"/>
    <w:basedOn w:val="Normal"/>
    <w:rsid w:val="003511B4"/>
    <w:pPr>
      <w:spacing w:before="100" w:beforeAutospacing="1" w:after="100" w:afterAutospacing="1" w:line="240" w:lineRule="auto"/>
    </w:pPr>
    <w:rPr>
      <w:rFonts w:ascii="Times New Roman" w:hAnsi="Times New Roman"/>
      <w:color w:val="auto"/>
      <w:sz w:val="24"/>
      <w:lang w:eastAsia="en-AU"/>
    </w:rPr>
  </w:style>
  <w:style w:type="character" w:customStyle="1" w:styleId="normaltextrun">
    <w:name w:val="normaltextrun"/>
    <w:basedOn w:val="DefaultParagraphFont"/>
    <w:rsid w:val="00002EE4"/>
  </w:style>
  <w:style w:type="character" w:customStyle="1" w:styleId="eop">
    <w:name w:val="eop"/>
    <w:basedOn w:val="DefaultParagraphFont"/>
    <w:rsid w:val="00002EE4"/>
  </w:style>
  <w:style w:type="character" w:styleId="FootnoteReference">
    <w:name w:val="footnote reference"/>
    <w:basedOn w:val="DefaultParagraphFont"/>
    <w:semiHidden/>
    <w:unhideWhenUsed/>
    <w:rsid w:val="005C7555"/>
    <w:rPr>
      <w:vertAlign w:val="superscript"/>
    </w:rPr>
  </w:style>
  <w:style w:type="character" w:styleId="FollowedHyperlink">
    <w:name w:val="FollowedHyperlink"/>
    <w:basedOn w:val="DefaultParagraphFont"/>
    <w:semiHidden/>
    <w:unhideWhenUsed/>
    <w:rsid w:val="006A38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528">
      <w:bodyDiv w:val="1"/>
      <w:marLeft w:val="0"/>
      <w:marRight w:val="0"/>
      <w:marTop w:val="0"/>
      <w:marBottom w:val="0"/>
      <w:divBdr>
        <w:top w:val="none" w:sz="0" w:space="0" w:color="auto"/>
        <w:left w:val="none" w:sz="0" w:space="0" w:color="auto"/>
        <w:bottom w:val="none" w:sz="0" w:space="0" w:color="auto"/>
        <w:right w:val="none" w:sz="0" w:space="0" w:color="auto"/>
      </w:divBdr>
    </w:div>
    <w:div w:id="38672708">
      <w:bodyDiv w:val="1"/>
      <w:marLeft w:val="0"/>
      <w:marRight w:val="0"/>
      <w:marTop w:val="0"/>
      <w:marBottom w:val="0"/>
      <w:divBdr>
        <w:top w:val="none" w:sz="0" w:space="0" w:color="auto"/>
        <w:left w:val="none" w:sz="0" w:space="0" w:color="auto"/>
        <w:bottom w:val="none" w:sz="0" w:space="0" w:color="auto"/>
        <w:right w:val="none" w:sz="0" w:space="0" w:color="auto"/>
      </w:divBdr>
      <w:divsChild>
        <w:div w:id="730616998">
          <w:marLeft w:val="30"/>
          <w:marRight w:val="30"/>
          <w:marTop w:val="0"/>
          <w:marBottom w:val="0"/>
          <w:divBdr>
            <w:top w:val="none" w:sz="0" w:space="0" w:color="auto"/>
            <w:left w:val="none" w:sz="0" w:space="0" w:color="auto"/>
            <w:bottom w:val="none" w:sz="0" w:space="0" w:color="auto"/>
            <w:right w:val="none" w:sz="0" w:space="0" w:color="auto"/>
          </w:divBdr>
          <w:divsChild>
            <w:div w:id="1167867159">
              <w:marLeft w:val="0"/>
              <w:marRight w:val="0"/>
              <w:marTop w:val="0"/>
              <w:marBottom w:val="0"/>
              <w:divBdr>
                <w:top w:val="none" w:sz="0" w:space="0" w:color="auto"/>
                <w:left w:val="none" w:sz="0" w:space="0" w:color="auto"/>
                <w:bottom w:val="none" w:sz="0" w:space="0" w:color="auto"/>
                <w:right w:val="none" w:sz="0" w:space="0" w:color="auto"/>
              </w:divBdr>
              <w:divsChild>
                <w:div w:id="2003004872">
                  <w:marLeft w:val="0"/>
                  <w:marRight w:val="0"/>
                  <w:marTop w:val="0"/>
                  <w:marBottom w:val="0"/>
                  <w:divBdr>
                    <w:top w:val="none" w:sz="0" w:space="0" w:color="auto"/>
                    <w:left w:val="none" w:sz="0" w:space="0" w:color="auto"/>
                    <w:bottom w:val="none" w:sz="0" w:space="0" w:color="auto"/>
                    <w:right w:val="none" w:sz="0" w:space="0" w:color="auto"/>
                  </w:divBdr>
                  <w:divsChild>
                    <w:div w:id="715197204">
                      <w:marLeft w:val="0"/>
                      <w:marRight w:val="0"/>
                      <w:marTop w:val="120"/>
                      <w:marBottom w:val="480"/>
                      <w:divBdr>
                        <w:top w:val="none" w:sz="0" w:space="0" w:color="auto"/>
                        <w:left w:val="none" w:sz="0" w:space="0" w:color="auto"/>
                        <w:bottom w:val="none" w:sz="0" w:space="0" w:color="auto"/>
                        <w:right w:val="none" w:sz="0" w:space="0" w:color="auto"/>
                      </w:divBdr>
                      <w:divsChild>
                        <w:div w:id="801268337">
                          <w:marLeft w:val="0"/>
                          <w:marRight w:val="0"/>
                          <w:marTop w:val="0"/>
                          <w:marBottom w:val="0"/>
                          <w:divBdr>
                            <w:top w:val="none" w:sz="0" w:space="0" w:color="auto"/>
                            <w:left w:val="none" w:sz="0" w:space="0" w:color="auto"/>
                            <w:bottom w:val="none" w:sz="0" w:space="0" w:color="auto"/>
                            <w:right w:val="none" w:sz="0" w:space="0" w:color="auto"/>
                          </w:divBdr>
                          <w:divsChild>
                            <w:div w:id="1384983299">
                              <w:marLeft w:val="0"/>
                              <w:marRight w:val="0"/>
                              <w:marTop w:val="0"/>
                              <w:marBottom w:val="0"/>
                              <w:divBdr>
                                <w:top w:val="none" w:sz="0" w:space="0" w:color="auto"/>
                                <w:left w:val="none" w:sz="0" w:space="0" w:color="auto"/>
                                <w:bottom w:val="none" w:sz="0" w:space="0" w:color="auto"/>
                                <w:right w:val="none" w:sz="0" w:space="0" w:color="auto"/>
                              </w:divBdr>
                              <w:divsChild>
                                <w:div w:id="1802842855">
                                  <w:marLeft w:val="0"/>
                                  <w:marRight w:val="0"/>
                                  <w:marTop w:val="0"/>
                                  <w:marBottom w:val="0"/>
                                  <w:divBdr>
                                    <w:top w:val="none" w:sz="0" w:space="0" w:color="auto"/>
                                    <w:left w:val="none" w:sz="0" w:space="0" w:color="auto"/>
                                    <w:bottom w:val="none" w:sz="0" w:space="0" w:color="auto"/>
                                    <w:right w:val="none" w:sz="0" w:space="0" w:color="auto"/>
                                  </w:divBdr>
                                  <w:divsChild>
                                    <w:div w:id="570237126">
                                      <w:marLeft w:val="0"/>
                                      <w:marRight w:val="0"/>
                                      <w:marTop w:val="0"/>
                                      <w:marBottom w:val="0"/>
                                      <w:divBdr>
                                        <w:top w:val="none" w:sz="0" w:space="0" w:color="auto"/>
                                        <w:left w:val="none" w:sz="0" w:space="0" w:color="auto"/>
                                        <w:bottom w:val="none" w:sz="0" w:space="0" w:color="auto"/>
                                        <w:right w:val="none" w:sz="0" w:space="0" w:color="auto"/>
                                      </w:divBdr>
                                      <w:divsChild>
                                        <w:div w:id="1254050735">
                                          <w:marLeft w:val="0"/>
                                          <w:marRight w:val="0"/>
                                          <w:marTop w:val="0"/>
                                          <w:marBottom w:val="0"/>
                                          <w:divBdr>
                                            <w:top w:val="none" w:sz="0" w:space="0" w:color="auto"/>
                                            <w:left w:val="none" w:sz="0" w:space="0" w:color="auto"/>
                                            <w:bottom w:val="none" w:sz="0" w:space="0" w:color="auto"/>
                                            <w:right w:val="none" w:sz="0" w:space="0" w:color="auto"/>
                                          </w:divBdr>
                                          <w:divsChild>
                                            <w:div w:id="436219919">
                                              <w:marLeft w:val="0"/>
                                              <w:marRight w:val="0"/>
                                              <w:marTop w:val="0"/>
                                              <w:marBottom w:val="0"/>
                                              <w:divBdr>
                                                <w:top w:val="none" w:sz="0" w:space="0" w:color="auto"/>
                                                <w:left w:val="none" w:sz="0" w:space="0" w:color="auto"/>
                                                <w:bottom w:val="none" w:sz="0" w:space="0" w:color="auto"/>
                                                <w:right w:val="none" w:sz="0" w:space="0" w:color="auto"/>
                                              </w:divBdr>
                                              <w:divsChild>
                                                <w:div w:id="1663436774">
                                                  <w:marLeft w:val="0"/>
                                                  <w:marRight w:val="0"/>
                                                  <w:marTop w:val="0"/>
                                                  <w:marBottom w:val="0"/>
                                                  <w:divBdr>
                                                    <w:top w:val="none" w:sz="0" w:space="0" w:color="auto"/>
                                                    <w:left w:val="none" w:sz="0" w:space="0" w:color="auto"/>
                                                    <w:bottom w:val="none" w:sz="0" w:space="0" w:color="auto"/>
                                                    <w:right w:val="none" w:sz="0" w:space="0" w:color="auto"/>
                                                  </w:divBdr>
                                                  <w:divsChild>
                                                    <w:div w:id="1317802825">
                                                      <w:marLeft w:val="0"/>
                                                      <w:marRight w:val="0"/>
                                                      <w:marTop w:val="0"/>
                                                      <w:marBottom w:val="0"/>
                                                      <w:divBdr>
                                                        <w:top w:val="none" w:sz="0" w:space="0" w:color="auto"/>
                                                        <w:left w:val="none" w:sz="0" w:space="0" w:color="auto"/>
                                                        <w:bottom w:val="none" w:sz="0" w:space="0" w:color="auto"/>
                                                        <w:right w:val="none" w:sz="0" w:space="0" w:color="auto"/>
                                                      </w:divBdr>
                                                      <w:divsChild>
                                                        <w:div w:id="878397030">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Child>
                                                </w:div>
                                              </w:divsChild>
                                            </w:div>
                                          </w:divsChild>
                                        </w:div>
                                      </w:divsChild>
                                    </w:div>
                                  </w:divsChild>
                                </w:div>
                              </w:divsChild>
                            </w:div>
                          </w:divsChild>
                        </w:div>
                      </w:divsChild>
                    </w:div>
                    <w:div w:id="2116778361">
                      <w:marLeft w:val="0"/>
                      <w:marRight w:val="0"/>
                      <w:marTop w:val="0"/>
                      <w:marBottom w:val="0"/>
                      <w:divBdr>
                        <w:top w:val="none" w:sz="0" w:space="0" w:color="auto"/>
                        <w:left w:val="none" w:sz="0" w:space="0" w:color="auto"/>
                        <w:bottom w:val="none" w:sz="0" w:space="0" w:color="auto"/>
                        <w:right w:val="none" w:sz="0" w:space="0" w:color="auto"/>
                      </w:divBdr>
                      <w:divsChild>
                        <w:div w:id="3353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9122">
          <w:marLeft w:val="0"/>
          <w:marRight w:val="0"/>
          <w:marTop w:val="0"/>
          <w:marBottom w:val="0"/>
          <w:divBdr>
            <w:top w:val="none" w:sz="0" w:space="0" w:color="auto"/>
            <w:left w:val="none" w:sz="0" w:space="0" w:color="auto"/>
            <w:bottom w:val="none" w:sz="0" w:space="0" w:color="auto"/>
            <w:right w:val="none" w:sz="0" w:space="0" w:color="auto"/>
          </w:divBdr>
          <w:divsChild>
            <w:div w:id="466246494">
              <w:marLeft w:val="0"/>
              <w:marRight w:val="0"/>
              <w:marTop w:val="0"/>
              <w:marBottom w:val="0"/>
              <w:divBdr>
                <w:top w:val="none" w:sz="0" w:space="0" w:color="auto"/>
                <w:left w:val="none" w:sz="0" w:space="0" w:color="auto"/>
                <w:bottom w:val="none" w:sz="0" w:space="0" w:color="auto"/>
                <w:right w:val="none" w:sz="0" w:space="0" w:color="auto"/>
              </w:divBdr>
              <w:divsChild>
                <w:div w:id="915750387">
                  <w:marLeft w:val="0"/>
                  <w:marRight w:val="0"/>
                  <w:marTop w:val="0"/>
                  <w:marBottom w:val="0"/>
                  <w:divBdr>
                    <w:top w:val="single" w:sz="6" w:space="6" w:color="auto"/>
                    <w:left w:val="single" w:sz="6" w:space="12" w:color="auto"/>
                    <w:bottom w:val="single" w:sz="6" w:space="6" w:color="auto"/>
                    <w:right w:val="single" w:sz="6" w:space="12" w:color="auto"/>
                  </w:divBdr>
                  <w:divsChild>
                    <w:div w:id="10672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9979">
      <w:bodyDiv w:val="1"/>
      <w:marLeft w:val="0"/>
      <w:marRight w:val="0"/>
      <w:marTop w:val="0"/>
      <w:marBottom w:val="0"/>
      <w:divBdr>
        <w:top w:val="none" w:sz="0" w:space="0" w:color="auto"/>
        <w:left w:val="none" w:sz="0" w:space="0" w:color="auto"/>
        <w:bottom w:val="none" w:sz="0" w:space="0" w:color="auto"/>
        <w:right w:val="none" w:sz="0" w:space="0" w:color="auto"/>
      </w:divBdr>
    </w:div>
    <w:div w:id="77756827">
      <w:bodyDiv w:val="1"/>
      <w:marLeft w:val="0"/>
      <w:marRight w:val="0"/>
      <w:marTop w:val="0"/>
      <w:marBottom w:val="0"/>
      <w:divBdr>
        <w:top w:val="none" w:sz="0" w:space="0" w:color="auto"/>
        <w:left w:val="none" w:sz="0" w:space="0" w:color="auto"/>
        <w:bottom w:val="none" w:sz="0" w:space="0" w:color="auto"/>
        <w:right w:val="none" w:sz="0" w:space="0" w:color="auto"/>
      </w:divBdr>
    </w:div>
    <w:div w:id="89592512">
      <w:bodyDiv w:val="1"/>
      <w:marLeft w:val="0"/>
      <w:marRight w:val="0"/>
      <w:marTop w:val="0"/>
      <w:marBottom w:val="0"/>
      <w:divBdr>
        <w:top w:val="none" w:sz="0" w:space="0" w:color="auto"/>
        <w:left w:val="none" w:sz="0" w:space="0" w:color="auto"/>
        <w:bottom w:val="none" w:sz="0" w:space="0" w:color="auto"/>
        <w:right w:val="none" w:sz="0" w:space="0" w:color="auto"/>
      </w:divBdr>
    </w:div>
    <w:div w:id="116535215">
      <w:bodyDiv w:val="1"/>
      <w:marLeft w:val="0"/>
      <w:marRight w:val="0"/>
      <w:marTop w:val="0"/>
      <w:marBottom w:val="0"/>
      <w:divBdr>
        <w:top w:val="none" w:sz="0" w:space="0" w:color="auto"/>
        <w:left w:val="none" w:sz="0" w:space="0" w:color="auto"/>
        <w:bottom w:val="none" w:sz="0" w:space="0" w:color="auto"/>
        <w:right w:val="none" w:sz="0" w:space="0" w:color="auto"/>
      </w:divBdr>
    </w:div>
    <w:div w:id="121585014">
      <w:bodyDiv w:val="1"/>
      <w:marLeft w:val="0"/>
      <w:marRight w:val="0"/>
      <w:marTop w:val="0"/>
      <w:marBottom w:val="0"/>
      <w:divBdr>
        <w:top w:val="none" w:sz="0" w:space="0" w:color="auto"/>
        <w:left w:val="none" w:sz="0" w:space="0" w:color="auto"/>
        <w:bottom w:val="none" w:sz="0" w:space="0" w:color="auto"/>
        <w:right w:val="none" w:sz="0" w:space="0" w:color="auto"/>
      </w:divBdr>
    </w:div>
    <w:div w:id="122967914">
      <w:bodyDiv w:val="1"/>
      <w:marLeft w:val="0"/>
      <w:marRight w:val="0"/>
      <w:marTop w:val="0"/>
      <w:marBottom w:val="0"/>
      <w:divBdr>
        <w:top w:val="none" w:sz="0" w:space="0" w:color="auto"/>
        <w:left w:val="none" w:sz="0" w:space="0" w:color="auto"/>
        <w:bottom w:val="none" w:sz="0" w:space="0" w:color="auto"/>
        <w:right w:val="none" w:sz="0" w:space="0" w:color="auto"/>
      </w:divBdr>
    </w:div>
    <w:div w:id="132918168">
      <w:bodyDiv w:val="1"/>
      <w:marLeft w:val="0"/>
      <w:marRight w:val="0"/>
      <w:marTop w:val="0"/>
      <w:marBottom w:val="0"/>
      <w:divBdr>
        <w:top w:val="none" w:sz="0" w:space="0" w:color="auto"/>
        <w:left w:val="none" w:sz="0" w:space="0" w:color="auto"/>
        <w:bottom w:val="none" w:sz="0" w:space="0" w:color="auto"/>
        <w:right w:val="none" w:sz="0" w:space="0" w:color="auto"/>
      </w:divBdr>
    </w:div>
    <w:div w:id="157305443">
      <w:bodyDiv w:val="1"/>
      <w:marLeft w:val="0"/>
      <w:marRight w:val="0"/>
      <w:marTop w:val="0"/>
      <w:marBottom w:val="0"/>
      <w:divBdr>
        <w:top w:val="none" w:sz="0" w:space="0" w:color="auto"/>
        <w:left w:val="none" w:sz="0" w:space="0" w:color="auto"/>
        <w:bottom w:val="none" w:sz="0" w:space="0" w:color="auto"/>
        <w:right w:val="none" w:sz="0" w:space="0" w:color="auto"/>
      </w:divBdr>
    </w:div>
    <w:div w:id="286282750">
      <w:bodyDiv w:val="1"/>
      <w:marLeft w:val="0"/>
      <w:marRight w:val="0"/>
      <w:marTop w:val="0"/>
      <w:marBottom w:val="0"/>
      <w:divBdr>
        <w:top w:val="none" w:sz="0" w:space="0" w:color="auto"/>
        <w:left w:val="none" w:sz="0" w:space="0" w:color="auto"/>
        <w:bottom w:val="none" w:sz="0" w:space="0" w:color="auto"/>
        <w:right w:val="none" w:sz="0" w:space="0" w:color="auto"/>
      </w:divBdr>
    </w:div>
    <w:div w:id="300160006">
      <w:bodyDiv w:val="1"/>
      <w:marLeft w:val="0"/>
      <w:marRight w:val="0"/>
      <w:marTop w:val="0"/>
      <w:marBottom w:val="0"/>
      <w:divBdr>
        <w:top w:val="none" w:sz="0" w:space="0" w:color="auto"/>
        <w:left w:val="none" w:sz="0" w:space="0" w:color="auto"/>
        <w:bottom w:val="none" w:sz="0" w:space="0" w:color="auto"/>
        <w:right w:val="none" w:sz="0" w:space="0" w:color="auto"/>
      </w:divBdr>
    </w:div>
    <w:div w:id="345327695">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69499672">
      <w:bodyDiv w:val="1"/>
      <w:marLeft w:val="0"/>
      <w:marRight w:val="0"/>
      <w:marTop w:val="0"/>
      <w:marBottom w:val="0"/>
      <w:divBdr>
        <w:top w:val="none" w:sz="0" w:space="0" w:color="auto"/>
        <w:left w:val="none" w:sz="0" w:space="0" w:color="auto"/>
        <w:bottom w:val="none" w:sz="0" w:space="0" w:color="auto"/>
        <w:right w:val="none" w:sz="0" w:space="0" w:color="auto"/>
      </w:divBdr>
    </w:div>
    <w:div w:id="375156037">
      <w:bodyDiv w:val="1"/>
      <w:marLeft w:val="0"/>
      <w:marRight w:val="0"/>
      <w:marTop w:val="0"/>
      <w:marBottom w:val="0"/>
      <w:divBdr>
        <w:top w:val="none" w:sz="0" w:space="0" w:color="auto"/>
        <w:left w:val="none" w:sz="0" w:space="0" w:color="auto"/>
        <w:bottom w:val="none" w:sz="0" w:space="0" w:color="auto"/>
        <w:right w:val="none" w:sz="0" w:space="0" w:color="auto"/>
      </w:divBdr>
    </w:div>
    <w:div w:id="377972126">
      <w:bodyDiv w:val="1"/>
      <w:marLeft w:val="0"/>
      <w:marRight w:val="0"/>
      <w:marTop w:val="0"/>
      <w:marBottom w:val="0"/>
      <w:divBdr>
        <w:top w:val="none" w:sz="0" w:space="0" w:color="auto"/>
        <w:left w:val="none" w:sz="0" w:space="0" w:color="auto"/>
        <w:bottom w:val="none" w:sz="0" w:space="0" w:color="auto"/>
        <w:right w:val="none" w:sz="0" w:space="0" w:color="auto"/>
      </w:divBdr>
    </w:div>
    <w:div w:id="383795116">
      <w:bodyDiv w:val="1"/>
      <w:marLeft w:val="0"/>
      <w:marRight w:val="0"/>
      <w:marTop w:val="0"/>
      <w:marBottom w:val="0"/>
      <w:divBdr>
        <w:top w:val="none" w:sz="0" w:space="0" w:color="auto"/>
        <w:left w:val="none" w:sz="0" w:space="0" w:color="auto"/>
        <w:bottom w:val="none" w:sz="0" w:space="0" w:color="auto"/>
        <w:right w:val="none" w:sz="0" w:space="0" w:color="auto"/>
      </w:divBdr>
    </w:div>
    <w:div w:id="405150093">
      <w:bodyDiv w:val="1"/>
      <w:marLeft w:val="0"/>
      <w:marRight w:val="0"/>
      <w:marTop w:val="0"/>
      <w:marBottom w:val="0"/>
      <w:divBdr>
        <w:top w:val="none" w:sz="0" w:space="0" w:color="auto"/>
        <w:left w:val="none" w:sz="0" w:space="0" w:color="auto"/>
        <w:bottom w:val="none" w:sz="0" w:space="0" w:color="auto"/>
        <w:right w:val="none" w:sz="0" w:space="0" w:color="auto"/>
      </w:divBdr>
    </w:div>
    <w:div w:id="416827495">
      <w:bodyDiv w:val="1"/>
      <w:marLeft w:val="0"/>
      <w:marRight w:val="0"/>
      <w:marTop w:val="0"/>
      <w:marBottom w:val="0"/>
      <w:divBdr>
        <w:top w:val="none" w:sz="0" w:space="0" w:color="auto"/>
        <w:left w:val="none" w:sz="0" w:space="0" w:color="auto"/>
        <w:bottom w:val="none" w:sz="0" w:space="0" w:color="auto"/>
        <w:right w:val="none" w:sz="0" w:space="0" w:color="auto"/>
      </w:divBdr>
    </w:div>
    <w:div w:id="430661967">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25219345">
      <w:bodyDiv w:val="1"/>
      <w:marLeft w:val="0"/>
      <w:marRight w:val="0"/>
      <w:marTop w:val="0"/>
      <w:marBottom w:val="0"/>
      <w:divBdr>
        <w:top w:val="none" w:sz="0" w:space="0" w:color="auto"/>
        <w:left w:val="none" w:sz="0" w:space="0" w:color="auto"/>
        <w:bottom w:val="none" w:sz="0" w:space="0" w:color="auto"/>
        <w:right w:val="none" w:sz="0" w:space="0" w:color="auto"/>
      </w:divBdr>
    </w:div>
    <w:div w:id="531117479">
      <w:bodyDiv w:val="1"/>
      <w:marLeft w:val="0"/>
      <w:marRight w:val="0"/>
      <w:marTop w:val="0"/>
      <w:marBottom w:val="0"/>
      <w:divBdr>
        <w:top w:val="none" w:sz="0" w:space="0" w:color="auto"/>
        <w:left w:val="none" w:sz="0" w:space="0" w:color="auto"/>
        <w:bottom w:val="none" w:sz="0" w:space="0" w:color="auto"/>
        <w:right w:val="none" w:sz="0" w:space="0" w:color="auto"/>
      </w:divBdr>
    </w:div>
    <w:div w:id="554853774">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17416996">
      <w:bodyDiv w:val="1"/>
      <w:marLeft w:val="0"/>
      <w:marRight w:val="0"/>
      <w:marTop w:val="0"/>
      <w:marBottom w:val="0"/>
      <w:divBdr>
        <w:top w:val="none" w:sz="0" w:space="0" w:color="auto"/>
        <w:left w:val="none" w:sz="0" w:space="0" w:color="auto"/>
        <w:bottom w:val="none" w:sz="0" w:space="0" w:color="auto"/>
        <w:right w:val="none" w:sz="0" w:space="0" w:color="auto"/>
      </w:divBdr>
    </w:div>
    <w:div w:id="619343324">
      <w:bodyDiv w:val="1"/>
      <w:marLeft w:val="0"/>
      <w:marRight w:val="0"/>
      <w:marTop w:val="0"/>
      <w:marBottom w:val="0"/>
      <w:divBdr>
        <w:top w:val="none" w:sz="0" w:space="0" w:color="auto"/>
        <w:left w:val="none" w:sz="0" w:space="0" w:color="auto"/>
        <w:bottom w:val="none" w:sz="0" w:space="0" w:color="auto"/>
        <w:right w:val="none" w:sz="0" w:space="0" w:color="auto"/>
      </w:divBdr>
    </w:div>
    <w:div w:id="623077481">
      <w:bodyDiv w:val="1"/>
      <w:marLeft w:val="0"/>
      <w:marRight w:val="0"/>
      <w:marTop w:val="0"/>
      <w:marBottom w:val="0"/>
      <w:divBdr>
        <w:top w:val="none" w:sz="0" w:space="0" w:color="auto"/>
        <w:left w:val="none" w:sz="0" w:space="0" w:color="auto"/>
        <w:bottom w:val="none" w:sz="0" w:space="0" w:color="auto"/>
        <w:right w:val="none" w:sz="0" w:space="0" w:color="auto"/>
      </w:divBdr>
    </w:div>
    <w:div w:id="635373414">
      <w:bodyDiv w:val="1"/>
      <w:marLeft w:val="0"/>
      <w:marRight w:val="0"/>
      <w:marTop w:val="0"/>
      <w:marBottom w:val="0"/>
      <w:divBdr>
        <w:top w:val="none" w:sz="0" w:space="0" w:color="auto"/>
        <w:left w:val="none" w:sz="0" w:space="0" w:color="auto"/>
        <w:bottom w:val="none" w:sz="0" w:space="0" w:color="auto"/>
        <w:right w:val="none" w:sz="0" w:space="0" w:color="auto"/>
      </w:divBdr>
    </w:div>
    <w:div w:id="637342785">
      <w:bodyDiv w:val="1"/>
      <w:marLeft w:val="0"/>
      <w:marRight w:val="0"/>
      <w:marTop w:val="0"/>
      <w:marBottom w:val="0"/>
      <w:divBdr>
        <w:top w:val="none" w:sz="0" w:space="0" w:color="auto"/>
        <w:left w:val="none" w:sz="0" w:space="0" w:color="auto"/>
        <w:bottom w:val="none" w:sz="0" w:space="0" w:color="auto"/>
        <w:right w:val="none" w:sz="0" w:space="0" w:color="auto"/>
      </w:divBdr>
    </w:div>
    <w:div w:id="648363552">
      <w:bodyDiv w:val="1"/>
      <w:marLeft w:val="0"/>
      <w:marRight w:val="0"/>
      <w:marTop w:val="0"/>
      <w:marBottom w:val="0"/>
      <w:divBdr>
        <w:top w:val="none" w:sz="0" w:space="0" w:color="auto"/>
        <w:left w:val="none" w:sz="0" w:space="0" w:color="auto"/>
        <w:bottom w:val="none" w:sz="0" w:space="0" w:color="auto"/>
        <w:right w:val="none" w:sz="0" w:space="0" w:color="auto"/>
      </w:divBdr>
    </w:div>
    <w:div w:id="663438483">
      <w:bodyDiv w:val="1"/>
      <w:marLeft w:val="0"/>
      <w:marRight w:val="0"/>
      <w:marTop w:val="0"/>
      <w:marBottom w:val="0"/>
      <w:divBdr>
        <w:top w:val="none" w:sz="0" w:space="0" w:color="auto"/>
        <w:left w:val="none" w:sz="0" w:space="0" w:color="auto"/>
        <w:bottom w:val="none" w:sz="0" w:space="0" w:color="auto"/>
        <w:right w:val="none" w:sz="0" w:space="0" w:color="auto"/>
      </w:divBdr>
    </w:div>
    <w:div w:id="692346265">
      <w:bodyDiv w:val="1"/>
      <w:marLeft w:val="0"/>
      <w:marRight w:val="0"/>
      <w:marTop w:val="0"/>
      <w:marBottom w:val="0"/>
      <w:divBdr>
        <w:top w:val="none" w:sz="0" w:space="0" w:color="auto"/>
        <w:left w:val="none" w:sz="0" w:space="0" w:color="auto"/>
        <w:bottom w:val="none" w:sz="0" w:space="0" w:color="auto"/>
        <w:right w:val="none" w:sz="0" w:space="0" w:color="auto"/>
      </w:divBdr>
    </w:div>
    <w:div w:id="728967015">
      <w:bodyDiv w:val="1"/>
      <w:marLeft w:val="0"/>
      <w:marRight w:val="0"/>
      <w:marTop w:val="0"/>
      <w:marBottom w:val="0"/>
      <w:divBdr>
        <w:top w:val="none" w:sz="0" w:space="0" w:color="auto"/>
        <w:left w:val="none" w:sz="0" w:space="0" w:color="auto"/>
        <w:bottom w:val="none" w:sz="0" w:space="0" w:color="auto"/>
        <w:right w:val="none" w:sz="0" w:space="0" w:color="auto"/>
      </w:divBdr>
    </w:div>
    <w:div w:id="731805781">
      <w:bodyDiv w:val="1"/>
      <w:marLeft w:val="0"/>
      <w:marRight w:val="0"/>
      <w:marTop w:val="0"/>
      <w:marBottom w:val="0"/>
      <w:divBdr>
        <w:top w:val="none" w:sz="0" w:space="0" w:color="auto"/>
        <w:left w:val="none" w:sz="0" w:space="0" w:color="auto"/>
        <w:bottom w:val="none" w:sz="0" w:space="0" w:color="auto"/>
        <w:right w:val="none" w:sz="0" w:space="0" w:color="auto"/>
      </w:divBdr>
    </w:div>
    <w:div w:id="733118308">
      <w:bodyDiv w:val="1"/>
      <w:marLeft w:val="0"/>
      <w:marRight w:val="0"/>
      <w:marTop w:val="0"/>
      <w:marBottom w:val="0"/>
      <w:divBdr>
        <w:top w:val="none" w:sz="0" w:space="0" w:color="auto"/>
        <w:left w:val="none" w:sz="0" w:space="0" w:color="auto"/>
        <w:bottom w:val="none" w:sz="0" w:space="0" w:color="auto"/>
        <w:right w:val="none" w:sz="0" w:space="0" w:color="auto"/>
      </w:divBdr>
    </w:div>
    <w:div w:id="734745714">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64038447">
      <w:bodyDiv w:val="1"/>
      <w:marLeft w:val="0"/>
      <w:marRight w:val="0"/>
      <w:marTop w:val="0"/>
      <w:marBottom w:val="0"/>
      <w:divBdr>
        <w:top w:val="none" w:sz="0" w:space="0" w:color="auto"/>
        <w:left w:val="none" w:sz="0" w:space="0" w:color="auto"/>
        <w:bottom w:val="none" w:sz="0" w:space="0" w:color="auto"/>
        <w:right w:val="none" w:sz="0" w:space="0" w:color="auto"/>
      </w:divBdr>
    </w:div>
    <w:div w:id="770513492">
      <w:bodyDiv w:val="1"/>
      <w:marLeft w:val="0"/>
      <w:marRight w:val="0"/>
      <w:marTop w:val="0"/>
      <w:marBottom w:val="0"/>
      <w:divBdr>
        <w:top w:val="none" w:sz="0" w:space="0" w:color="auto"/>
        <w:left w:val="none" w:sz="0" w:space="0" w:color="auto"/>
        <w:bottom w:val="none" w:sz="0" w:space="0" w:color="auto"/>
        <w:right w:val="none" w:sz="0" w:space="0" w:color="auto"/>
      </w:divBdr>
    </w:div>
    <w:div w:id="779372400">
      <w:bodyDiv w:val="1"/>
      <w:marLeft w:val="0"/>
      <w:marRight w:val="0"/>
      <w:marTop w:val="0"/>
      <w:marBottom w:val="0"/>
      <w:divBdr>
        <w:top w:val="none" w:sz="0" w:space="0" w:color="auto"/>
        <w:left w:val="none" w:sz="0" w:space="0" w:color="auto"/>
        <w:bottom w:val="none" w:sz="0" w:space="0" w:color="auto"/>
        <w:right w:val="none" w:sz="0" w:space="0" w:color="auto"/>
      </w:divBdr>
    </w:div>
    <w:div w:id="797534192">
      <w:bodyDiv w:val="1"/>
      <w:marLeft w:val="0"/>
      <w:marRight w:val="0"/>
      <w:marTop w:val="0"/>
      <w:marBottom w:val="0"/>
      <w:divBdr>
        <w:top w:val="none" w:sz="0" w:space="0" w:color="auto"/>
        <w:left w:val="none" w:sz="0" w:space="0" w:color="auto"/>
        <w:bottom w:val="none" w:sz="0" w:space="0" w:color="auto"/>
        <w:right w:val="none" w:sz="0" w:space="0" w:color="auto"/>
      </w:divBdr>
    </w:div>
    <w:div w:id="801119761">
      <w:bodyDiv w:val="1"/>
      <w:marLeft w:val="0"/>
      <w:marRight w:val="0"/>
      <w:marTop w:val="0"/>
      <w:marBottom w:val="0"/>
      <w:divBdr>
        <w:top w:val="none" w:sz="0" w:space="0" w:color="auto"/>
        <w:left w:val="none" w:sz="0" w:space="0" w:color="auto"/>
        <w:bottom w:val="none" w:sz="0" w:space="0" w:color="auto"/>
        <w:right w:val="none" w:sz="0" w:space="0" w:color="auto"/>
      </w:divBdr>
    </w:div>
    <w:div w:id="812139422">
      <w:bodyDiv w:val="1"/>
      <w:marLeft w:val="0"/>
      <w:marRight w:val="0"/>
      <w:marTop w:val="0"/>
      <w:marBottom w:val="0"/>
      <w:divBdr>
        <w:top w:val="none" w:sz="0" w:space="0" w:color="auto"/>
        <w:left w:val="none" w:sz="0" w:space="0" w:color="auto"/>
        <w:bottom w:val="none" w:sz="0" w:space="0" w:color="auto"/>
        <w:right w:val="none" w:sz="0" w:space="0" w:color="auto"/>
      </w:divBdr>
      <w:divsChild>
        <w:div w:id="270358262">
          <w:marLeft w:val="0"/>
          <w:marRight w:val="0"/>
          <w:marTop w:val="0"/>
          <w:marBottom w:val="0"/>
          <w:divBdr>
            <w:top w:val="none" w:sz="0" w:space="0" w:color="auto"/>
            <w:left w:val="none" w:sz="0" w:space="0" w:color="auto"/>
            <w:bottom w:val="none" w:sz="0" w:space="0" w:color="auto"/>
            <w:right w:val="none" w:sz="0" w:space="0" w:color="auto"/>
          </w:divBdr>
          <w:divsChild>
            <w:div w:id="1022975950">
              <w:marLeft w:val="0"/>
              <w:marRight w:val="0"/>
              <w:marTop w:val="0"/>
              <w:marBottom w:val="0"/>
              <w:divBdr>
                <w:top w:val="none" w:sz="0" w:space="0" w:color="auto"/>
                <w:left w:val="none" w:sz="0" w:space="0" w:color="auto"/>
                <w:bottom w:val="none" w:sz="0" w:space="0" w:color="auto"/>
                <w:right w:val="none" w:sz="0" w:space="0" w:color="auto"/>
              </w:divBdr>
              <w:divsChild>
                <w:div w:id="1884364113">
                  <w:marLeft w:val="0"/>
                  <w:marRight w:val="0"/>
                  <w:marTop w:val="0"/>
                  <w:marBottom w:val="0"/>
                  <w:divBdr>
                    <w:top w:val="single" w:sz="6" w:space="6" w:color="auto"/>
                    <w:left w:val="single" w:sz="6" w:space="12" w:color="auto"/>
                    <w:bottom w:val="single" w:sz="6" w:space="6" w:color="auto"/>
                    <w:right w:val="single" w:sz="6" w:space="12" w:color="auto"/>
                  </w:divBdr>
                  <w:divsChild>
                    <w:div w:id="15507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60399">
          <w:marLeft w:val="30"/>
          <w:marRight w:val="30"/>
          <w:marTop w:val="0"/>
          <w:marBottom w:val="0"/>
          <w:divBdr>
            <w:top w:val="none" w:sz="0" w:space="0" w:color="auto"/>
            <w:left w:val="none" w:sz="0" w:space="0" w:color="auto"/>
            <w:bottom w:val="none" w:sz="0" w:space="0" w:color="auto"/>
            <w:right w:val="none" w:sz="0" w:space="0" w:color="auto"/>
          </w:divBdr>
          <w:divsChild>
            <w:div w:id="1224367913">
              <w:marLeft w:val="0"/>
              <w:marRight w:val="0"/>
              <w:marTop w:val="0"/>
              <w:marBottom w:val="0"/>
              <w:divBdr>
                <w:top w:val="none" w:sz="0" w:space="0" w:color="auto"/>
                <w:left w:val="none" w:sz="0" w:space="0" w:color="auto"/>
                <w:bottom w:val="none" w:sz="0" w:space="0" w:color="auto"/>
                <w:right w:val="none" w:sz="0" w:space="0" w:color="auto"/>
              </w:divBdr>
              <w:divsChild>
                <w:div w:id="1734233402">
                  <w:marLeft w:val="0"/>
                  <w:marRight w:val="0"/>
                  <w:marTop w:val="0"/>
                  <w:marBottom w:val="0"/>
                  <w:divBdr>
                    <w:top w:val="none" w:sz="0" w:space="0" w:color="auto"/>
                    <w:left w:val="none" w:sz="0" w:space="0" w:color="auto"/>
                    <w:bottom w:val="none" w:sz="0" w:space="0" w:color="auto"/>
                    <w:right w:val="none" w:sz="0" w:space="0" w:color="auto"/>
                  </w:divBdr>
                  <w:divsChild>
                    <w:div w:id="822282794">
                      <w:marLeft w:val="0"/>
                      <w:marRight w:val="0"/>
                      <w:marTop w:val="120"/>
                      <w:marBottom w:val="480"/>
                      <w:divBdr>
                        <w:top w:val="none" w:sz="0" w:space="0" w:color="auto"/>
                        <w:left w:val="none" w:sz="0" w:space="0" w:color="auto"/>
                        <w:bottom w:val="none" w:sz="0" w:space="0" w:color="auto"/>
                        <w:right w:val="none" w:sz="0" w:space="0" w:color="auto"/>
                      </w:divBdr>
                      <w:divsChild>
                        <w:div w:id="2105606699">
                          <w:marLeft w:val="0"/>
                          <w:marRight w:val="0"/>
                          <w:marTop w:val="0"/>
                          <w:marBottom w:val="0"/>
                          <w:divBdr>
                            <w:top w:val="none" w:sz="0" w:space="0" w:color="auto"/>
                            <w:left w:val="none" w:sz="0" w:space="0" w:color="auto"/>
                            <w:bottom w:val="none" w:sz="0" w:space="0" w:color="auto"/>
                            <w:right w:val="none" w:sz="0" w:space="0" w:color="auto"/>
                          </w:divBdr>
                          <w:divsChild>
                            <w:div w:id="84614099">
                              <w:marLeft w:val="0"/>
                              <w:marRight w:val="0"/>
                              <w:marTop w:val="0"/>
                              <w:marBottom w:val="0"/>
                              <w:divBdr>
                                <w:top w:val="none" w:sz="0" w:space="0" w:color="auto"/>
                                <w:left w:val="none" w:sz="0" w:space="0" w:color="auto"/>
                                <w:bottom w:val="none" w:sz="0" w:space="0" w:color="auto"/>
                                <w:right w:val="none" w:sz="0" w:space="0" w:color="auto"/>
                              </w:divBdr>
                              <w:divsChild>
                                <w:div w:id="1831678399">
                                  <w:marLeft w:val="0"/>
                                  <w:marRight w:val="0"/>
                                  <w:marTop w:val="0"/>
                                  <w:marBottom w:val="0"/>
                                  <w:divBdr>
                                    <w:top w:val="none" w:sz="0" w:space="0" w:color="auto"/>
                                    <w:left w:val="none" w:sz="0" w:space="0" w:color="auto"/>
                                    <w:bottom w:val="none" w:sz="0" w:space="0" w:color="auto"/>
                                    <w:right w:val="none" w:sz="0" w:space="0" w:color="auto"/>
                                  </w:divBdr>
                                  <w:divsChild>
                                    <w:div w:id="981471866">
                                      <w:marLeft w:val="0"/>
                                      <w:marRight w:val="0"/>
                                      <w:marTop w:val="0"/>
                                      <w:marBottom w:val="0"/>
                                      <w:divBdr>
                                        <w:top w:val="none" w:sz="0" w:space="0" w:color="auto"/>
                                        <w:left w:val="none" w:sz="0" w:space="0" w:color="auto"/>
                                        <w:bottom w:val="none" w:sz="0" w:space="0" w:color="auto"/>
                                        <w:right w:val="none" w:sz="0" w:space="0" w:color="auto"/>
                                      </w:divBdr>
                                      <w:divsChild>
                                        <w:div w:id="116995567">
                                          <w:marLeft w:val="0"/>
                                          <w:marRight w:val="0"/>
                                          <w:marTop w:val="0"/>
                                          <w:marBottom w:val="0"/>
                                          <w:divBdr>
                                            <w:top w:val="none" w:sz="0" w:space="0" w:color="auto"/>
                                            <w:left w:val="none" w:sz="0" w:space="0" w:color="auto"/>
                                            <w:bottom w:val="none" w:sz="0" w:space="0" w:color="auto"/>
                                            <w:right w:val="none" w:sz="0" w:space="0" w:color="auto"/>
                                          </w:divBdr>
                                          <w:divsChild>
                                            <w:div w:id="200633458">
                                              <w:marLeft w:val="0"/>
                                              <w:marRight w:val="0"/>
                                              <w:marTop w:val="0"/>
                                              <w:marBottom w:val="0"/>
                                              <w:divBdr>
                                                <w:top w:val="none" w:sz="0" w:space="0" w:color="auto"/>
                                                <w:left w:val="none" w:sz="0" w:space="0" w:color="auto"/>
                                                <w:bottom w:val="none" w:sz="0" w:space="0" w:color="auto"/>
                                                <w:right w:val="none" w:sz="0" w:space="0" w:color="auto"/>
                                              </w:divBdr>
                                              <w:divsChild>
                                                <w:div w:id="342129363">
                                                  <w:marLeft w:val="0"/>
                                                  <w:marRight w:val="0"/>
                                                  <w:marTop w:val="0"/>
                                                  <w:marBottom w:val="0"/>
                                                  <w:divBdr>
                                                    <w:top w:val="none" w:sz="0" w:space="0" w:color="auto"/>
                                                    <w:left w:val="none" w:sz="0" w:space="0" w:color="auto"/>
                                                    <w:bottom w:val="none" w:sz="0" w:space="0" w:color="auto"/>
                                                    <w:right w:val="none" w:sz="0" w:space="0" w:color="auto"/>
                                                  </w:divBdr>
                                                  <w:divsChild>
                                                    <w:div w:id="1585649716">
                                                      <w:marLeft w:val="0"/>
                                                      <w:marRight w:val="0"/>
                                                      <w:marTop w:val="0"/>
                                                      <w:marBottom w:val="0"/>
                                                      <w:divBdr>
                                                        <w:top w:val="none" w:sz="0" w:space="0" w:color="auto"/>
                                                        <w:left w:val="none" w:sz="0" w:space="0" w:color="auto"/>
                                                        <w:bottom w:val="none" w:sz="0" w:space="0" w:color="auto"/>
                                                        <w:right w:val="none" w:sz="0" w:space="0" w:color="auto"/>
                                                      </w:divBdr>
                                                      <w:divsChild>
                                                        <w:div w:id="1865359698">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Child>
                                                </w:div>
                                              </w:divsChild>
                                            </w:div>
                                          </w:divsChild>
                                        </w:div>
                                      </w:divsChild>
                                    </w:div>
                                  </w:divsChild>
                                </w:div>
                              </w:divsChild>
                            </w:div>
                          </w:divsChild>
                        </w:div>
                      </w:divsChild>
                    </w:div>
                    <w:div w:id="909778545">
                      <w:marLeft w:val="0"/>
                      <w:marRight w:val="0"/>
                      <w:marTop w:val="0"/>
                      <w:marBottom w:val="0"/>
                      <w:divBdr>
                        <w:top w:val="none" w:sz="0" w:space="0" w:color="auto"/>
                        <w:left w:val="none" w:sz="0" w:space="0" w:color="auto"/>
                        <w:bottom w:val="none" w:sz="0" w:space="0" w:color="auto"/>
                        <w:right w:val="none" w:sz="0" w:space="0" w:color="auto"/>
                      </w:divBdr>
                      <w:divsChild>
                        <w:div w:id="13262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813384">
      <w:bodyDiv w:val="1"/>
      <w:marLeft w:val="0"/>
      <w:marRight w:val="0"/>
      <w:marTop w:val="0"/>
      <w:marBottom w:val="0"/>
      <w:divBdr>
        <w:top w:val="none" w:sz="0" w:space="0" w:color="auto"/>
        <w:left w:val="none" w:sz="0" w:space="0" w:color="auto"/>
        <w:bottom w:val="none" w:sz="0" w:space="0" w:color="auto"/>
        <w:right w:val="none" w:sz="0" w:space="0" w:color="auto"/>
      </w:divBdr>
    </w:div>
    <w:div w:id="824933280">
      <w:bodyDiv w:val="1"/>
      <w:marLeft w:val="0"/>
      <w:marRight w:val="0"/>
      <w:marTop w:val="0"/>
      <w:marBottom w:val="0"/>
      <w:divBdr>
        <w:top w:val="none" w:sz="0" w:space="0" w:color="auto"/>
        <w:left w:val="none" w:sz="0" w:space="0" w:color="auto"/>
        <w:bottom w:val="none" w:sz="0" w:space="0" w:color="auto"/>
        <w:right w:val="none" w:sz="0" w:space="0" w:color="auto"/>
      </w:divBdr>
    </w:div>
    <w:div w:id="825711096">
      <w:bodyDiv w:val="1"/>
      <w:marLeft w:val="0"/>
      <w:marRight w:val="0"/>
      <w:marTop w:val="0"/>
      <w:marBottom w:val="0"/>
      <w:divBdr>
        <w:top w:val="none" w:sz="0" w:space="0" w:color="auto"/>
        <w:left w:val="none" w:sz="0" w:space="0" w:color="auto"/>
        <w:bottom w:val="none" w:sz="0" w:space="0" w:color="auto"/>
        <w:right w:val="none" w:sz="0" w:space="0" w:color="auto"/>
      </w:divBdr>
    </w:div>
    <w:div w:id="837964295">
      <w:bodyDiv w:val="1"/>
      <w:marLeft w:val="0"/>
      <w:marRight w:val="0"/>
      <w:marTop w:val="0"/>
      <w:marBottom w:val="0"/>
      <w:divBdr>
        <w:top w:val="none" w:sz="0" w:space="0" w:color="auto"/>
        <w:left w:val="none" w:sz="0" w:space="0" w:color="auto"/>
        <w:bottom w:val="none" w:sz="0" w:space="0" w:color="auto"/>
        <w:right w:val="none" w:sz="0" w:space="0" w:color="auto"/>
      </w:divBdr>
    </w:div>
    <w:div w:id="843200746">
      <w:bodyDiv w:val="1"/>
      <w:marLeft w:val="0"/>
      <w:marRight w:val="0"/>
      <w:marTop w:val="0"/>
      <w:marBottom w:val="0"/>
      <w:divBdr>
        <w:top w:val="none" w:sz="0" w:space="0" w:color="auto"/>
        <w:left w:val="none" w:sz="0" w:space="0" w:color="auto"/>
        <w:bottom w:val="none" w:sz="0" w:space="0" w:color="auto"/>
        <w:right w:val="none" w:sz="0" w:space="0" w:color="auto"/>
      </w:divBdr>
    </w:div>
    <w:div w:id="863906274">
      <w:bodyDiv w:val="1"/>
      <w:marLeft w:val="0"/>
      <w:marRight w:val="0"/>
      <w:marTop w:val="0"/>
      <w:marBottom w:val="0"/>
      <w:divBdr>
        <w:top w:val="none" w:sz="0" w:space="0" w:color="auto"/>
        <w:left w:val="none" w:sz="0" w:space="0" w:color="auto"/>
        <w:bottom w:val="none" w:sz="0" w:space="0" w:color="auto"/>
        <w:right w:val="none" w:sz="0" w:space="0" w:color="auto"/>
      </w:divBdr>
    </w:div>
    <w:div w:id="875654425">
      <w:bodyDiv w:val="1"/>
      <w:marLeft w:val="0"/>
      <w:marRight w:val="0"/>
      <w:marTop w:val="0"/>
      <w:marBottom w:val="0"/>
      <w:divBdr>
        <w:top w:val="none" w:sz="0" w:space="0" w:color="auto"/>
        <w:left w:val="none" w:sz="0" w:space="0" w:color="auto"/>
        <w:bottom w:val="none" w:sz="0" w:space="0" w:color="auto"/>
        <w:right w:val="none" w:sz="0" w:space="0" w:color="auto"/>
      </w:divBdr>
    </w:div>
    <w:div w:id="878513429">
      <w:bodyDiv w:val="1"/>
      <w:marLeft w:val="0"/>
      <w:marRight w:val="0"/>
      <w:marTop w:val="0"/>
      <w:marBottom w:val="0"/>
      <w:divBdr>
        <w:top w:val="none" w:sz="0" w:space="0" w:color="auto"/>
        <w:left w:val="none" w:sz="0" w:space="0" w:color="auto"/>
        <w:bottom w:val="none" w:sz="0" w:space="0" w:color="auto"/>
        <w:right w:val="none" w:sz="0" w:space="0" w:color="auto"/>
      </w:divBdr>
    </w:div>
    <w:div w:id="885064514">
      <w:bodyDiv w:val="1"/>
      <w:marLeft w:val="0"/>
      <w:marRight w:val="0"/>
      <w:marTop w:val="0"/>
      <w:marBottom w:val="0"/>
      <w:divBdr>
        <w:top w:val="none" w:sz="0" w:space="0" w:color="auto"/>
        <w:left w:val="none" w:sz="0" w:space="0" w:color="auto"/>
        <w:bottom w:val="none" w:sz="0" w:space="0" w:color="auto"/>
        <w:right w:val="none" w:sz="0" w:space="0" w:color="auto"/>
      </w:divBdr>
    </w:div>
    <w:div w:id="942953898">
      <w:bodyDiv w:val="1"/>
      <w:marLeft w:val="0"/>
      <w:marRight w:val="0"/>
      <w:marTop w:val="0"/>
      <w:marBottom w:val="0"/>
      <w:divBdr>
        <w:top w:val="none" w:sz="0" w:space="0" w:color="auto"/>
        <w:left w:val="none" w:sz="0" w:space="0" w:color="auto"/>
        <w:bottom w:val="none" w:sz="0" w:space="0" w:color="auto"/>
        <w:right w:val="none" w:sz="0" w:space="0" w:color="auto"/>
      </w:divBdr>
    </w:div>
    <w:div w:id="973486525">
      <w:bodyDiv w:val="1"/>
      <w:marLeft w:val="0"/>
      <w:marRight w:val="0"/>
      <w:marTop w:val="0"/>
      <w:marBottom w:val="0"/>
      <w:divBdr>
        <w:top w:val="none" w:sz="0" w:space="0" w:color="auto"/>
        <w:left w:val="none" w:sz="0" w:space="0" w:color="auto"/>
        <w:bottom w:val="none" w:sz="0" w:space="0" w:color="auto"/>
        <w:right w:val="none" w:sz="0" w:space="0" w:color="auto"/>
      </w:divBdr>
    </w:div>
    <w:div w:id="1052314408">
      <w:bodyDiv w:val="1"/>
      <w:marLeft w:val="0"/>
      <w:marRight w:val="0"/>
      <w:marTop w:val="0"/>
      <w:marBottom w:val="0"/>
      <w:divBdr>
        <w:top w:val="none" w:sz="0" w:space="0" w:color="auto"/>
        <w:left w:val="none" w:sz="0" w:space="0" w:color="auto"/>
        <w:bottom w:val="none" w:sz="0" w:space="0" w:color="auto"/>
        <w:right w:val="none" w:sz="0" w:space="0" w:color="auto"/>
      </w:divBdr>
    </w:div>
    <w:div w:id="1055280671">
      <w:bodyDiv w:val="1"/>
      <w:marLeft w:val="0"/>
      <w:marRight w:val="0"/>
      <w:marTop w:val="0"/>
      <w:marBottom w:val="0"/>
      <w:divBdr>
        <w:top w:val="none" w:sz="0" w:space="0" w:color="auto"/>
        <w:left w:val="none" w:sz="0" w:space="0" w:color="auto"/>
        <w:bottom w:val="none" w:sz="0" w:space="0" w:color="auto"/>
        <w:right w:val="none" w:sz="0" w:space="0" w:color="auto"/>
      </w:divBdr>
    </w:div>
    <w:div w:id="1059012064">
      <w:bodyDiv w:val="1"/>
      <w:marLeft w:val="0"/>
      <w:marRight w:val="0"/>
      <w:marTop w:val="0"/>
      <w:marBottom w:val="0"/>
      <w:divBdr>
        <w:top w:val="none" w:sz="0" w:space="0" w:color="auto"/>
        <w:left w:val="none" w:sz="0" w:space="0" w:color="auto"/>
        <w:bottom w:val="none" w:sz="0" w:space="0" w:color="auto"/>
        <w:right w:val="none" w:sz="0" w:space="0" w:color="auto"/>
      </w:divBdr>
      <w:divsChild>
        <w:div w:id="1497762715">
          <w:marLeft w:val="30"/>
          <w:marRight w:val="30"/>
          <w:marTop w:val="0"/>
          <w:marBottom w:val="0"/>
          <w:divBdr>
            <w:top w:val="none" w:sz="0" w:space="0" w:color="auto"/>
            <w:left w:val="none" w:sz="0" w:space="0" w:color="auto"/>
            <w:bottom w:val="none" w:sz="0" w:space="0" w:color="auto"/>
            <w:right w:val="none" w:sz="0" w:space="0" w:color="auto"/>
          </w:divBdr>
          <w:divsChild>
            <w:div w:id="759257657">
              <w:marLeft w:val="0"/>
              <w:marRight w:val="0"/>
              <w:marTop w:val="0"/>
              <w:marBottom w:val="0"/>
              <w:divBdr>
                <w:top w:val="none" w:sz="0" w:space="0" w:color="auto"/>
                <w:left w:val="none" w:sz="0" w:space="0" w:color="auto"/>
                <w:bottom w:val="none" w:sz="0" w:space="0" w:color="auto"/>
                <w:right w:val="none" w:sz="0" w:space="0" w:color="auto"/>
              </w:divBdr>
              <w:divsChild>
                <w:div w:id="1606691867">
                  <w:marLeft w:val="0"/>
                  <w:marRight w:val="0"/>
                  <w:marTop w:val="0"/>
                  <w:marBottom w:val="0"/>
                  <w:divBdr>
                    <w:top w:val="none" w:sz="0" w:space="0" w:color="auto"/>
                    <w:left w:val="none" w:sz="0" w:space="0" w:color="auto"/>
                    <w:bottom w:val="none" w:sz="0" w:space="0" w:color="auto"/>
                    <w:right w:val="none" w:sz="0" w:space="0" w:color="auto"/>
                  </w:divBdr>
                  <w:divsChild>
                    <w:div w:id="17776200">
                      <w:marLeft w:val="0"/>
                      <w:marRight w:val="0"/>
                      <w:marTop w:val="0"/>
                      <w:marBottom w:val="0"/>
                      <w:divBdr>
                        <w:top w:val="none" w:sz="0" w:space="0" w:color="auto"/>
                        <w:left w:val="none" w:sz="0" w:space="0" w:color="auto"/>
                        <w:bottom w:val="none" w:sz="0" w:space="0" w:color="auto"/>
                        <w:right w:val="none" w:sz="0" w:space="0" w:color="auto"/>
                      </w:divBdr>
                      <w:divsChild>
                        <w:div w:id="1287615493">
                          <w:marLeft w:val="0"/>
                          <w:marRight w:val="0"/>
                          <w:marTop w:val="0"/>
                          <w:marBottom w:val="0"/>
                          <w:divBdr>
                            <w:top w:val="none" w:sz="0" w:space="0" w:color="auto"/>
                            <w:left w:val="none" w:sz="0" w:space="0" w:color="auto"/>
                            <w:bottom w:val="none" w:sz="0" w:space="0" w:color="auto"/>
                            <w:right w:val="none" w:sz="0" w:space="0" w:color="auto"/>
                          </w:divBdr>
                        </w:div>
                      </w:divsChild>
                    </w:div>
                    <w:div w:id="1239829542">
                      <w:marLeft w:val="0"/>
                      <w:marRight w:val="0"/>
                      <w:marTop w:val="120"/>
                      <w:marBottom w:val="480"/>
                      <w:divBdr>
                        <w:top w:val="none" w:sz="0" w:space="0" w:color="auto"/>
                        <w:left w:val="none" w:sz="0" w:space="0" w:color="auto"/>
                        <w:bottom w:val="none" w:sz="0" w:space="0" w:color="auto"/>
                        <w:right w:val="none" w:sz="0" w:space="0" w:color="auto"/>
                      </w:divBdr>
                      <w:divsChild>
                        <w:div w:id="17509831">
                          <w:marLeft w:val="0"/>
                          <w:marRight w:val="0"/>
                          <w:marTop w:val="0"/>
                          <w:marBottom w:val="0"/>
                          <w:divBdr>
                            <w:top w:val="none" w:sz="0" w:space="0" w:color="auto"/>
                            <w:left w:val="none" w:sz="0" w:space="0" w:color="auto"/>
                            <w:bottom w:val="none" w:sz="0" w:space="0" w:color="auto"/>
                            <w:right w:val="none" w:sz="0" w:space="0" w:color="auto"/>
                          </w:divBdr>
                          <w:divsChild>
                            <w:div w:id="806705111">
                              <w:marLeft w:val="0"/>
                              <w:marRight w:val="0"/>
                              <w:marTop w:val="0"/>
                              <w:marBottom w:val="0"/>
                              <w:divBdr>
                                <w:top w:val="none" w:sz="0" w:space="0" w:color="auto"/>
                                <w:left w:val="none" w:sz="0" w:space="0" w:color="auto"/>
                                <w:bottom w:val="none" w:sz="0" w:space="0" w:color="auto"/>
                                <w:right w:val="none" w:sz="0" w:space="0" w:color="auto"/>
                              </w:divBdr>
                              <w:divsChild>
                                <w:div w:id="1527252927">
                                  <w:marLeft w:val="0"/>
                                  <w:marRight w:val="0"/>
                                  <w:marTop w:val="0"/>
                                  <w:marBottom w:val="0"/>
                                  <w:divBdr>
                                    <w:top w:val="none" w:sz="0" w:space="0" w:color="auto"/>
                                    <w:left w:val="none" w:sz="0" w:space="0" w:color="auto"/>
                                    <w:bottom w:val="none" w:sz="0" w:space="0" w:color="auto"/>
                                    <w:right w:val="none" w:sz="0" w:space="0" w:color="auto"/>
                                  </w:divBdr>
                                  <w:divsChild>
                                    <w:div w:id="443576854">
                                      <w:marLeft w:val="0"/>
                                      <w:marRight w:val="0"/>
                                      <w:marTop w:val="0"/>
                                      <w:marBottom w:val="0"/>
                                      <w:divBdr>
                                        <w:top w:val="none" w:sz="0" w:space="0" w:color="auto"/>
                                        <w:left w:val="none" w:sz="0" w:space="0" w:color="auto"/>
                                        <w:bottom w:val="none" w:sz="0" w:space="0" w:color="auto"/>
                                        <w:right w:val="none" w:sz="0" w:space="0" w:color="auto"/>
                                      </w:divBdr>
                                      <w:divsChild>
                                        <w:div w:id="1087728488">
                                          <w:marLeft w:val="0"/>
                                          <w:marRight w:val="0"/>
                                          <w:marTop w:val="0"/>
                                          <w:marBottom w:val="0"/>
                                          <w:divBdr>
                                            <w:top w:val="none" w:sz="0" w:space="0" w:color="auto"/>
                                            <w:left w:val="none" w:sz="0" w:space="0" w:color="auto"/>
                                            <w:bottom w:val="none" w:sz="0" w:space="0" w:color="auto"/>
                                            <w:right w:val="none" w:sz="0" w:space="0" w:color="auto"/>
                                          </w:divBdr>
                                          <w:divsChild>
                                            <w:div w:id="1997563683">
                                              <w:marLeft w:val="0"/>
                                              <w:marRight w:val="0"/>
                                              <w:marTop w:val="0"/>
                                              <w:marBottom w:val="0"/>
                                              <w:divBdr>
                                                <w:top w:val="none" w:sz="0" w:space="0" w:color="auto"/>
                                                <w:left w:val="none" w:sz="0" w:space="0" w:color="auto"/>
                                                <w:bottom w:val="none" w:sz="0" w:space="0" w:color="auto"/>
                                                <w:right w:val="none" w:sz="0" w:space="0" w:color="auto"/>
                                              </w:divBdr>
                                              <w:divsChild>
                                                <w:div w:id="1166164309">
                                                  <w:marLeft w:val="0"/>
                                                  <w:marRight w:val="0"/>
                                                  <w:marTop w:val="0"/>
                                                  <w:marBottom w:val="0"/>
                                                  <w:divBdr>
                                                    <w:top w:val="none" w:sz="0" w:space="0" w:color="auto"/>
                                                    <w:left w:val="none" w:sz="0" w:space="0" w:color="auto"/>
                                                    <w:bottom w:val="none" w:sz="0" w:space="0" w:color="auto"/>
                                                    <w:right w:val="none" w:sz="0" w:space="0" w:color="auto"/>
                                                  </w:divBdr>
                                                  <w:divsChild>
                                                    <w:div w:id="624586314">
                                                      <w:marLeft w:val="0"/>
                                                      <w:marRight w:val="0"/>
                                                      <w:marTop w:val="0"/>
                                                      <w:marBottom w:val="0"/>
                                                      <w:divBdr>
                                                        <w:top w:val="none" w:sz="0" w:space="0" w:color="auto"/>
                                                        <w:left w:val="none" w:sz="0" w:space="0" w:color="auto"/>
                                                        <w:bottom w:val="none" w:sz="0" w:space="0" w:color="auto"/>
                                                        <w:right w:val="none" w:sz="0" w:space="0" w:color="auto"/>
                                                      </w:divBdr>
                                                      <w:divsChild>
                                                        <w:div w:id="1653632205">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1835399">
          <w:marLeft w:val="0"/>
          <w:marRight w:val="0"/>
          <w:marTop w:val="0"/>
          <w:marBottom w:val="0"/>
          <w:divBdr>
            <w:top w:val="none" w:sz="0" w:space="0" w:color="auto"/>
            <w:left w:val="none" w:sz="0" w:space="0" w:color="auto"/>
            <w:bottom w:val="none" w:sz="0" w:space="0" w:color="auto"/>
            <w:right w:val="none" w:sz="0" w:space="0" w:color="auto"/>
          </w:divBdr>
          <w:divsChild>
            <w:div w:id="1192036759">
              <w:marLeft w:val="0"/>
              <w:marRight w:val="0"/>
              <w:marTop w:val="0"/>
              <w:marBottom w:val="0"/>
              <w:divBdr>
                <w:top w:val="none" w:sz="0" w:space="0" w:color="auto"/>
                <w:left w:val="none" w:sz="0" w:space="0" w:color="auto"/>
                <w:bottom w:val="none" w:sz="0" w:space="0" w:color="auto"/>
                <w:right w:val="none" w:sz="0" w:space="0" w:color="auto"/>
              </w:divBdr>
              <w:divsChild>
                <w:div w:id="1399283757">
                  <w:marLeft w:val="0"/>
                  <w:marRight w:val="0"/>
                  <w:marTop w:val="0"/>
                  <w:marBottom w:val="0"/>
                  <w:divBdr>
                    <w:top w:val="single" w:sz="6" w:space="6" w:color="auto"/>
                    <w:left w:val="single" w:sz="6" w:space="12" w:color="auto"/>
                    <w:bottom w:val="single" w:sz="6" w:space="6" w:color="auto"/>
                    <w:right w:val="single" w:sz="6" w:space="12" w:color="auto"/>
                  </w:divBdr>
                  <w:divsChild>
                    <w:div w:id="2813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5489">
      <w:bodyDiv w:val="1"/>
      <w:marLeft w:val="0"/>
      <w:marRight w:val="0"/>
      <w:marTop w:val="0"/>
      <w:marBottom w:val="0"/>
      <w:divBdr>
        <w:top w:val="none" w:sz="0" w:space="0" w:color="auto"/>
        <w:left w:val="none" w:sz="0" w:space="0" w:color="auto"/>
        <w:bottom w:val="none" w:sz="0" w:space="0" w:color="auto"/>
        <w:right w:val="none" w:sz="0" w:space="0" w:color="auto"/>
      </w:divBdr>
    </w:div>
    <w:div w:id="1099788359">
      <w:bodyDiv w:val="1"/>
      <w:marLeft w:val="0"/>
      <w:marRight w:val="0"/>
      <w:marTop w:val="0"/>
      <w:marBottom w:val="0"/>
      <w:divBdr>
        <w:top w:val="none" w:sz="0" w:space="0" w:color="auto"/>
        <w:left w:val="none" w:sz="0" w:space="0" w:color="auto"/>
        <w:bottom w:val="none" w:sz="0" w:space="0" w:color="auto"/>
        <w:right w:val="none" w:sz="0" w:space="0" w:color="auto"/>
      </w:divBdr>
    </w:div>
    <w:div w:id="1100830925">
      <w:bodyDiv w:val="1"/>
      <w:marLeft w:val="0"/>
      <w:marRight w:val="0"/>
      <w:marTop w:val="0"/>
      <w:marBottom w:val="0"/>
      <w:divBdr>
        <w:top w:val="none" w:sz="0" w:space="0" w:color="auto"/>
        <w:left w:val="none" w:sz="0" w:space="0" w:color="auto"/>
        <w:bottom w:val="none" w:sz="0" w:space="0" w:color="auto"/>
        <w:right w:val="none" w:sz="0" w:space="0" w:color="auto"/>
      </w:divBdr>
    </w:div>
    <w:div w:id="1105421039">
      <w:bodyDiv w:val="1"/>
      <w:marLeft w:val="0"/>
      <w:marRight w:val="0"/>
      <w:marTop w:val="0"/>
      <w:marBottom w:val="0"/>
      <w:divBdr>
        <w:top w:val="none" w:sz="0" w:space="0" w:color="auto"/>
        <w:left w:val="none" w:sz="0" w:space="0" w:color="auto"/>
        <w:bottom w:val="none" w:sz="0" w:space="0" w:color="auto"/>
        <w:right w:val="none" w:sz="0" w:space="0" w:color="auto"/>
      </w:divBdr>
    </w:div>
    <w:div w:id="1106343669">
      <w:bodyDiv w:val="1"/>
      <w:marLeft w:val="0"/>
      <w:marRight w:val="0"/>
      <w:marTop w:val="0"/>
      <w:marBottom w:val="0"/>
      <w:divBdr>
        <w:top w:val="none" w:sz="0" w:space="0" w:color="auto"/>
        <w:left w:val="none" w:sz="0" w:space="0" w:color="auto"/>
        <w:bottom w:val="none" w:sz="0" w:space="0" w:color="auto"/>
        <w:right w:val="none" w:sz="0" w:space="0" w:color="auto"/>
      </w:divBdr>
    </w:div>
    <w:div w:id="1120613902">
      <w:bodyDiv w:val="1"/>
      <w:marLeft w:val="0"/>
      <w:marRight w:val="0"/>
      <w:marTop w:val="0"/>
      <w:marBottom w:val="0"/>
      <w:divBdr>
        <w:top w:val="none" w:sz="0" w:space="0" w:color="auto"/>
        <w:left w:val="none" w:sz="0" w:space="0" w:color="auto"/>
        <w:bottom w:val="none" w:sz="0" w:space="0" w:color="auto"/>
        <w:right w:val="none" w:sz="0" w:space="0" w:color="auto"/>
      </w:divBdr>
    </w:div>
    <w:div w:id="1122769316">
      <w:bodyDiv w:val="1"/>
      <w:marLeft w:val="0"/>
      <w:marRight w:val="0"/>
      <w:marTop w:val="0"/>
      <w:marBottom w:val="0"/>
      <w:divBdr>
        <w:top w:val="none" w:sz="0" w:space="0" w:color="auto"/>
        <w:left w:val="none" w:sz="0" w:space="0" w:color="auto"/>
        <w:bottom w:val="none" w:sz="0" w:space="0" w:color="auto"/>
        <w:right w:val="none" w:sz="0" w:space="0" w:color="auto"/>
      </w:divBdr>
    </w:div>
    <w:div w:id="1123966116">
      <w:bodyDiv w:val="1"/>
      <w:marLeft w:val="0"/>
      <w:marRight w:val="0"/>
      <w:marTop w:val="0"/>
      <w:marBottom w:val="0"/>
      <w:divBdr>
        <w:top w:val="none" w:sz="0" w:space="0" w:color="auto"/>
        <w:left w:val="none" w:sz="0" w:space="0" w:color="auto"/>
        <w:bottom w:val="none" w:sz="0" w:space="0" w:color="auto"/>
        <w:right w:val="none" w:sz="0" w:space="0" w:color="auto"/>
      </w:divBdr>
    </w:div>
    <w:div w:id="1124541021">
      <w:bodyDiv w:val="1"/>
      <w:marLeft w:val="0"/>
      <w:marRight w:val="0"/>
      <w:marTop w:val="0"/>
      <w:marBottom w:val="0"/>
      <w:divBdr>
        <w:top w:val="none" w:sz="0" w:space="0" w:color="auto"/>
        <w:left w:val="none" w:sz="0" w:space="0" w:color="auto"/>
        <w:bottom w:val="none" w:sz="0" w:space="0" w:color="auto"/>
        <w:right w:val="none" w:sz="0" w:space="0" w:color="auto"/>
      </w:divBdr>
    </w:div>
    <w:div w:id="1132135128">
      <w:bodyDiv w:val="1"/>
      <w:marLeft w:val="0"/>
      <w:marRight w:val="0"/>
      <w:marTop w:val="0"/>
      <w:marBottom w:val="0"/>
      <w:divBdr>
        <w:top w:val="none" w:sz="0" w:space="0" w:color="auto"/>
        <w:left w:val="none" w:sz="0" w:space="0" w:color="auto"/>
        <w:bottom w:val="none" w:sz="0" w:space="0" w:color="auto"/>
        <w:right w:val="none" w:sz="0" w:space="0" w:color="auto"/>
      </w:divBdr>
      <w:divsChild>
        <w:div w:id="151331681">
          <w:marLeft w:val="30"/>
          <w:marRight w:val="30"/>
          <w:marTop w:val="0"/>
          <w:marBottom w:val="0"/>
          <w:divBdr>
            <w:top w:val="none" w:sz="0" w:space="0" w:color="auto"/>
            <w:left w:val="none" w:sz="0" w:space="0" w:color="auto"/>
            <w:bottom w:val="none" w:sz="0" w:space="0" w:color="auto"/>
            <w:right w:val="none" w:sz="0" w:space="0" w:color="auto"/>
          </w:divBdr>
          <w:divsChild>
            <w:div w:id="1694308394">
              <w:marLeft w:val="0"/>
              <w:marRight w:val="0"/>
              <w:marTop w:val="0"/>
              <w:marBottom w:val="0"/>
              <w:divBdr>
                <w:top w:val="none" w:sz="0" w:space="0" w:color="auto"/>
                <w:left w:val="none" w:sz="0" w:space="0" w:color="auto"/>
                <w:bottom w:val="none" w:sz="0" w:space="0" w:color="auto"/>
                <w:right w:val="none" w:sz="0" w:space="0" w:color="auto"/>
              </w:divBdr>
              <w:divsChild>
                <w:div w:id="1842155283">
                  <w:marLeft w:val="0"/>
                  <w:marRight w:val="0"/>
                  <w:marTop w:val="0"/>
                  <w:marBottom w:val="0"/>
                  <w:divBdr>
                    <w:top w:val="none" w:sz="0" w:space="0" w:color="auto"/>
                    <w:left w:val="none" w:sz="0" w:space="0" w:color="auto"/>
                    <w:bottom w:val="none" w:sz="0" w:space="0" w:color="auto"/>
                    <w:right w:val="none" w:sz="0" w:space="0" w:color="auto"/>
                  </w:divBdr>
                  <w:divsChild>
                    <w:div w:id="735713291">
                      <w:marLeft w:val="0"/>
                      <w:marRight w:val="0"/>
                      <w:marTop w:val="120"/>
                      <w:marBottom w:val="480"/>
                      <w:divBdr>
                        <w:top w:val="none" w:sz="0" w:space="0" w:color="auto"/>
                        <w:left w:val="none" w:sz="0" w:space="0" w:color="auto"/>
                        <w:bottom w:val="none" w:sz="0" w:space="0" w:color="auto"/>
                        <w:right w:val="none" w:sz="0" w:space="0" w:color="auto"/>
                      </w:divBdr>
                      <w:divsChild>
                        <w:div w:id="956840058">
                          <w:marLeft w:val="0"/>
                          <w:marRight w:val="0"/>
                          <w:marTop w:val="0"/>
                          <w:marBottom w:val="0"/>
                          <w:divBdr>
                            <w:top w:val="none" w:sz="0" w:space="0" w:color="auto"/>
                            <w:left w:val="none" w:sz="0" w:space="0" w:color="auto"/>
                            <w:bottom w:val="none" w:sz="0" w:space="0" w:color="auto"/>
                            <w:right w:val="none" w:sz="0" w:space="0" w:color="auto"/>
                          </w:divBdr>
                          <w:divsChild>
                            <w:div w:id="78989642">
                              <w:marLeft w:val="0"/>
                              <w:marRight w:val="0"/>
                              <w:marTop w:val="0"/>
                              <w:marBottom w:val="0"/>
                              <w:divBdr>
                                <w:top w:val="none" w:sz="0" w:space="0" w:color="auto"/>
                                <w:left w:val="none" w:sz="0" w:space="0" w:color="auto"/>
                                <w:bottom w:val="none" w:sz="0" w:space="0" w:color="auto"/>
                                <w:right w:val="none" w:sz="0" w:space="0" w:color="auto"/>
                              </w:divBdr>
                              <w:divsChild>
                                <w:div w:id="103041149">
                                  <w:marLeft w:val="0"/>
                                  <w:marRight w:val="0"/>
                                  <w:marTop w:val="0"/>
                                  <w:marBottom w:val="0"/>
                                  <w:divBdr>
                                    <w:top w:val="none" w:sz="0" w:space="0" w:color="auto"/>
                                    <w:left w:val="none" w:sz="0" w:space="0" w:color="auto"/>
                                    <w:bottom w:val="none" w:sz="0" w:space="0" w:color="auto"/>
                                    <w:right w:val="none" w:sz="0" w:space="0" w:color="auto"/>
                                  </w:divBdr>
                                  <w:divsChild>
                                    <w:div w:id="1388452145">
                                      <w:marLeft w:val="0"/>
                                      <w:marRight w:val="0"/>
                                      <w:marTop w:val="0"/>
                                      <w:marBottom w:val="0"/>
                                      <w:divBdr>
                                        <w:top w:val="none" w:sz="0" w:space="0" w:color="auto"/>
                                        <w:left w:val="none" w:sz="0" w:space="0" w:color="auto"/>
                                        <w:bottom w:val="none" w:sz="0" w:space="0" w:color="auto"/>
                                        <w:right w:val="none" w:sz="0" w:space="0" w:color="auto"/>
                                      </w:divBdr>
                                      <w:divsChild>
                                        <w:div w:id="1897543115">
                                          <w:marLeft w:val="0"/>
                                          <w:marRight w:val="0"/>
                                          <w:marTop w:val="0"/>
                                          <w:marBottom w:val="0"/>
                                          <w:divBdr>
                                            <w:top w:val="none" w:sz="0" w:space="0" w:color="auto"/>
                                            <w:left w:val="none" w:sz="0" w:space="0" w:color="auto"/>
                                            <w:bottom w:val="none" w:sz="0" w:space="0" w:color="auto"/>
                                            <w:right w:val="none" w:sz="0" w:space="0" w:color="auto"/>
                                          </w:divBdr>
                                          <w:divsChild>
                                            <w:div w:id="1639146833">
                                              <w:marLeft w:val="0"/>
                                              <w:marRight w:val="0"/>
                                              <w:marTop w:val="0"/>
                                              <w:marBottom w:val="0"/>
                                              <w:divBdr>
                                                <w:top w:val="none" w:sz="0" w:space="0" w:color="auto"/>
                                                <w:left w:val="none" w:sz="0" w:space="0" w:color="auto"/>
                                                <w:bottom w:val="none" w:sz="0" w:space="0" w:color="auto"/>
                                                <w:right w:val="none" w:sz="0" w:space="0" w:color="auto"/>
                                              </w:divBdr>
                                              <w:divsChild>
                                                <w:div w:id="1447773368">
                                                  <w:marLeft w:val="0"/>
                                                  <w:marRight w:val="0"/>
                                                  <w:marTop w:val="0"/>
                                                  <w:marBottom w:val="0"/>
                                                  <w:divBdr>
                                                    <w:top w:val="none" w:sz="0" w:space="0" w:color="auto"/>
                                                    <w:left w:val="none" w:sz="0" w:space="0" w:color="auto"/>
                                                    <w:bottom w:val="none" w:sz="0" w:space="0" w:color="auto"/>
                                                    <w:right w:val="none" w:sz="0" w:space="0" w:color="auto"/>
                                                  </w:divBdr>
                                                  <w:divsChild>
                                                    <w:div w:id="1751270477">
                                                      <w:marLeft w:val="0"/>
                                                      <w:marRight w:val="0"/>
                                                      <w:marTop w:val="0"/>
                                                      <w:marBottom w:val="0"/>
                                                      <w:divBdr>
                                                        <w:top w:val="none" w:sz="0" w:space="0" w:color="auto"/>
                                                        <w:left w:val="none" w:sz="0" w:space="0" w:color="auto"/>
                                                        <w:bottom w:val="none" w:sz="0" w:space="0" w:color="auto"/>
                                                        <w:right w:val="none" w:sz="0" w:space="0" w:color="auto"/>
                                                      </w:divBdr>
                                                      <w:divsChild>
                                                        <w:div w:id="278992446">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Child>
                                                </w:div>
                                              </w:divsChild>
                                            </w:div>
                                          </w:divsChild>
                                        </w:div>
                                      </w:divsChild>
                                    </w:div>
                                  </w:divsChild>
                                </w:div>
                              </w:divsChild>
                            </w:div>
                          </w:divsChild>
                        </w:div>
                      </w:divsChild>
                    </w:div>
                    <w:div w:id="1139879106">
                      <w:marLeft w:val="0"/>
                      <w:marRight w:val="0"/>
                      <w:marTop w:val="0"/>
                      <w:marBottom w:val="0"/>
                      <w:divBdr>
                        <w:top w:val="none" w:sz="0" w:space="0" w:color="auto"/>
                        <w:left w:val="none" w:sz="0" w:space="0" w:color="auto"/>
                        <w:bottom w:val="none" w:sz="0" w:space="0" w:color="auto"/>
                        <w:right w:val="none" w:sz="0" w:space="0" w:color="auto"/>
                      </w:divBdr>
                      <w:divsChild>
                        <w:div w:id="19429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674489">
          <w:marLeft w:val="0"/>
          <w:marRight w:val="0"/>
          <w:marTop w:val="0"/>
          <w:marBottom w:val="0"/>
          <w:divBdr>
            <w:top w:val="none" w:sz="0" w:space="0" w:color="auto"/>
            <w:left w:val="none" w:sz="0" w:space="0" w:color="auto"/>
            <w:bottom w:val="none" w:sz="0" w:space="0" w:color="auto"/>
            <w:right w:val="none" w:sz="0" w:space="0" w:color="auto"/>
          </w:divBdr>
          <w:divsChild>
            <w:div w:id="1431582807">
              <w:marLeft w:val="0"/>
              <w:marRight w:val="0"/>
              <w:marTop w:val="0"/>
              <w:marBottom w:val="0"/>
              <w:divBdr>
                <w:top w:val="none" w:sz="0" w:space="0" w:color="auto"/>
                <w:left w:val="none" w:sz="0" w:space="0" w:color="auto"/>
                <w:bottom w:val="none" w:sz="0" w:space="0" w:color="auto"/>
                <w:right w:val="none" w:sz="0" w:space="0" w:color="auto"/>
              </w:divBdr>
              <w:divsChild>
                <w:div w:id="1654023978">
                  <w:marLeft w:val="0"/>
                  <w:marRight w:val="0"/>
                  <w:marTop w:val="0"/>
                  <w:marBottom w:val="0"/>
                  <w:divBdr>
                    <w:top w:val="single" w:sz="6" w:space="6" w:color="auto"/>
                    <w:left w:val="single" w:sz="6" w:space="12" w:color="auto"/>
                    <w:bottom w:val="single" w:sz="6" w:space="6" w:color="auto"/>
                    <w:right w:val="single" w:sz="6" w:space="12" w:color="auto"/>
                  </w:divBdr>
                  <w:divsChild>
                    <w:div w:id="14238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844031">
      <w:bodyDiv w:val="1"/>
      <w:marLeft w:val="0"/>
      <w:marRight w:val="0"/>
      <w:marTop w:val="0"/>
      <w:marBottom w:val="0"/>
      <w:divBdr>
        <w:top w:val="none" w:sz="0" w:space="0" w:color="auto"/>
        <w:left w:val="none" w:sz="0" w:space="0" w:color="auto"/>
        <w:bottom w:val="none" w:sz="0" w:space="0" w:color="auto"/>
        <w:right w:val="none" w:sz="0" w:space="0" w:color="auto"/>
      </w:divBdr>
    </w:div>
    <w:div w:id="1150319999">
      <w:bodyDiv w:val="1"/>
      <w:marLeft w:val="0"/>
      <w:marRight w:val="0"/>
      <w:marTop w:val="0"/>
      <w:marBottom w:val="0"/>
      <w:divBdr>
        <w:top w:val="none" w:sz="0" w:space="0" w:color="auto"/>
        <w:left w:val="none" w:sz="0" w:space="0" w:color="auto"/>
        <w:bottom w:val="none" w:sz="0" w:space="0" w:color="auto"/>
        <w:right w:val="none" w:sz="0" w:space="0" w:color="auto"/>
      </w:divBdr>
    </w:div>
    <w:div w:id="1159350540">
      <w:bodyDiv w:val="1"/>
      <w:marLeft w:val="0"/>
      <w:marRight w:val="0"/>
      <w:marTop w:val="0"/>
      <w:marBottom w:val="0"/>
      <w:divBdr>
        <w:top w:val="none" w:sz="0" w:space="0" w:color="auto"/>
        <w:left w:val="none" w:sz="0" w:space="0" w:color="auto"/>
        <w:bottom w:val="none" w:sz="0" w:space="0" w:color="auto"/>
        <w:right w:val="none" w:sz="0" w:space="0" w:color="auto"/>
      </w:divBdr>
    </w:div>
    <w:div w:id="1169978908">
      <w:bodyDiv w:val="1"/>
      <w:marLeft w:val="0"/>
      <w:marRight w:val="0"/>
      <w:marTop w:val="0"/>
      <w:marBottom w:val="0"/>
      <w:divBdr>
        <w:top w:val="none" w:sz="0" w:space="0" w:color="auto"/>
        <w:left w:val="none" w:sz="0" w:space="0" w:color="auto"/>
        <w:bottom w:val="none" w:sz="0" w:space="0" w:color="auto"/>
        <w:right w:val="none" w:sz="0" w:space="0" w:color="auto"/>
      </w:divBdr>
    </w:div>
    <w:div w:id="1188759941">
      <w:bodyDiv w:val="1"/>
      <w:marLeft w:val="0"/>
      <w:marRight w:val="0"/>
      <w:marTop w:val="0"/>
      <w:marBottom w:val="0"/>
      <w:divBdr>
        <w:top w:val="none" w:sz="0" w:space="0" w:color="auto"/>
        <w:left w:val="none" w:sz="0" w:space="0" w:color="auto"/>
        <w:bottom w:val="none" w:sz="0" w:space="0" w:color="auto"/>
        <w:right w:val="none" w:sz="0" w:space="0" w:color="auto"/>
      </w:divBdr>
    </w:div>
    <w:div w:id="120640615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42913326">
      <w:bodyDiv w:val="1"/>
      <w:marLeft w:val="0"/>
      <w:marRight w:val="0"/>
      <w:marTop w:val="0"/>
      <w:marBottom w:val="0"/>
      <w:divBdr>
        <w:top w:val="none" w:sz="0" w:space="0" w:color="auto"/>
        <w:left w:val="none" w:sz="0" w:space="0" w:color="auto"/>
        <w:bottom w:val="none" w:sz="0" w:space="0" w:color="auto"/>
        <w:right w:val="none" w:sz="0" w:space="0" w:color="auto"/>
      </w:divBdr>
    </w:div>
    <w:div w:id="1243026713">
      <w:bodyDiv w:val="1"/>
      <w:marLeft w:val="0"/>
      <w:marRight w:val="0"/>
      <w:marTop w:val="0"/>
      <w:marBottom w:val="0"/>
      <w:divBdr>
        <w:top w:val="none" w:sz="0" w:space="0" w:color="auto"/>
        <w:left w:val="none" w:sz="0" w:space="0" w:color="auto"/>
        <w:bottom w:val="none" w:sz="0" w:space="0" w:color="auto"/>
        <w:right w:val="none" w:sz="0" w:space="0" w:color="auto"/>
      </w:divBdr>
    </w:div>
    <w:div w:id="1251892461">
      <w:bodyDiv w:val="1"/>
      <w:marLeft w:val="0"/>
      <w:marRight w:val="0"/>
      <w:marTop w:val="0"/>
      <w:marBottom w:val="0"/>
      <w:divBdr>
        <w:top w:val="none" w:sz="0" w:space="0" w:color="auto"/>
        <w:left w:val="none" w:sz="0" w:space="0" w:color="auto"/>
        <w:bottom w:val="none" w:sz="0" w:space="0" w:color="auto"/>
        <w:right w:val="none" w:sz="0" w:space="0" w:color="auto"/>
      </w:divBdr>
    </w:div>
    <w:div w:id="1253006700">
      <w:bodyDiv w:val="1"/>
      <w:marLeft w:val="0"/>
      <w:marRight w:val="0"/>
      <w:marTop w:val="0"/>
      <w:marBottom w:val="0"/>
      <w:divBdr>
        <w:top w:val="none" w:sz="0" w:space="0" w:color="auto"/>
        <w:left w:val="none" w:sz="0" w:space="0" w:color="auto"/>
        <w:bottom w:val="none" w:sz="0" w:space="0" w:color="auto"/>
        <w:right w:val="none" w:sz="0" w:space="0" w:color="auto"/>
      </w:divBdr>
    </w:div>
    <w:div w:id="1272586959">
      <w:bodyDiv w:val="1"/>
      <w:marLeft w:val="0"/>
      <w:marRight w:val="0"/>
      <w:marTop w:val="0"/>
      <w:marBottom w:val="0"/>
      <w:divBdr>
        <w:top w:val="none" w:sz="0" w:space="0" w:color="auto"/>
        <w:left w:val="none" w:sz="0" w:space="0" w:color="auto"/>
        <w:bottom w:val="none" w:sz="0" w:space="0" w:color="auto"/>
        <w:right w:val="none" w:sz="0" w:space="0" w:color="auto"/>
      </w:divBdr>
    </w:div>
    <w:div w:id="1306661994">
      <w:bodyDiv w:val="1"/>
      <w:marLeft w:val="0"/>
      <w:marRight w:val="0"/>
      <w:marTop w:val="0"/>
      <w:marBottom w:val="0"/>
      <w:divBdr>
        <w:top w:val="none" w:sz="0" w:space="0" w:color="auto"/>
        <w:left w:val="none" w:sz="0" w:space="0" w:color="auto"/>
        <w:bottom w:val="none" w:sz="0" w:space="0" w:color="auto"/>
        <w:right w:val="none" w:sz="0" w:space="0" w:color="auto"/>
      </w:divBdr>
    </w:div>
    <w:div w:id="1311983662">
      <w:bodyDiv w:val="1"/>
      <w:marLeft w:val="0"/>
      <w:marRight w:val="0"/>
      <w:marTop w:val="0"/>
      <w:marBottom w:val="0"/>
      <w:divBdr>
        <w:top w:val="none" w:sz="0" w:space="0" w:color="auto"/>
        <w:left w:val="none" w:sz="0" w:space="0" w:color="auto"/>
        <w:bottom w:val="none" w:sz="0" w:space="0" w:color="auto"/>
        <w:right w:val="none" w:sz="0" w:space="0" w:color="auto"/>
      </w:divBdr>
    </w:div>
    <w:div w:id="1314332469">
      <w:bodyDiv w:val="1"/>
      <w:marLeft w:val="0"/>
      <w:marRight w:val="0"/>
      <w:marTop w:val="0"/>
      <w:marBottom w:val="0"/>
      <w:divBdr>
        <w:top w:val="none" w:sz="0" w:space="0" w:color="auto"/>
        <w:left w:val="none" w:sz="0" w:space="0" w:color="auto"/>
        <w:bottom w:val="none" w:sz="0" w:space="0" w:color="auto"/>
        <w:right w:val="none" w:sz="0" w:space="0" w:color="auto"/>
      </w:divBdr>
    </w:div>
    <w:div w:id="1316641383">
      <w:bodyDiv w:val="1"/>
      <w:marLeft w:val="0"/>
      <w:marRight w:val="0"/>
      <w:marTop w:val="0"/>
      <w:marBottom w:val="0"/>
      <w:divBdr>
        <w:top w:val="none" w:sz="0" w:space="0" w:color="auto"/>
        <w:left w:val="none" w:sz="0" w:space="0" w:color="auto"/>
        <w:bottom w:val="none" w:sz="0" w:space="0" w:color="auto"/>
        <w:right w:val="none" w:sz="0" w:space="0" w:color="auto"/>
      </w:divBdr>
    </w:div>
    <w:div w:id="1319649628">
      <w:bodyDiv w:val="1"/>
      <w:marLeft w:val="0"/>
      <w:marRight w:val="0"/>
      <w:marTop w:val="0"/>
      <w:marBottom w:val="0"/>
      <w:divBdr>
        <w:top w:val="none" w:sz="0" w:space="0" w:color="auto"/>
        <w:left w:val="none" w:sz="0" w:space="0" w:color="auto"/>
        <w:bottom w:val="none" w:sz="0" w:space="0" w:color="auto"/>
        <w:right w:val="none" w:sz="0" w:space="0" w:color="auto"/>
      </w:divBdr>
      <w:divsChild>
        <w:div w:id="144123769">
          <w:marLeft w:val="30"/>
          <w:marRight w:val="30"/>
          <w:marTop w:val="0"/>
          <w:marBottom w:val="0"/>
          <w:divBdr>
            <w:top w:val="none" w:sz="0" w:space="0" w:color="auto"/>
            <w:left w:val="none" w:sz="0" w:space="0" w:color="auto"/>
            <w:bottom w:val="none" w:sz="0" w:space="0" w:color="auto"/>
            <w:right w:val="none" w:sz="0" w:space="0" w:color="auto"/>
          </w:divBdr>
          <w:divsChild>
            <w:div w:id="612371427">
              <w:marLeft w:val="0"/>
              <w:marRight w:val="0"/>
              <w:marTop w:val="0"/>
              <w:marBottom w:val="0"/>
              <w:divBdr>
                <w:top w:val="none" w:sz="0" w:space="0" w:color="auto"/>
                <w:left w:val="none" w:sz="0" w:space="0" w:color="auto"/>
                <w:bottom w:val="none" w:sz="0" w:space="0" w:color="auto"/>
                <w:right w:val="none" w:sz="0" w:space="0" w:color="auto"/>
              </w:divBdr>
              <w:divsChild>
                <w:div w:id="1687904093">
                  <w:marLeft w:val="0"/>
                  <w:marRight w:val="0"/>
                  <w:marTop w:val="0"/>
                  <w:marBottom w:val="0"/>
                  <w:divBdr>
                    <w:top w:val="none" w:sz="0" w:space="0" w:color="auto"/>
                    <w:left w:val="none" w:sz="0" w:space="0" w:color="auto"/>
                    <w:bottom w:val="none" w:sz="0" w:space="0" w:color="auto"/>
                    <w:right w:val="none" w:sz="0" w:space="0" w:color="auto"/>
                  </w:divBdr>
                  <w:divsChild>
                    <w:div w:id="582691625">
                      <w:marLeft w:val="0"/>
                      <w:marRight w:val="0"/>
                      <w:marTop w:val="120"/>
                      <w:marBottom w:val="480"/>
                      <w:divBdr>
                        <w:top w:val="none" w:sz="0" w:space="0" w:color="auto"/>
                        <w:left w:val="none" w:sz="0" w:space="0" w:color="auto"/>
                        <w:bottom w:val="none" w:sz="0" w:space="0" w:color="auto"/>
                        <w:right w:val="none" w:sz="0" w:space="0" w:color="auto"/>
                      </w:divBdr>
                      <w:divsChild>
                        <w:div w:id="1253006824">
                          <w:marLeft w:val="0"/>
                          <w:marRight w:val="0"/>
                          <w:marTop w:val="0"/>
                          <w:marBottom w:val="0"/>
                          <w:divBdr>
                            <w:top w:val="none" w:sz="0" w:space="0" w:color="auto"/>
                            <w:left w:val="none" w:sz="0" w:space="0" w:color="auto"/>
                            <w:bottom w:val="none" w:sz="0" w:space="0" w:color="auto"/>
                            <w:right w:val="none" w:sz="0" w:space="0" w:color="auto"/>
                          </w:divBdr>
                          <w:divsChild>
                            <w:div w:id="161362979">
                              <w:marLeft w:val="0"/>
                              <w:marRight w:val="0"/>
                              <w:marTop w:val="0"/>
                              <w:marBottom w:val="0"/>
                              <w:divBdr>
                                <w:top w:val="none" w:sz="0" w:space="0" w:color="auto"/>
                                <w:left w:val="none" w:sz="0" w:space="0" w:color="auto"/>
                                <w:bottom w:val="none" w:sz="0" w:space="0" w:color="auto"/>
                                <w:right w:val="none" w:sz="0" w:space="0" w:color="auto"/>
                              </w:divBdr>
                              <w:divsChild>
                                <w:div w:id="1290549245">
                                  <w:marLeft w:val="0"/>
                                  <w:marRight w:val="0"/>
                                  <w:marTop w:val="0"/>
                                  <w:marBottom w:val="0"/>
                                  <w:divBdr>
                                    <w:top w:val="none" w:sz="0" w:space="0" w:color="auto"/>
                                    <w:left w:val="none" w:sz="0" w:space="0" w:color="auto"/>
                                    <w:bottom w:val="none" w:sz="0" w:space="0" w:color="auto"/>
                                    <w:right w:val="none" w:sz="0" w:space="0" w:color="auto"/>
                                  </w:divBdr>
                                  <w:divsChild>
                                    <w:div w:id="1861121384">
                                      <w:marLeft w:val="0"/>
                                      <w:marRight w:val="0"/>
                                      <w:marTop w:val="0"/>
                                      <w:marBottom w:val="0"/>
                                      <w:divBdr>
                                        <w:top w:val="none" w:sz="0" w:space="0" w:color="auto"/>
                                        <w:left w:val="none" w:sz="0" w:space="0" w:color="auto"/>
                                        <w:bottom w:val="none" w:sz="0" w:space="0" w:color="auto"/>
                                        <w:right w:val="none" w:sz="0" w:space="0" w:color="auto"/>
                                      </w:divBdr>
                                      <w:divsChild>
                                        <w:div w:id="932543406">
                                          <w:marLeft w:val="0"/>
                                          <w:marRight w:val="0"/>
                                          <w:marTop w:val="0"/>
                                          <w:marBottom w:val="0"/>
                                          <w:divBdr>
                                            <w:top w:val="none" w:sz="0" w:space="0" w:color="auto"/>
                                            <w:left w:val="none" w:sz="0" w:space="0" w:color="auto"/>
                                            <w:bottom w:val="none" w:sz="0" w:space="0" w:color="auto"/>
                                            <w:right w:val="none" w:sz="0" w:space="0" w:color="auto"/>
                                          </w:divBdr>
                                          <w:divsChild>
                                            <w:div w:id="31850637">
                                              <w:marLeft w:val="0"/>
                                              <w:marRight w:val="0"/>
                                              <w:marTop w:val="0"/>
                                              <w:marBottom w:val="0"/>
                                              <w:divBdr>
                                                <w:top w:val="none" w:sz="0" w:space="0" w:color="auto"/>
                                                <w:left w:val="none" w:sz="0" w:space="0" w:color="auto"/>
                                                <w:bottom w:val="none" w:sz="0" w:space="0" w:color="auto"/>
                                                <w:right w:val="none" w:sz="0" w:space="0" w:color="auto"/>
                                              </w:divBdr>
                                              <w:divsChild>
                                                <w:div w:id="1006594896">
                                                  <w:marLeft w:val="0"/>
                                                  <w:marRight w:val="0"/>
                                                  <w:marTop w:val="0"/>
                                                  <w:marBottom w:val="0"/>
                                                  <w:divBdr>
                                                    <w:top w:val="none" w:sz="0" w:space="0" w:color="auto"/>
                                                    <w:left w:val="none" w:sz="0" w:space="0" w:color="auto"/>
                                                    <w:bottom w:val="none" w:sz="0" w:space="0" w:color="auto"/>
                                                    <w:right w:val="none" w:sz="0" w:space="0" w:color="auto"/>
                                                  </w:divBdr>
                                                  <w:divsChild>
                                                    <w:div w:id="708070964">
                                                      <w:marLeft w:val="0"/>
                                                      <w:marRight w:val="0"/>
                                                      <w:marTop w:val="0"/>
                                                      <w:marBottom w:val="0"/>
                                                      <w:divBdr>
                                                        <w:top w:val="none" w:sz="0" w:space="0" w:color="auto"/>
                                                        <w:left w:val="none" w:sz="0" w:space="0" w:color="auto"/>
                                                        <w:bottom w:val="none" w:sz="0" w:space="0" w:color="auto"/>
                                                        <w:right w:val="none" w:sz="0" w:space="0" w:color="auto"/>
                                                      </w:divBdr>
                                                      <w:divsChild>
                                                        <w:div w:id="2054183950">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Child>
                                                </w:div>
                                              </w:divsChild>
                                            </w:div>
                                          </w:divsChild>
                                        </w:div>
                                      </w:divsChild>
                                    </w:div>
                                  </w:divsChild>
                                </w:div>
                              </w:divsChild>
                            </w:div>
                          </w:divsChild>
                        </w:div>
                      </w:divsChild>
                    </w:div>
                    <w:div w:id="1623727119">
                      <w:marLeft w:val="0"/>
                      <w:marRight w:val="0"/>
                      <w:marTop w:val="0"/>
                      <w:marBottom w:val="0"/>
                      <w:divBdr>
                        <w:top w:val="none" w:sz="0" w:space="0" w:color="auto"/>
                        <w:left w:val="none" w:sz="0" w:space="0" w:color="auto"/>
                        <w:bottom w:val="none" w:sz="0" w:space="0" w:color="auto"/>
                        <w:right w:val="none" w:sz="0" w:space="0" w:color="auto"/>
                      </w:divBdr>
                      <w:divsChild>
                        <w:div w:id="78053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697979">
          <w:marLeft w:val="0"/>
          <w:marRight w:val="0"/>
          <w:marTop w:val="0"/>
          <w:marBottom w:val="0"/>
          <w:divBdr>
            <w:top w:val="none" w:sz="0" w:space="0" w:color="auto"/>
            <w:left w:val="none" w:sz="0" w:space="0" w:color="auto"/>
            <w:bottom w:val="none" w:sz="0" w:space="0" w:color="auto"/>
            <w:right w:val="none" w:sz="0" w:space="0" w:color="auto"/>
          </w:divBdr>
          <w:divsChild>
            <w:div w:id="462700544">
              <w:marLeft w:val="0"/>
              <w:marRight w:val="0"/>
              <w:marTop w:val="0"/>
              <w:marBottom w:val="0"/>
              <w:divBdr>
                <w:top w:val="none" w:sz="0" w:space="0" w:color="auto"/>
                <w:left w:val="none" w:sz="0" w:space="0" w:color="auto"/>
                <w:bottom w:val="none" w:sz="0" w:space="0" w:color="auto"/>
                <w:right w:val="none" w:sz="0" w:space="0" w:color="auto"/>
              </w:divBdr>
              <w:divsChild>
                <w:div w:id="1004405731">
                  <w:marLeft w:val="0"/>
                  <w:marRight w:val="0"/>
                  <w:marTop w:val="0"/>
                  <w:marBottom w:val="0"/>
                  <w:divBdr>
                    <w:top w:val="single" w:sz="6" w:space="6" w:color="auto"/>
                    <w:left w:val="single" w:sz="6" w:space="12" w:color="auto"/>
                    <w:bottom w:val="single" w:sz="6" w:space="6" w:color="auto"/>
                    <w:right w:val="single" w:sz="6" w:space="12" w:color="auto"/>
                  </w:divBdr>
                  <w:divsChild>
                    <w:div w:id="18616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22429">
      <w:bodyDiv w:val="1"/>
      <w:marLeft w:val="0"/>
      <w:marRight w:val="0"/>
      <w:marTop w:val="0"/>
      <w:marBottom w:val="0"/>
      <w:divBdr>
        <w:top w:val="none" w:sz="0" w:space="0" w:color="auto"/>
        <w:left w:val="none" w:sz="0" w:space="0" w:color="auto"/>
        <w:bottom w:val="none" w:sz="0" w:space="0" w:color="auto"/>
        <w:right w:val="none" w:sz="0" w:space="0" w:color="auto"/>
      </w:divBdr>
    </w:div>
    <w:div w:id="1327705652">
      <w:bodyDiv w:val="1"/>
      <w:marLeft w:val="0"/>
      <w:marRight w:val="0"/>
      <w:marTop w:val="0"/>
      <w:marBottom w:val="0"/>
      <w:divBdr>
        <w:top w:val="none" w:sz="0" w:space="0" w:color="auto"/>
        <w:left w:val="none" w:sz="0" w:space="0" w:color="auto"/>
        <w:bottom w:val="none" w:sz="0" w:space="0" w:color="auto"/>
        <w:right w:val="none" w:sz="0" w:space="0" w:color="auto"/>
      </w:divBdr>
    </w:div>
    <w:div w:id="1345862033">
      <w:bodyDiv w:val="1"/>
      <w:marLeft w:val="0"/>
      <w:marRight w:val="0"/>
      <w:marTop w:val="0"/>
      <w:marBottom w:val="0"/>
      <w:divBdr>
        <w:top w:val="none" w:sz="0" w:space="0" w:color="auto"/>
        <w:left w:val="none" w:sz="0" w:space="0" w:color="auto"/>
        <w:bottom w:val="none" w:sz="0" w:space="0" w:color="auto"/>
        <w:right w:val="none" w:sz="0" w:space="0" w:color="auto"/>
      </w:divBdr>
    </w:div>
    <w:div w:id="1385715821">
      <w:bodyDiv w:val="1"/>
      <w:marLeft w:val="0"/>
      <w:marRight w:val="0"/>
      <w:marTop w:val="0"/>
      <w:marBottom w:val="0"/>
      <w:divBdr>
        <w:top w:val="none" w:sz="0" w:space="0" w:color="auto"/>
        <w:left w:val="none" w:sz="0" w:space="0" w:color="auto"/>
        <w:bottom w:val="none" w:sz="0" w:space="0" w:color="auto"/>
        <w:right w:val="none" w:sz="0" w:space="0" w:color="auto"/>
      </w:divBdr>
    </w:div>
    <w:div w:id="1429615943">
      <w:bodyDiv w:val="1"/>
      <w:marLeft w:val="0"/>
      <w:marRight w:val="0"/>
      <w:marTop w:val="0"/>
      <w:marBottom w:val="0"/>
      <w:divBdr>
        <w:top w:val="none" w:sz="0" w:space="0" w:color="auto"/>
        <w:left w:val="none" w:sz="0" w:space="0" w:color="auto"/>
        <w:bottom w:val="none" w:sz="0" w:space="0" w:color="auto"/>
        <w:right w:val="none" w:sz="0" w:space="0" w:color="auto"/>
      </w:divBdr>
    </w:div>
    <w:div w:id="1439059660">
      <w:bodyDiv w:val="1"/>
      <w:marLeft w:val="0"/>
      <w:marRight w:val="0"/>
      <w:marTop w:val="0"/>
      <w:marBottom w:val="0"/>
      <w:divBdr>
        <w:top w:val="none" w:sz="0" w:space="0" w:color="auto"/>
        <w:left w:val="none" w:sz="0" w:space="0" w:color="auto"/>
        <w:bottom w:val="none" w:sz="0" w:space="0" w:color="auto"/>
        <w:right w:val="none" w:sz="0" w:space="0" w:color="auto"/>
      </w:divBdr>
    </w:div>
    <w:div w:id="1439368006">
      <w:bodyDiv w:val="1"/>
      <w:marLeft w:val="0"/>
      <w:marRight w:val="0"/>
      <w:marTop w:val="0"/>
      <w:marBottom w:val="0"/>
      <w:divBdr>
        <w:top w:val="none" w:sz="0" w:space="0" w:color="auto"/>
        <w:left w:val="none" w:sz="0" w:space="0" w:color="auto"/>
        <w:bottom w:val="none" w:sz="0" w:space="0" w:color="auto"/>
        <w:right w:val="none" w:sz="0" w:space="0" w:color="auto"/>
      </w:divBdr>
    </w:div>
    <w:div w:id="1488933637">
      <w:bodyDiv w:val="1"/>
      <w:marLeft w:val="0"/>
      <w:marRight w:val="0"/>
      <w:marTop w:val="0"/>
      <w:marBottom w:val="0"/>
      <w:divBdr>
        <w:top w:val="none" w:sz="0" w:space="0" w:color="auto"/>
        <w:left w:val="none" w:sz="0" w:space="0" w:color="auto"/>
        <w:bottom w:val="none" w:sz="0" w:space="0" w:color="auto"/>
        <w:right w:val="none" w:sz="0" w:space="0" w:color="auto"/>
      </w:divBdr>
    </w:div>
    <w:div w:id="1492601483">
      <w:bodyDiv w:val="1"/>
      <w:marLeft w:val="0"/>
      <w:marRight w:val="0"/>
      <w:marTop w:val="0"/>
      <w:marBottom w:val="0"/>
      <w:divBdr>
        <w:top w:val="none" w:sz="0" w:space="0" w:color="auto"/>
        <w:left w:val="none" w:sz="0" w:space="0" w:color="auto"/>
        <w:bottom w:val="none" w:sz="0" w:space="0" w:color="auto"/>
        <w:right w:val="none" w:sz="0" w:space="0" w:color="auto"/>
      </w:divBdr>
    </w:div>
    <w:div w:id="1516769646">
      <w:bodyDiv w:val="1"/>
      <w:marLeft w:val="0"/>
      <w:marRight w:val="0"/>
      <w:marTop w:val="0"/>
      <w:marBottom w:val="0"/>
      <w:divBdr>
        <w:top w:val="none" w:sz="0" w:space="0" w:color="auto"/>
        <w:left w:val="none" w:sz="0" w:space="0" w:color="auto"/>
        <w:bottom w:val="none" w:sz="0" w:space="0" w:color="auto"/>
        <w:right w:val="none" w:sz="0" w:space="0" w:color="auto"/>
      </w:divBdr>
    </w:div>
    <w:div w:id="1520969911">
      <w:bodyDiv w:val="1"/>
      <w:marLeft w:val="0"/>
      <w:marRight w:val="0"/>
      <w:marTop w:val="0"/>
      <w:marBottom w:val="0"/>
      <w:divBdr>
        <w:top w:val="none" w:sz="0" w:space="0" w:color="auto"/>
        <w:left w:val="none" w:sz="0" w:space="0" w:color="auto"/>
        <w:bottom w:val="none" w:sz="0" w:space="0" w:color="auto"/>
        <w:right w:val="none" w:sz="0" w:space="0" w:color="auto"/>
      </w:divBdr>
    </w:div>
    <w:div w:id="1553078724">
      <w:bodyDiv w:val="1"/>
      <w:marLeft w:val="0"/>
      <w:marRight w:val="0"/>
      <w:marTop w:val="0"/>
      <w:marBottom w:val="0"/>
      <w:divBdr>
        <w:top w:val="none" w:sz="0" w:space="0" w:color="auto"/>
        <w:left w:val="none" w:sz="0" w:space="0" w:color="auto"/>
        <w:bottom w:val="none" w:sz="0" w:space="0" w:color="auto"/>
        <w:right w:val="none" w:sz="0" w:space="0" w:color="auto"/>
      </w:divBdr>
    </w:div>
    <w:div w:id="1555190633">
      <w:bodyDiv w:val="1"/>
      <w:marLeft w:val="0"/>
      <w:marRight w:val="0"/>
      <w:marTop w:val="0"/>
      <w:marBottom w:val="0"/>
      <w:divBdr>
        <w:top w:val="none" w:sz="0" w:space="0" w:color="auto"/>
        <w:left w:val="none" w:sz="0" w:space="0" w:color="auto"/>
        <w:bottom w:val="none" w:sz="0" w:space="0" w:color="auto"/>
        <w:right w:val="none" w:sz="0" w:space="0" w:color="auto"/>
      </w:divBdr>
    </w:div>
    <w:div w:id="1571886193">
      <w:bodyDiv w:val="1"/>
      <w:marLeft w:val="0"/>
      <w:marRight w:val="0"/>
      <w:marTop w:val="0"/>
      <w:marBottom w:val="0"/>
      <w:divBdr>
        <w:top w:val="none" w:sz="0" w:space="0" w:color="auto"/>
        <w:left w:val="none" w:sz="0" w:space="0" w:color="auto"/>
        <w:bottom w:val="none" w:sz="0" w:space="0" w:color="auto"/>
        <w:right w:val="none" w:sz="0" w:space="0" w:color="auto"/>
      </w:divBdr>
    </w:div>
    <w:div w:id="1576167209">
      <w:bodyDiv w:val="1"/>
      <w:marLeft w:val="0"/>
      <w:marRight w:val="0"/>
      <w:marTop w:val="0"/>
      <w:marBottom w:val="0"/>
      <w:divBdr>
        <w:top w:val="none" w:sz="0" w:space="0" w:color="auto"/>
        <w:left w:val="none" w:sz="0" w:space="0" w:color="auto"/>
        <w:bottom w:val="none" w:sz="0" w:space="0" w:color="auto"/>
        <w:right w:val="none" w:sz="0" w:space="0" w:color="auto"/>
      </w:divBdr>
    </w:div>
    <w:div w:id="1589729548">
      <w:bodyDiv w:val="1"/>
      <w:marLeft w:val="0"/>
      <w:marRight w:val="0"/>
      <w:marTop w:val="0"/>
      <w:marBottom w:val="0"/>
      <w:divBdr>
        <w:top w:val="none" w:sz="0" w:space="0" w:color="auto"/>
        <w:left w:val="none" w:sz="0" w:space="0" w:color="auto"/>
        <w:bottom w:val="none" w:sz="0" w:space="0" w:color="auto"/>
        <w:right w:val="none" w:sz="0" w:space="0" w:color="auto"/>
      </w:divBdr>
    </w:div>
    <w:div w:id="1641617868">
      <w:bodyDiv w:val="1"/>
      <w:marLeft w:val="0"/>
      <w:marRight w:val="0"/>
      <w:marTop w:val="0"/>
      <w:marBottom w:val="0"/>
      <w:divBdr>
        <w:top w:val="none" w:sz="0" w:space="0" w:color="auto"/>
        <w:left w:val="none" w:sz="0" w:space="0" w:color="auto"/>
        <w:bottom w:val="none" w:sz="0" w:space="0" w:color="auto"/>
        <w:right w:val="none" w:sz="0" w:space="0" w:color="auto"/>
      </w:divBdr>
    </w:div>
    <w:div w:id="1681084734">
      <w:bodyDiv w:val="1"/>
      <w:marLeft w:val="0"/>
      <w:marRight w:val="0"/>
      <w:marTop w:val="0"/>
      <w:marBottom w:val="0"/>
      <w:divBdr>
        <w:top w:val="none" w:sz="0" w:space="0" w:color="auto"/>
        <w:left w:val="none" w:sz="0" w:space="0" w:color="auto"/>
        <w:bottom w:val="none" w:sz="0" w:space="0" w:color="auto"/>
        <w:right w:val="none" w:sz="0" w:space="0" w:color="auto"/>
      </w:divBdr>
    </w:div>
    <w:div w:id="1688143628">
      <w:bodyDiv w:val="1"/>
      <w:marLeft w:val="0"/>
      <w:marRight w:val="0"/>
      <w:marTop w:val="0"/>
      <w:marBottom w:val="0"/>
      <w:divBdr>
        <w:top w:val="none" w:sz="0" w:space="0" w:color="auto"/>
        <w:left w:val="none" w:sz="0" w:space="0" w:color="auto"/>
        <w:bottom w:val="none" w:sz="0" w:space="0" w:color="auto"/>
        <w:right w:val="none" w:sz="0" w:space="0" w:color="auto"/>
      </w:divBdr>
    </w:div>
    <w:div w:id="1690526314">
      <w:bodyDiv w:val="1"/>
      <w:marLeft w:val="0"/>
      <w:marRight w:val="0"/>
      <w:marTop w:val="0"/>
      <w:marBottom w:val="0"/>
      <w:divBdr>
        <w:top w:val="none" w:sz="0" w:space="0" w:color="auto"/>
        <w:left w:val="none" w:sz="0" w:space="0" w:color="auto"/>
        <w:bottom w:val="none" w:sz="0" w:space="0" w:color="auto"/>
        <w:right w:val="none" w:sz="0" w:space="0" w:color="auto"/>
      </w:divBdr>
    </w:div>
    <w:div w:id="1761952791">
      <w:bodyDiv w:val="1"/>
      <w:marLeft w:val="0"/>
      <w:marRight w:val="0"/>
      <w:marTop w:val="0"/>
      <w:marBottom w:val="0"/>
      <w:divBdr>
        <w:top w:val="none" w:sz="0" w:space="0" w:color="auto"/>
        <w:left w:val="none" w:sz="0" w:space="0" w:color="auto"/>
        <w:bottom w:val="none" w:sz="0" w:space="0" w:color="auto"/>
        <w:right w:val="none" w:sz="0" w:space="0" w:color="auto"/>
      </w:divBdr>
    </w:div>
    <w:div w:id="1788160728">
      <w:bodyDiv w:val="1"/>
      <w:marLeft w:val="0"/>
      <w:marRight w:val="0"/>
      <w:marTop w:val="0"/>
      <w:marBottom w:val="0"/>
      <w:divBdr>
        <w:top w:val="none" w:sz="0" w:space="0" w:color="auto"/>
        <w:left w:val="none" w:sz="0" w:space="0" w:color="auto"/>
        <w:bottom w:val="none" w:sz="0" w:space="0" w:color="auto"/>
        <w:right w:val="none" w:sz="0" w:space="0" w:color="auto"/>
      </w:divBdr>
    </w:div>
    <w:div w:id="1835678897">
      <w:bodyDiv w:val="1"/>
      <w:marLeft w:val="0"/>
      <w:marRight w:val="0"/>
      <w:marTop w:val="0"/>
      <w:marBottom w:val="0"/>
      <w:divBdr>
        <w:top w:val="none" w:sz="0" w:space="0" w:color="auto"/>
        <w:left w:val="none" w:sz="0" w:space="0" w:color="auto"/>
        <w:bottom w:val="none" w:sz="0" w:space="0" w:color="auto"/>
        <w:right w:val="none" w:sz="0" w:space="0" w:color="auto"/>
      </w:divBdr>
    </w:div>
    <w:div w:id="1861242505">
      <w:bodyDiv w:val="1"/>
      <w:marLeft w:val="0"/>
      <w:marRight w:val="0"/>
      <w:marTop w:val="0"/>
      <w:marBottom w:val="0"/>
      <w:divBdr>
        <w:top w:val="none" w:sz="0" w:space="0" w:color="auto"/>
        <w:left w:val="none" w:sz="0" w:space="0" w:color="auto"/>
        <w:bottom w:val="none" w:sz="0" w:space="0" w:color="auto"/>
        <w:right w:val="none" w:sz="0" w:space="0" w:color="auto"/>
      </w:divBdr>
    </w:div>
    <w:div w:id="1884368130">
      <w:bodyDiv w:val="1"/>
      <w:marLeft w:val="0"/>
      <w:marRight w:val="0"/>
      <w:marTop w:val="0"/>
      <w:marBottom w:val="0"/>
      <w:divBdr>
        <w:top w:val="none" w:sz="0" w:space="0" w:color="auto"/>
        <w:left w:val="none" w:sz="0" w:space="0" w:color="auto"/>
        <w:bottom w:val="none" w:sz="0" w:space="0" w:color="auto"/>
        <w:right w:val="none" w:sz="0" w:space="0" w:color="auto"/>
      </w:divBdr>
      <w:divsChild>
        <w:div w:id="72359186">
          <w:marLeft w:val="0"/>
          <w:marRight w:val="0"/>
          <w:marTop w:val="0"/>
          <w:marBottom w:val="0"/>
          <w:divBdr>
            <w:top w:val="none" w:sz="0" w:space="0" w:color="auto"/>
            <w:left w:val="none" w:sz="0" w:space="0" w:color="auto"/>
            <w:bottom w:val="none" w:sz="0" w:space="0" w:color="auto"/>
            <w:right w:val="none" w:sz="0" w:space="0" w:color="auto"/>
          </w:divBdr>
          <w:divsChild>
            <w:div w:id="586158571">
              <w:marLeft w:val="0"/>
              <w:marRight w:val="0"/>
              <w:marTop w:val="0"/>
              <w:marBottom w:val="0"/>
              <w:divBdr>
                <w:top w:val="none" w:sz="0" w:space="0" w:color="auto"/>
                <w:left w:val="none" w:sz="0" w:space="0" w:color="auto"/>
                <w:bottom w:val="none" w:sz="0" w:space="0" w:color="auto"/>
                <w:right w:val="none" w:sz="0" w:space="0" w:color="auto"/>
              </w:divBdr>
              <w:divsChild>
                <w:div w:id="837428908">
                  <w:marLeft w:val="0"/>
                  <w:marRight w:val="0"/>
                  <w:marTop w:val="0"/>
                  <w:marBottom w:val="0"/>
                  <w:divBdr>
                    <w:top w:val="single" w:sz="6" w:space="6" w:color="auto"/>
                    <w:left w:val="single" w:sz="6" w:space="12" w:color="auto"/>
                    <w:bottom w:val="single" w:sz="6" w:space="6" w:color="auto"/>
                    <w:right w:val="single" w:sz="6" w:space="12" w:color="auto"/>
                  </w:divBdr>
                  <w:divsChild>
                    <w:div w:id="13557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13443">
          <w:marLeft w:val="30"/>
          <w:marRight w:val="30"/>
          <w:marTop w:val="0"/>
          <w:marBottom w:val="0"/>
          <w:divBdr>
            <w:top w:val="none" w:sz="0" w:space="0" w:color="auto"/>
            <w:left w:val="none" w:sz="0" w:space="0" w:color="auto"/>
            <w:bottom w:val="none" w:sz="0" w:space="0" w:color="auto"/>
            <w:right w:val="none" w:sz="0" w:space="0" w:color="auto"/>
          </w:divBdr>
          <w:divsChild>
            <w:div w:id="1014956939">
              <w:marLeft w:val="0"/>
              <w:marRight w:val="0"/>
              <w:marTop w:val="0"/>
              <w:marBottom w:val="0"/>
              <w:divBdr>
                <w:top w:val="none" w:sz="0" w:space="0" w:color="auto"/>
                <w:left w:val="none" w:sz="0" w:space="0" w:color="auto"/>
                <w:bottom w:val="none" w:sz="0" w:space="0" w:color="auto"/>
                <w:right w:val="none" w:sz="0" w:space="0" w:color="auto"/>
              </w:divBdr>
              <w:divsChild>
                <w:div w:id="110245043">
                  <w:marLeft w:val="0"/>
                  <w:marRight w:val="0"/>
                  <w:marTop w:val="0"/>
                  <w:marBottom w:val="0"/>
                  <w:divBdr>
                    <w:top w:val="none" w:sz="0" w:space="0" w:color="auto"/>
                    <w:left w:val="none" w:sz="0" w:space="0" w:color="auto"/>
                    <w:bottom w:val="none" w:sz="0" w:space="0" w:color="auto"/>
                    <w:right w:val="none" w:sz="0" w:space="0" w:color="auto"/>
                  </w:divBdr>
                  <w:divsChild>
                    <w:div w:id="1010064059">
                      <w:marLeft w:val="0"/>
                      <w:marRight w:val="0"/>
                      <w:marTop w:val="0"/>
                      <w:marBottom w:val="0"/>
                      <w:divBdr>
                        <w:top w:val="none" w:sz="0" w:space="0" w:color="auto"/>
                        <w:left w:val="none" w:sz="0" w:space="0" w:color="auto"/>
                        <w:bottom w:val="none" w:sz="0" w:space="0" w:color="auto"/>
                        <w:right w:val="none" w:sz="0" w:space="0" w:color="auto"/>
                      </w:divBdr>
                      <w:divsChild>
                        <w:div w:id="1149513519">
                          <w:marLeft w:val="0"/>
                          <w:marRight w:val="0"/>
                          <w:marTop w:val="0"/>
                          <w:marBottom w:val="0"/>
                          <w:divBdr>
                            <w:top w:val="none" w:sz="0" w:space="0" w:color="auto"/>
                            <w:left w:val="none" w:sz="0" w:space="0" w:color="auto"/>
                            <w:bottom w:val="none" w:sz="0" w:space="0" w:color="auto"/>
                            <w:right w:val="none" w:sz="0" w:space="0" w:color="auto"/>
                          </w:divBdr>
                        </w:div>
                      </w:divsChild>
                    </w:div>
                    <w:div w:id="1433470793">
                      <w:marLeft w:val="0"/>
                      <w:marRight w:val="0"/>
                      <w:marTop w:val="120"/>
                      <w:marBottom w:val="480"/>
                      <w:divBdr>
                        <w:top w:val="none" w:sz="0" w:space="0" w:color="auto"/>
                        <w:left w:val="none" w:sz="0" w:space="0" w:color="auto"/>
                        <w:bottom w:val="none" w:sz="0" w:space="0" w:color="auto"/>
                        <w:right w:val="none" w:sz="0" w:space="0" w:color="auto"/>
                      </w:divBdr>
                      <w:divsChild>
                        <w:div w:id="1236817605">
                          <w:marLeft w:val="0"/>
                          <w:marRight w:val="0"/>
                          <w:marTop w:val="0"/>
                          <w:marBottom w:val="0"/>
                          <w:divBdr>
                            <w:top w:val="none" w:sz="0" w:space="0" w:color="auto"/>
                            <w:left w:val="none" w:sz="0" w:space="0" w:color="auto"/>
                            <w:bottom w:val="none" w:sz="0" w:space="0" w:color="auto"/>
                            <w:right w:val="none" w:sz="0" w:space="0" w:color="auto"/>
                          </w:divBdr>
                          <w:divsChild>
                            <w:div w:id="1215386652">
                              <w:marLeft w:val="0"/>
                              <w:marRight w:val="0"/>
                              <w:marTop w:val="0"/>
                              <w:marBottom w:val="0"/>
                              <w:divBdr>
                                <w:top w:val="none" w:sz="0" w:space="0" w:color="auto"/>
                                <w:left w:val="none" w:sz="0" w:space="0" w:color="auto"/>
                                <w:bottom w:val="none" w:sz="0" w:space="0" w:color="auto"/>
                                <w:right w:val="none" w:sz="0" w:space="0" w:color="auto"/>
                              </w:divBdr>
                              <w:divsChild>
                                <w:div w:id="850948559">
                                  <w:marLeft w:val="0"/>
                                  <w:marRight w:val="0"/>
                                  <w:marTop w:val="0"/>
                                  <w:marBottom w:val="0"/>
                                  <w:divBdr>
                                    <w:top w:val="none" w:sz="0" w:space="0" w:color="auto"/>
                                    <w:left w:val="none" w:sz="0" w:space="0" w:color="auto"/>
                                    <w:bottom w:val="none" w:sz="0" w:space="0" w:color="auto"/>
                                    <w:right w:val="none" w:sz="0" w:space="0" w:color="auto"/>
                                  </w:divBdr>
                                  <w:divsChild>
                                    <w:div w:id="1627156666">
                                      <w:marLeft w:val="0"/>
                                      <w:marRight w:val="0"/>
                                      <w:marTop w:val="0"/>
                                      <w:marBottom w:val="0"/>
                                      <w:divBdr>
                                        <w:top w:val="none" w:sz="0" w:space="0" w:color="auto"/>
                                        <w:left w:val="none" w:sz="0" w:space="0" w:color="auto"/>
                                        <w:bottom w:val="none" w:sz="0" w:space="0" w:color="auto"/>
                                        <w:right w:val="none" w:sz="0" w:space="0" w:color="auto"/>
                                      </w:divBdr>
                                      <w:divsChild>
                                        <w:div w:id="1859929319">
                                          <w:marLeft w:val="0"/>
                                          <w:marRight w:val="0"/>
                                          <w:marTop w:val="0"/>
                                          <w:marBottom w:val="0"/>
                                          <w:divBdr>
                                            <w:top w:val="none" w:sz="0" w:space="0" w:color="auto"/>
                                            <w:left w:val="none" w:sz="0" w:space="0" w:color="auto"/>
                                            <w:bottom w:val="none" w:sz="0" w:space="0" w:color="auto"/>
                                            <w:right w:val="none" w:sz="0" w:space="0" w:color="auto"/>
                                          </w:divBdr>
                                          <w:divsChild>
                                            <w:div w:id="1203707745">
                                              <w:marLeft w:val="0"/>
                                              <w:marRight w:val="0"/>
                                              <w:marTop w:val="0"/>
                                              <w:marBottom w:val="0"/>
                                              <w:divBdr>
                                                <w:top w:val="none" w:sz="0" w:space="0" w:color="auto"/>
                                                <w:left w:val="none" w:sz="0" w:space="0" w:color="auto"/>
                                                <w:bottom w:val="none" w:sz="0" w:space="0" w:color="auto"/>
                                                <w:right w:val="none" w:sz="0" w:space="0" w:color="auto"/>
                                              </w:divBdr>
                                              <w:divsChild>
                                                <w:div w:id="1655986584">
                                                  <w:marLeft w:val="0"/>
                                                  <w:marRight w:val="0"/>
                                                  <w:marTop w:val="0"/>
                                                  <w:marBottom w:val="0"/>
                                                  <w:divBdr>
                                                    <w:top w:val="none" w:sz="0" w:space="0" w:color="auto"/>
                                                    <w:left w:val="none" w:sz="0" w:space="0" w:color="auto"/>
                                                    <w:bottom w:val="none" w:sz="0" w:space="0" w:color="auto"/>
                                                    <w:right w:val="none" w:sz="0" w:space="0" w:color="auto"/>
                                                  </w:divBdr>
                                                  <w:divsChild>
                                                    <w:div w:id="2045130702">
                                                      <w:marLeft w:val="0"/>
                                                      <w:marRight w:val="0"/>
                                                      <w:marTop w:val="0"/>
                                                      <w:marBottom w:val="0"/>
                                                      <w:divBdr>
                                                        <w:top w:val="none" w:sz="0" w:space="0" w:color="auto"/>
                                                        <w:left w:val="none" w:sz="0" w:space="0" w:color="auto"/>
                                                        <w:bottom w:val="none" w:sz="0" w:space="0" w:color="auto"/>
                                                        <w:right w:val="none" w:sz="0" w:space="0" w:color="auto"/>
                                                      </w:divBdr>
                                                      <w:divsChild>
                                                        <w:div w:id="1275331494">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7173264">
      <w:bodyDiv w:val="1"/>
      <w:marLeft w:val="0"/>
      <w:marRight w:val="0"/>
      <w:marTop w:val="0"/>
      <w:marBottom w:val="0"/>
      <w:divBdr>
        <w:top w:val="none" w:sz="0" w:space="0" w:color="auto"/>
        <w:left w:val="none" w:sz="0" w:space="0" w:color="auto"/>
        <w:bottom w:val="none" w:sz="0" w:space="0" w:color="auto"/>
        <w:right w:val="none" w:sz="0" w:space="0" w:color="auto"/>
      </w:divBdr>
    </w:div>
    <w:div w:id="2003265955">
      <w:bodyDiv w:val="1"/>
      <w:marLeft w:val="0"/>
      <w:marRight w:val="0"/>
      <w:marTop w:val="0"/>
      <w:marBottom w:val="0"/>
      <w:divBdr>
        <w:top w:val="none" w:sz="0" w:space="0" w:color="auto"/>
        <w:left w:val="none" w:sz="0" w:space="0" w:color="auto"/>
        <w:bottom w:val="none" w:sz="0" w:space="0" w:color="auto"/>
        <w:right w:val="none" w:sz="0" w:space="0" w:color="auto"/>
      </w:divBdr>
    </w:div>
    <w:div w:id="2003582557">
      <w:bodyDiv w:val="1"/>
      <w:marLeft w:val="0"/>
      <w:marRight w:val="0"/>
      <w:marTop w:val="0"/>
      <w:marBottom w:val="0"/>
      <w:divBdr>
        <w:top w:val="none" w:sz="0" w:space="0" w:color="auto"/>
        <w:left w:val="none" w:sz="0" w:space="0" w:color="auto"/>
        <w:bottom w:val="none" w:sz="0" w:space="0" w:color="auto"/>
        <w:right w:val="none" w:sz="0" w:space="0" w:color="auto"/>
      </w:divBdr>
    </w:div>
    <w:div w:id="2024696774">
      <w:bodyDiv w:val="1"/>
      <w:marLeft w:val="0"/>
      <w:marRight w:val="0"/>
      <w:marTop w:val="0"/>
      <w:marBottom w:val="0"/>
      <w:divBdr>
        <w:top w:val="none" w:sz="0" w:space="0" w:color="auto"/>
        <w:left w:val="none" w:sz="0" w:space="0" w:color="auto"/>
        <w:bottom w:val="none" w:sz="0" w:space="0" w:color="auto"/>
        <w:right w:val="none" w:sz="0" w:space="0" w:color="auto"/>
      </w:divBdr>
    </w:div>
    <w:div w:id="2025744214">
      <w:bodyDiv w:val="1"/>
      <w:marLeft w:val="0"/>
      <w:marRight w:val="0"/>
      <w:marTop w:val="0"/>
      <w:marBottom w:val="0"/>
      <w:divBdr>
        <w:top w:val="none" w:sz="0" w:space="0" w:color="auto"/>
        <w:left w:val="none" w:sz="0" w:space="0" w:color="auto"/>
        <w:bottom w:val="none" w:sz="0" w:space="0" w:color="auto"/>
        <w:right w:val="none" w:sz="0" w:space="0" w:color="auto"/>
      </w:divBdr>
    </w:div>
    <w:div w:id="2038264383">
      <w:bodyDiv w:val="1"/>
      <w:marLeft w:val="0"/>
      <w:marRight w:val="0"/>
      <w:marTop w:val="0"/>
      <w:marBottom w:val="0"/>
      <w:divBdr>
        <w:top w:val="none" w:sz="0" w:space="0" w:color="auto"/>
        <w:left w:val="none" w:sz="0" w:space="0" w:color="auto"/>
        <w:bottom w:val="none" w:sz="0" w:space="0" w:color="auto"/>
        <w:right w:val="none" w:sz="0" w:space="0" w:color="auto"/>
      </w:divBdr>
    </w:div>
    <w:div w:id="2073428271">
      <w:bodyDiv w:val="1"/>
      <w:marLeft w:val="0"/>
      <w:marRight w:val="0"/>
      <w:marTop w:val="0"/>
      <w:marBottom w:val="0"/>
      <w:divBdr>
        <w:top w:val="none" w:sz="0" w:space="0" w:color="auto"/>
        <w:left w:val="none" w:sz="0" w:space="0" w:color="auto"/>
        <w:bottom w:val="none" w:sz="0" w:space="0" w:color="auto"/>
        <w:right w:val="none" w:sz="0" w:space="0" w:color="auto"/>
      </w:divBdr>
    </w:div>
    <w:div w:id="2102873667">
      <w:bodyDiv w:val="1"/>
      <w:marLeft w:val="0"/>
      <w:marRight w:val="0"/>
      <w:marTop w:val="0"/>
      <w:marBottom w:val="0"/>
      <w:divBdr>
        <w:top w:val="none" w:sz="0" w:space="0" w:color="auto"/>
        <w:left w:val="none" w:sz="0" w:space="0" w:color="auto"/>
        <w:bottom w:val="none" w:sz="0" w:space="0" w:color="auto"/>
        <w:right w:val="none" w:sz="0" w:space="0" w:color="auto"/>
      </w:divBdr>
    </w:div>
    <w:div w:id="2103721145">
      <w:bodyDiv w:val="1"/>
      <w:marLeft w:val="0"/>
      <w:marRight w:val="0"/>
      <w:marTop w:val="0"/>
      <w:marBottom w:val="0"/>
      <w:divBdr>
        <w:top w:val="none" w:sz="0" w:space="0" w:color="auto"/>
        <w:left w:val="none" w:sz="0" w:space="0" w:color="auto"/>
        <w:bottom w:val="none" w:sz="0" w:space="0" w:color="auto"/>
        <w:right w:val="none" w:sz="0" w:space="0" w:color="auto"/>
      </w:divBdr>
    </w:div>
    <w:div w:id="213747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gov.au/resources/collections/2018-aged-care-planning-region-maps"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BAB54D6-6B09-4530-AB22-2DB783752A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EA02BA80EB88546A53580CECA1B3294" ma:contentTypeVersion="" ma:contentTypeDescription="PDMS Document Site Content Type" ma:contentTypeScope="" ma:versionID="3b45597956214bfe8d7a4a2fd82affab">
  <xsd:schema xmlns:xsd="http://www.w3.org/2001/XMLSchema" xmlns:xs="http://www.w3.org/2001/XMLSchema" xmlns:p="http://schemas.microsoft.com/office/2006/metadata/properties" xmlns:ns2="3BAB54D6-6B09-4530-AB22-2DB783752AF8" targetNamespace="http://schemas.microsoft.com/office/2006/metadata/properties" ma:root="true" ma:fieldsID="f580679add5fe1c2d52a8475edadbd4b" ns2:_="">
    <xsd:import namespace="3BAB54D6-6B09-4530-AB22-2DB783752AF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B54D6-6B09-4530-AB22-2DB783752AF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6417-ADBB-487B-9091-DC3471F064BF}">
  <ds:schemaRef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www.w3.org/XML/1998/namespace"/>
    <ds:schemaRef ds:uri="3BAB54D6-6B09-4530-AB22-2DB783752AF8"/>
    <ds:schemaRef ds:uri="http://purl.org/dc/term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9A37932B-E912-4E57-8A58-3C03C966B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B54D6-6B09-4530-AB22-2DB783752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1</TotalTime>
  <Pages>31</Pages>
  <Words>5767</Words>
  <Characters>31091</Characters>
  <Application>Microsoft Office Word</Application>
  <DocSecurity>0</DocSecurity>
  <Lines>1324</Lines>
  <Paragraphs>849</Paragraphs>
  <ScaleCrop>false</ScaleCrop>
  <HeadingPairs>
    <vt:vector size="2" baseType="variant">
      <vt:variant>
        <vt:lpstr>Title</vt:lpstr>
      </vt:variant>
      <vt:variant>
        <vt:i4>1</vt:i4>
      </vt:variant>
    </vt:vector>
  </HeadingPairs>
  <TitlesOfParts>
    <vt:vector size="1" baseType="lpstr">
      <vt:lpstr>Aged Care Act 2024 Wait Times Report</vt:lpstr>
    </vt:vector>
  </TitlesOfParts>
  <Company/>
  <LinksUpToDate>false</LinksUpToDate>
  <CharactersWithSpaces>36350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Aged Care Act 2024 Wait Times Report</dc:title>
  <dc:subject>Aged Care</dc:subject>
  <dc:creator>Australian Government Department of Health, Disability and Ageing</dc:creator>
  <cp:keywords/>
  <cp:revision>6</cp:revision>
  <dcterms:created xsi:type="dcterms:W3CDTF">2026-05-12T02:47:00Z</dcterms:created>
  <dcterms:modified xsi:type="dcterms:W3CDTF">2026-05-12T05:35:00Z</dcterms:modified>
  <cp:category>Aged Care; Residential care; Support at Home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0x010100266966F133664895A6EE3632470D45F5000EA02BA80EB88546A53580CECA1B3294</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62dd015,4b633a5,ae6f254,1773e8de,433c14c6,7d824015,74500016</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5f337c50,453d5046,243fff6,43eeacaf,403a48d,26e02b50,6e4421fd</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2025-10-20T23:06:23Z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68af1ada-a62e-47b2-bdf9-328283f42d7a</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y fmtid="{D5CDD505-2E9C-101B-9397-08002B2CF9AE}" pid="38" name="mfb9edab7134471d8c78133ba7b278810">
    <vt:lpwstr>PCPD CC Corporate Communication SN|73cff0d0-7b20-43e0-ad96-75a3b55de641</vt:lpwstr>
  </property>
  <property fmtid="{D5CDD505-2E9C-101B-9397-08002B2CF9AE}" pid="39" name="TaxCatchAll">
    <vt:lpwstr>5;#PCPD CC Corporate Communication SN|73cff0d0-7b20-43e0-ad96-75a3b55de641</vt:lpwstr>
  </property>
</Properties>
</file>