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1CDE1" w14:textId="236B4B49" w:rsidR="0094127B" w:rsidRPr="0094127B" w:rsidRDefault="002E6945" w:rsidP="002E6945">
      <w:pPr>
        <w:pStyle w:val="Heading1"/>
      </w:pPr>
      <w:r w:rsidRPr="002E6945">
        <w:rPr>
          <w:lang w:val="it-IT"/>
        </w:rPr>
        <w:t>State bene, rimanete sani. Pronti per l’inverno per i momenti che contano</w:t>
      </w:r>
    </w:p>
    <w:p w14:paraId="139E6DA7" w14:textId="5B09E830" w:rsidR="0094127B" w:rsidRPr="00E726A9" w:rsidRDefault="002E6945" w:rsidP="002E6945">
      <w:pPr>
        <w:rPr>
          <w:b/>
          <w:bCs/>
          <w:sz w:val="28"/>
          <w:szCs w:val="28"/>
        </w:rPr>
      </w:pPr>
      <w:r w:rsidRPr="002E6945">
        <w:rPr>
          <w:b/>
          <w:bCs/>
          <w:sz w:val="28"/>
          <w:szCs w:val="28"/>
          <w:lang w:val="it-IT"/>
        </w:rPr>
        <w:t>Rimanere in regola con le vaccinazioni vi aiuta e rimanere sani durante l’inverno, in modo che possiate stare in salute e godervi i momenti che contano.</w:t>
      </w:r>
    </w:p>
    <w:p w14:paraId="4A690F5B" w14:textId="77777777" w:rsidR="002E6945" w:rsidRPr="002E6945" w:rsidRDefault="002E6945" w:rsidP="002E6945">
      <w:pPr>
        <w:rPr>
          <w:lang w:val="it-IT"/>
        </w:rPr>
      </w:pPr>
      <w:r w:rsidRPr="002E6945">
        <w:rPr>
          <w:lang w:val="it-IT"/>
        </w:rPr>
        <w:t xml:space="preserve">Le persone di età pari o superiore a 65 anni hanno un rischio più elevato di malattie gravi causate da virus a carico dell’apparato respiratorio come influenza, </w:t>
      </w:r>
      <w:proofErr w:type="spellStart"/>
      <w:r w:rsidRPr="002E6945">
        <w:rPr>
          <w:lang w:val="it-IT"/>
        </w:rPr>
        <w:t>COVID</w:t>
      </w:r>
      <w:proofErr w:type="spellEnd"/>
      <w:r w:rsidRPr="002E6945">
        <w:rPr>
          <w:lang w:val="it-IT"/>
        </w:rPr>
        <w:t>-19 e virus sinciziale respiratorio (</w:t>
      </w:r>
      <w:proofErr w:type="spellStart"/>
      <w:r w:rsidRPr="002E6945">
        <w:rPr>
          <w:lang w:val="it-IT"/>
        </w:rPr>
        <w:t>RSV</w:t>
      </w:r>
      <w:proofErr w:type="spellEnd"/>
      <w:r w:rsidRPr="002E6945">
        <w:rPr>
          <w:lang w:val="it-IT"/>
        </w:rPr>
        <w:t>). Man mano che invecchiamo, i nostri sistemi immunitari cambiano determinando un aumento del rischio di malattie gravi e ricoveri in ospedale.</w:t>
      </w:r>
    </w:p>
    <w:p w14:paraId="3B7EFE96" w14:textId="3F50149D" w:rsidR="002E6945" w:rsidRPr="002E6945" w:rsidRDefault="002E6945" w:rsidP="002E6945">
      <w:pPr>
        <w:rPr>
          <w:lang w:val="it-IT"/>
        </w:rPr>
      </w:pPr>
      <w:r w:rsidRPr="002E6945">
        <w:rPr>
          <w:lang w:val="it-IT"/>
        </w:rPr>
        <w:t xml:space="preserve">I virus dell’influenza e del </w:t>
      </w:r>
      <w:proofErr w:type="spellStart"/>
      <w:r w:rsidRPr="002E6945">
        <w:rPr>
          <w:lang w:val="it-IT"/>
        </w:rPr>
        <w:t>COVID</w:t>
      </w:r>
      <w:proofErr w:type="spellEnd"/>
      <w:r w:rsidR="00FA74C8">
        <w:rPr>
          <w:lang w:val="it-IT"/>
        </w:rPr>
        <w:t>-</w:t>
      </w:r>
      <w:r w:rsidRPr="002E6945">
        <w:rPr>
          <w:lang w:val="it-IT"/>
        </w:rPr>
        <w:t>19 sono soggetti a continui cambiamenti nel corso del tempo e l’</w:t>
      </w:r>
      <w:proofErr w:type="spellStart"/>
      <w:r w:rsidRPr="002E6945">
        <w:rPr>
          <w:lang w:val="it-IT"/>
        </w:rPr>
        <w:t>RSV</w:t>
      </w:r>
      <w:proofErr w:type="spellEnd"/>
      <w:r w:rsidRPr="002E6945">
        <w:rPr>
          <w:lang w:val="it-IT"/>
        </w:rPr>
        <w:t xml:space="preserve"> può anche causare gravi malattie respiratorie negli adulti più avanti con l’età.</w:t>
      </w:r>
    </w:p>
    <w:p w14:paraId="339D53B0" w14:textId="11F982E2" w:rsidR="0094127B" w:rsidRPr="0094127B" w:rsidRDefault="002E6945" w:rsidP="002E6945">
      <w:r w:rsidRPr="002E6945">
        <w:rPr>
          <w:lang w:val="it-IT"/>
        </w:rPr>
        <w:t>Tutti i vaccini disponibili in Australia sono collaudati meticolosamente per sincerarsi che siano sicuri e agiscano a dovere. La vaccinazione è lo strumento migliore per ridurre il rischio di gravi malattie questo inverno.</w:t>
      </w:r>
    </w:p>
    <w:p w14:paraId="64F8409A" w14:textId="034FFB07" w:rsidR="0094127B" w:rsidRPr="0094127B" w:rsidRDefault="002E6945" w:rsidP="002E6945">
      <w:pPr>
        <w:pStyle w:val="Heading2"/>
      </w:pPr>
      <w:r w:rsidRPr="002E6945">
        <w:rPr>
          <w:lang w:val="it-IT"/>
        </w:rPr>
        <w:t>L’influenza</w:t>
      </w:r>
    </w:p>
    <w:p w14:paraId="7925FD52" w14:textId="77777777" w:rsidR="002E6945" w:rsidRPr="002E6945" w:rsidRDefault="002E6945" w:rsidP="002E6945">
      <w:pPr>
        <w:rPr>
          <w:lang w:val="it-IT"/>
        </w:rPr>
      </w:pPr>
      <w:r w:rsidRPr="002E6945">
        <w:rPr>
          <w:lang w:val="it-IT"/>
        </w:rPr>
        <w:t>L’influenza è un’infezione virale contagiosa che è più grave di un comune raffreddore. Le persone colpite dall’infezione da influenza potrebbero contrarre una grave malattia che potrebbe costringerle al ricovero in ospedale. Quelle con patologie preesistenti sono particolarmente suscettibili e sono a rischio più elevato.</w:t>
      </w:r>
    </w:p>
    <w:p w14:paraId="41742B59" w14:textId="77777777" w:rsidR="002E6945" w:rsidRPr="002E6945" w:rsidRDefault="002E6945" w:rsidP="002E6945">
      <w:pPr>
        <w:rPr>
          <w:lang w:val="it-IT"/>
        </w:rPr>
      </w:pPr>
      <w:r w:rsidRPr="002E6945">
        <w:rPr>
          <w:lang w:val="it-IT"/>
        </w:rPr>
        <w:t xml:space="preserve">Poiché i virus dell’influenza cambiano tutti gli anni, si consiglia una vaccinazione annuale. Il vaccino antinfluenzale agisce meglio se somministrato prima della stagione invernale.  </w:t>
      </w:r>
    </w:p>
    <w:p w14:paraId="200D16CF" w14:textId="1C4B25D7" w:rsidR="0094127B" w:rsidRPr="0094127B" w:rsidRDefault="002E6945" w:rsidP="002E6945">
      <w:r w:rsidRPr="002E6945">
        <w:rPr>
          <w:lang w:val="it-IT"/>
        </w:rPr>
        <w:lastRenderedPageBreak/>
        <w:t xml:space="preserve">Le vaccinazioni antinfluenzali sono gratuite nell’ambito del National </w:t>
      </w:r>
      <w:proofErr w:type="spellStart"/>
      <w:r w:rsidRPr="002E6945">
        <w:rPr>
          <w:lang w:val="it-IT"/>
        </w:rPr>
        <w:t>Immunisation</w:t>
      </w:r>
      <w:proofErr w:type="spellEnd"/>
      <w:r w:rsidRPr="002E6945">
        <w:rPr>
          <w:lang w:val="it-IT"/>
        </w:rPr>
        <w:t xml:space="preserve"> Program, il programma nazionale di immunizzazione, per le persone di età pari o superiore a 65 anni che abbiano diritto alla tessera del Medicare</w:t>
      </w:r>
      <w:r w:rsidR="00836E5B">
        <w:rPr>
          <w:lang w:val="it-IT"/>
        </w:rPr>
        <w:t>.</w:t>
      </w:r>
    </w:p>
    <w:p w14:paraId="3649EC19" w14:textId="70B62AAD" w:rsidR="0094127B" w:rsidRPr="0094127B" w:rsidRDefault="002E6945" w:rsidP="002E6945">
      <w:pPr>
        <w:pStyle w:val="Heading2"/>
      </w:pPr>
      <w:r w:rsidRPr="002E6945">
        <w:rPr>
          <w:lang w:val="it-IT"/>
        </w:rPr>
        <w:t xml:space="preserve">Il </w:t>
      </w:r>
      <w:proofErr w:type="spellStart"/>
      <w:r w:rsidRPr="002E6945">
        <w:rPr>
          <w:lang w:val="it-IT"/>
        </w:rPr>
        <w:t>COVID</w:t>
      </w:r>
      <w:proofErr w:type="spellEnd"/>
      <w:r w:rsidRPr="002E6945">
        <w:rPr>
          <w:lang w:val="it-IT"/>
        </w:rPr>
        <w:t>-19</w:t>
      </w:r>
    </w:p>
    <w:p w14:paraId="05DD237D" w14:textId="77777777" w:rsidR="002E6945" w:rsidRPr="002E6945" w:rsidRDefault="002E6945" w:rsidP="002E6945">
      <w:pPr>
        <w:rPr>
          <w:lang w:val="it-IT"/>
        </w:rPr>
      </w:pPr>
      <w:r w:rsidRPr="002E6945">
        <w:rPr>
          <w:lang w:val="it-IT"/>
        </w:rPr>
        <w:t xml:space="preserve">Il </w:t>
      </w:r>
      <w:proofErr w:type="spellStart"/>
      <w:r w:rsidRPr="002E6945">
        <w:rPr>
          <w:lang w:val="it-IT"/>
        </w:rPr>
        <w:t>COVID</w:t>
      </w:r>
      <w:proofErr w:type="spellEnd"/>
      <w:r w:rsidRPr="002E6945">
        <w:rPr>
          <w:lang w:val="it-IT"/>
        </w:rPr>
        <w:t>-19 è una malattia respiratoria altamente contagiosa che si propaga nell’aria quando una persona infetta respira, parla, tossisce o starnutisce.</w:t>
      </w:r>
    </w:p>
    <w:p w14:paraId="2EED5049" w14:textId="0FA73147" w:rsidR="0094127B" w:rsidRPr="0094127B" w:rsidRDefault="002E6945" w:rsidP="002E6945">
      <w:r w:rsidRPr="002E6945">
        <w:rPr>
          <w:lang w:val="it-IT"/>
        </w:rPr>
        <w:t xml:space="preserve">Vaccinazioni periodiche contro il </w:t>
      </w:r>
      <w:proofErr w:type="spellStart"/>
      <w:r w:rsidRPr="002E6945">
        <w:rPr>
          <w:lang w:val="it-IT"/>
        </w:rPr>
        <w:t>COVID</w:t>
      </w:r>
      <w:proofErr w:type="spellEnd"/>
      <w:r w:rsidRPr="002E6945">
        <w:rPr>
          <w:lang w:val="it-IT"/>
        </w:rPr>
        <w:t>-19 sono lo strumento più efficace per mantenere attiva la protezione contro una malattia grave, il ricovero in ospedale e la morte. Sono soprattutto importanti per gli adulti più avanti con l’età.</w:t>
      </w:r>
    </w:p>
    <w:p w14:paraId="02F124C8" w14:textId="77777777" w:rsidR="002E6945" w:rsidRPr="002E6945" w:rsidRDefault="002E6945" w:rsidP="002E6945">
      <w:pPr>
        <w:pStyle w:val="ListParagraph"/>
        <w:numPr>
          <w:ilvl w:val="0"/>
          <w:numId w:val="6"/>
        </w:numPr>
        <w:rPr>
          <w:lang w:val="it-IT"/>
        </w:rPr>
      </w:pPr>
      <w:r w:rsidRPr="002E6945">
        <w:rPr>
          <w:lang w:val="it-IT"/>
        </w:rPr>
        <w:t xml:space="preserve">Si consiglia alle persone di età compresa tra 65 e 74 anni di ricevere la vaccinazione gratuita contro il </w:t>
      </w:r>
      <w:proofErr w:type="spellStart"/>
      <w:r w:rsidRPr="002E6945">
        <w:rPr>
          <w:lang w:val="it-IT"/>
        </w:rPr>
        <w:t>COVID</w:t>
      </w:r>
      <w:proofErr w:type="spellEnd"/>
      <w:r w:rsidRPr="002E6945">
        <w:rPr>
          <w:lang w:val="it-IT"/>
        </w:rPr>
        <w:t>-19 ogni 12 mesi.</w:t>
      </w:r>
    </w:p>
    <w:p w14:paraId="4997AF86" w14:textId="781CCBAB" w:rsidR="0094127B" w:rsidRPr="0094127B" w:rsidRDefault="002E6945" w:rsidP="002E6945">
      <w:pPr>
        <w:pStyle w:val="ListParagraph"/>
        <w:numPr>
          <w:ilvl w:val="0"/>
          <w:numId w:val="6"/>
        </w:numPr>
      </w:pPr>
      <w:r w:rsidRPr="002E6945">
        <w:rPr>
          <w:lang w:val="it-IT"/>
        </w:rPr>
        <w:t>Si consiglia alle persone di età pari o superiore a 75 anni di ricevere una dose gratuita ogni 6 mesi.</w:t>
      </w:r>
    </w:p>
    <w:p w14:paraId="31DE6FA7" w14:textId="3F687D93" w:rsidR="0094127B" w:rsidRPr="0094127B" w:rsidRDefault="002E6945" w:rsidP="002E6945">
      <w:r w:rsidRPr="002E6945">
        <w:rPr>
          <w:lang w:val="it-IT"/>
        </w:rPr>
        <w:t xml:space="preserve">I vaccini contro il </w:t>
      </w:r>
      <w:proofErr w:type="spellStart"/>
      <w:r w:rsidRPr="002E6945">
        <w:rPr>
          <w:lang w:val="it-IT"/>
        </w:rPr>
        <w:t>COVID</w:t>
      </w:r>
      <w:proofErr w:type="spellEnd"/>
      <w:r w:rsidRPr="002E6945">
        <w:rPr>
          <w:lang w:val="it-IT"/>
        </w:rPr>
        <w:t>-19 sono offerti dal governo australiano a prescindere dal vostro status in termini di Medicare o visto</w:t>
      </w:r>
      <w:r>
        <w:rPr>
          <w:lang w:val="it-IT"/>
        </w:rPr>
        <w:t>.</w:t>
      </w:r>
    </w:p>
    <w:p w14:paraId="453CB09C" w14:textId="27E3984A" w:rsidR="0094127B" w:rsidRPr="0094127B" w:rsidRDefault="002E6945" w:rsidP="002E6945">
      <w:pPr>
        <w:pStyle w:val="Heading2"/>
      </w:pPr>
      <w:r w:rsidRPr="002E6945">
        <w:rPr>
          <w:lang w:val="it-IT"/>
        </w:rPr>
        <w:t>L’</w:t>
      </w:r>
      <w:proofErr w:type="spellStart"/>
      <w:r w:rsidRPr="002E6945">
        <w:rPr>
          <w:lang w:val="it-IT"/>
        </w:rPr>
        <w:t>RSV</w:t>
      </w:r>
      <w:proofErr w:type="spellEnd"/>
    </w:p>
    <w:p w14:paraId="331E0399" w14:textId="77777777" w:rsidR="002E6945" w:rsidRPr="002E6945" w:rsidRDefault="002E6945" w:rsidP="002E6945">
      <w:pPr>
        <w:rPr>
          <w:lang w:val="it-IT"/>
        </w:rPr>
      </w:pPr>
      <w:r w:rsidRPr="002E6945">
        <w:rPr>
          <w:lang w:val="it-IT"/>
        </w:rPr>
        <w:t>L’</w:t>
      </w:r>
      <w:proofErr w:type="spellStart"/>
      <w:r w:rsidRPr="002E6945">
        <w:rPr>
          <w:lang w:val="it-IT"/>
        </w:rPr>
        <w:t>RSV</w:t>
      </w:r>
      <w:proofErr w:type="spellEnd"/>
      <w:r w:rsidRPr="002E6945">
        <w:rPr>
          <w:lang w:val="it-IT"/>
        </w:rPr>
        <w:t xml:space="preserve"> è un virus contagioso comune che infetta le vie respiratorie e i polmoni. Si propaga tramite goccioline quando una persona infetta parla, tossisce o starnutisce. L’</w:t>
      </w:r>
      <w:proofErr w:type="spellStart"/>
      <w:r w:rsidRPr="002E6945">
        <w:rPr>
          <w:lang w:val="it-IT"/>
        </w:rPr>
        <w:t>RSV</w:t>
      </w:r>
      <w:proofErr w:type="spellEnd"/>
      <w:r w:rsidRPr="002E6945">
        <w:rPr>
          <w:lang w:val="it-IT"/>
        </w:rPr>
        <w:t xml:space="preserve"> può essere molto pericoloso per gli adulti più avanti con gli anni.</w:t>
      </w:r>
    </w:p>
    <w:p w14:paraId="217CD8A7" w14:textId="77777777" w:rsidR="002E6945" w:rsidRPr="002E6945" w:rsidRDefault="002E6945" w:rsidP="002E6945">
      <w:pPr>
        <w:rPr>
          <w:lang w:val="it-IT"/>
        </w:rPr>
      </w:pPr>
      <w:r w:rsidRPr="002E6945">
        <w:rPr>
          <w:lang w:val="it-IT"/>
        </w:rPr>
        <w:t>Attualmente, si consiglia una singola dose del vaccino contro l’</w:t>
      </w:r>
      <w:proofErr w:type="spellStart"/>
      <w:r w:rsidRPr="002E6945">
        <w:rPr>
          <w:lang w:val="it-IT"/>
        </w:rPr>
        <w:t>RSV</w:t>
      </w:r>
      <w:proofErr w:type="spellEnd"/>
      <w:r w:rsidRPr="002E6945">
        <w:rPr>
          <w:lang w:val="it-IT"/>
        </w:rPr>
        <w:t>. Si prevede, in base all’evidenza attuale, che la protezione duri per almeno 2 anni.</w:t>
      </w:r>
    </w:p>
    <w:p w14:paraId="61479024" w14:textId="4D9050DD" w:rsidR="0094127B" w:rsidRPr="0094127B" w:rsidRDefault="002E6945" w:rsidP="002E6945">
      <w:r w:rsidRPr="002E6945">
        <w:rPr>
          <w:lang w:val="it-IT"/>
        </w:rPr>
        <w:t>A partire dal 15 maggio 2026, se avete compiuto 75 anni e siete titolari della tessera del Medicare o in possesso dei relativi requisiti, potete ricevere una vaccinazione gratuita contro l’</w:t>
      </w:r>
      <w:proofErr w:type="spellStart"/>
      <w:r w:rsidRPr="002E6945">
        <w:rPr>
          <w:lang w:val="it-IT"/>
        </w:rPr>
        <w:t>RSV</w:t>
      </w:r>
      <w:proofErr w:type="spellEnd"/>
      <w:r w:rsidRPr="002E6945">
        <w:rPr>
          <w:lang w:val="it-IT"/>
        </w:rPr>
        <w:t xml:space="preserve"> nell’ambito del National </w:t>
      </w:r>
      <w:proofErr w:type="spellStart"/>
      <w:r w:rsidRPr="002E6945">
        <w:rPr>
          <w:lang w:val="it-IT"/>
        </w:rPr>
        <w:t>Immunisation</w:t>
      </w:r>
      <w:proofErr w:type="spellEnd"/>
      <w:r w:rsidRPr="002E6945">
        <w:rPr>
          <w:lang w:val="it-IT"/>
        </w:rPr>
        <w:t xml:space="preserve"> Program. La </w:t>
      </w:r>
      <w:r w:rsidRPr="002E6945">
        <w:rPr>
          <w:lang w:val="it-IT"/>
        </w:rPr>
        <w:lastRenderedPageBreak/>
        <w:t xml:space="preserve">vaccinazione contribuisce a proteggervi nei mesi più freddi, quando si manifesta la maggior parte dei casi di </w:t>
      </w:r>
      <w:proofErr w:type="spellStart"/>
      <w:r w:rsidRPr="002E6945">
        <w:rPr>
          <w:lang w:val="it-IT"/>
        </w:rPr>
        <w:t>RSV</w:t>
      </w:r>
      <w:proofErr w:type="spellEnd"/>
      <w:r w:rsidRPr="002E6945">
        <w:rPr>
          <w:lang w:val="it-IT"/>
        </w:rPr>
        <w:t>.</w:t>
      </w:r>
    </w:p>
    <w:p w14:paraId="4CFD599C" w14:textId="18BF1350" w:rsidR="0094127B" w:rsidRPr="0094127B" w:rsidRDefault="002E6945" w:rsidP="002E6945">
      <w:pPr>
        <w:pStyle w:val="Heading2"/>
      </w:pPr>
      <w:r w:rsidRPr="002E6945">
        <w:rPr>
          <w:lang w:val="it-IT"/>
        </w:rPr>
        <w:t>Dove ricevere le vostre vaccinazioni invernali</w:t>
      </w:r>
    </w:p>
    <w:p w14:paraId="0B1AB7DD" w14:textId="6D286630" w:rsidR="002E6945" w:rsidRPr="002E6945" w:rsidRDefault="00811839" w:rsidP="00811839">
      <w:pPr>
        <w:rPr>
          <w:lang w:val="it-IT"/>
        </w:rPr>
      </w:pPr>
      <w:r w:rsidRPr="00811839">
        <w:rPr>
          <w:lang w:val="it-IT"/>
        </w:rPr>
        <w:t>È facile farvi somministrare le vaccinazioni localmente. Potete farvi vaccinare dal vostro medico o farmacista di fiducia. Molte farmacie offrono opzioni convenienti di somministrazione con o senza prenotazione. Se vi trovate in una struttura sanitaria, l'erogatore di assistenza vi aiuterà a ricevere la vaccinazione.</w:t>
      </w:r>
    </w:p>
    <w:p w14:paraId="17F2D2A3" w14:textId="1B0C5E4C" w:rsidR="0094127B" w:rsidRPr="0094127B" w:rsidRDefault="002E6945" w:rsidP="002E6945">
      <w:r w:rsidRPr="002E6945">
        <w:rPr>
          <w:lang w:val="it-IT"/>
        </w:rPr>
        <w:t>Parlate con il medico o farmacista di fiducia se avete delle domande in merito a quali vaccini siano consigliati per voi e dove riceverli.</w:t>
      </w:r>
    </w:p>
    <w:p w14:paraId="3C6DCA74" w14:textId="63409FC0" w:rsidR="0094127B" w:rsidRPr="0094127B" w:rsidRDefault="002E6945" w:rsidP="002E6945">
      <w:pPr>
        <w:pStyle w:val="Heading2"/>
      </w:pPr>
      <w:r w:rsidRPr="002E6945">
        <w:rPr>
          <w:lang w:val="it-IT"/>
        </w:rPr>
        <w:t>Trovare il momento migliore per farvi vaccinare</w:t>
      </w:r>
    </w:p>
    <w:p w14:paraId="1FA2FAE8" w14:textId="77777777" w:rsidR="002E6945" w:rsidRPr="002E6945" w:rsidRDefault="002E6945" w:rsidP="002E6945">
      <w:pPr>
        <w:rPr>
          <w:lang w:val="it-IT"/>
        </w:rPr>
      </w:pPr>
      <w:r w:rsidRPr="002E6945">
        <w:rPr>
          <w:lang w:val="it-IT"/>
        </w:rPr>
        <w:t xml:space="preserve">In Australia, i virus invernali raggiungono il picco tra giugno e settembre. Per la migliore protezione, fatevi vaccinare a partire da marzo o aprile. </w:t>
      </w:r>
    </w:p>
    <w:p w14:paraId="175113A5" w14:textId="4A80584B" w:rsidR="0094127B" w:rsidRPr="0094127B" w:rsidRDefault="002E6945" w:rsidP="002E6945">
      <w:r w:rsidRPr="002E6945">
        <w:rPr>
          <w:lang w:val="it-IT"/>
        </w:rPr>
        <w:t xml:space="preserve">Potete ricevere i vaccini contro influenza, </w:t>
      </w:r>
      <w:proofErr w:type="spellStart"/>
      <w:r w:rsidRPr="002E6945">
        <w:rPr>
          <w:lang w:val="it-IT"/>
        </w:rPr>
        <w:t>COVID</w:t>
      </w:r>
      <w:proofErr w:type="spellEnd"/>
      <w:r w:rsidRPr="002E6945">
        <w:rPr>
          <w:lang w:val="it-IT"/>
        </w:rPr>
        <w:t xml:space="preserve">-19 e </w:t>
      </w:r>
      <w:proofErr w:type="spellStart"/>
      <w:r w:rsidRPr="002E6945">
        <w:rPr>
          <w:lang w:val="it-IT"/>
        </w:rPr>
        <w:t>RSV</w:t>
      </w:r>
      <w:proofErr w:type="spellEnd"/>
      <w:r w:rsidRPr="002E6945">
        <w:rPr>
          <w:lang w:val="it-IT"/>
        </w:rPr>
        <w:t xml:space="preserve"> in occasione dello stesso appuntamento o in visite separate.</w:t>
      </w:r>
    </w:p>
    <w:p w14:paraId="5CD19BB2" w14:textId="2D0EAAF3" w:rsidR="0094127B" w:rsidRPr="0094127B" w:rsidRDefault="002E6945" w:rsidP="002E6945">
      <w:pPr>
        <w:pStyle w:val="Heading2"/>
      </w:pPr>
      <w:r w:rsidRPr="002E6945">
        <w:rPr>
          <w:lang w:val="it-IT"/>
        </w:rPr>
        <w:t>Parlate con l’operatore sanitario di fiducia e prenotate la vostra vaccinazione oggi stesso</w:t>
      </w:r>
    </w:p>
    <w:p w14:paraId="1EF95E27" w14:textId="17A8D6A3" w:rsidR="0094127B" w:rsidRPr="0094127B" w:rsidRDefault="002E6945" w:rsidP="002E6945">
      <w:r w:rsidRPr="002E6945">
        <w:rPr>
          <w:lang w:val="it-IT"/>
        </w:rPr>
        <w:t>I soggetti che somministrano le vaccinazioni comprendono:</w:t>
      </w:r>
    </w:p>
    <w:p w14:paraId="1B0D7F1D" w14:textId="77777777" w:rsidR="002E6945" w:rsidRPr="002E6945" w:rsidRDefault="002E6945" w:rsidP="002E6945">
      <w:pPr>
        <w:pStyle w:val="ListParagraph"/>
        <w:numPr>
          <w:ilvl w:val="0"/>
          <w:numId w:val="5"/>
        </w:numPr>
        <w:rPr>
          <w:lang w:val="it-IT"/>
        </w:rPr>
      </w:pPr>
      <w:r w:rsidRPr="002E6945">
        <w:rPr>
          <w:lang w:val="it-IT"/>
        </w:rPr>
        <w:t>Medici di base (</w:t>
      </w:r>
      <w:proofErr w:type="spellStart"/>
      <w:r w:rsidRPr="002E6945">
        <w:rPr>
          <w:lang w:val="it-IT"/>
        </w:rPr>
        <w:t>GPs</w:t>
      </w:r>
      <w:proofErr w:type="spellEnd"/>
      <w:r w:rsidRPr="002E6945">
        <w:rPr>
          <w:lang w:val="it-IT"/>
        </w:rPr>
        <w:t>) e loro ambulatori</w:t>
      </w:r>
    </w:p>
    <w:p w14:paraId="6FD231B5" w14:textId="033F8E83" w:rsidR="002E6945" w:rsidRPr="002E6945" w:rsidRDefault="002E6945" w:rsidP="002E6945">
      <w:pPr>
        <w:pStyle w:val="ListParagraph"/>
        <w:numPr>
          <w:ilvl w:val="0"/>
          <w:numId w:val="5"/>
        </w:numPr>
        <w:rPr>
          <w:lang w:val="it-IT"/>
        </w:rPr>
      </w:pPr>
      <w:r>
        <w:rPr>
          <w:lang w:val="it-IT"/>
        </w:rPr>
        <w:t>F</w:t>
      </w:r>
      <w:r w:rsidRPr="002E6945">
        <w:rPr>
          <w:lang w:val="it-IT"/>
        </w:rPr>
        <w:t>armacie aderenti al programma</w:t>
      </w:r>
    </w:p>
    <w:p w14:paraId="6DC9D31A" w14:textId="2B00D5AF" w:rsidR="002E6945" w:rsidRPr="002E6945" w:rsidRDefault="002E6945" w:rsidP="002E6945">
      <w:pPr>
        <w:pStyle w:val="ListParagraph"/>
        <w:numPr>
          <w:ilvl w:val="0"/>
          <w:numId w:val="5"/>
        </w:numPr>
        <w:rPr>
          <w:lang w:val="it-IT"/>
        </w:rPr>
      </w:pPr>
      <w:r>
        <w:rPr>
          <w:lang w:val="it-IT"/>
        </w:rPr>
        <w:t>A</w:t>
      </w:r>
      <w:r w:rsidRPr="002E6945">
        <w:rPr>
          <w:lang w:val="it-IT"/>
        </w:rPr>
        <w:t>mbulatori vaccinali delle amministrazioni locali (disponibili in alcuni stati e territori dell’Australia)</w:t>
      </w:r>
    </w:p>
    <w:p w14:paraId="72B49171" w14:textId="0C826C4D" w:rsidR="002E6945" w:rsidRPr="002E6945" w:rsidRDefault="002E6945" w:rsidP="002E6945">
      <w:pPr>
        <w:pStyle w:val="ListParagraph"/>
        <w:numPr>
          <w:ilvl w:val="0"/>
          <w:numId w:val="5"/>
        </w:numPr>
        <w:rPr>
          <w:lang w:val="it-IT"/>
        </w:rPr>
      </w:pPr>
      <w:r>
        <w:rPr>
          <w:lang w:val="it-IT"/>
        </w:rPr>
        <w:t>C</w:t>
      </w:r>
      <w:r w:rsidRPr="002E6945">
        <w:rPr>
          <w:lang w:val="it-IT"/>
        </w:rPr>
        <w:t>entri sociosanitari</w:t>
      </w:r>
    </w:p>
    <w:p w14:paraId="1607D786" w14:textId="3DB80FF5" w:rsidR="0094127B" w:rsidRPr="0094127B" w:rsidRDefault="002E6945" w:rsidP="002E6945">
      <w:pPr>
        <w:pStyle w:val="ListParagraph"/>
        <w:numPr>
          <w:ilvl w:val="0"/>
          <w:numId w:val="5"/>
        </w:numPr>
      </w:pPr>
      <w:r>
        <w:rPr>
          <w:lang w:val="it-IT"/>
        </w:rPr>
        <w:t>E</w:t>
      </w:r>
      <w:r w:rsidRPr="002E6945">
        <w:rPr>
          <w:lang w:val="it-IT"/>
        </w:rPr>
        <w:t>rogatori di vaccinazioni presso strutture residenziali per anziani (per i residenti di tali strutture).</w:t>
      </w:r>
    </w:p>
    <w:p w14:paraId="54D8ACD2" w14:textId="33243486" w:rsidR="0094127B" w:rsidRPr="0094127B" w:rsidRDefault="002E6945" w:rsidP="002E6945">
      <w:r w:rsidRPr="002E6945">
        <w:rPr>
          <w:lang w:val="it-IT"/>
        </w:rPr>
        <w:lastRenderedPageBreak/>
        <w:t>Se l’inglese non è la vostra prima lingua, potete richiedere un interprete quando parlate con un operatore sanitario. Potete anche farvi accompagnare da un familiare, conoscente o assistente domiciliare che vi offra supporto.</w:t>
      </w:r>
    </w:p>
    <w:p w14:paraId="44D990DD" w14:textId="3AA1A729" w:rsidR="00C46EB8" w:rsidRPr="0094127B" w:rsidRDefault="002B54A6" w:rsidP="002B54A6">
      <w:r w:rsidRPr="002B54A6">
        <w:rPr>
          <w:lang w:val="en-GB"/>
        </w:rPr>
        <w:t xml:space="preserve">Per </w:t>
      </w:r>
      <w:proofErr w:type="spellStart"/>
      <w:r w:rsidRPr="002B54A6">
        <w:rPr>
          <w:lang w:val="en-GB"/>
        </w:rPr>
        <w:t>maggiori</w:t>
      </w:r>
      <w:proofErr w:type="spellEnd"/>
      <w:r w:rsidRPr="002B54A6">
        <w:rPr>
          <w:lang w:val="en-GB"/>
        </w:rPr>
        <w:t xml:space="preserve"> </w:t>
      </w:r>
      <w:proofErr w:type="spellStart"/>
      <w:r w:rsidRPr="002B54A6">
        <w:rPr>
          <w:lang w:val="en-GB"/>
        </w:rPr>
        <w:t>informazioni</w:t>
      </w:r>
      <w:proofErr w:type="spellEnd"/>
      <w:r w:rsidRPr="002B54A6">
        <w:rPr>
          <w:lang w:val="en-GB"/>
        </w:rPr>
        <w:t xml:space="preserve">, </w:t>
      </w:r>
      <w:proofErr w:type="spellStart"/>
      <w:r w:rsidRPr="002B54A6">
        <w:rPr>
          <w:lang w:val="en-GB"/>
        </w:rPr>
        <w:t>visitate</w:t>
      </w:r>
      <w:proofErr w:type="spellEnd"/>
      <w:r w:rsidR="0094127B" w:rsidRPr="0094127B">
        <w:t xml:space="preserve"> </w:t>
      </w:r>
      <w:hyperlink r:id="rId7" w:history="1">
        <w:proofErr w:type="spellStart"/>
        <w:r w:rsidR="0094127B" w:rsidRPr="00491391">
          <w:rPr>
            <w:rStyle w:val="Hyperlink"/>
          </w:rPr>
          <w:t>health.gov.au</w:t>
        </w:r>
        <w:proofErr w:type="spellEnd"/>
        <w:r w:rsidR="0094127B" w:rsidRPr="00491391">
          <w:rPr>
            <w:rStyle w:val="Hyperlink"/>
          </w:rPr>
          <w:t>/winter-vaccinations/translated-resources</w:t>
        </w:r>
      </w:hyperlink>
    </w:p>
    <w:sectPr w:rsidR="00C46EB8" w:rsidRPr="0094127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2821B" w14:textId="77777777" w:rsidR="000265D8" w:rsidRDefault="000265D8" w:rsidP="00491391">
      <w:pPr>
        <w:spacing w:after="0" w:line="240" w:lineRule="auto"/>
      </w:pPr>
      <w:r>
        <w:separator/>
      </w:r>
    </w:p>
  </w:endnote>
  <w:endnote w:type="continuationSeparator" w:id="0">
    <w:p w14:paraId="4ED2E45E" w14:textId="77777777" w:rsidR="000265D8" w:rsidRDefault="000265D8"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265D8">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3C03BA33" w:rsidR="00491391" w:rsidRDefault="00F6752A" w:rsidP="00491391">
    <w:pPr>
      <w:pStyle w:val="Footer"/>
      <w:ind w:right="360"/>
    </w:pPr>
    <w:r>
      <w:t xml:space="preserve">Department of Health Disability and Ageing | </w:t>
    </w:r>
    <w:r w:rsidR="00491391" w:rsidRPr="00F6752A">
      <w:rPr>
        <w:i/>
        <w:iCs/>
      </w:rPr>
      <w:t xml:space="preserve">Winter </w:t>
    </w:r>
    <w:r w:rsidRPr="00F6752A">
      <w:rPr>
        <w:i/>
        <w:iCs/>
      </w:rPr>
      <w:t>v</w:t>
    </w:r>
    <w:r w:rsidR="00491391" w:rsidRPr="00F6752A">
      <w:rPr>
        <w:i/>
        <w:iCs/>
      </w:rPr>
      <w:t xml:space="preserve">accination </w:t>
    </w:r>
    <w:r w:rsidRPr="00F6752A">
      <w:rPr>
        <w:i/>
        <w:iCs/>
      </w:rPr>
      <w:t>c</w:t>
    </w:r>
    <w:r w:rsidR="00491391" w:rsidRPr="00F6752A">
      <w:rPr>
        <w:i/>
        <w:iCs/>
      </w:rPr>
      <w:t xml:space="preserve">onsumer </w:t>
    </w:r>
    <w:r w:rsidRPr="00F6752A">
      <w:rPr>
        <w:i/>
        <w:iCs/>
      </w:rPr>
      <w:t>f</w:t>
    </w:r>
    <w:r w:rsidR="00491391" w:rsidRPr="00F6752A">
      <w:rPr>
        <w:i/>
        <w:iCs/>
      </w:rPr>
      <w:t>actsheet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52C5F" w14:textId="77777777" w:rsidR="000265D8" w:rsidRDefault="000265D8" w:rsidP="00491391">
      <w:pPr>
        <w:spacing w:after="0" w:line="240" w:lineRule="auto"/>
      </w:pPr>
      <w:r>
        <w:separator/>
      </w:r>
    </w:p>
  </w:footnote>
  <w:footnote w:type="continuationSeparator" w:id="0">
    <w:p w14:paraId="31B93184" w14:textId="77777777" w:rsidR="000265D8" w:rsidRDefault="000265D8"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50798" w14:textId="455095BD"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2E6945" w:rsidRPr="002E6945">
      <w:t>Italian</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265D8"/>
    <w:rsid w:val="000806F1"/>
    <w:rsid w:val="00081F6B"/>
    <w:rsid w:val="00091321"/>
    <w:rsid w:val="001136EF"/>
    <w:rsid w:val="00120D4E"/>
    <w:rsid w:val="001438D2"/>
    <w:rsid w:val="00162056"/>
    <w:rsid w:val="00271037"/>
    <w:rsid w:val="002B54A6"/>
    <w:rsid w:val="002E6945"/>
    <w:rsid w:val="003018AB"/>
    <w:rsid w:val="00385A1E"/>
    <w:rsid w:val="00394847"/>
    <w:rsid w:val="003B24A5"/>
    <w:rsid w:val="003C5521"/>
    <w:rsid w:val="003E68A8"/>
    <w:rsid w:val="003F35F9"/>
    <w:rsid w:val="00414A94"/>
    <w:rsid w:val="00491391"/>
    <w:rsid w:val="006C7C33"/>
    <w:rsid w:val="007329DE"/>
    <w:rsid w:val="007649B8"/>
    <w:rsid w:val="00811839"/>
    <w:rsid w:val="00813B25"/>
    <w:rsid w:val="00836E5B"/>
    <w:rsid w:val="00844115"/>
    <w:rsid w:val="0088367F"/>
    <w:rsid w:val="008A7566"/>
    <w:rsid w:val="0094127B"/>
    <w:rsid w:val="0096552E"/>
    <w:rsid w:val="009920CE"/>
    <w:rsid w:val="00A24422"/>
    <w:rsid w:val="00A65438"/>
    <w:rsid w:val="00AE2E1F"/>
    <w:rsid w:val="00B1075F"/>
    <w:rsid w:val="00BD108F"/>
    <w:rsid w:val="00C46EB8"/>
    <w:rsid w:val="00D245CD"/>
    <w:rsid w:val="00DC498D"/>
    <w:rsid w:val="00DD0E98"/>
    <w:rsid w:val="00DF5D56"/>
    <w:rsid w:val="00E726A9"/>
    <w:rsid w:val="00ED6DE3"/>
    <w:rsid w:val="00F6752A"/>
    <w:rsid w:val="00FA74C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7E24DD3D-681E-4881-A2DA-EE31EFAB6718}"/>
</file>

<file path=customXml/itemProps2.xml><?xml version="1.0" encoding="utf-8"?>
<ds:datastoreItem xmlns:ds="http://schemas.openxmlformats.org/officeDocument/2006/customXml" ds:itemID="{234649D6-FC99-4E6B-9608-C07E82C24767}"/>
</file>

<file path=customXml/itemProps3.xml><?xml version="1.0" encoding="utf-8"?>
<ds:datastoreItem xmlns:ds="http://schemas.openxmlformats.org/officeDocument/2006/customXml" ds:itemID="{462CB36D-A07F-4C7C-BBA5-4993CA5673D1}"/>
</file>

<file path=docProps/app.xml><?xml version="1.0" encoding="utf-8"?>
<Properties xmlns="http://schemas.openxmlformats.org/officeDocument/2006/extended-properties" xmlns:vt="http://schemas.openxmlformats.org/officeDocument/2006/docPropsVTypes">
  <Template>Normal.dotm</Template>
  <TotalTime>2</TotalTime>
  <Pages>4</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well, stay healthy. Be winter ready for the moments that matter – Winter vaccinations – fact sheet</dc:title>
  <dc:subject/>
  <cp:keywords/>
  <dc:description/>
  <cp:revision>3</cp:revision>
  <dcterms:created xsi:type="dcterms:W3CDTF">2026-04-24T04:17:00Z</dcterms:created>
  <dcterms:modified xsi:type="dcterms:W3CDTF">2026-04-24T04:45:00Z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9707200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