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531C2" w14:textId="70855EBD" w:rsidR="00F33076" w:rsidRDefault="00F33076" w:rsidP="00F33076">
      <w:pPr>
        <w:pStyle w:val="Heading1"/>
      </w:pPr>
      <w:r w:rsidRPr="002C4B24">
        <w:t>Practitioner review program, for practitioners – What you need to know</w:t>
      </w:r>
    </w:p>
    <w:p w14:paraId="7AF9D41F" w14:textId="6871D1A9" w:rsidR="00F33076" w:rsidRDefault="00F33076" w:rsidP="00F33076">
      <w:r w:rsidRPr="00260BC7">
        <w:t>Information about how the Practitioner Review Program (PRP) is applied to practitioners, whose data</w:t>
      </w:r>
      <w:r w:rsidRPr="00260BC7">
        <w:rPr>
          <w:spacing w:val="-5"/>
        </w:rPr>
        <w:t xml:space="preserve"> </w:t>
      </w:r>
      <w:r w:rsidRPr="00260BC7">
        <w:t>indicates</w:t>
      </w:r>
      <w:r w:rsidRPr="00260BC7">
        <w:rPr>
          <w:spacing w:val="-2"/>
        </w:rPr>
        <w:t xml:space="preserve"> </w:t>
      </w:r>
      <w:r w:rsidRPr="00260BC7">
        <w:t>possible</w:t>
      </w:r>
      <w:r w:rsidRPr="00260BC7">
        <w:rPr>
          <w:spacing w:val="-5"/>
        </w:rPr>
        <w:t xml:space="preserve"> </w:t>
      </w:r>
      <w:r w:rsidRPr="00260BC7">
        <w:t>inappropri</w:t>
      </w:r>
      <w:r>
        <w:t>ate practice</w:t>
      </w:r>
    </w:p>
    <w:p w14:paraId="011F436F" w14:textId="32AEE7A8" w:rsidR="00F33076" w:rsidRPr="00260BC7" w:rsidRDefault="00F33076" w:rsidP="00F33076">
      <w:pPr>
        <w:pStyle w:val="Heading2"/>
      </w:pPr>
      <w:r>
        <w:t>The PRP</w:t>
      </w:r>
    </w:p>
    <w:p w14:paraId="276A9A38" w14:textId="77777777" w:rsidR="00F33076" w:rsidRPr="00260BC7" w:rsidRDefault="00F33076" w:rsidP="00F33076">
      <w:pPr>
        <w:spacing w:after="240"/>
      </w:pPr>
      <w:bookmarkStart w:id="0" w:name="_Hlk77576576"/>
      <w:r w:rsidRPr="00260BC7">
        <w:t>The purpose of the PRP is to protect the integrity of Medicare, the Pharmaceutical Benefits Scheme (PBS) and the Child Dental Benefits Scheme (CDBS) by reviewing practitioners and corporate entities where concerns of potential inappropriate practice are identified.</w:t>
      </w:r>
    </w:p>
    <w:p w14:paraId="3FAB2638" w14:textId="77777777" w:rsidR="00F33076" w:rsidRPr="00260BC7" w:rsidRDefault="00F33076" w:rsidP="00F33076">
      <w:pPr>
        <w:spacing w:after="240"/>
      </w:pPr>
      <w:r w:rsidRPr="00260BC7">
        <w:t xml:space="preserve">The function of the PRP is to review a practitioner or corporate entity’s Medicare servicing </w:t>
      </w:r>
      <w:r>
        <w:t xml:space="preserve">and PBS prescribing </w:t>
      </w:r>
      <w:r w:rsidRPr="00260BC7">
        <w:t>behaviour to determine whether a request should be made to the Director of the Professional Services Review (PSR) for review under the PSR Scheme. Practitioners are only referred to the Director of PSR (Director) where concerns are unable to be resolved under the PRP.</w:t>
      </w:r>
    </w:p>
    <w:p w14:paraId="23E60973" w14:textId="77777777" w:rsidR="00F33076" w:rsidRPr="00260BC7" w:rsidRDefault="00F33076" w:rsidP="00F33076">
      <w:pPr>
        <w:spacing w:after="240"/>
      </w:pPr>
      <w:r w:rsidRPr="00260BC7">
        <w:t>A review under the PRP is not an indication of any wrongdoing or a judgement on the clinical care you provide your patients. It is the first step in understanding why your data differs from your peers.</w:t>
      </w:r>
    </w:p>
    <w:p w14:paraId="4B054D81" w14:textId="67EEA0B6" w:rsidR="00F33076" w:rsidRDefault="00F33076" w:rsidP="00F33076">
      <w:r w:rsidRPr="00260BC7">
        <w:t>PRP reviews are carried out by qualified health professionals (Professional Advisers) employed by the Department of Health</w:t>
      </w:r>
      <w:r w:rsidR="0094599D">
        <w:t>, Disability and Ageing</w:t>
      </w:r>
      <w:r w:rsidRPr="00260BC7">
        <w:t>. If you have questions throughout the PRP process, you can contact the Professional Adviser who is reviewing your servicing</w:t>
      </w:r>
      <w:r>
        <w:t>.</w:t>
      </w:r>
    </w:p>
    <w:p w14:paraId="257B27B4" w14:textId="77777777" w:rsidR="00F33076" w:rsidRDefault="00F33076" w:rsidP="00F33076">
      <w:pPr>
        <w:pStyle w:val="Heading2"/>
      </w:pPr>
      <w:r>
        <w:t xml:space="preserve">How is potential </w:t>
      </w:r>
      <w:r w:rsidRPr="00260BC7">
        <w:t>inappropriate</w:t>
      </w:r>
      <w:r>
        <w:t xml:space="preserve"> practice identified?</w:t>
      </w:r>
    </w:p>
    <w:p w14:paraId="00AEF611" w14:textId="77777777" w:rsidR="00F33076" w:rsidRPr="00260BC7" w:rsidRDefault="00F33076" w:rsidP="00F33076">
      <w:pPr>
        <w:spacing w:after="240"/>
      </w:pPr>
      <w:r w:rsidRPr="00260BC7">
        <w:t>The PRP involves a professional adviser reviewing your Medicare servicing</w:t>
      </w:r>
      <w:r>
        <w:t xml:space="preserve"> and PBS prescribing</w:t>
      </w:r>
      <w:r w:rsidRPr="00260BC7">
        <w:t xml:space="preserve"> data and assessing/confirming variance from your peers. The data is only the starting point for a PRP review. Other factors such as your location, patient demographics, special interests, additional training, and other potentially relevant matters are also considered.</w:t>
      </w:r>
    </w:p>
    <w:p w14:paraId="53229D33" w14:textId="77777777" w:rsidR="00F33076" w:rsidRPr="00260BC7" w:rsidRDefault="00F33076" w:rsidP="00F33076">
      <w:r w:rsidRPr="00260BC7">
        <w:t>When reviewing your profile for potential inappropriate practice, our Professional Advisers consider your servicing behaviours. For example, are you:</w:t>
      </w:r>
    </w:p>
    <w:p w14:paraId="71F5A21D" w14:textId="77777777" w:rsidR="00F33076" w:rsidRPr="00260BC7" w:rsidRDefault="00F33076" w:rsidP="00E05021">
      <w:pPr>
        <w:pStyle w:val="ListBullet"/>
      </w:pPr>
      <w:r w:rsidRPr="00E05021">
        <w:t>providing</w:t>
      </w:r>
      <w:r w:rsidRPr="00260BC7">
        <w:t xml:space="preserve"> services that are not clinically relevant?</w:t>
      </w:r>
    </w:p>
    <w:p w14:paraId="7759301D" w14:textId="77777777" w:rsidR="00F33076" w:rsidRPr="00260BC7" w:rsidRDefault="00F33076" w:rsidP="00E05021">
      <w:pPr>
        <w:pStyle w:val="ListBullet2"/>
      </w:pPr>
      <w:r w:rsidRPr="00260BC7">
        <w:t xml:space="preserve">Medicare Benefits are claimable only for ‘clinically relevant’ services rendered by an appropriate health practitioner. </w:t>
      </w:r>
      <w:bookmarkStart w:id="1" w:name="_Hlk88135560"/>
      <w:r w:rsidRPr="00260BC7">
        <w:t>A ‘clinically relevant’ service is one that is generally accepted by the relevant profession as necessary for the appropriate treatment of the patient</w:t>
      </w:r>
      <w:bookmarkEnd w:id="1"/>
      <w:r w:rsidRPr="00260BC7">
        <w:t>.</w:t>
      </w:r>
    </w:p>
    <w:p w14:paraId="3397B2DC" w14:textId="2235F937" w:rsidR="00F33076" w:rsidRPr="00260BC7" w:rsidRDefault="00F33076" w:rsidP="00E05021">
      <w:pPr>
        <w:pStyle w:val="ListBullet"/>
      </w:pPr>
      <w:r w:rsidRPr="00260BC7">
        <w:lastRenderedPageBreak/>
        <w:t xml:space="preserve">meeting MBS </w:t>
      </w:r>
      <w:r>
        <w:t xml:space="preserve">or CDBS </w:t>
      </w:r>
      <w:r w:rsidRPr="00260BC7">
        <w:t>item requirements</w:t>
      </w:r>
      <w:r>
        <w:t>,</w:t>
      </w:r>
      <w:r w:rsidRPr="00260BC7">
        <w:t xml:space="preserve"> </w:t>
      </w:r>
      <w:r w:rsidR="00396BDB" w:rsidRPr="00260BC7">
        <w:t>e</w:t>
      </w:r>
      <w:r w:rsidR="00396BDB">
        <w:t>.</w:t>
      </w:r>
      <w:r w:rsidR="00396BDB" w:rsidRPr="00260BC7">
        <w:t>g</w:t>
      </w:r>
      <w:r w:rsidR="00396BDB">
        <w:t>.,</w:t>
      </w:r>
      <w:r w:rsidRPr="00260BC7">
        <w:t xml:space="preserve"> minimum time requirements and item descriptors? </w:t>
      </w:r>
    </w:p>
    <w:p w14:paraId="5DB5722B" w14:textId="77777777" w:rsidR="00F33076" w:rsidRPr="00260BC7" w:rsidRDefault="00F33076" w:rsidP="00E05021">
      <w:pPr>
        <w:pStyle w:val="ListBullet"/>
      </w:pPr>
      <w:r w:rsidRPr="00260BC7">
        <w:t>meeting PBS requirements in prescribing?</w:t>
      </w:r>
    </w:p>
    <w:p w14:paraId="14E9CA11" w14:textId="77777777" w:rsidR="00F33076" w:rsidRPr="00260BC7" w:rsidRDefault="00F33076" w:rsidP="00E05021">
      <w:pPr>
        <w:pStyle w:val="ListBullet"/>
      </w:pPr>
      <w:r w:rsidRPr="00260BC7">
        <w:t>providing adequate clinical input into services?</w:t>
      </w:r>
    </w:p>
    <w:p w14:paraId="67F9BDF9" w14:textId="77777777" w:rsidR="00F33076" w:rsidRDefault="00F33076" w:rsidP="00F33076">
      <w:r w:rsidRPr="00260BC7">
        <w:t>Where a practitioner is selected for review under the PRP, their servicing behaviour will likely be different to peers across multiple areas, or extremely different in one. These differences will not be able to be explained after the review of the practitioner’s whole profile</w:t>
      </w:r>
      <w:r>
        <w:t>.</w:t>
      </w:r>
      <w:bookmarkEnd w:id="0"/>
    </w:p>
    <w:p w14:paraId="72F9E474" w14:textId="77777777" w:rsidR="00F33076" w:rsidRDefault="00F33076" w:rsidP="00F33076">
      <w:pPr>
        <w:pStyle w:val="Heading2"/>
      </w:pPr>
      <w:bookmarkStart w:id="2" w:name="Initial_contact"/>
      <w:bookmarkStart w:id="3" w:name="_Hlk98781993"/>
      <w:bookmarkEnd w:id="2"/>
      <w:r>
        <w:t>How will my PRP case be conducted?</w:t>
      </w:r>
    </w:p>
    <w:bookmarkEnd w:id="3"/>
    <w:p w14:paraId="77BE1EAA" w14:textId="77777777" w:rsidR="00F33076" w:rsidRPr="00260BC7" w:rsidRDefault="00F33076" w:rsidP="00F33076">
      <w:r w:rsidRPr="00260BC7">
        <w:t>How a case progresses through the PRP depends on several factors, including:</w:t>
      </w:r>
    </w:p>
    <w:p w14:paraId="53AB4895" w14:textId="77777777" w:rsidR="00F33076" w:rsidRPr="00D4247B" w:rsidRDefault="00F33076" w:rsidP="00D4247B">
      <w:pPr>
        <w:pStyle w:val="ListBullet"/>
      </w:pPr>
      <w:r w:rsidRPr="00D4247B">
        <w:t xml:space="preserve">previous compliance history </w:t>
      </w:r>
    </w:p>
    <w:p w14:paraId="6D0C5A76" w14:textId="77777777" w:rsidR="00F33076" w:rsidRPr="00D4247B" w:rsidRDefault="00F33076" w:rsidP="00D4247B">
      <w:pPr>
        <w:pStyle w:val="ListBullet"/>
      </w:pPr>
      <w:r w:rsidRPr="00D4247B">
        <w:t xml:space="preserve">the level of concerns about the nature or extent of possible inappropriate practice </w:t>
      </w:r>
    </w:p>
    <w:p w14:paraId="0DF75502" w14:textId="4D5546E5" w:rsidR="00F33076" w:rsidRPr="00D4247B" w:rsidRDefault="00F33076" w:rsidP="00D4247B">
      <w:pPr>
        <w:pStyle w:val="ListBullet"/>
      </w:pPr>
      <w:r w:rsidRPr="00D4247B">
        <w:t>if the 80/20</w:t>
      </w:r>
      <w:r w:rsidR="00972F0C">
        <w:t xml:space="preserve"> or 30/20</w:t>
      </w:r>
      <w:r w:rsidRPr="00D4247B">
        <w:t xml:space="preserve"> rule</w:t>
      </w:r>
      <w:r w:rsidR="00972F0C">
        <w:t>s</w:t>
      </w:r>
      <w:r w:rsidRPr="00D4247B">
        <w:t xml:space="preserve"> </w:t>
      </w:r>
      <w:r w:rsidR="00972F0C">
        <w:t>have</w:t>
      </w:r>
      <w:r w:rsidR="00972F0C" w:rsidRPr="00D4247B">
        <w:t xml:space="preserve"> </w:t>
      </w:r>
      <w:r w:rsidRPr="00D4247B">
        <w:t>been breached</w:t>
      </w:r>
    </w:p>
    <w:p w14:paraId="6484F62E" w14:textId="77777777" w:rsidR="00F33076" w:rsidRPr="00260BC7" w:rsidRDefault="00F33076" w:rsidP="00D4247B">
      <w:pPr>
        <w:pStyle w:val="ListBullet"/>
      </w:pPr>
      <w:r w:rsidRPr="00D4247B">
        <w:t>whether you choose not to engage in any of the processes</w:t>
      </w:r>
      <w:r w:rsidRPr="00260BC7">
        <w:t xml:space="preserve"> under the PRP.</w:t>
      </w:r>
    </w:p>
    <w:p w14:paraId="5BE5355A" w14:textId="77777777" w:rsidR="00F33076" w:rsidRPr="00260BC7" w:rsidRDefault="00F33076" w:rsidP="00F33076">
      <w:pPr>
        <w:spacing w:after="240"/>
      </w:pPr>
      <w:r w:rsidRPr="00260BC7">
        <w:t>Most practitioners will be offered an interview. The interview provides you with the opportunity to provide an explanation for any variance in your claiming to your peers.</w:t>
      </w:r>
    </w:p>
    <w:p w14:paraId="033C9417" w14:textId="62266158" w:rsidR="00F33076" w:rsidRPr="00260BC7" w:rsidRDefault="00F33076" w:rsidP="00F33076">
      <w:pPr>
        <w:spacing w:after="240"/>
      </w:pPr>
      <w:r w:rsidRPr="00260BC7">
        <w:t xml:space="preserve">The Department may not offer you an interview where there are significant concerns of inappropriate practice or where you have breached the </w:t>
      </w:r>
      <w:hyperlink r:id="rId10" w:history="1">
        <w:r w:rsidRPr="00F228C4">
          <w:rPr>
            <w:rStyle w:val="Hyperlink"/>
          </w:rPr>
          <w:t xml:space="preserve">80/20 </w:t>
        </w:r>
        <w:r w:rsidR="00972F0C" w:rsidRPr="00F228C4">
          <w:rPr>
            <w:rStyle w:val="Hyperlink"/>
          </w:rPr>
          <w:t xml:space="preserve">or 30/20 </w:t>
        </w:r>
        <w:r w:rsidRPr="00F228C4">
          <w:rPr>
            <w:rStyle w:val="Hyperlink"/>
          </w:rPr>
          <w:t>rule</w:t>
        </w:r>
        <w:r w:rsidR="00972F0C" w:rsidRPr="00F228C4">
          <w:rPr>
            <w:rStyle w:val="Hyperlink"/>
          </w:rPr>
          <w:t>s</w:t>
        </w:r>
      </w:hyperlink>
      <w:r w:rsidRPr="00260BC7">
        <w:t xml:space="preserve">. If you are not offered an interview, the Department will contact you, usually by phone, to confirm your details and notify you that you will be, or have been, referred to a delegate of the Chief Executive Medicare (delegate) for review. </w:t>
      </w:r>
    </w:p>
    <w:p w14:paraId="4609FA64" w14:textId="29F1C936" w:rsidR="00F33076" w:rsidRDefault="00F33076" w:rsidP="00F33076">
      <w:r w:rsidRPr="00260BC7">
        <w:t>Where a practitioner breaches the 80/20</w:t>
      </w:r>
      <w:r w:rsidR="00972F0C">
        <w:t xml:space="preserve"> or 30/20</w:t>
      </w:r>
      <w:r w:rsidRPr="00260BC7">
        <w:t xml:space="preserve"> rule</w:t>
      </w:r>
      <w:r w:rsidR="00972F0C">
        <w:t>s</w:t>
      </w:r>
      <w:r w:rsidRPr="00260BC7">
        <w:t xml:space="preserve">, a delegate is required to request the Director to review your provision of services under the </w:t>
      </w:r>
      <w:r w:rsidRPr="00260BC7">
        <w:rPr>
          <w:i/>
          <w:iCs/>
        </w:rPr>
        <w:t>Health Insurance Act 1973</w:t>
      </w:r>
      <w:r w:rsidRPr="00260BC7">
        <w:t>.</w:t>
      </w:r>
    </w:p>
    <w:p w14:paraId="07D7A57A" w14:textId="77777777" w:rsidR="00F33076" w:rsidRPr="00260BC7" w:rsidRDefault="00F33076" w:rsidP="00F33076">
      <w:pPr>
        <w:pStyle w:val="Heading2"/>
      </w:pPr>
      <w:r w:rsidRPr="00260BC7">
        <w:t>Do I have to participate in the PRP process?</w:t>
      </w:r>
    </w:p>
    <w:p w14:paraId="76F3E6F3" w14:textId="77777777" w:rsidR="00F33076" w:rsidRPr="00260BC7" w:rsidRDefault="00F33076" w:rsidP="00F33076">
      <w:pPr>
        <w:spacing w:after="240"/>
      </w:pPr>
      <w:r w:rsidRPr="00260BC7">
        <w:t>You do not have to respond to any correspondence, attend an interview, provide a written submission, or provide us with any additional information if you do not wish to do so.</w:t>
      </w:r>
    </w:p>
    <w:p w14:paraId="05EFE9DF" w14:textId="77777777" w:rsidR="00F33076" w:rsidRPr="00260BC7" w:rsidRDefault="00F33076" w:rsidP="00F33076">
      <w:pPr>
        <w:spacing w:after="240"/>
      </w:pPr>
      <w:r w:rsidRPr="00260BC7">
        <w:t>If you do not respond to our initial contact, or if you decline an interview or any of the other steps under the PRP, we will rely on the information available to assess your case. An outcome of this may be to refer the matter to a delegate to consider whether to make a request to the Director.</w:t>
      </w:r>
    </w:p>
    <w:p w14:paraId="1FB25A7B" w14:textId="4532B520" w:rsidR="00D23818" w:rsidRDefault="00F33076" w:rsidP="006B4C43">
      <w:r w:rsidRPr="00260BC7">
        <w:t>We may be able to extend timeframes for interviews or submissions if the timing causes you any concerns. Please speak to your Professional Adviser to discuss your situation.</w:t>
      </w:r>
    </w:p>
    <w:p w14:paraId="3F061D1F" w14:textId="2D0E54BA" w:rsidR="00D23818" w:rsidRPr="00260BC7" w:rsidRDefault="00D23818" w:rsidP="00D23818">
      <w:pPr>
        <w:pStyle w:val="Heading2"/>
      </w:pPr>
      <w:r>
        <w:lastRenderedPageBreak/>
        <w:t>Impact of the</w:t>
      </w:r>
      <w:r w:rsidRPr="00260BC7">
        <w:t xml:space="preserve"> PRP process</w:t>
      </w:r>
    </w:p>
    <w:p w14:paraId="3A0819FB" w14:textId="68DACD99" w:rsidR="00D23818" w:rsidRPr="00D23818" w:rsidRDefault="00D23818" w:rsidP="00D23818">
      <w:pPr>
        <w:rPr>
          <w:rFonts w:cs="Arial"/>
          <w:szCs w:val="22"/>
        </w:rPr>
      </w:pPr>
      <w:r w:rsidRPr="00D23818">
        <w:rPr>
          <w:rFonts w:cs="Arial"/>
        </w:rPr>
        <w:t xml:space="preserve">The </w:t>
      </w:r>
      <w:r w:rsidR="009D1E94">
        <w:rPr>
          <w:rFonts w:cs="Arial"/>
        </w:rPr>
        <w:t>d</w:t>
      </w:r>
      <w:r w:rsidRPr="00D23818">
        <w:rPr>
          <w:rFonts w:cs="Arial"/>
        </w:rPr>
        <w:t>epartment understands that some practitioners may find the PRP process to be stressful. We suggest that practitioners have their own GP. Online resources, information and phone counselling services may be available from services including:</w:t>
      </w:r>
    </w:p>
    <w:p w14:paraId="63D99131" w14:textId="6E7FF720" w:rsidR="00D23818" w:rsidRPr="009D1E94" w:rsidRDefault="00D23818" w:rsidP="009D1E94">
      <w:pPr>
        <w:pStyle w:val="ListBullet"/>
        <w:rPr>
          <w:rFonts w:cs="Arial"/>
        </w:rPr>
      </w:pPr>
      <w:r w:rsidRPr="009D1E94">
        <w:rPr>
          <w:rFonts w:cs="Arial"/>
        </w:rPr>
        <w:t xml:space="preserve">for doctors: </w:t>
      </w:r>
      <w:r w:rsidRPr="009D1E94">
        <w:t>Doctors</w:t>
      </w:r>
      <w:r w:rsidRPr="009D1E94">
        <w:rPr>
          <w:rFonts w:cs="Arial"/>
        </w:rPr>
        <w:t xml:space="preserve"> Health Services (</w:t>
      </w:r>
      <w:hyperlink r:id="rId11" w:history="1">
        <w:r w:rsidRPr="00E70F75">
          <w:rPr>
            <w:rStyle w:val="Hyperlink"/>
            <w:rFonts w:cs="Arial"/>
          </w:rPr>
          <w:t>DRS4DRS</w:t>
        </w:r>
      </w:hyperlink>
      <w:r w:rsidRPr="009D1E94">
        <w:rPr>
          <w:rFonts w:cs="Arial"/>
        </w:rPr>
        <w:t xml:space="preserve">), </w:t>
      </w:r>
      <w:r w:rsidRPr="009D1E94">
        <w:rPr>
          <w:rStyle w:val="Hyperlink"/>
          <w:rFonts w:cs="Arial"/>
        </w:rPr>
        <w:t xml:space="preserve">or the </w:t>
      </w:r>
      <w:hyperlink r:id="rId12" w:history="1">
        <w:r w:rsidRPr="00453F53">
          <w:rPr>
            <w:rStyle w:val="Hyperlink"/>
            <w:rFonts w:cs="Arial"/>
          </w:rPr>
          <w:t>Doctors’ Health Advisory Service</w:t>
        </w:r>
      </w:hyperlink>
    </w:p>
    <w:p w14:paraId="2CA3EAEE" w14:textId="38AC89DD" w:rsidR="00D23818" w:rsidRPr="009D1E94" w:rsidRDefault="00D23818" w:rsidP="009D1E94">
      <w:pPr>
        <w:pStyle w:val="ListBullet"/>
        <w:rPr>
          <w:rFonts w:cs="Arial"/>
        </w:rPr>
      </w:pPr>
      <w:r w:rsidRPr="009D1E94">
        <w:rPr>
          <w:rFonts w:cs="Arial"/>
        </w:rPr>
        <w:t xml:space="preserve">for nurse </w:t>
      </w:r>
      <w:r w:rsidRPr="009D1E94">
        <w:t>practitioners</w:t>
      </w:r>
      <w:r w:rsidRPr="009D1E94">
        <w:rPr>
          <w:rFonts w:cs="Arial"/>
        </w:rPr>
        <w:t xml:space="preserve"> and midwives: </w:t>
      </w:r>
      <w:hyperlink r:id="rId13" w:history="1">
        <w:r w:rsidRPr="0064272D">
          <w:rPr>
            <w:rStyle w:val="Hyperlink"/>
            <w:rFonts w:cs="Arial"/>
          </w:rPr>
          <w:t>Nurse and Midwife Support</w:t>
        </w:r>
      </w:hyperlink>
    </w:p>
    <w:p w14:paraId="535545B5" w14:textId="41561AD0" w:rsidR="00D23818" w:rsidRDefault="00D23818" w:rsidP="006B4C43">
      <w:pPr>
        <w:pStyle w:val="ListBullet"/>
        <w:rPr>
          <w:rFonts w:cs="Arial"/>
        </w:rPr>
      </w:pPr>
      <w:r w:rsidRPr="009D1E94">
        <w:rPr>
          <w:rFonts w:cs="Arial"/>
        </w:rPr>
        <w:t xml:space="preserve">for </w:t>
      </w:r>
      <w:r w:rsidRPr="009D1E94">
        <w:t>dentists</w:t>
      </w:r>
      <w:r w:rsidRPr="009D1E94">
        <w:rPr>
          <w:rFonts w:cs="Arial"/>
        </w:rPr>
        <w:t xml:space="preserve">: </w:t>
      </w:r>
      <w:hyperlink r:id="rId14" w:history="1">
        <w:r w:rsidRPr="0080590D">
          <w:rPr>
            <w:rStyle w:val="Hyperlink"/>
            <w:rFonts w:cs="Arial"/>
          </w:rPr>
          <w:t>Dental Practitioner Support</w:t>
        </w:r>
      </w:hyperlink>
      <w:r w:rsidRPr="009D1E94">
        <w:rPr>
          <w:rFonts w:cs="Arial"/>
        </w:rPr>
        <w:t>: or Doctors’ Health Advisory Service</w:t>
      </w:r>
    </w:p>
    <w:p w14:paraId="73B3FB8D" w14:textId="05FF97D6" w:rsidR="003067B2" w:rsidRPr="006B4C43" w:rsidRDefault="003067B2" w:rsidP="006B4C43">
      <w:pPr>
        <w:pStyle w:val="ListBullet"/>
        <w:rPr>
          <w:rFonts w:cs="Arial"/>
        </w:rPr>
      </w:pPr>
      <w:r>
        <w:rPr>
          <w:rFonts w:cs="Arial"/>
        </w:rPr>
        <w:t xml:space="preserve">for </w:t>
      </w:r>
      <w:r w:rsidR="008174F6">
        <w:rPr>
          <w:rFonts w:cs="Arial"/>
        </w:rPr>
        <w:t xml:space="preserve">optometrists: </w:t>
      </w:r>
      <w:hyperlink r:id="rId15" w:history="1">
        <w:r w:rsidR="00D36155" w:rsidRPr="008B6688">
          <w:rPr>
            <w:rStyle w:val="Hyperlink"/>
            <w:rFonts w:cs="Arial"/>
          </w:rPr>
          <w:t>Optometry Australia supporting your mental health</w:t>
        </w:r>
      </w:hyperlink>
    </w:p>
    <w:p w14:paraId="56A12FDE" w14:textId="45691B40" w:rsidR="00D23818" w:rsidRPr="006B4C43" w:rsidRDefault="00D23818" w:rsidP="006B4C43">
      <w:pPr>
        <w:rPr>
          <w:rFonts w:cs="Arial"/>
        </w:rPr>
      </w:pPr>
      <w:r w:rsidRPr="00D23818">
        <w:rPr>
          <w:rFonts w:cs="Arial"/>
        </w:rPr>
        <w:t>Your professional indemnity insurer may also be able to offer support and advice.</w:t>
      </w:r>
    </w:p>
    <w:p w14:paraId="74D3CBC4" w14:textId="77777777" w:rsidR="00F33076" w:rsidRDefault="00F33076" w:rsidP="005218B2">
      <w:pPr>
        <w:pStyle w:val="Heading2"/>
        <w:pageBreakBefore/>
      </w:pPr>
      <w:bookmarkStart w:id="4" w:name="Information_gathering"/>
      <w:bookmarkStart w:id="5" w:name="Review"/>
      <w:bookmarkStart w:id="6" w:name="Delegate_Assessment"/>
      <w:bookmarkEnd w:id="4"/>
      <w:bookmarkEnd w:id="5"/>
      <w:bookmarkEnd w:id="6"/>
      <w:r>
        <w:lastRenderedPageBreak/>
        <w:t>More</w:t>
      </w:r>
      <w:r>
        <w:rPr>
          <w:spacing w:val="-5"/>
        </w:rPr>
        <w:t xml:space="preserve"> </w:t>
      </w:r>
      <w:r w:rsidRPr="00260BC7">
        <w:t>information</w:t>
      </w:r>
    </w:p>
    <w:p w14:paraId="7C3D1676" w14:textId="32E2B8FC" w:rsidR="00F33076" w:rsidRPr="005218B2" w:rsidRDefault="00F33076" w:rsidP="00F33076">
      <w:pPr>
        <w:rPr>
          <w:rStyle w:val="Hyperlink"/>
        </w:rPr>
      </w:pPr>
      <w:hyperlink r:id="rId16" w:history="1">
        <w:r w:rsidRPr="005218B2">
          <w:rPr>
            <w:rStyle w:val="Hyperlink"/>
          </w:rPr>
          <w:t>PRP for Practitioners</w:t>
        </w:r>
      </w:hyperlink>
      <w:r w:rsidRPr="005218B2">
        <w:rPr>
          <w:rStyle w:val="Hyperlink"/>
        </w:rPr>
        <w:t xml:space="preserve"> </w:t>
      </w:r>
    </w:p>
    <w:p w14:paraId="4E939B3C" w14:textId="77777777" w:rsidR="00F33076" w:rsidRPr="005218B2" w:rsidRDefault="00F33076" w:rsidP="00F33076">
      <w:pPr>
        <w:rPr>
          <w:rStyle w:val="Hyperlink"/>
        </w:rPr>
      </w:pPr>
      <w:hyperlink r:id="rId17">
        <w:r w:rsidRPr="005218B2">
          <w:rPr>
            <w:rStyle w:val="Hyperlink"/>
          </w:rPr>
          <w:t>Inappropriate practice</w:t>
        </w:r>
      </w:hyperlink>
    </w:p>
    <w:p w14:paraId="0FB73C12" w14:textId="77777777" w:rsidR="00F33076" w:rsidRPr="005218B2" w:rsidRDefault="00F33076" w:rsidP="00F33076">
      <w:pPr>
        <w:rPr>
          <w:rStyle w:val="Hyperlink"/>
        </w:rPr>
      </w:pPr>
      <w:hyperlink r:id="rId18">
        <w:r w:rsidRPr="005218B2">
          <w:rPr>
            <w:rStyle w:val="Hyperlink"/>
          </w:rPr>
          <w:t>MBS Online</w:t>
        </w:r>
      </w:hyperlink>
    </w:p>
    <w:p w14:paraId="038827E7" w14:textId="77777777" w:rsidR="00F33076" w:rsidRPr="005218B2" w:rsidRDefault="00F33076" w:rsidP="00F33076">
      <w:pPr>
        <w:rPr>
          <w:rStyle w:val="Hyperlink"/>
        </w:rPr>
      </w:pPr>
      <w:hyperlink r:id="rId19">
        <w:r w:rsidRPr="005218B2">
          <w:rPr>
            <w:rStyle w:val="Hyperlink"/>
          </w:rPr>
          <w:t>Professional Services Review</w:t>
        </w:r>
      </w:hyperlink>
    </w:p>
    <w:p w14:paraId="196F8696" w14:textId="77777777" w:rsidR="00F33076" w:rsidRPr="005218B2" w:rsidRDefault="00F33076" w:rsidP="00F33076">
      <w:pPr>
        <w:rPr>
          <w:rStyle w:val="Hyperlink"/>
        </w:rPr>
      </w:pPr>
      <w:hyperlink r:id="rId20">
        <w:r w:rsidRPr="005218B2">
          <w:rPr>
            <w:rStyle w:val="Hyperlink"/>
          </w:rPr>
          <w:t>Preparing a written submission for the Practitioner</w:t>
        </w:r>
      </w:hyperlink>
      <w:r w:rsidRPr="005218B2">
        <w:rPr>
          <w:rStyle w:val="Hyperlink"/>
        </w:rPr>
        <w:t xml:space="preserve"> </w:t>
      </w:r>
      <w:hyperlink r:id="rId21">
        <w:r w:rsidRPr="005218B2">
          <w:rPr>
            <w:rStyle w:val="Hyperlink"/>
          </w:rPr>
          <w:t>Review Program</w:t>
        </w:r>
      </w:hyperlink>
    </w:p>
    <w:p w14:paraId="668AEEC6" w14:textId="699B5B2D" w:rsidR="00F33076" w:rsidRPr="005218B2" w:rsidRDefault="00F33076" w:rsidP="00F33076">
      <w:pPr>
        <w:rPr>
          <w:rStyle w:val="Hyperlink"/>
        </w:rPr>
      </w:pPr>
      <w:r w:rsidRPr="005218B2">
        <w:rPr>
          <w:rStyle w:val="Hyperlink"/>
        </w:rPr>
        <w:fldChar w:fldCharType="begin"/>
      </w:r>
      <w:r w:rsidRPr="005218B2">
        <w:rPr>
          <w:rStyle w:val="Hyperlink"/>
        </w:rPr>
        <w:instrText xml:space="preserve"> HYPERLINK "https://health.gov.au/resources/collections/prescribed-pattern-of-service-the-8020-rule" </w:instrText>
      </w:r>
      <w:r w:rsidRPr="005218B2">
        <w:rPr>
          <w:rStyle w:val="Hyperlink"/>
        </w:rPr>
      </w:r>
      <w:r w:rsidRPr="005218B2">
        <w:rPr>
          <w:rStyle w:val="Hyperlink"/>
        </w:rPr>
        <w:fldChar w:fldCharType="separate"/>
      </w:r>
      <w:r w:rsidRPr="005218B2">
        <w:rPr>
          <w:rStyle w:val="Hyperlink"/>
        </w:rPr>
        <w:t>Prescribed Pattern of Services 80/20 rule</w:t>
      </w:r>
    </w:p>
    <w:p w14:paraId="7AF70A4D" w14:textId="7838ED8B" w:rsidR="00F33076" w:rsidRPr="005218B2" w:rsidRDefault="00F33076" w:rsidP="00F33076">
      <w:pPr>
        <w:rPr>
          <w:rStyle w:val="Hyperlink"/>
        </w:rPr>
      </w:pPr>
      <w:r w:rsidRPr="005218B2">
        <w:rPr>
          <w:rStyle w:val="Hyperlink"/>
        </w:rPr>
        <w:fldChar w:fldCharType="end"/>
      </w:r>
      <w:hyperlink r:id="rId22">
        <w:r w:rsidRPr="005218B2">
          <w:rPr>
            <w:rStyle w:val="Hyperlink"/>
          </w:rPr>
          <w:t>Health provider compliance audits and reviews</w:t>
        </w:r>
      </w:hyperlink>
    </w:p>
    <w:p w14:paraId="72532D25" w14:textId="77777777" w:rsidR="00F33076" w:rsidRPr="005218B2" w:rsidRDefault="00F33076" w:rsidP="00F33076">
      <w:pPr>
        <w:rPr>
          <w:rStyle w:val="Hyperlink"/>
        </w:rPr>
      </w:pPr>
      <w:hyperlink r:id="rId23" w:history="1">
        <w:r w:rsidRPr="005218B2">
          <w:rPr>
            <w:rStyle w:val="Hyperlink"/>
          </w:rPr>
          <w:t>Medicare Billing Assurance Toolkit</w:t>
        </w:r>
      </w:hyperlink>
    </w:p>
    <w:p w14:paraId="7BF7EA56" w14:textId="77777777" w:rsidR="00F33076" w:rsidRPr="005218B2" w:rsidRDefault="00F33076" w:rsidP="00F33076">
      <w:pPr>
        <w:rPr>
          <w:rStyle w:val="Hyperlink"/>
        </w:rPr>
      </w:pPr>
      <w:hyperlink r:id="rId24" w:history="1">
        <w:r w:rsidRPr="005218B2">
          <w:rPr>
            <w:rStyle w:val="Hyperlink"/>
          </w:rPr>
          <w:t>Billing accurately under Medicare</w:t>
        </w:r>
      </w:hyperlink>
    </w:p>
    <w:p w14:paraId="70E5D5DB" w14:textId="77777777" w:rsidR="00F33076" w:rsidRPr="005218B2" w:rsidRDefault="00F33076" w:rsidP="00F33076">
      <w:pPr>
        <w:rPr>
          <w:rStyle w:val="Hyperlink"/>
        </w:rPr>
      </w:pPr>
      <w:hyperlink r:id="rId25" w:history="1">
        <w:r w:rsidRPr="005218B2">
          <w:rPr>
            <w:rStyle w:val="Hyperlink"/>
          </w:rPr>
          <w:t>Health professional guidelines</w:t>
        </w:r>
      </w:hyperlink>
    </w:p>
    <w:p w14:paraId="7663F502" w14:textId="0805BD38" w:rsidR="0043763A" w:rsidRPr="005218B2" w:rsidRDefault="00F33076" w:rsidP="00F33076">
      <w:pPr>
        <w:rPr>
          <w:rStyle w:val="Hyperlink"/>
        </w:rPr>
      </w:pPr>
      <w:hyperlink r:id="rId26" w:history="1">
        <w:r w:rsidRPr="005218B2">
          <w:rPr>
            <w:rStyle w:val="Hyperlink"/>
          </w:rPr>
          <w:t>Overview of the PBS</w:t>
        </w:r>
      </w:hyperlink>
    </w:p>
    <w:sectPr w:rsidR="0043763A" w:rsidRPr="005218B2" w:rsidSect="005218B2">
      <w:headerReference w:type="even" r:id="rId27"/>
      <w:headerReference w:type="default" r:id="rId28"/>
      <w:footerReference w:type="even" r:id="rId29"/>
      <w:footerReference w:type="default" r:id="rId30"/>
      <w:headerReference w:type="first" r:id="rId31"/>
      <w:footerReference w:type="first" r:id="rId32"/>
      <w:pgSz w:w="11906" w:h="16838"/>
      <w:pgMar w:top="269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1402F" w14:textId="77777777" w:rsidR="0088437D" w:rsidRDefault="0088437D" w:rsidP="00F33076">
      <w:pPr>
        <w:spacing w:line="240" w:lineRule="auto"/>
      </w:pPr>
      <w:r>
        <w:separator/>
      </w:r>
    </w:p>
  </w:endnote>
  <w:endnote w:type="continuationSeparator" w:id="0">
    <w:p w14:paraId="426A2D84" w14:textId="77777777" w:rsidR="0088437D" w:rsidRDefault="0088437D" w:rsidP="00F330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1794" w14:textId="25D7A5CC" w:rsidR="001131E7" w:rsidRDefault="001131E7">
    <w:pPr>
      <w:pStyle w:val="Footer"/>
    </w:pPr>
    <w:r>
      <w:rPr>
        <w:noProof/>
      </w:rPr>
      <mc:AlternateContent>
        <mc:Choice Requires="wps">
          <w:drawing>
            <wp:anchor distT="0" distB="0" distL="0" distR="0" simplePos="0" relativeHeight="251662336" behindDoc="0" locked="0" layoutInCell="1" allowOverlap="1" wp14:anchorId="5D003ADB" wp14:editId="29283B8F">
              <wp:simplePos x="635" y="635"/>
              <wp:positionH relativeFrom="page">
                <wp:align>center</wp:align>
              </wp:positionH>
              <wp:positionV relativeFrom="page">
                <wp:align>bottom</wp:align>
              </wp:positionV>
              <wp:extent cx="551815" cy="469265"/>
              <wp:effectExtent l="0" t="0" r="635" b="0"/>
              <wp:wrapNone/>
              <wp:docPr id="11951612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9265"/>
                      </a:xfrm>
                      <a:prstGeom prst="rect">
                        <a:avLst/>
                      </a:prstGeom>
                      <a:noFill/>
                      <a:ln>
                        <a:noFill/>
                      </a:ln>
                    </wps:spPr>
                    <wps:txbx>
                      <w:txbxContent>
                        <w:p w14:paraId="1373583E" w14:textId="4B0CECEF" w:rsidR="001131E7" w:rsidRPr="001131E7" w:rsidRDefault="001131E7" w:rsidP="001131E7">
                          <w:pPr>
                            <w:rPr>
                              <w:rFonts w:ascii="Calibri" w:eastAsia="Calibri" w:hAnsi="Calibri" w:cs="Calibri"/>
                              <w:noProof/>
                              <w:color w:val="FF0000"/>
                              <w:sz w:val="24"/>
                            </w:rPr>
                          </w:pPr>
                          <w:r w:rsidRPr="001131E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003ADB" id="_x0000_t202" coordsize="21600,21600" o:spt="202" path="m,l,21600r21600,l21600,xe">
              <v:stroke joinstyle="miter"/>
              <v:path gradientshapeok="t" o:connecttype="rect"/>
            </v:shapetype>
            <v:shape id="Text Box 5" o:spid="_x0000_s1027" type="#_x0000_t202" alt="OFFICIAL" style="position:absolute;margin-left:0;margin-top:0;width:43.45pt;height:36.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" filled="f" stroked="f">
              <v:textbox style="mso-fit-shape-to-text:t" inset="0,0,0,15pt">
                <w:txbxContent>
                  <w:p w14:paraId="1373583E" w14:textId="4B0CECEF" w:rsidR="001131E7" w:rsidRPr="001131E7" w:rsidRDefault="001131E7" w:rsidP="001131E7">
                    <w:pPr>
                      <w:rPr>
                        <w:rFonts w:ascii="Calibri" w:eastAsia="Calibri" w:hAnsi="Calibri" w:cs="Calibri"/>
                        <w:noProof/>
                        <w:color w:val="FF0000"/>
                        <w:sz w:val="24"/>
                      </w:rPr>
                    </w:pPr>
                    <w:r w:rsidRPr="001131E7">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08A0" w14:textId="3CB02A29" w:rsidR="009A31A5" w:rsidRDefault="0043763A" w:rsidP="004F35A5">
    <w:pPr>
      <w:pStyle w:val="Footer"/>
    </w:pPr>
    <w:r>
      <w:t>Department of Health, Disability and Ageing</w:t>
    </w:r>
    <w:r w:rsidR="00BC2557">
      <w:t xml:space="preserve"> </w:t>
    </w:r>
    <w:r w:rsidR="00F33076">
      <w:t xml:space="preserve">– </w:t>
    </w:r>
    <w:r w:rsidR="004F35A5">
      <w:t xml:space="preserve">What you need to know about the Practitioner </w:t>
    </w:r>
    <w:r w:rsidR="00A36770">
      <w:t>r</w:t>
    </w:r>
    <w:r w:rsidR="004F35A5">
      <w:t xml:space="preserve">eview </w:t>
    </w:r>
    <w:r w:rsidR="00A36770">
      <w:t>p</w:t>
    </w:r>
    <w:r w:rsidR="004F35A5">
      <w:t xml:space="preserve">rogram </w:t>
    </w:r>
    <w:r w:rsidR="00F33076">
      <w:tab/>
    </w:r>
    <w:r w:rsidR="00F33076">
      <w:tab/>
    </w:r>
    <w:sdt>
      <w:sdtPr>
        <w:id w:val="-603571878"/>
        <w:docPartObj>
          <w:docPartGallery w:val="Page Numbers (Bottom of Page)"/>
          <w:docPartUnique/>
        </w:docPartObj>
      </w:sdtPr>
      <w:sdtEndPr>
        <w:rPr>
          <w:noProof/>
        </w:rPr>
      </w:sdtEndPr>
      <w:sdtContent>
        <w:r w:rsidR="00F33076">
          <w:fldChar w:fldCharType="begin"/>
        </w:r>
        <w:r w:rsidR="00F33076">
          <w:instrText xml:space="preserve"> PAGE   \* MERGEFORMAT </w:instrText>
        </w:r>
        <w:r w:rsidR="00F33076">
          <w:fldChar w:fldCharType="separate"/>
        </w:r>
        <w:r w:rsidR="00F33076">
          <w:rPr>
            <w:noProof/>
          </w:rPr>
          <w:t>2</w:t>
        </w:r>
        <w:r w:rsidR="00F33076">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417E" w14:textId="43B1AF4B" w:rsidR="001131E7" w:rsidRDefault="001131E7">
    <w:pPr>
      <w:pStyle w:val="Footer"/>
    </w:pPr>
    <w:r>
      <w:rPr>
        <w:noProof/>
      </w:rPr>
      <mc:AlternateContent>
        <mc:Choice Requires="wps">
          <w:drawing>
            <wp:anchor distT="0" distB="0" distL="0" distR="0" simplePos="0" relativeHeight="251661312" behindDoc="0" locked="0" layoutInCell="1" allowOverlap="1" wp14:anchorId="129E9F73" wp14:editId="13BE90FE">
              <wp:simplePos x="635" y="635"/>
              <wp:positionH relativeFrom="page">
                <wp:align>center</wp:align>
              </wp:positionH>
              <wp:positionV relativeFrom="page">
                <wp:align>bottom</wp:align>
              </wp:positionV>
              <wp:extent cx="551815" cy="469265"/>
              <wp:effectExtent l="0" t="0" r="635" b="0"/>
              <wp:wrapNone/>
              <wp:docPr id="142348679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9265"/>
                      </a:xfrm>
                      <a:prstGeom prst="rect">
                        <a:avLst/>
                      </a:prstGeom>
                      <a:noFill/>
                      <a:ln>
                        <a:noFill/>
                      </a:ln>
                    </wps:spPr>
                    <wps:txbx>
                      <w:txbxContent>
                        <w:p w14:paraId="0BF5413E" w14:textId="5AD48E43" w:rsidR="001131E7" w:rsidRPr="001131E7" w:rsidRDefault="001131E7" w:rsidP="001131E7">
                          <w:pPr>
                            <w:rPr>
                              <w:rFonts w:ascii="Calibri" w:eastAsia="Calibri" w:hAnsi="Calibri" w:cs="Calibri"/>
                              <w:noProof/>
                              <w:color w:val="FF0000"/>
                              <w:sz w:val="24"/>
                            </w:rPr>
                          </w:pPr>
                          <w:r w:rsidRPr="001131E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9E9F73" id="_x0000_t202" coordsize="21600,21600" o:spt="202" path="m,l,21600r21600,l21600,xe">
              <v:stroke joinstyle="miter"/>
              <v:path gradientshapeok="t" o:connecttype="rect"/>
            </v:shapetype>
            <v:shape id="Text Box 4" o:spid="_x0000_s1029" type="#_x0000_t202" alt="OFFICIAL" style="position:absolute;margin-left:0;margin-top:0;width:43.45pt;height:36.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" filled="f" stroked="f">
              <v:textbox style="mso-fit-shape-to-text:t" inset="0,0,0,15pt">
                <w:txbxContent>
                  <w:p w14:paraId="0BF5413E" w14:textId="5AD48E43" w:rsidR="001131E7" w:rsidRPr="001131E7" w:rsidRDefault="001131E7" w:rsidP="001131E7">
                    <w:pPr>
                      <w:rPr>
                        <w:rFonts w:ascii="Calibri" w:eastAsia="Calibri" w:hAnsi="Calibri" w:cs="Calibri"/>
                        <w:noProof/>
                        <w:color w:val="FF0000"/>
                        <w:sz w:val="24"/>
                      </w:rPr>
                    </w:pPr>
                    <w:r w:rsidRPr="001131E7">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8D78E" w14:textId="77777777" w:rsidR="0088437D" w:rsidRDefault="0088437D" w:rsidP="00F33076">
      <w:pPr>
        <w:spacing w:line="240" w:lineRule="auto"/>
      </w:pPr>
      <w:r>
        <w:separator/>
      </w:r>
    </w:p>
  </w:footnote>
  <w:footnote w:type="continuationSeparator" w:id="0">
    <w:p w14:paraId="37C0D42D" w14:textId="77777777" w:rsidR="0088437D" w:rsidRDefault="0088437D" w:rsidP="00F330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66AC" w14:textId="4406F1C1" w:rsidR="001131E7" w:rsidRDefault="001131E7">
    <w:pPr>
      <w:pStyle w:val="Header"/>
    </w:pPr>
    <w:r>
      <w:rPr>
        <w:noProof/>
      </w:rPr>
      <mc:AlternateContent>
        <mc:Choice Requires="wps">
          <w:drawing>
            <wp:anchor distT="0" distB="0" distL="0" distR="0" simplePos="0" relativeHeight="251659264" behindDoc="0" locked="0" layoutInCell="1" allowOverlap="1" wp14:anchorId="597546D0" wp14:editId="63C40956">
              <wp:simplePos x="635" y="635"/>
              <wp:positionH relativeFrom="page">
                <wp:align>center</wp:align>
              </wp:positionH>
              <wp:positionV relativeFrom="page">
                <wp:align>top</wp:align>
              </wp:positionV>
              <wp:extent cx="551815" cy="469265"/>
              <wp:effectExtent l="0" t="0" r="635" b="6985"/>
              <wp:wrapNone/>
              <wp:docPr id="3397666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9265"/>
                      </a:xfrm>
                      <a:prstGeom prst="rect">
                        <a:avLst/>
                      </a:prstGeom>
                      <a:noFill/>
                      <a:ln>
                        <a:noFill/>
                      </a:ln>
                    </wps:spPr>
                    <wps:txbx>
                      <w:txbxContent>
                        <w:p w14:paraId="7717B984" w14:textId="64350120" w:rsidR="001131E7" w:rsidRPr="001131E7" w:rsidRDefault="001131E7" w:rsidP="001131E7">
                          <w:pPr>
                            <w:rPr>
                              <w:rFonts w:ascii="Calibri" w:eastAsia="Calibri" w:hAnsi="Calibri" w:cs="Calibri"/>
                              <w:noProof/>
                              <w:color w:val="FF0000"/>
                              <w:sz w:val="24"/>
                            </w:rPr>
                          </w:pPr>
                          <w:r w:rsidRPr="001131E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7546D0" id="_x0000_t202" coordsize="21600,21600" o:spt="202" path="m,l,21600r21600,l21600,xe">
              <v:stroke joinstyle="miter"/>
              <v:path gradientshapeok="t" o:connecttype="rect"/>
            </v:shapetype>
            <v:shape id="Text Box 2" o:spid="_x0000_s1026" type="#_x0000_t202" alt="OFFICIAL" style="position:absolute;margin-left:0;margin-top:0;width:43.45pt;height:36.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" filled="f" stroked="f">
              <v:textbox style="mso-fit-shape-to-text:t" inset="0,15pt,0,0">
                <w:txbxContent>
                  <w:p w14:paraId="7717B984" w14:textId="64350120" w:rsidR="001131E7" w:rsidRPr="001131E7" w:rsidRDefault="001131E7" w:rsidP="001131E7">
                    <w:pPr>
                      <w:rPr>
                        <w:rFonts w:ascii="Calibri" w:eastAsia="Calibri" w:hAnsi="Calibri" w:cs="Calibri"/>
                        <w:noProof/>
                        <w:color w:val="FF0000"/>
                        <w:sz w:val="24"/>
                      </w:rPr>
                    </w:pPr>
                    <w:r w:rsidRPr="001131E7">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AB83" w14:textId="3AB98494" w:rsidR="009A31A5" w:rsidRDefault="005F3E2A" w:rsidP="00F33076">
    <w:pPr>
      <w:pStyle w:val="Header"/>
    </w:pPr>
    <w:r>
      <w:rPr>
        <w:noProof/>
      </w:rPr>
      <w:drawing>
        <wp:inline distT="0" distB="0" distL="0" distR="0" wp14:anchorId="7A1FEABE" wp14:editId="7A7A7F65">
          <wp:extent cx="5731510" cy="939165"/>
          <wp:effectExtent l="0" t="0" r="2540" b="0"/>
          <wp:docPr id="1403913721" name="Picture 1"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913721" name="Picture 1" descr="Australian Government Department of Health, Disability and Ageing crest"/>
                  <pic:cNvPicPr/>
                </pic:nvPicPr>
                <pic:blipFill>
                  <a:blip r:embed="rId1">
                    <a:extLst>
                      <a:ext uri="{28A0092B-C50C-407E-A947-70E740481C1C}">
                        <a14:useLocalDpi xmlns:a14="http://schemas.microsoft.com/office/drawing/2010/main" val="0"/>
                      </a:ext>
                    </a:extLst>
                  </a:blip>
                  <a:stretch>
                    <a:fillRect/>
                  </a:stretch>
                </pic:blipFill>
                <pic:spPr>
                  <a:xfrm>
                    <a:off x="0" y="0"/>
                    <a:ext cx="5731510" cy="9391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9F5F" w14:textId="428C4B83" w:rsidR="001131E7" w:rsidRDefault="001131E7">
    <w:pPr>
      <w:pStyle w:val="Header"/>
    </w:pPr>
    <w:r>
      <w:rPr>
        <w:noProof/>
      </w:rPr>
      <mc:AlternateContent>
        <mc:Choice Requires="wps">
          <w:drawing>
            <wp:anchor distT="0" distB="0" distL="0" distR="0" simplePos="0" relativeHeight="251658240" behindDoc="0" locked="0" layoutInCell="1" allowOverlap="1" wp14:anchorId="1B39CBBD" wp14:editId="05F23C1E">
              <wp:simplePos x="635" y="635"/>
              <wp:positionH relativeFrom="page">
                <wp:align>center</wp:align>
              </wp:positionH>
              <wp:positionV relativeFrom="page">
                <wp:align>top</wp:align>
              </wp:positionV>
              <wp:extent cx="551815" cy="469265"/>
              <wp:effectExtent l="0" t="0" r="635" b="6985"/>
              <wp:wrapNone/>
              <wp:docPr id="9961202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9265"/>
                      </a:xfrm>
                      <a:prstGeom prst="rect">
                        <a:avLst/>
                      </a:prstGeom>
                      <a:noFill/>
                      <a:ln>
                        <a:noFill/>
                      </a:ln>
                    </wps:spPr>
                    <wps:txbx>
                      <w:txbxContent>
                        <w:p w14:paraId="427A2E96" w14:textId="645A1ABD" w:rsidR="001131E7" w:rsidRPr="001131E7" w:rsidRDefault="001131E7" w:rsidP="001131E7">
                          <w:pPr>
                            <w:rPr>
                              <w:rFonts w:ascii="Calibri" w:eastAsia="Calibri" w:hAnsi="Calibri" w:cs="Calibri"/>
                              <w:noProof/>
                              <w:color w:val="FF0000"/>
                              <w:sz w:val="24"/>
                            </w:rPr>
                          </w:pPr>
                          <w:r w:rsidRPr="001131E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39CBBD" id="_x0000_t202" coordsize="21600,21600" o:spt="202" path="m,l,21600r21600,l21600,xe">
              <v:stroke joinstyle="miter"/>
              <v:path gradientshapeok="t" o:connecttype="rect"/>
            </v:shapetype>
            <v:shape id="Text Box 1" o:spid="_x0000_s1028" type="#_x0000_t202" alt="OFFICIAL" style="position:absolute;margin-left:0;margin-top:0;width:43.45pt;height:36.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" filled="f" stroked="f">
              <v:textbox style="mso-fit-shape-to-text:t" inset="0,15pt,0,0">
                <w:txbxContent>
                  <w:p w14:paraId="427A2E96" w14:textId="645A1ABD" w:rsidR="001131E7" w:rsidRPr="001131E7" w:rsidRDefault="001131E7" w:rsidP="001131E7">
                    <w:pPr>
                      <w:rPr>
                        <w:rFonts w:ascii="Calibri" w:eastAsia="Calibri" w:hAnsi="Calibri" w:cs="Calibri"/>
                        <w:noProof/>
                        <w:color w:val="FF0000"/>
                        <w:sz w:val="24"/>
                      </w:rPr>
                    </w:pPr>
                    <w:r w:rsidRPr="001131E7">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42643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127B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84C3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FE47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BC51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E474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88B4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AE3EDE"/>
    <w:lvl w:ilvl="0">
      <w:start w:val="1"/>
      <w:numFmt w:val="bullet"/>
      <w:pStyle w:val="ListBullet2"/>
      <w:lvlText w:val="o"/>
      <w:lvlJc w:val="left"/>
      <w:pPr>
        <w:ind w:left="643" w:hanging="360"/>
      </w:pPr>
      <w:rPr>
        <w:rFonts w:ascii="Courier New" w:hAnsi="Courier New" w:cs="Courier New" w:hint="default"/>
      </w:rPr>
    </w:lvl>
  </w:abstractNum>
  <w:abstractNum w:abstractNumId="8" w15:restartNumberingAfterBreak="0">
    <w:nsid w:val="FFFFFF88"/>
    <w:multiLevelType w:val="singleLevel"/>
    <w:tmpl w:val="096236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0229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A9C3C2E"/>
    <w:multiLevelType w:val="hybridMultilevel"/>
    <w:tmpl w:val="D890C0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1FA3C09"/>
    <w:multiLevelType w:val="hybridMultilevel"/>
    <w:tmpl w:val="EDBCF04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219973420">
    <w:abstractNumId w:val="9"/>
  </w:num>
  <w:num w:numId="2" w16cid:durableId="767507264">
    <w:abstractNumId w:val="7"/>
  </w:num>
  <w:num w:numId="3" w16cid:durableId="1593782281">
    <w:abstractNumId w:val="10"/>
  </w:num>
  <w:num w:numId="4" w16cid:durableId="520633250">
    <w:abstractNumId w:val="11"/>
  </w:num>
  <w:num w:numId="5" w16cid:durableId="625548494">
    <w:abstractNumId w:val="6"/>
  </w:num>
  <w:num w:numId="6" w16cid:durableId="1005128478">
    <w:abstractNumId w:val="5"/>
  </w:num>
  <w:num w:numId="7" w16cid:durableId="1569145031">
    <w:abstractNumId w:val="4"/>
  </w:num>
  <w:num w:numId="8" w16cid:durableId="859779586">
    <w:abstractNumId w:val="8"/>
  </w:num>
  <w:num w:numId="9" w16cid:durableId="1620646124">
    <w:abstractNumId w:val="3"/>
  </w:num>
  <w:num w:numId="10" w16cid:durableId="2098473333">
    <w:abstractNumId w:val="2"/>
  </w:num>
  <w:num w:numId="11" w16cid:durableId="1484128377">
    <w:abstractNumId w:val="1"/>
  </w:num>
  <w:num w:numId="12" w16cid:durableId="2130707369">
    <w:abstractNumId w:val="0"/>
  </w:num>
  <w:num w:numId="13" w16cid:durableId="1241401785">
    <w:abstractNumId w:val="9"/>
  </w:num>
  <w:num w:numId="14" w16cid:durableId="1350836021">
    <w:abstractNumId w:val="9"/>
  </w:num>
  <w:num w:numId="15" w16cid:durableId="11968895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76"/>
    <w:rsid w:val="00016BA5"/>
    <w:rsid w:val="001131E7"/>
    <w:rsid w:val="00131562"/>
    <w:rsid w:val="001334D4"/>
    <w:rsid w:val="0018554B"/>
    <w:rsid w:val="001D43B5"/>
    <w:rsid w:val="00203318"/>
    <w:rsid w:val="002E1A3B"/>
    <w:rsid w:val="003067B2"/>
    <w:rsid w:val="00352810"/>
    <w:rsid w:val="00360EFF"/>
    <w:rsid w:val="00396BDB"/>
    <w:rsid w:val="003A0285"/>
    <w:rsid w:val="003D22DA"/>
    <w:rsid w:val="0043763A"/>
    <w:rsid w:val="00453F53"/>
    <w:rsid w:val="004836F4"/>
    <w:rsid w:val="004F35A5"/>
    <w:rsid w:val="005218B2"/>
    <w:rsid w:val="00536257"/>
    <w:rsid w:val="005F3E2A"/>
    <w:rsid w:val="00617593"/>
    <w:rsid w:val="0064272D"/>
    <w:rsid w:val="00674983"/>
    <w:rsid w:val="00695E01"/>
    <w:rsid w:val="006B4C43"/>
    <w:rsid w:val="006D5215"/>
    <w:rsid w:val="007F7932"/>
    <w:rsid w:val="0080590D"/>
    <w:rsid w:val="008174F6"/>
    <w:rsid w:val="0088437D"/>
    <w:rsid w:val="008B6688"/>
    <w:rsid w:val="008C1E54"/>
    <w:rsid w:val="009249B1"/>
    <w:rsid w:val="0094599D"/>
    <w:rsid w:val="00972F0C"/>
    <w:rsid w:val="009A31A5"/>
    <w:rsid w:val="009D1E94"/>
    <w:rsid w:val="00A36770"/>
    <w:rsid w:val="00A87A07"/>
    <w:rsid w:val="00AF411D"/>
    <w:rsid w:val="00B6619B"/>
    <w:rsid w:val="00B97903"/>
    <w:rsid w:val="00BC2557"/>
    <w:rsid w:val="00C121C2"/>
    <w:rsid w:val="00C15EEE"/>
    <w:rsid w:val="00D23818"/>
    <w:rsid w:val="00D24DFD"/>
    <w:rsid w:val="00D2575F"/>
    <w:rsid w:val="00D36155"/>
    <w:rsid w:val="00D4247B"/>
    <w:rsid w:val="00DC048B"/>
    <w:rsid w:val="00DF3A14"/>
    <w:rsid w:val="00E05021"/>
    <w:rsid w:val="00E05053"/>
    <w:rsid w:val="00E70F75"/>
    <w:rsid w:val="00EF770A"/>
    <w:rsid w:val="00F20700"/>
    <w:rsid w:val="00F228C4"/>
    <w:rsid w:val="00F33076"/>
    <w:rsid w:val="14259403"/>
    <w:rsid w:val="20FCC1F8"/>
    <w:rsid w:val="6EFD31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E5712"/>
  <w15:chartTrackingRefBased/>
  <w15:docId w15:val="{79F4D935-13DF-4204-9249-FA7582C7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47B"/>
    <w:pPr>
      <w:spacing w:after="0" w:line="360" w:lineRule="auto"/>
    </w:pPr>
    <w:rPr>
      <w:rFonts w:ascii="Arial" w:hAnsi="Arial" w:cs="Times New Roman"/>
      <w:sz w:val="20"/>
      <w:szCs w:val="24"/>
    </w:rPr>
  </w:style>
  <w:style w:type="paragraph" w:styleId="Heading1">
    <w:name w:val="heading 1"/>
    <w:next w:val="Normal"/>
    <w:link w:val="Heading1Char"/>
    <w:uiPriority w:val="9"/>
    <w:qFormat/>
    <w:rsid w:val="006B4C43"/>
    <w:pPr>
      <w:keepNext/>
      <w:keepLines/>
      <w:spacing w:before="480" w:after="240"/>
      <w:outlineLvl w:val="0"/>
    </w:pPr>
    <w:rPr>
      <w:rFonts w:ascii="Arial" w:eastAsiaTheme="majorEastAsia" w:hAnsi="Arial" w:cstheme="majorBidi"/>
      <w:b/>
      <w:color w:val="44546A" w:themeColor="text2"/>
      <w:sz w:val="48"/>
      <w:szCs w:val="32"/>
    </w:rPr>
  </w:style>
  <w:style w:type="paragraph" w:styleId="Heading2">
    <w:name w:val="heading 2"/>
    <w:basedOn w:val="Heading1"/>
    <w:next w:val="Normal"/>
    <w:link w:val="Heading2Char"/>
    <w:uiPriority w:val="9"/>
    <w:unhideWhenUsed/>
    <w:qFormat/>
    <w:rsid w:val="006B4C43"/>
    <w:pPr>
      <w:spacing w:before="240" w:line="240" w:lineRule="auto"/>
      <w:outlineLvl w:val="1"/>
    </w:pPr>
    <w:rPr>
      <w:color w:val="009999"/>
      <w:sz w:val="28"/>
      <w:szCs w:val="26"/>
    </w:rPr>
  </w:style>
  <w:style w:type="paragraph" w:styleId="Heading3">
    <w:name w:val="heading 3"/>
    <w:basedOn w:val="Heading2"/>
    <w:next w:val="Normal"/>
    <w:link w:val="Heading3Char"/>
    <w:uiPriority w:val="9"/>
    <w:unhideWhenUsed/>
    <w:qFormat/>
    <w:rsid w:val="00F33076"/>
    <w:pPr>
      <w:spacing w:before="120" w:after="120"/>
      <w:outlineLvl w:val="2"/>
    </w:pPr>
    <w:rPr>
      <w:color w:val="1F4E79" w:themeColor="accent5"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C43"/>
    <w:rPr>
      <w:rFonts w:ascii="Arial" w:eastAsiaTheme="majorEastAsia" w:hAnsi="Arial" w:cstheme="majorBidi"/>
      <w:b/>
      <w:color w:val="44546A" w:themeColor="text2"/>
      <w:sz w:val="48"/>
      <w:szCs w:val="32"/>
    </w:rPr>
  </w:style>
  <w:style w:type="character" w:customStyle="1" w:styleId="Heading2Char">
    <w:name w:val="Heading 2 Char"/>
    <w:basedOn w:val="DefaultParagraphFont"/>
    <w:link w:val="Heading2"/>
    <w:uiPriority w:val="9"/>
    <w:rsid w:val="006B4C43"/>
    <w:rPr>
      <w:rFonts w:ascii="Arial" w:eastAsiaTheme="majorEastAsia" w:hAnsi="Arial" w:cstheme="majorBidi"/>
      <w:b/>
      <w:color w:val="009999"/>
      <w:sz w:val="28"/>
      <w:szCs w:val="26"/>
    </w:rPr>
  </w:style>
  <w:style w:type="character" w:customStyle="1" w:styleId="Heading3Char">
    <w:name w:val="Heading 3 Char"/>
    <w:basedOn w:val="DefaultParagraphFont"/>
    <w:link w:val="Heading3"/>
    <w:uiPriority w:val="9"/>
    <w:rsid w:val="00F33076"/>
    <w:rPr>
      <w:rFonts w:ascii="Arial" w:eastAsiaTheme="majorEastAsia" w:hAnsi="Arial" w:cstheme="majorBidi"/>
      <w:b/>
      <w:color w:val="1F4E79" w:themeColor="accent5" w:themeShade="80"/>
      <w:sz w:val="24"/>
      <w:szCs w:val="26"/>
    </w:rPr>
  </w:style>
  <w:style w:type="character" w:styleId="CommentReference">
    <w:name w:val="annotation reference"/>
    <w:basedOn w:val="DefaultParagraphFont"/>
    <w:uiPriority w:val="99"/>
    <w:semiHidden/>
    <w:unhideWhenUsed/>
    <w:rsid w:val="00F33076"/>
    <w:rPr>
      <w:sz w:val="16"/>
      <w:szCs w:val="16"/>
    </w:rPr>
  </w:style>
  <w:style w:type="paragraph" w:styleId="CommentText">
    <w:name w:val="annotation text"/>
    <w:basedOn w:val="Normal"/>
    <w:link w:val="CommentTextChar"/>
    <w:uiPriority w:val="99"/>
    <w:unhideWhenUsed/>
    <w:rsid w:val="00F33076"/>
    <w:pPr>
      <w:spacing w:line="240" w:lineRule="auto"/>
    </w:pPr>
    <w:rPr>
      <w:szCs w:val="20"/>
    </w:rPr>
  </w:style>
  <w:style w:type="character" w:customStyle="1" w:styleId="CommentTextChar">
    <w:name w:val="Comment Text Char"/>
    <w:basedOn w:val="DefaultParagraphFont"/>
    <w:link w:val="CommentText"/>
    <w:uiPriority w:val="99"/>
    <w:rsid w:val="00F33076"/>
    <w:rPr>
      <w:rFonts w:ascii="Arial" w:hAnsi="Arial" w:cs="Times New Roman"/>
      <w:sz w:val="20"/>
      <w:szCs w:val="20"/>
    </w:rPr>
  </w:style>
  <w:style w:type="paragraph" w:styleId="Header">
    <w:name w:val="header"/>
    <w:basedOn w:val="Normal"/>
    <w:link w:val="HeaderChar"/>
    <w:uiPriority w:val="99"/>
    <w:unhideWhenUsed/>
    <w:rsid w:val="00F33076"/>
    <w:pPr>
      <w:tabs>
        <w:tab w:val="center" w:pos="4513"/>
        <w:tab w:val="right" w:pos="9026"/>
      </w:tabs>
      <w:spacing w:line="240" w:lineRule="auto"/>
    </w:pPr>
  </w:style>
  <w:style w:type="character" w:customStyle="1" w:styleId="HeaderChar">
    <w:name w:val="Header Char"/>
    <w:basedOn w:val="DefaultParagraphFont"/>
    <w:link w:val="Header"/>
    <w:uiPriority w:val="99"/>
    <w:rsid w:val="00F33076"/>
    <w:rPr>
      <w:rFonts w:ascii="Arial" w:hAnsi="Arial" w:cs="Times New Roman"/>
      <w:sz w:val="20"/>
      <w:szCs w:val="24"/>
    </w:rPr>
  </w:style>
  <w:style w:type="paragraph" w:styleId="Footer">
    <w:name w:val="footer"/>
    <w:basedOn w:val="Normal"/>
    <w:link w:val="FooterChar"/>
    <w:uiPriority w:val="99"/>
    <w:unhideWhenUsed/>
    <w:rsid w:val="00F33076"/>
    <w:pPr>
      <w:tabs>
        <w:tab w:val="center" w:pos="4513"/>
        <w:tab w:val="right" w:pos="9026"/>
      </w:tabs>
      <w:spacing w:line="240" w:lineRule="auto"/>
    </w:pPr>
  </w:style>
  <w:style w:type="character" w:customStyle="1" w:styleId="FooterChar">
    <w:name w:val="Footer Char"/>
    <w:basedOn w:val="DefaultParagraphFont"/>
    <w:link w:val="Footer"/>
    <w:uiPriority w:val="99"/>
    <w:rsid w:val="00F33076"/>
    <w:rPr>
      <w:rFonts w:ascii="Arial" w:hAnsi="Arial" w:cs="Times New Roman"/>
      <w:sz w:val="20"/>
      <w:szCs w:val="24"/>
    </w:rPr>
  </w:style>
  <w:style w:type="character" w:styleId="Hyperlink">
    <w:name w:val="Hyperlink"/>
    <w:basedOn w:val="DefaultParagraphFont"/>
    <w:uiPriority w:val="99"/>
    <w:unhideWhenUsed/>
    <w:rsid w:val="00F33076"/>
    <w:rPr>
      <w:color w:val="0563C1" w:themeColor="hyperlink"/>
      <w:u w:val="single"/>
    </w:rPr>
  </w:style>
  <w:style w:type="paragraph" w:styleId="ListBullet">
    <w:name w:val="List Bullet"/>
    <w:basedOn w:val="Normal"/>
    <w:uiPriority w:val="99"/>
    <w:unhideWhenUsed/>
    <w:rsid w:val="006B4C43"/>
    <w:pPr>
      <w:numPr>
        <w:numId w:val="1"/>
      </w:numPr>
      <w:tabs>
        <w:tab w:val="clear" w:pos="360"/>
      </w:tabs>
      <w:ind w:left="584" w:hanging="357"/>
      <w:contextualSpacing/>
    </w:pPr>
  </w:style>
  <w:style w:type="paragraph" w:styleId="ListBullet2">
    <w:name w:val="List Bullet 2"/>
    <w:basedOn w:val="Normal"/>
    <w:uiPriority w:val="99"/>
    <w:unhideWhenUsed/>
    <w:rsid w:val="00F33076"/>
    <w:pPr>
      <w:numPr>
        <w:numId w:val="2"/>
      </w:numPr>
      <w:contextualSpacing/>
    </w:pPr>
  </w:style>
  <w:style w:type="character" w:styleId="Emphasis">
    <w:name w:val="Emphasis"/>
    <w:basedOn w:val="DefaultParagraphFont"/>
    <w:uiPriority w:val="20"/>
    <w:qFormat/>
    <w:rsid w:val="00F33076"/>
    <w:rPr>
      <w:i/>
      <w:iCs/>
    </w:rPr>
  </w:style>
  <w:style w:type="paragraph" w:styleId="BodyText">
    <w:name w:val="Body Text"/>
    <w:basedOn w:val="Normal"/>
    <w:link w:val="BodyTextChar"/>
    <w:uiPriority w:val="1"/>
    <w:qFormat/>
    <w:rsid w:val="00F33076"/>
    <w:pPr>
      <w:widowControl w:val="0"/>
      <w:autoSpaceDE w:val="0"/>
      <w:autoSpaceDN w:val="0"/>
      <w:ind w:left="318"/>
    </w:pPr>
    <w:rPr>
      <w:rFonts w:eastAsia="Arial" w:cs="Arial"/>
      <w:sz w:val="18"/>
      <w:szCs w:val="18"/>
    </w:rPr>
  </w:style>
  <w:style w:type="character" w:customStyle="1" w:styleId="BodyTextChar">
    <w:name w:val="Body Text Char"/>
    <w:basedOn w:val="DefaultParagraphFont"/>
    <w:link w:val="BodyText"/>
    <w:uiPriority w:val="1"/>
    <w:rsid w:val="00F33076"/>
    <w:rPr>
      <w:rFonts w:ascii="Arial" w:eastAsia="Arial" w:hAnsi="Arial" w:cs="Arial"/>
      <w:sz w:val="18"/>
      <w:szCs w:val="18"/>
    </w:rPr>
  </w:style>
  <w:style w:type="character" w:styleId="UnresolvedMention">
    <w:name w:val="Unresolved Mention"/>
    <w:basedOn w:val="DefaultParagraphFont"/>
    <w:uiPriority w:val="99"/>
    <w:semiHidden/>
    <w:unhideWhenUsed/>
    <w:rsid w:val="00F3307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33076"/>
    <w:rPr>
      <w:b/>
      <w:bCs/>
    </w:rPr>
  </w:style>
  <w:style w:type="character" w:customStyle="1" w:styleId="CommentSubjectChar">
    <w:name w:val="Comment Subject Char"/>
    <w:basedOn w:val="CommentTextChar"/>
    <w:link w:val="CommentSubject"/>
    <w:uiPriority w:val="99"/>
    <w:semiHidden/>
    <w:rsid w:val="00F33076"/>
    <w:rPr>
      <w:rFonts w:ascii="Arial" w:hAnsi="Arial" w:cs="Times New Roman"/>
      <w:b/>
      <w:bCs/>
      <w:sz w:val="20"/>
      <w:szCs w:val="20"/>
    </w:rPr>
  </w:style>
  <w:style w:type="paragraph" w:styleId="Revision">
    <w:name w:val="Revision"/>
    <w:hidden/>
    <w:uiPriority w:val="99"/>
    <w:semiHidden/>
    <w:rsid w:val="0043763A"/>
    <w:pPr>
      <w:spacing w:after="0" w:line="240" w:lineRule="auto"/>
    </w:pPr>
    <w:rPr>
      <w:rFonts w:ascii="Arial" w:hAnsi="Arial" w:cs="Times New Roman"/>
      <w:sz w:val="20"/>
      <w:szCs w:val="24"/>
    </w:rPr>
  </w:style>
  <w:style w:type="paragraph" w:styleId="NormalWeb">
    <w:name w:val="Normal (Web)"/>
    <w:basedOn w:val="Normal"/>
    <w:uiPriority w:val="99"/>
    <w:semiHidden/>
    <w:unhideWhenUsed/>
    <w:rsid w:val="0043763A"/>
    <w:rPr>
      <w:rFonts w:ascii="Times New Roman" w:hAnsi="Times New Roman"/>
      <w:sz w:val="24"/>
    </w:rPr>
  </w:style>
  <w:style w:type="character" w:styleId="FollowedHyperlink">
    <w:name w:val="FollowedHyperlink"/>
    <w:basedOn w:val="DefaultParagraphFont"/>
    <w:uiPriority w:val="99"/>
    <w:semiHidden/>
    <w:unhideWhenUsed/>
    <w:rsid w:val="006749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5659">
      <w:bodyDiv w:val="1"/>
      <w:marLeft w:val="0"/>
      <w:marRight w:val="0"/>
      <w:marTop w:val="0"/>
      <w:marBottom w:val="0"/>
      <w:divBdr>
        <w:top w:val="none" w:sz="0" w:space="0" w:color="auto"/>
        <w:left w:val="none" w:sz="0" w:space="0" w:color="auto"/>
        <w:bottom w:val="none" w:sz="0" w:space="0" w:color="auto"/>
        <w:right w:val="none" w:sz="0" w:space="0" w:color="auto"/>
      </w:divBdr>
    </w:div>
    <w:div w:id="605888216">
      <w:bodyDiv w:val="1"/>
      <w:marLeft w:val="0"/>
      <w:marRight w:val="0"/>
      <w:marTop w:val="0"/>
      <w:marBottom w:val="0"/>
      <w:divBdr>
        <w:top w:val="none" w:sz="0" w:space="0" w:color="auto"/>
        <w:left w:val="none" w:sz="0" w:space="0" w:color="auto"/>
        <w:bottom w:val="none" w:sz="0" w:space="0" w:color="auto"/>
        <w:right w:val="none" w:sz="0" w:space="0" w:color="auto"/>
      </w:divBdr>
    </w:div>
    <w:div w:id="1679036191">
      <w:bodyDiv w:val="1"/>
      <w:marLeft w:val="0"/>
      <w:marRight w:val="0"/>
      <w:marTop w:val="0"/>
      <w:marBottom w:val="0"/>
      <w:divBdr>
        <w:top w:val="none" w:sz="0" w:space="0" w:color="auto"/>
        <w:left w:val="none" w:sz="0" w:space="0" w:color="auto"/>
        <w:bottom w:val="none" w:sz="0" w:space="0" w:color="auto"/>
        <w:right w:val="none" w:sz="0" w:space="0" w:color="auto"/>
      </w:divBdr>
    </w:div>
    <w:div w:id="181791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msupport.org.au/" TargetMode="External"/><Relationship Id="rId18" Type="http://schemas.openxmlformats.org/officeDocument/2006/relationships/hyperlink" Target="http://www.mbsonline.gov.au/" TargetMode="External"/><Relationship Id="rId26" Type="http://schemas.openxmlformats.org/officeDocument/2006/relationships/hyperlink" Target="https://www.pbs.gov.au/info/about-the-pbs" TargetMode="External"/><Relationship Id="rId3" Type="http://schemas.openxmlformats.org/officeDocument/2006/relationships/customXml" Target="../customXml/item3.xml"/><Relationship Id="rId21" Type="http://schemas.openxmlformats.org/officeDocument/2006/relationships/hyperlink" Target="https://www.health.gov.au/resources/publications/preparing-a-written-submission-for-the-practitioner-review-program-for-practitioner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octorshealthalliance.org.au/" TargetMode="External"/><Relationship Id="rId17" Type="http://schemas.openxmlformats.org/officeDocument/2006/relationships/hyperlink" Target="https://health.gov.au/resources/collections/inappropriate-practice" TargetMode="External"/><Relationship Id="rId25" Type="http://schemas.openxmlformats.org/officeDocument/2006/relationships/hyperlink" Target="https://www.health.gov.au/resources/collections/health-professional-guidelin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ealth.gov.au/resources/collections/prp-for-practitioners" TargetMode="External"/><Relationship Id="rId20" Type="http://schemas.openxmlformats.org/officeDocument/2006/relationships/hyperlink" Target="https://www.health.gov.au/resources/publications/preparing-a-written-submission-for-the-practitioner-review-program-for-practitioner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rs4drs.com.au/" TargetMode="External"/><Relationship Id="rId24" Type="http://schemas.openxmlformats.org/officeDocument/2006/relationships/hyperlink" Target="https://www.health.gov.au/health-topics/medicare-compliance/how-to-comply-with-your-medicare-obligations"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optometry.org.au/practice-professional-support/supporting-your-mental-health/" TargetMode="External"/><Relationship Id="rId23" Type="http://schemas.openxmlformats.org/officeDocument/2006/relationships/hyperlink" Target="https://www.health.gov.au/resources/collections/medicare-billing-assurance-toolkit" TargetMode="External"/><Relationship Id="rId28" Type="http://schemas.openxmlformats.org/officeDocument/2006/relationships/header" Target="header2.xml"/><Relationship Id="rId10" Type="http://schemas.openxmlformats.org/officeDocument/2006/relationships/hyperlink" Target="https://www.health.gov.au/resources/collections/prescribed-pattern-of-services-the-8020-and-3020-rules?language=en" TargetMode="External"/><Relationship Id="rId19" Type="http://schemas.openxmlformats.org/officeDocument/2006/relationships/hyperlink" Target="http://www.psr.gov.au/"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psupport.org.au/" TargetMode="External"/><Relationship Id="rId22" Type="http://schemas.openxmlformats.org/officeDocument/2006/relationships/hyperlink" Target="https://www.health.gov.au/health-topics/medicare-compliance/how-we-ensure-compliance/audits?utm_source=RACP%20July%202021&amp;utm_medium=EDM%20campaign&amp;utm_campaign=RACP&amp;utm_content=medicare%20compliance"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6E947D67-645D-4E43-98EF-C969BFB31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04AC9-3A52-4D10-A531-610308AEC5E6}">
  <ds:schemaRefs>
    <ds:schemaRef ds:uri="http://schemas.microsoft.com/sharepoint/v3/contenttype/forms"/>
  </ds:schemaRefs>
</ds:datastoreItem>
</file>

<file path=customXml/itemProps3.xml><?xml version="1.0" encoding="utf-8"?>
<ds:datastoreItem xmlns:ds="http://schemas.openxmlformats.org/officeDocument/2006/customXml" ds:itemID="{D23E7971-8561-41C6-916E-2082D919938F}">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843</Words>
  <Characters>4674</Characters>
  <Application>Microsoft Office Word</Application>
  <DocSecurity>0</DocSecurity>
  <Lines>78</Lines>
  <Paragraphs>48</Paragraphs>
  <ScaleCrop>false</ScaleCrop>
  <HeadingPairs>
    <vt:vector size="2" baseType="variant">
      <vt:variant>
        <vt:lpstr>Title</vt:lpstr>
      </vt:variant>
      <vt:variant>
        <vt:i4>1</vt:i4>
      </vt:variant>
    </vt:vector>
  </HeadingPairs>
  <TitlesOfParts>
    <vt:vector size="1" baseType="lpstr">
      <vt:lpstr>Practitioner review program, for practitioners – What you need to know</vt:lpstr>
    </vt:vector>
  </TitlesOfParts>
  <Manager/>
  <Company/>
  <LinksUpToDate>false</LinksUpToDate>
  <CharactersWithSpaces>5487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Practitioner review program, for practitioners – What you need to know</dc:title>
  <dc:subject>Digital health</dc:subject>
  <dc:creator>Australian Government Department of Health, Disability and Ageing</dc:creator>
  <cp:keywords>practitioner review; compliance; inappropriate practice</cp:keywords>
  <dc:description/>
  <cp:revision>4</cp:revision>
  <cp:lastPrinted>2025-08-28T06:07:00Z</cp:lastPrinted>
  <dcterms:created xsi:type="dcterms:W3CDTF">2026-04-01T20:51:00Z</dcterms:created>
  <dcterms:modified xsi:type="dcterms:W3CDTF">2026-04-02T01:18:00Z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3b5f96e4,14406d71,25f496e9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54d8af4a,473cb694,9647297</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2025-08-27T00:40:13Z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566af2a5-1f23-49c8-a56f-95767737cbd6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0x010100A51386D899F9CA4298648C0791762DBC</vt:lpwstr>
  </property>
</Properties>
</file>