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9FA5" w14:textId="134C94C8" w:rsidR="00340C3D" w:rsidRPr="00112C68" w:rsidRDefault="00112C68" w:rsidP="00112C68">
      <w:pPr>
        <w:rPr>
          <w:b/>
          <w:bCs/>
          <w:sz w:val="36"/>
          <w:szCs w:val="44"/>
        </w:rPr>
      </w:pPr>
      <w:r>
        <w:rPr>
          <w:b/>
          <w:bCs/>
          <w:color w:val="196B24" w:themeColor="accent3"/>
          <w:sz w:val="40"/>
          <w:szCs w:val="48"/>
        </w:rPr>
        <w:br/>
      </w:r>
      <w:r w:rsidR="00140572" w:rsidRPr="00140572">
        <w:rPr>
          <w:b/>
          <w:bCs/>
          <w:color w:val="196B24" w:themeColor="accent3"/>
          <w:sz w:val="40"/>
          <w:szCs w:val="48"/>
        </w:rPr>
        <w:br/>
      </w:r>
      <w:r w:rsidR="00340C3D" w:rsidRPr="00112C68">
        <w:rPr>
          <w:b/>
          <w:bCs/>
          <w:sz w:val="36"/>
          <w:szCs w:val="44"/>
        </w:rPr>
        <w:t xml:space="preserve">MyMedicare </w:t>
      </w:r>
      <w:r w:rsidR="00F34F66">
        <w:rPr>
          <w:b/>
          <w:bCs/>
          <w:sz w:val="36"/>
          <w:szCs w:val="44"/>
        </w:rPr>
        <w:t>–</w:t>
      </w:r>
      <w:r w:rsidR="00340C3D" w:rsidRPr="00112C68">
        <w:rPr>
          <w:b/>
          <w:bCs/>
          <w:sz w:val="36"/>
          <w:szCs w:val="44"/>
        </w:rPr>
        <w:t xml:space="preserve"> </w:t>
      </w:r>
      <w:r w:rsidR="00F34F66">
        <w:rPr>
          <w:b/>
          <w:bCs/>
          <w:sz w:val="36"/>
          <w:szCs w:val="44"/>
        </w:rPr>
        <w:t>Registration p</w:t>
      </w:r>
      <w:r w:rsidR="00340C3D" w:rsidRPr="00112C68">
        <w:rPr>
          <w:b/>
          <w:bCs/>
          <w:sz w:val="36"/>
          <w:szCs w:val="44"/>
        </w:rPr>
        <w:t xml:space="preserve">athways to </w:t>
      </w:r>
      <w:r w:rsidR="001B502A" w:rsidRPr="00112C68">
        <w:rPr>
          <w:b/>
          <w:bCs/>
          <w:sz w:val="36"/>
          <w:szCs w:val="44"/>
        </w:rPr>
        <w:t xml:space="preserve">support people </w:t>
      </w:r>
      <w:r w:rsidR="00E978E9">
        <w:rPr>
          <w:b/>
          <w:bCs/>
          <w:sz w:val="36"/>
          <w:szCs w:val="44"/>
        </w:rPr>
        <w:t>experiencing</w:t>
      </w:r>
      <w:r w:rsidR="00F81E3A">
        <w:rPr>
          <w:b/>
          <w:bCs/>
          <w:sz w:val="36"/>
          <w:szCs w:val="44"/>
        </w:rPr>
        <w:t xml:space="preserve"> incapacity </w:t>
      </w:r>
      <w:r w:rsidR="00E978E9">
        <w:rPr>
          <w:b/>
          <w:bCs/>
          <w:sz w:val="36"/>
          <w:szCs w:val="44"/>
        </w:rPr>
        <w:t>who</w:t>
      </w:r>
      <w:r w:rsidR="00E978E9" w:rsidRPr="00112C68">
        <w:rPr>
          <w:b/>
          <w:bCs/>
          <w:sz w:val="36"/>
          <w:szCs w:val="44"/>
        </w:rPr>
        <w:t xml:space="preserve"> </w:t>
      </w:r>
      <w:r w:rsidR="006C78B1" w:rsidRPr="00112C68">
        <w:rPr>
          <w:b/>
          <w:bCs/>
          <w:sz w:val="36"/>
          <w:szCs w:val="44"/>
        </w:rPr>
        <w:t>need assistance</w:t>
      </w:r>
    </w:p>
    <w:p w14:paraId="6CD6B118" w14:textId="0DCCD504" w:rsidR="001458AF" w:rsidRPr="00140572" w:rsidRDefault="001458AF" w:rsidP="00112C68">
      <w:pPr>
        <w:rPr>
          <w:i/>
          <w:iCs/>
        </w:rPr>
      </w:pPr>
      <w:r w:rsidRPr="00140572">
        <w:rPr>
          <w:i/>
          <w:iCs/>
        </w:rPr>
        <w:t>This document is intended to assist</w:t>
      </w:r>
      <w:r w:rsidR="00AA7C66" w:rsidRPr="00140572">
        <w:rPr>
          <w:i/>
          <w:iCs/>
        </w:rPr>
        <w:t xml:space="preserve"> staff and practitioners in</w:t>
      </w:r>
      <w:r w:rsidRPr="00140572">
        <w:rPr>
          <w:i/>
          <w:iCs/>
        </w:rPr>
        <w:t xml:space="preserve"> </w:t>
      </w:r>
      <w:r w:rsidR="00AA7C66" w:rsidRPr="00140572">
        <w:rPr>
          <w:i/>
          <w:iCs/>
        </w:rPr>
        <w:t xml:space="preserve">general </w:t>
      </w:r>
      <w:r w:rsidRPr="00140572">
        <w:rPr>
          <w:i/>
          <w:iCs/>
        </w:rPr>
        <w:t>practices</w:t>
      </w:r>
      <w:r w:rsidR="00AA7C66" w:rsidRPr="00140572">
        <w:rPr>
          <w:i/>
          <w:iCs/>
        </w:rPr>
        <w:t xml:space="preserve"> </w:t>
      </w:r>
      <w:r w:rsidRPr="00140572">
        <w:rPr>
          <w:i/>
          <w:iCs/>
        </w:rPr>
        <w:t>and R</w:t>
      </w:r>
      <w:r w:rsidR="00AA7C66" w:rsidRPr="00140572">
        <w:rPr>
          <w:i/>
          <w:iCs/>
        </w:rPr>
        <w:t xml:space="preserve">esidential </w:t>
      </w:r>
      <w:r w:rsidR="00140572">
        <w:rPr>
          <w:i/>
          <w:iCs/>
        </w:rPr>
        <w:br/>
      </w:r>
      <w:r w:rsidR="00AA7C66" w:rsidRPr="00140572">
        <w:rPr>
          <w:i/>
          <w:iCs/>
        </w:rPr>
        <w:t>Aged Care Homes (R</w:t>
      </w:r>
      <w:r w:rsidRPr="00140572">
        <w:rPr>
          <w:i/>
          <w:iCs/>
        </w:rPr>
        <w:t>ACHs</w:t>
      </w:r>
      <w:r w:rsidR="00AA7C66" w:rsidRPr="00140572">
        <w:rPr>
          <w:i/>
          <w:iCs/>
        </w:rPr>
        <w:t>)</w:t>
      </w:r>
      <w:r w:rsidRPr="00140572">
        <w:rPr>
          <w:i/>
          <w:iCs/>
        </w:rPr>
        <w:t xml:space="preserve"> to provide advice </w:t>
      </w:r>
      <w:r w:rsidR="00E978E9">
        <w:rPr>
          <w:i/>
          <w:iCs/>
        </w:rPr>
        <w:t xml:space="preserve">and support for </w:t>
      </w:r>
      <w:r w:rsidRPr="00140572">
        <w:rPr>
          <w:i/>
          <w:iCs/>
        </w:rPr>
        <w:t xml:space="preserve">patients </w:t>
      </w:r>
      <w:r w:rsidR="00AA7C66" w:rsidRPr="00140572">
        <w:rPr>
          <w:i/>
          <w:iCs/>
        </w:rPr>
        <w:t>who</w:t>
      </w:r>
      <w:r w:rsidRPr="00140572">
        <w:rPr>
          <w:i/>
          <w:iCs/>
        </w:rPr>
        <w:t xml:space="preserve"> </w:t>
      </w:r>
      <w:r w:rsidR="00083395" w:rsidRPr="00140572">
        <w:rPr>
          <w:i/>
          <w:iCs/>
        </w:rPr>
        <w:t xml:space="preserve">may need some </w:t>
      </w:r>
      <w:r w:rsidR="00601C4F" w:rsidRPr="00140572">
        <w:rPr>
          <w:i/>
          <w:iCs/>
        </w:rPr>
        <w:t xml:space="preserve">assistance when </w:t>
      </w:r>
      <w:r w:rsidR="00083395" w:rsidRPr="00140572">
        <w:rPr>
          <w:i/>
          <w:iCs/>
        </w:rPr>
        <w:t xml:space="preserve">registering </w:t>
      </w:r>
      <w:r w:rsidR="00AA7C66" w:rsidRPr="00140572">
        <w:rPr>
          <w:i/>
          <w:iCs/>
        </w:rPr>
        <w:t>for MyMedicare</w:t>
      </w:r>
      <w:r w:rsidRPr="00140572">
        <w:rPr>
          <w:i/>
          <w:iCs/>
        </w:rPr>
        <w:t>.</w:t>
      </w:r>
    </w:p>
    <w:p w14:paraId="1B7BCD91" w14:textId="2DBB7FF3" w:rsidR="001458AF" w:rsidRPr="00AD7BB4" w:rsidRDefault="00AA7C66" w:rsidP="00340C3D">
      <w:pPr>
        <w:rPr>
          <w:b/>
          <w:bCs/>
          <w:sz w:val="28"/>
          <w:szCs w:val="36"/>
        </w:rPr>
      </w:pPr>
      <w:r w:rsidRPr="00AD7BB4">
        <w:rPr>
          <w:b/>
          <w:bCs/>
          <w:i/>
          <w:iCs/>
          <w:sz w:val="28"/>
          <w:szCs w:val="36"/>
        </w:rPr>
        <w:t>What is MyMedicare</w:t>
      </w:r>
      <w:r w:rsidR="00354390" w:rsidRPr="00AD7BB4">
        <w:rPr>
          <w:b/>
          <w:bCs/>
          <w:i/>
          <w:iCs/>
          <w:sz w:val="28"/>
          <w:szCs w:val="36"/>
        </w:rPr>
        <w:t>?</w:t>
      </w:r>
    </w:p>
    <w:p w14:paraId="78AB2578" w14:textId="77777777" w:rsidR="007B5916" w:rsidRDefault="00340C3D" w:rsidP="008C6B2E">
      <w:r w:rsidRPr="00340C3D">
        <w:t xml:space="preserve">MyMedicare is a free voluntary patient registration </w:t>
      </w:r>
      <w:r w:rsidR="00C74C62" w:rsidRPr="00C74C62">
        <w:t xml:space="preserve">program that </w:t>
      </w:r>
      <w:r w:rsidR="00D9270E">
        <w:t>enables</w:t>
      </w:r>
      <w:r w:rsidR="00C74C62">
        <w:t xml:space="preserve"> patient</w:t>
      </w:r>
      <w:r w:rsidR="00423F4A">
        <w:t xml:space="preserve">s to </w:t>
      </w:r>
      <w:r w:rsidR="00165666">
        <w:t xml:space="preserve">formally register </w:t>
      </w:r>
      <w:r w:rsidR="00354B72">
        <w:t xml:space="preserve">with </w:t>
      </w:r>
      <w:r w:rsidR="00165666">
        <w:t>their practice</w:t>
      </w:r>
      <w:r w:rsidR="00C74C62" w:rsidRPr="00C74C62">
        <w:t xml:space="preserve"> </w:t>
      </w:r>
      <w:r w:rsidR="00354B72">
        <w:t xml:space="preserve">and nominate </w:t>
      </w:r>
      <w:r w:rsidR="00C74C62" w:rsidRPr="00C74C62">
        <w:t>a preferred GP</w:t>
      </w:r>
      <w:r w:rsidR="004F2772">
        <w:t xml:space="preserve"> for their ongoing care</w:t>
      </w:r>
      <w:r w:rsidR="004C3F81">
        <w:t xml:space="preserve">. </w:t>
      </w:r>
      <w:r w:rsidR="003266F6" w:rsidRPr="003266F6">
        <w:t xml:space="preserve">When </w:t>
      </w:r>
      <w:r w:rsidR="00EC2473">
        <w:t xml:space="preserve">a </w:t>
      </w:r>
      <w:r w:rsidR="003266F6">
        <w:t>patient</w:t>
      </w:r>
      <w:r w:rsidR="003266F6" w:rsidRPr="003266F6">
        <w:t xml:space="preserve"> register</w:t>
      </w:r>
      <w:r w:rsidR="003266F6">
        <w:t>s</w:t>
      </w:r>
      <w:r w:rsidR="003266F6" w:rsidRPr="003266F6">
        <w:t xml:space="preserve"> in MyMedicare, it </w:t>
      </w:r>
      <w:r w:rsidR="00354390" w:rsidRPr="00340C3D">
        <w:t xml:space="preserve">lets </w:t>
      </w:r>
      <w:r w:rsidR="00DC2B45">
        <w:t xml:space="preserve">the person’s </w:t>
      </w:r>
      <w:r w:rsidR="00354390" w:rsidRPr="00340C3D">
        <w:t>practice or health clinic staff know</w:t>
      </w:r>
      <w:r w:rsidR="00DC2B45">
        <w:t xml:space="preserve"> </w:t>
      </w:r>
      <w:r w:rsidR="00354390" w:rsidRPr="00340C3D">
        <w:t>they have been nominated to provide care for t</w:t>
      </w:r>
      <w:r w:rsidR="00EC2473">
        <w:t>hat</w:t>
      </w:r>
      <w:r w:rsidR="00354390" w:rsidRPr="00340C3D">
        <w:t xml:space="preserve"> patien</w:t>
      </w:r>
      <w:r w:rsidR="00EC2473">
        <w:t>t</w:t>
      </w:r>
      <w:r w:rsidR="00AE0001">
        <w:t xml:space="preserve">. </w:t>
      </w:r>
    </w:p>
    <w:p w14:paraId="37A896F1" w14:textId="23B9C3CB" w:rsidR="00340C3D" w:rsidRPr="00340C3D" w:rsidRDefault="00AE0001" w:rsidP="008C6B2E">
      <w:r>
        <w:t>It also</w:t>
      </w:r>
      <w:r w:rsidR="004C3F81">
        <w:t xml:space="preserve"> allows patients to access additional Medicare benefits</w:t>
      </w:r>
      <w:r w:rsidR="00340C3D" w:rsidRPr="00340C3D">
        <w:t xml:space="preserve">. </w:t>
      </w:r>
      <w:r w:rsidR="006D7071" w:rsidRPr="00340C3D">
        <w:t xml:space="preserve">In all cases, the patient or their authorised representative may </w:t>
      </w:r>
      <w:r w:rsidR="00A274C5">
        <w:t xml:space="preserve">choose not to </w:t>
      </w:r>
      <w:r w:rsidR="002F2A34">
        <w:t>register or</w:t>
      </w:r>
      <w:r w:rsidR="00A274C5">
        <w:t xml:space="preserve"> may </w:t>
      </w:r>
      <w:r w:rsidR="006D7071" w:rsidRPr="00340C3D">
        <w:t>opt out of MyMedicare at any time.</w:t>
      </w:r>
    </w:p>
    <w:p w14:paraId="62AF08E7" w14:textId="4769EA9B" w:rsidR="00340C3D" w:rsidRPr="00340C3D" w:rsidRDefault="00340C3D" w:rsidP="00340C3D">
      <w:r w:rsidRPr="00340C3D">
        <w:t xml:space="preserve">Where </w:t>
      </w:r>
      <w:r w:rsidR="00AA0DB7">
        <w:t xml:space="preserve">a </w:t>
      </w:r>
      <w:r w:rsidRPr="00340C3D">
        <w:t xml:space="preserve">patient </w:t>
      </w:r>
      <w:r w:rsidR="00BD2CBF">
        <w:t xml:space="preserve">is </w:t>
      </w:r>
      <w:r w:rsidR="00A274C5">
        <w:t>experienc</w:t>
      </w:r>
      <w:r w:rsidR="00BD2CBF">
        <w:t>ing</w:t>
      </w:r>
      <w:r w:rsidR="00A274C5">
        <w:t xml:space="preserve"> </w:t>
      </w:r>
      <w:r w:rsidR="00AE0001">
        <w:t>some</w:t>
      </w:r>
      <w:r w:rsidRPr="00340C3D">
        <w:t xml:space="preserve"> level of incapacity</w:t>
      </w:r>
      <w:r w:rsidR="007B5916">
        <w:t xml:space="preserve"> or if they need assistance</w:t>
      </w:r>
      <w:r w:rsidRPr="00340C3D">
        <w:t xml:space="preserve">, several </w:t>
      </w:r>
      <w:r w:rsidR="00182EF3">
        <w:t xml:space="preserve">MyMedicare </w:t>
      </w:r>
      <w:r w:rsidRPr="00340C3D">
        <w:t>registration pathways are available</w:t>
      </w:r>
      <w:r w:rsidR="009A5A43">
        <w:t xml:space="preserve"> to them</w:t>
      </w:r>
      <w:r w:rsidRPr="00340C3D">
        <w:t>.</w:t>
      </w:r>
    </w:p>
    <w:p w14:paraId="08BE74CA" w14:textId="77777777" w:rsidR="008E4145" w:rsidRPr="00140572" w:rsidRDefault="008E4145" w:rsidP="00340C3D">
      <w:pPr>
        <w:rPr>
          <w:b/>
          <w:bCs/>
          <w:i/>
          <w:iCs/>
          <w:sz w:val="12"/>
          <w:szCs w:val="16"/>
        </w:rPr>
      </w:pPr>
    </w:p>
    <w:p w14:paraId="5D074A94" w14:textId="0F3A02FF" w:rsidR="008E4145" w:rsidRPr="00AD7BB4" w:rsidRDefault="00140572" w:rsidP="00340C3D">
      <w:pPr>
        <w:rPr>
          <w:b/>
          <w:bCs/>
          <w:i/>
          <w:iCs/>
          <w:sz w:val="28"/>
          <w:szCs w:val="36"/>
        </w:rPr>
      </w:pPr>
      <w:r w:rsidRPr="00AD7BB4">
        <w:rPr>
          <w:b/>
          <w:bCs/>
          <w:i/>
          <w:iCs/>
          <w:sz w:val="28"/>
          <w:szCs w:val="36"/>
        </w:rPr>
        <w:t>Different w</w:t>
      </w:r>
      <w:r w:rsidR="008E4145" w:rsidRPr="00AD7BB4">
        <w:rPr>
          <w:b/>
          <w:bCs/>
          <w:i/>
          <w:iCs/>
          <w:sz w:val="28"/>
          <w:szCs w:val="36"/>
        </w:rPr>
        <w:t>ays to register:</w:t>
      </w:r>
    </w:p>
    <w:p w14:paraId="6FF571E3" w14:textId="3BE50BED" w:rsidR="00340C3D" w:rsidRPr="00156C0F" w:rsidRDefault="00340C3D" w:rsidP="00340C3D">
      <w:pPr>
        <w:rPr>
          <w:b/>
          <w:bCs/>
        </w:rPr>
      </w:pPr>
      <w:r w:rsidRPr="00156C0F">
        <w:rPr>
          <w:b/>
          <w:bCs/>
          <w:i/>
          <w:iCs/>
          <w:u w:val="single"/>
        </w:rPr>
        <w:t>Paper Form</w:t>
      </w:r>
    </w:p>
    <w:p w14:paraId="5F7D0FBC" w14:textId="509F404D" w:rsidR="00340C3D" w:rsidRDefault="00340C3D" w:rsidP="00340C3D">
      <w:r w:rsidRPr="00340C3D">
        <w:t>MyMedicare registration</w:t>
      </w:r>
      <w:r w:rsidR="006E05ED">
        <w:t xml:space="preserve"> can occur using printed </w:t>
      </w:r>
      <w:r w:rsidRPr="00340C3D">
        <w:t>paper forms</w:t>
      </w:r>
      <w:r w:rsidR="006E05ED">
        <w:t xml:space="preserve">. These </w:t>
      </w:r>
      <w:r w:rsidRPr="00340C3D">
        <w:t>must be signed by the patient</w:t>
      </w:r>
      <w:r w:rsidR="006E05ED">
        <w:t xml:space="preserve">. </w:t>
      </w:r>
      <w:r w:rsidRPr="00340C3D">
        <w:t>A</w:t>
      </w:r>
      <w:r w:rsidR="00182EF3">
        <w:t> </w:t>
      </w:r>
      <w:r w:rsidRPr="00340C3D">
        <w:t xml:space="preserve">copy of the registration form is available at this link: </w:t>
      </w:r>
      <w:hyperlink r:id="rId8" w:history="1">
        <w:r w:rsidRPr="00340C3D">
          <w:rPr>
            <w:rStyle w:val="Hyperlink"/>
          </w:rPr>
          <w:t>MyMedicare Registration form</w:t>
        </w:r>
      </w:hyperlink>
      <w:r w:rsidRPr="00340C3D">
        <w:t>.</w:t>
      </w:r>
    </w:p>
    <w:p w14:paraId="70C2584A" w14:textId="0F89C910" w:rsidR="00D01C2B" w:rsidRDefault="005D46AE" w:rsidP="00D01C2B">
      <w:r>
        <w:t>S</w:t>
      </w:r>
      <w:r w:rsidR="00292503">
        <w:t>igning the</w:t>
      </w:r>
      <w:r w:rsidR="003F29C3">
        <w:t xml:space="preserve"> paper form is the </w:t>
      </w:r>
      <w:r w:rsidR="00D14F09">
        <w:t>easiest way to register</w:t>
      </w:r>
      <w:r>
        <w:t xml:space="preserve"> for most patients</w:t>
      </w:r>
      <w:r w:rsidR="0033352F">
        <w:t xml:space="preserve">. </w:t>
      </w:r>
    </w:p>
    <w:p w14:paraId="2EA0D62C" w14:textId="165EE403" w:rsidR="00D01C2B" w:rsidRPr="007B5916" w:rsidRDefault="007B58E5" w:rsidP="00D75A08">
      <w:pPr>
        <w:spacing w:after="120"/>
      </w:pPr>
      <w:r>
        <w:rPr>
          <w:i/>
          <w:iCs/>
          <w:u w:val="single"/>
        </w:rPr>
        <w:t xml:space="preserve">Paper Form </w:t>
      </w:r>
      <w:r w:rsidR="007F5B5A">
        <w:rPr>
          <w:i/>
          <w:iCs/>
          <w:u w:val="single"/>
        </w:rPr>
        <w:t>–</w:t>
      </w:r>
      <w:r w:rsidR="003214D5">
        <w:rPr>
          <w:i/>
          <w:iCs/>
          <w:u w:val="single"/>
        </w:rPr>
        <w:t xml:space="preserve"> </w:t>
      </w:r>
      <w:r w:rsidR="00D01C2B" w:rsidRPr="007B5916">
        <w:rPr>
          <w:i/>
          <w:iCs/>
          <w:u w:val="single"/>
        </w:rPr>
        <w:t xml:space="preserve">Verbal Consent </w:t>
      </w:r>
    </w:p>
    <w:p w14:paraId="6B452E9F" w14:textId="2898FBEB" w:rsidR="00D01C2B" w:rsidRDefault="00D01C2B" w:rsidP="00D01C2B">
      <w:r>
        <w:t xml:space="preserve">Where a patient is </w:t>
      </w:r>
      <w:r w:rsidRPr="00340C3D">
        <w:t>physically unable to sign</w:t>
      </w:r>
      <w:r>
        <w:t xml:space="preserve"> the registration </w:t>
      </w:r>
      <w:r w:rsidR="002F2A34">
        <w:t>form,</w:t>
      </w:r>
      <w:r w:rsidRPr="00340C3D">
        <w:t xml:space="preserve"> </w:t>
      </w:r>
      <w:r>
        <w:t>but they r</w:t>
      </w:r>
      <w:r w:rsidRPr="00340C3D">
        <w:t>etain decision-making capacity</w:t>
      </w:r>
      <w:r>
        <w:t>, they may give their verbal consent to be registered. While the method of registration is the same, v</w:t>
      </w:r>
      <w:r w:rsidRPr="00340C3D">
        <w:t xml:space="preserve">erbal consent may be obtained </w:t>
      </w:r>
      <w:r>
        <w:t>by practice staff</w:t>
      </w:r>
      <w:r w:rsidRPr="00340C3D">
        <w:t xml:space="preserve">. </w:t>
      </w:r>
    </w:p>
    <w:p w14:paraId="026EFA20" w14:textId="7691FBDF" w:rsidR="003F29C3" w:rsidRPr="00340C3D" w:rsidRDefault="00D01C2B" w:rsidP="001F28E2">
      <w:r>
        <w:t>In these cases,</w:t>
      </w:r>
      <w:r w:rsidRPr="00340C3D">
        <w:t xml:space="preserve"> </w:t>
      </w:r>
      <w:r>
        <w:t xml:space="preserve">the </w:t>
      </w:r>
      <w:r w:rsidRPr="00340C3D">
        <w:t xml:space="preserve">practice must include a note </w:t>
      </w:r>
      <w:r>
        <w:t xml:space="preserve">with the registration form </w:t>
      </w:r>
      <w:r w:rsidRPr="00340C3D">
        <w:t xml:space="preserve">explaining the </w:t>
      </w:r>
      <w:r>
        <w:t xml:space="preserve">situation </w:t>
      </w:r>
      <w:r w:rsidRPr="00340C3D">
        <w:t>and clearly document</w:t>
      </w:r>
      <w:r>
        <w:t>ing</w:t>
      </w:r>
      <w:r w:rsidRPr="00340C3D">
        <w:t xml:space="preserve"> that they have completed the form on behalf of the patient. For example, </w:t>
      </w:r>
      <w:r w:rsidRPr="00794CFB">
        <w:rPr>
          <w:i/>
          <w:iCs/>
        </w:rPr>
        <w:t>‘patient unable to sign due to [condition] and verbally agreed’</w:t>
      </w:r>
      <w:r w:rsidRPr="00340C3D">
        <w:t xml:space="preserve">. This requirement is consistent with existing </w:t>
      </w:r>
      <w:hyperlink r:id="rId9" w:anchor=":~:text=Where%20a%20patient%20is%20unable,care%20facility%20staff)%20is%20acceptable." w:history="1">
        <w:r w:rsidRPr="00340C3D">
          <w:rPr>
            <w:rStyle w:val="Hyperlink"/>
          </w:rPr>
          <w:t>MBS legal billing arrangements</w:t>
        </w:r>
      </w:hyperlink>
      <w:r w:rsidRPr="00340C3D">
        <w:t xml:space="preserve">. </w:t>
      </w:r>
    </w:p>
    <w:p w14:paraId="4715F173" w14:textId="1BB8C576" w:rsidR="003214D5" w:rsidRPr="003214D5" w:rsidRDefault="003214D5" w:rsidP="00D75A08">
      <w:pPr>
        <w:spacing w:after="120"/>
      </w:pPr>
      <w:r w:rsidRPr="003214D5">
        <w:rPr>
          <w:i/>
          <w:iCs/>
          <w:u w:val="single"/>
        </w:rPr>
        <w:t xml:space="preserve">Paper Form </w:t>
      </w:r>
      <w:r w:rsidR="007F5B5A">
        <w:rPr>
          <w:i/>
          <w:iCs/>
          <w:u w:val="single"/>
        </w:rPr>
        <w:t>–</w:t>
      </w:r>
      <w:r w:rsidRPr="003214D5">
        <w:rPr>
          <w:i/>
          <w:iCs/>
          <w:u w:val="single"/>
        </w:rPr>
        <w:t xml:space="preserve"> Authorised Representative </w:t>
      </w:r>
    </w:p>
    <w:p w14:paraId="2FDC986D" w14:textId="77777777" w:rsidR="003214D5" w:rsidRPr="00340C3D" w:rsidRDefault="003214D5" w:rsidP="003214D5">
      <w:r w:rsidRPr="00340C3D">
        <w:t xml:space="preserve">For patients 14 years or older who may lack the capacity to make decisions for themselves, consent for MyMedicare registration can be provided by an individual who is authorised to act on the patient’s behalf. This must be noted on the </w:t>
      </w:r>
      <w:hyperlink r:id="rId10" w:history="1">
        <w:r w:rsidRPr="00340C3D">
          <w:rPr>
            <w:rStyle w:val="Hyperlink"/>
          </w:rPr>
          <w:t>MyMedicare Registration form</w:t>
        </w:r>
      </w:hyperlink>
      <w:r w:rsidRPr="00340C3D">
        <w:t>.</w:t>
      </w:r>
    </w:p>
    <w:p w14:paraId="5C7023CA" w14:textId="77777777" w:rsidR="00150728" w:rsidRDefault="00150728" w:rsidP="003214D5"/>
    <w:p w14:paraId="5FA007D0" w14:textId="77777777" w:rsidR="00150728" w:rsidRDefault="00150728" w:rsidP="003214D5"/>
    <w:p w14:paraId="3CD06AA9" w14:textId="6C2B2BF2" w:rsidR="003214D5" w:rsidRPr="00340C3D" w:rsidRDefault="003214D5" w:rsidP="003214D5">
      <w:r w:rsidRPr="00340C3D">
        <w:t>For example, if a patient is cognitively incapacitated and unable to provide consent, another person can act on behalf of the patient</w:t>
      </w:r>
      <w:r w:rsidR="007406B0">
        <w:t xml:space="preserve"> where they hold one of the following legal authorisations to do so</w:t>
      </w:r>
      <w:r w:rsidRPr="00340C3D">
        <w:t>:</w:t>
      </w:r>
    </w:p>
    <w:p w14:paraId="22989FCD" w14:textId="5F6AB25E" w:rsidR="003214D5" w:rsidRPr="00340C3D" w:rsidRDefault="00925AA4" w:rsidP="003214D5">
      <w:pPr>
        <w:pStyle w:val="ListParagraph"/>
        <w:numPr>
          <w:ilvl w:val="0"/>
          <w:numId w:val="3"/>
        </w:numPr>
      </w:pPr>
      <w:r>
        <w:t>i</w:t>
      </w:r>
      <w:r w:rsidR="00627F13">
        <w:t xml:space="preserve">f </w:t>
      </w:r>
      <w:r w:rsidR="003214D5" w:rsidRPr="00340C3D">
        <w:t xml:space="preserve">they hold a legal </w:t>
      </w:r>
      <w:hyperlink r:id="rId11" w:history="1">
        <w:r w:rsidR="003214D5" w:rsidRPr="00340C3D">
          <w:rPr>
            <w:rStyle w:val="Hyperlink"/>
          </w:rPr>
          <w:t>Power of Attorney (POA)</w:t>
        </w:r>
      </w:hyperlink>
      <w:r w:rsidR="003214D5" w:rsidRPr="00340C3D">
        <w:t xml:space="preserve"> for the patient</w:t>
      </w:r>
    </w:p>
    <w:p w14:paraId="54373D1C" w14:textId="77777777" w:rsidR="003214D5" w:rsidRPr="00340C3D" w:rsidRDefault="003214D5" w:rsidP="003214D5">
      <w:pPr>
        <w:pStyle w:val="ListParagraph"/>
        <w:numPr>
          <w:ilvl w:val="0"/>
          <w:numId w:val="3"/>
        </w:numPr>
      </w:pPr>
      <w:r w:rsidRPr="00340C3D">
        <w:t>a court or tribunal has appointed them as the patient’s guardian and administrator</w:t>
      </w:r>
    </w:p>
    <w:p w14:paraId="66303981" w14:textId="77777777" w:rsidR="003214D5" w:rsidRPr="00340C3D" w:rsidRDefault="003214D5" w:rsidP="003214D5">
      <w:pPr>
        <w:pStyle w:val="ListParagraph"/>
        <w:numPr>
          <w:ilvl w:val="0"/>
          <w:numId w:val="3"/>
        </w:numPr>
      </w:pPr>
      <w:r w:rsidRPr="00340C3D">
        <w:t>Medicare has accepted the</w:t>
      </w:r>
      <w:r>
        <w:t xml:space="preserve"> person</w:t>
      </w:r>
      <w:r w:rsidRPr="00340C3D">
        <w:t xml:space="preserve"> as the patient’s </w:t>
      </w:r>
      <w:hyperlink r:id="rId12" w:history="1">
        <w:r w:rsidRPr="00101262">
          <w:rPr>
            <w:rStyle w:val="Hyperlink"/>
          </w:rPr>
          <w:t>authorised representative</w:t>
        </w:r>
      </w:hyperlink>
      <w:r w:rsidRPr="00833C56">
        <w:t>.</w:t>
      </w:r>
    </w:p>
    <w:p w14:paraId="631AFE00" w14:textId="1F1C0CD1" w:rsidR="003214D5" w:rsidRDefault="00925AA4" w:rsidP="003214D5">
      <w:pPr>
        <w:pStyle w:val="ListParagraph"/>
        <w:numPr>
          <w:ilvl w:val="0"/>
          <w:numId w:val="3"/>
        </w:numPr>
      </w:pPr>
      <w:r>
        <w:t xml:space="preserve">if </w:t>
      </w:r>
      <w:r w:rsidR="003214D5" w:rsidRPr="00340C3D">
        <w:t xml:space="preserve">they are the patient’s authorised third party. </w:t>
      </w:r>
    </w:p>
    <w:p w14:paraId="1D8F34AC" w14:textId="77777777" w:rsidR="003214D5" w:rsidRPr="00340C3D" w:rsidRDefault="003214D5" w:rsidP="003214D5">
      <w:r>
        <w:t xml:space="preserve">Use of a legal </w:t>
      </w:r>
      <w:r w:rsidRPr="005D204F">
        <w:t xml:space="preserve">Power of </w:t>
      </w:r>
      <w:r>
        <w:t>A</w:t>
      </w:r>
      <w:r w:rsidRPr="005D204F">
        <w:t>ttorney</w:t>
      </w:r>
      <w:r>
        <w:t xml:space="preserve"> or </w:t>
      </w:r>
      <w:r w:rsidRPr="005D204F">
        <w:t>authorised rep</w:t>
      </w:r>
      <w:r>
        <w:t>resentative</w:t>
      </w:r>
      <w:r w:rsidRPr="005D204F">
        <w:t xml:space="preserve"> </w:t>
      </w:r>
      <w:r>
        <w:t>must be supported by evidence. This is best suited</w:t>
      </w:r>
      <w:r w:rsidRPr="005D204F">
        <w:t xml:space="preserve"> for patients </w:t>
      </w:r>
      <w:r>
        <w:t>that have</w:t>
      </w:r>
      <w:r w:rsidRPr="005D204F">
        <w:t xml:space="preserve"> limited cognitive capacity </w:t>
      </w:r>
      <w:r>
        <w:t xml:space="preserve">such as </w:t>
      </w:r>
      <w:r w:rsidRPr="005D204F">
        <w:t>dementia</w:t>
      </w:r>
      <w:r>
        <w:t xml:space="preserve"> or brain trauma. </w:t>
      </w:r>
    </w:p>
    <w:p w14:paraId="5BD17B75" w14:textId="5A724CB4" w:rsidR="00340C3D" w:rsidRPr="00156C0F" w:rsidRDefault="008E4145" w:rsidP="00340C3D">
      <w:pPr>
        <w:rPr>
          <w:b/>
          <w:bCs/>
        </w:rPr>
      </w:pPr>
      <w:r w:rsidRPr="00156C0F">
        <w:rPr>
          <w:b/>
          <w:bCs/>
          <w:i/>
          <w:iCs/>
          <w:u w:val="single"/>
        </w:rPr>
        <w:t>Self-Registration</w:t>
      </w:r>
      <w:r w:rsidR="00425E47" w:rsidRPr="00156C0F">
        <w:rPr>
          <w:b/>
          <w:bCs/>
          <w:i/>
          <w:iCs/>
          <w:u w:val="single"/>
        </w:rPr>
        <w:t xml:space="preserve"> via Medicare Online Account</w:t>
      </w:r>
      <w:r w:rsidR="004E4F8B" w:rsidRPr="00156C0F">
        <w:rPr>
          <w:b/>
          <w:bCs/>
          <w:i/>
          <w:iCs/>
          <w:u w:val="single"/>
        </w:rPr>
        <w:t xml:space="preserve"> </w:t>
      </w:r>
    </w:p>
    <w:p w14:paraId="29BC75EF" w14:textId="4EC1F0BA" w:rsidR="00D25F35" w:rsidRPr="00D25F35" w:rsidRDefault="00D25F35" w:rsidP="00D75A08">
      <w:pPr>
        <w:spacing w:after="120"/>
        <w:rPr>
          <w:i/>
          <w:iCs/>
          <w:u w:val="single"/>
        </w:rPr>
      </w:pPr>
      <w:r w:rsidRPr="00D25F35">
        <w:rPr>
          <w:i/>
          <w:iCs/>
          <w:u w:val="single"/>
        </w:rPr>
        <w:t>Patient initiated</w:t>
      </w:r>
    </w:p>
    <w:p w14:paraId="38E75574" w14:textId="417467BC" w:rsidR="001E64C2" w:rsidRDefault="00500099" w:rsidP="00340C3D">
      <w:r>
        <w:t>P</w:t>
      </w:r>
      <w:r w:rsidR="00340C3D" w:rsidRPr="00340C3D">
        <w:t>atient</w:t>
      </w:r>
      <w:r w:rsidR="003617D9">
        <w:t>s</w:t>
      </w:r>
      <w:r w:rsidR="003617D9" w:rsidRPr="00340C3D">
        <w:t xml:space="preserve"> </w:t>
      </w:r>
      <w:r>
        <w:t xml:space="preserve">that are </w:t>
      </w:r>
      <w:r w:rsidR="004B230A" w:rsidRPr="004B230A">
        <w:t>digitally literate</w:t>
      </w:r>
      <w:r w:rsidR="00A274C5">
        <w:t xml:space="preserve"> and able</w:t>
      </w:r>
      <w:r w:rsidR="005E1F17">
        <w:t xml:space="preserve">, </w:t>
      </w:r>
      <w:r w:rsidR="004B230A">
        <w:t xml:space="preserve">but </w:t>
      </w:r>
      <w:r w:rsidR="00A274C5">
        <w:t>cannot sign the paper form</w:t>
      </w:r>
      <w:r w:rsidR="005E1F17">
        <w:t xml:space="preserve">, </w:t>
      </w:r>
      <w:r w:rsidR="00B41F06">
        <w:t>can</w:t>
      </w:r>
      <w:r w:rsidR="004B230A" w:rsidRPr="004B230A">
        <w:t xml:space="preserve"> initiat</w:t>
      </w:r>
      <w:r w:rsidR="00B41F06">
        <w:t>e</w:t>
      </w:r>
      <w:r w:rsidR="004B230A" w:rsidRPr="004B230A">
        <w:t xml:space="preserve"> their </w:t>
      </w:r>
      <w:r w:rsidR="00512433">
        <w:t xml:space="preserve">own </w:t>
      </w:r>
      <w:r w:rsidR="004B230A" w:rsidRPr="004B230A">
        <w:t xml:space="preserve">registration via </w:t>
      </w:r>
      <w:r w:rsidR="00B41F06">
        <w:t>the Medicare Online Account (</w:t>
      </w:r>
      <w:r w:rsidR="004B230A" w:rsidRPr="004B230A">
        <w:t>MOA</w:t>
      </w:r>
      <w:r w:rsidR="00B41F06">
        <w:t>)</w:t>
      </w:r>
      <w:r w:rsidR="00A50BDE">
        <w:t xml:space="preserve">. </w:t>
      </w:r>
      <w:hyperlink r:id="rId13" w:history="1">
        <w:r w:rsidRPr="00500099">
          <w:rPr>
            <w:rStyle w:val="Hyperlink"/>
          </w:rPr>
          <w:t>Registration for MyMedicare</w:t>
        </w:r>
      </w:hyperlink>
      <w:r>
        <w:t xml:space="preserve"> can occur</w:t>
      </w:r>
      <w:r w:rsidR="003B5D69">
        <w:t xml:space="preserve"> </w:t>
      </w:r>
      <w:r w:rsidR="00F0743C" w:rsidRPr="00340C3D">
        <w:t>via</w:t>
      </w:r>
      <w:r w:rsidR="004E4F8B">
        <w:t xml:space="preserve"> the </w:t>
      </w:r>
      <w:hyperlink r:id="rId14" w:history="1">
        <w:r w:rsidRPr="00BC4AAA">
          <w:rPr>
            <w:rStyle w:val="Hyperlink"/>
          </w:rPr>
          <w:t>Medicare Online Account</w:t>
        </w:r>
      </w:hyperlink>
      <w:r w:rsidR="00C87722">
        <w:t xml:space="preserve">. </w:t>
      </w:r>
    </w:p>
    <w:p w14:paraId="0E7A2162" w14:textId="066A1CB8" w:rsidR="00340C3D" w:rsidRDefault="00482CD1" w:rsidP="00340C3D">
      <w:r>
        <w:t>Patients will need to check</w:t>
      </w:r>
      <w:r w:rsidR="004E4F8B">
        <w:t xml:space="preserve"> </w:t>
      </w:r>
      <w:r w:rsidR="00B5428B">
        <w:t>that</w:t>
      </w:r>
      <w:r>
        <w:t xml:space="preserve"> </w:t>
      </w:r>
      <w:r w:rsidR="00EA6E28">
        <w:t>their</w:t>
      </w:r>
      <w:r w:rsidRPr="00482CD1">
        <w:t xml:space="preserve"> practice </w:t>
      </w:r>
      <w:r w:rsidR="00B5428B">
        <w:t>is</w:t>
      </w:r>
      <w:r w:rsidRPr="00482CD1">
        <w:t xml:space="preserve"> registered with MyMedicare. </w:t>
      </w:r>
      <w:r w:rsidR="00134EB7">
        <w:t xml:space="preserve">Once </w:t>
      </w:r>
      <w:r w:rsidR="00B5428B">
        <w:t xml:space="preserve">the patient’s registration is </w:t>
      </w:r>
      <w:r w:rsidR="00134EB7">
        <w:t>submitted, p</w:t>
      </w:r>
      <w:r w:rsidRPr="00482CD1">
        <w:t xml:space="preserve">ractice staff will </w:t>
      </w:r>
      <w:r w:rsidR="00134EB7">
        <w:t>need to</w:t>
      </w:r>
      <w:r w:rsidRPr="00482CD1">
        <w:t xml:space="preserve"> </w:t>
      </w:r>
      <w:r w:rsidR="00512433">
        <w:t xml:space="preserve">complete the registration process by </w:t>
      </w:r>
      <w:r w:rsidRPr="00482CD1">
        <w:t>accept</w:t>
      </w:r>
      <w:r w:rsidR="00512433">
        <w:t>ing</w:t>
      </w:r>
      <w:r w:rsidRPr="00482CD1">
        <w:t xml:space="preserve"> the</w:t>
      </w:r>
      <w:r w:rsidR="00EA6E28">
        <w:t xml:space="preserve"> patient’s</w:t>
      </w:r>
      <w:r w:rsidRPr="00482CD1">
        <w:t xml:space="preserve"> registration in the MyMedicare system</w:t>
      </w:r>
      <w:r w:rsidR="00EA6E28">
        <w:t xml:space="preserve">. </w:t>
      </w:r>
    </w:p>
    <w:p w14:paraId="13AFEE76" w14:textId="77777777" w:rsidR="00D25F35" w:rsidRPr="00D25F35" w:rsidRDefault="00D25F35" w:rsidP="00D75A08">
      <w:pPr>
        <w:spacing w:after="120"/>
        <w:rPr>
          <w:i/>
          <w:iCs/>
          <w:u w:val="single"/>
        </w:rPr>
      </w:pPr>
      <w:r w:rsidRPr="00D25F35">
        <w:rPr>
          <w:i/>
          <w:iCs/>
          <w:u w:val="single"/>
        </w:rPr>
        <w:t>Practice initiated</w:t>
      </w:r>
    </w:p>
    <w:p w14:paraId="4B7A678E" w14:textId="1005308E" w:rsidR="00966208" w:rsidRPr="00966208" w:rsidRDefault="002F2A34" w:rsidP="00966208">
      <w:r>
        <w:t>Alternatively,</w:t>
      </w:r>
      <w:r w:rsidR="001E64C2">
        <w:t xml:space="preserve"> </w:t>
      </w:r>
      <w:r w:rsidR="00B913E8">
        <w:t xml:space="preserve">a </w:t>
      </w:r>
      <w:r w:rsidR="001E64C2" w:rsidRPr="001E64C2">
        <w:t xml:space="preserve">practice can </w:t>
      </w:r>
      <w:r w:rsidR="00A9742A">
        <w:t>initiate</w:t>
      </w:r>
      <w:r w:rsidR="001E64C2" w:rsidRPr="001E64C2">
        <w:t xml:space="preserve"> </w:t>
      </w:r>
      <w:r w:rsidR="001E64C2">
        <w:t>the patient’s</w:t>
      </w:r>
      <w:r w:rsidR="001E64C2" w:rsidRPr="001E64C2">
        <w:t xml:space="preserve"> registration with MyMedicare</w:t>
      </w:r>
      <w:r w:rsidR="00A9742A">
        <w:t>. The</w:t>
      </w:r>
      <w:r w:rsidR="00966208">
        <w:t xml:space="preserve"> patient </w:t>
      </w:r>
      <w:r w:rsidR="00A9742A">
        <w:t>can then</w:t>
      </w:r>
      <w:r w:rsidR="00966208">
        <w:t xml:space="preserve"> </w:t>
      </w:r>
      <w:r w:rsidR="00966208" w:rsidRPr="00966208">
        <w:t>respond</w:t>
      </w:r>
      <w:r w:rsidR="00966208">
        <w:t xml:space="preserve"> </w:t>
      </w:r>
      <w:r w:rsidR="00A9742A">
        <w:t xml:space="preserve">via </w:t>
      </w:r>
      <w:hyperlink r:id="rId15" w:history="1">
        <w:r w:rsidR="00A9742A" w:rsidRPr="001E64C2">
          <w:rPr>
            <w:rStyle w:val="Hyperlink"/>
          </w:rPr>
          <w:t>Medicare Online Account</w:t>
        </w:r>
      </w:hyperlink>
      <w:r w:rsidR="00A9742A">
        <w:t xml:space="preserve"> </w:t>
      </w:r>
      <w:r w:rsidR="00A9742A" w:rsidRPr="001E64C2">
        <w:t xml:space="preserve">via </w:t>
      </w:r>
      <w:r w:rsidR="00A9742A">
        <w:t>their</w:t>
      </w:r>
      <w:r w:rsidR="00A9742A" w:rsidRPr="001E64C2">
        <w:t xml:space="preserve"> </w:t>
      </w:r>
      <w:proofErr w:type="spellStart"/>
      <w:r w:rsidR="00A9742A" w:rsidRPr="001E64C2">
        <w:t>myGov</w:t>
      </w:r>
      <w:proofErr w:type="spellEnd"/>
      <w:r w:rsidR="00A9742A" w:rsidRPr="001E64C2">
        <w:t xml:space="preserve"> app</w:t>
      </w:r>
      <w:r w:rsidR="00966208" w:rsidRPr="00966208">
        <w:t>.</w:t>
      </w:r>
    </w:p>
    <w:p w14:paraId="544FE502" w14:textId="32246452" w:rsidR="004E4F8B" w:rsidRPr="00340C3D" w:rsidRDefault="002F2A34" w:rsidP="00340C3D">
      <w:r>
        <w:t>Self-registration</w:t>
      </w:r>
      <w:r w:rsidR="004E4F8B">
        <w:t xml:space="preserve"> </w:t>
      </w:r>
      <w:r w:rsidR="00B5428B">
        <w:t xml:space="preserve">via </w:t>
      </w:r>
      <w:r w:rsidR="004D0ECA">
        <w:t>th</w:t>
      </w:r>
      <w:r w:rsidR="00063129">
        <w:t>e MOA</w:t>
      </w:r>
      <w:r w:rsidR="004D0ECA">
        <w:t xml:space="preserve"> method</w:t>
      </w:r>
      <w:r w:rsidR="004E4F8B" w:rsidRPr="004E4F8B">
        <w:t xml:space="preserve"> is best </w:t>
      </w:r>
      <w:r w:rsidR="00B5428B">
        <w:t xml:space="preserve">suited </w:t>
      </w:r>
      <w:r w:rsidR="004E4F8B" w:rsidRPr="004E4F8B">
        <w:t xml:space="preserve">where a patient has physical restraints on signing, </w:t>
      </w:r>
      <w:r w:rsidR="00B5428B">
        <w:t>but where</w:t>
      </w:r>
      <w:r w:rsidR="004E4F8B" w:rsidRPr="004E4F8B">
        <w:t xml:space="preserve"> they </w:t>
      </w:r>
      <w:r w:rsidR="004D0ECA">
        <w:t>may h</w:t>
      </w:r>
      <w:r w:rsidR="004E4F8B" w:rsidRPr="004E4F8B">
        <w:t>ave assisti</w:t>
      </w:r>
      <w:r w:rsidR="00B5428B">
        <w:t>v</w:t>
      </w:r>
      <w:r w:rsidR="004E4F8B" w:rsidRPr="004E4F8B">
        <w:t xml:space="preserve">e </w:t>
      </w:r>
      <w:r w:rsidR="00B5428B">
        <w:t>technology</w:t>
      </w:r>
      <w:r w:rsidR="004E4F8B" w:rsidRPr="004E4F8B">
        <w:t xml:space="preserve"> that enable</w:t>
      </w:r>
      <w:r w:rsidR="00B5428B">
        <w:t>s</w:t>
      </w:r>
      <w:r w:rsidR="004E4F8B" w:rsidRPr="004E4F8B">
        <w:t xml:space="preserve"> them to register at home</w:t>
      </w:r>
      <w:r w:rsidR="004D0ECA">
        <w:t xml:space="preserve"> or from a portable device</w:t>
      </w:r>
      <w:r w:rsidR="00B5428B">
        <w:t>.</w:t>
      </w:r>
    </w:p>
    <w:p w14:paraId="5A664BFC" w14:textId="623AC1D0" w:rsidR="00340C3D" w:rsidRPr="00156C0F" w:rsidRDefault="00340C3D" w:rsidP="00340C3D">
      <w:pPr>
        <w:rPr>
          <w:b/>
          <w:bCs/>
        </w:rPr>
      </w:pPr>
      <w:r w:rsidRPr="00156C0F">
        <w:rPr>
          <w:b/>
          <w:bCs/>
          <w:i/>
          <w:iCs/>
          <w:u w:val="single"/>
        </w:rPr>
        <w:t>Regist</w:t>
      </w:r>
      <w:r w:rsidR="0000638D" w:rsidRPr="00156C0F">
        <w:rPr>
          <w:b/>
          <w:bCs/>
          <w:i/>
          <w:iCs/>
          <w:u w:val="single"/>
        </w:rPr>
        <w:t>ration</w:t>
      </w:r>
      <w:r w:rsidRPr="00156C0F">
        <w:rPr>
          <w:b/>
          <w:bCs/>
          <w:i/>
          <w:iCs/>
          <w:u w:val="single"/>
        </w:rPr>
        <w:t xml:space="preserve"> </w:t>
      </w:r>
      <w:r w:rsidR="0000638D" w:rsidRPr="00156C0F">
        <w:rPr>
          <w:b/>
          <w:bCs/>
          <w:i/>
          <w:iCs/>
          <w:u w:val="single"/>
        </w:rPr>
        <w:t xml:space="preserve">with assistance of </w:t>
      </w:r>
      <w:r w:rsidRPr="00156C0F">
        <w:rPr>
          <w:b/>
          <w:bCs/>
          <w:i/>
          <w:iCs/>
          <w:u w:val="single"/>
        </w:rPr>
        <w:t>a support person</w:t>
      </w:r>
    </w:p>
    <w:p w14:paraId="5CAE8F92" w14:textId="67707238" w:rsidR="00815736" w:rsidRDefault="00815736" w:rsidP="00340C3D">
      <w:r>
        <w:t>Where</w:t>
      </w:r>
      <w:r w:rsidR="00040B8B">
        <w:t xml:space="preserve"> a patient </w:t>
      </w:r>
      <w:r w:rsidR="0015389F">
        <w:t>has the capacity to provide informed consent, but need</w:t>
      </w:r>
      <w:r w:rsidR="0042278C">
        <w:t>s</w:t>
      </w:r>
      <w:r w:rsidR="0015389F">
        <w:t xml:space="preserve"> </w:t>
      </w:r>
      <w:r w:rsidR="00710D75">
        <w:t xml:space="preserve">assistance to understand, then </w:t>
      </w:r>
      <w:r w:rsidR="00C613C1">
        <w:t xml:space="preserve">they may be supported by a support person. </w:t>
      </w:r>
    </w:p>
    <w:p w14:paraId="73D8BB01" w14:textId="1AFC0C3F" w:rsidR="00340C3D" w:rsidRPr="00340C3D" w:rsidRDefault="00950590" w:rsidP="00340C3D">
      <w:r>
        <w:t xml:space="preserve">A support person </w:t>
      </w:r>
      <w:r w:rsidR="00BF4B19" w:rsidRPr="00340C3D">
        <w:t>can be a trusted family member or friend of the patient's choosing</w:t>
      </w:r>
      <w:r w:rsidR="00BF4B19">
        <w:t xml:space="preserve">. This person </w:t>
      </w:r>
      <w:r>
        <w:t>can</w:t>
      </w:r>
      <w:r w:rsidR="00F56188">
        <w:t xml:space="preserve"> </w:t>
      </w:r>
      <w:r w:rsidR="00637F50">
        <w:t xml:space="preserve">attend with the patient </w:t>
      </w:r>
      <w:r w:rsidR="00637F50" w:rsidRPr="00340C3D">
        <w:t xml:space="preserve">during </w:t>
      </w:r>
      <w:r w:rsidR="00637F50">
        <w:t xml:space="preserve">a </w:t>
      </w:r>
      <w:r w:rsidR="00637F50" w:rsidRPr="00340C3D">
        <w:t>consultation at home, at a RACH or at a general practice location</w:t>
      </w:r>
      <w:r w:rsidR="00637F50">
        <w:t xml:space="preserve"> and can </w:t>
      </w:r>
      <w:r w:rsidR="00F56188">
        <w:t>assis</w:t>
      </w:r>
      <w:r w:rsidR="00911DB3">
        <w:t>t</w:t>
      </w:r>
      <w:r w:rsidR="00F56188">
        <w:t xml:space="preserve"> the patient</w:t>
      </w:r>
      <w:r w:rsidR="00340C3D">
        <w:t xml:space="preserve"> </w:t>
      </w:r>
      <w:r w:rsidR="00911DB3">
        <w:t>to understand</w:t>
      </w:r>
      <w:r w:rsidR="00AE3185">
        <w:t xml:space="preserve"> </w:t>
      </w:r>
      <w:r w:rsidR="00BF4B19" w:rsidRPr="00340C3D">
        <w:t>information and communicate their wishes</w:t>
      </w:r>
      <w:r w:rsidR="00BF4B19">
        <w:t xml:space="preserve">, for example </w:t>
      </w:r>
      <w:r w:rsidR="00AE3185">
        <w:t>what</w:t>
      </w:r>
      <w:r w:rsidR="00911DB3">
        <w:t xml:space="preserve"> </w:t>
      </w:r>
      <w:r>
        <w:t xml:space="preserve">MyMedicare </w:t>
      </w:r>
      <w:r w:rsidR="00AE3185">
        <w:t>registration means</w:t>
      </w:r>
      <w:r w:rsidR="00BF4B19">
        <w:t>.</w:t>
      </w:r>
      <w:r w:rsidR="00BF4B19" w:rsidRPr="00BF4B19">
        <w:t xml:space="preserve"> </w:t>
      </w:r>
    </w:p>
    <w:p w14:paraId="79504D6F" w14:textId="6614EA49" w:rsidR="000B2D80" w:rsidRDefault="00531181" w:rsidP="000B2D80">
      <w:r>
        <w:t>Registering with the assistance of a support person</w:t>
      </w:r>
      <w:r w:rsidRPr="00340C3D">
        <w:t xml:space="preserve"> </w:t>
      </w:r>
      <w:r w:rsidR="00340C3D" w:rsidRPr="00340C3D">
        <w:t>is appropriate where the patient retains decision-making capacity but requires assistance due to physical or communication barriers. Examples can include a language barrier or where the person requests support to understand or to communicate their wishes. </w:t>
      </w:r>
      <w:r w:rsidR="000B2D80" w:rsidRPr="00340C3D">
        <w:t xml:space="preserve">A person or care provider </w:t>
      </w:r>
      <w:r w:rsidR="000B2D80">
        <w:t>can</w:t>
      </w:r>
      <w:r w:rsidR="000B2D80" w:rsidRPr="00340C3D">
        <w:t xml:space="preserve"> register </w:t>
      </w:r>
      <w:r w:rsidR="000B2D80">
        <w:t xml:space="preserve">as a </w:t>
      </w:r>
      <w:r w:rsidR="000B2D80" w:rsidRPr="00340C3D">
        <w:t>support person</w:t>
      </w:r>
      <w:r w:rsidR="000B2D80">
        <w:t xml:space="preserve"> </w:t>
      </w:r>
      <w:r w:rsidR="000B2D80" w:rsidRPr="00340C3D">
        <w:t xml:space="preserve">under </w:t>
      </w:r>
      <w:hyperlink r:id="rId16" w:history="1">
        <w:r w:rsidR="000B2D80" w:rsidRPr="00911DB3">
          <w:rPr>
            <w:rStyle w:val="Hyperlink"/>
          </w:rPr>
          <w:t>www.myagedcare.gov.au/registering-supporter</w:t>
        </w:r>
      </w:hyperlink>
      <w:r w:rsidR="000B2D80">
        <w:t xml:space="preserve">. </w:t>
      </w:r>
    </w:p>
    <w:p w14:paraId="17AEDDF4" w14:textId="0A50128F" w:rsidR="00340C3D" w:rsidRPr="00AD7BB4" w:rsidRDefault="00340C3D" w:rsidP="00340C3D">
      <w:pPr>
        <w:rPr>
          <w:b/>
          <w:bCs/>
          <w:sz w:val="28"/>
          <w:szCs w:val="36"/>
        </w:rPr>
      </w:pPr>
      <w:r w:rsidRPr="00AD7BB4">
        <w:rPr>
          <w:b/>
          <w:bCs/>
          <w:i/>
          <w:iCs/>
          <w:sz w:val="28"/>
          <w:szCs w:val="36"/>
        </w:rPr>
        <w:t>Contact</w:t>
      </w:r>
    </w:p>
    <w:p w14:paraId="0F243381" w14:textId="59AB2B0C" w:rsidR="00B61E02" w:rsidRPr="00F746C0" w:rsidRDefault="00340C3D" w:rsidP="007736E2">
      <w:r w:rsidRPr="00340C3D">
        <w:t xml:space="preserve">For further information about MyMedicare registration pathways please </w:t>
      </w:r>
      <w:r w:rsidR="00646680">
        <w:t xml:space="preserve">refer to </w:t>
      </w:r>
      <w:hyperlink r:id="rId17" w:anchor="fact-sheets" w:history="1">
        <w:r w:rsidR="00646680" w:rsidRPr="0077020A">
          <w:rPr>
            <w:rStyle w:val="Hyperlink"/>
          </w:rPr>
          <w:t>Resources for MyMedicare general practices and healthcare providers</w:t>
        </w:r>
      </w:hyperlink>
      <w:r w:rsidR="00646680">
        <w:t xml:space="preserve"> or </w:t>
      </w:r>
      <w:r w:rsidRPr="00340C3D">
        <w:t xml:space="preserve">email </w:t>
      </w:r>
      <w:hyperlink r:id="rId18" w:history="1">
        <w:r w:rsidRPr="00340C3D">
          <w:rPr>
            <w:rStyle w:val="Hyperlink"/>
          </w:rPr>
          <w:t>MyMedicare@health.gov.au</w:t>
        </w:r>
      </w:hyperlink>
      <w:r w:rsidRPr="00340C3D">
        <w:t>.</w:t>
      </w:r>
    </w:p>
    <w:sectPr w:rsidR="00B61E02" w:rsidRPr="00F746C0" w:rsidSect="00C074C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276" w:left="1440"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301A" w14:textId="77777777" w:rsidR="009A20D4" w:rsidRDefault="009A20D4" w:rsidP="00340C3D">
      <w:pPr>
        <w:spacing w:after="0" w:line="240" w:lineRule="auto"/>
      </w:pPr>
      <w:r>
        <w:separator/>
      </w:r>
    </w:p>
  </w:endnote>
  <w:endnote w:type="continuationSeparator" w:id="0">
    <w:p w14:paraId="72682D90" w14:textId="77777777" w:rsidR="009A20D4" w:rsidRDefault="009A20D4" w:rsidP="0034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5543" w14:textId="2044F47C" w:rsidR="00340C3D" w:rsidRDefault="00340C3D">
    <w:pPr>
      <w:pStyle w:val="Footer"/>
    </w:pPr>
    <w:r>
      <w:rPr>
        <w:noProof/>
      </w:rPr>
      <mc:AlternateContent>
        <mc:Choice Requires="wps">
          <w:drawing>
            <wp:anchor distT="0" distB="0" distL="0" distR="0" simplePos="0" relativeHeight="251662336" behindDoc="0" locked="0" layoutInCell="1" allowOverlap="1" wp14:anchorId="10640780" wp14:editId="562958BF">
              <wp:simplePos x="635" y="635"/>
              <wp:positionH relativeFrom="page">
                <wp:align>center</wp:align>
              </wp:positionH>
              <wp:positionV relativeFrom="page">
                <wp:align>bottom</wp:align>
              </wp:positionV>
              <wp:extent cx="622300" cy="391160"/>
              <wp:effectExtent l="0" t="0" r="6350" b="0"/>
              <wp:wrapNone/>
              <wp:docPr id="12790501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6AC5337" w14:textId="6C012EEF"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40780"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16AC5337" w14:textId="6C012EEF"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5D70" w14:textId="5A91613E" w:rsidR="00B245EF" w:rsidRDefault="00B245EF" w:rsidP="00C074C6">
    <w:pPr>
      <w:pStyle w:val="Footer"/>
      <w:pBdr>
        <w:top w:val="single" w:sz="4" w:space="1" w:color="D9D9D9" w:themeColor="background1" w:themeShade="D9"/>
      </w:pBdr>
      <w:rPr>
        <w:rFonts w:ascii="Calibri" w:hAnsi="Calibri" w:cs="Calibri"/>
      </w:rPr>
    </w:pPr>
  </w:p>
  <w:p w14:paraId="2C73C44A" w14:textId="21B16D86" w:rsidR="00B245EF" w:rsidRDefault="00B245EF" w:rsidP="00C074C6">
    <w:pPr>
      <w:pStyle w:val="Footer"/>
      <w:pBdr>
        <w:top w:val="single" w:sz="4" w:space="1" w:color="D9D9D9" w:themeColor="background1" w:themeShade="D9"/>
      </w:pBdr>
      <w:rPr>
        <w:rFonts w:ascii="Calibri" w:hAnsi="Calibri" w:cs="Calibri"/>
      </w:rPr>
    </w:pPr>
  </w:p>
  <w:p w14:paraId="250E23AF" w14:textId="77777777" w:rsidR="00AE34E7" w:rsidRDefault="00B245EF" w:rsidP="00C074C6">
    <w:pPr>
      <w:pStyle w:val="Footer"/>
      <w:pBdr>
        <w:top w:val="single" w:sz="4" w:space="1" w:color="D9D9D9" w:themeColor="background1" w:themeShade="D9"/>
      </w:pBdr>
      <w:rPr>
        <w:rFonts w:ascii="Calibri" w:hAnsi="Calibri" w:cs="Calibri"/>
        <w:color w:val="808080" w:themeColor="background1" w:themeShade="80"/>
        <w:sz w:val="28"/>
        <w:szCs w:val="36"/>
      </w:rPr>
    </w:pPr>
    <w:r w:rsidRPr="00B245EF">
      <w:rPr>
        <w:rFonts w:ascii="Calibri" w:hAnsi="Calibri" w:cs="Calibri"/>
        <w:color w:val="808080" w:themeColor="background1" w:themeShade="80"/>
        <w:sz w:val="28"/>
        <w:szCs w:val="36"/>
      </w:rPr>
      <w:t>Pathways to support registration – Fact Sheet</w:t>
    </w:r>
    <w:r w:rsidR="00AE34E7">
      <w:rPr>
        <w:rFonts w:ascii="Calibri" w:hAnsi="Calibri" w:cs="Calibri"/>
        <w:color w:val="808080" w:themeColor="background1" w:themeShade="80"/>
        <w:sz w:val="28"/>
        <w:szCs w:val="36"/>
      </w:rPr>
      <w:t xml:space="preserve">  </w:t>
    </w:r>
  </w:p>
  <w:p w14:paraId="16E3F929" w14:textId="77777777" w:rsidR="00AE34E7" w:rsidRDefault="00AE34E7" w:rsidP="00C074C6">
    <w:pPr>
      <w:pStyle w:val="Footer"/>
      <w:pBdr>
        <w:top w:val="single" w:sz="4" w:space="1" w:color="D9D9D9" w:themeColor="background1" w:themeShade="D9"/>
      </w:pBdr>
      <w:rPr>
        <w:rFonts w:ascii="Calibri" w:hAnsi="Calibri" w:cs="Calibri"/>
        <w:color w:val="808080" w:themeColor="background1" w:themeShade="80"/>
        <w:sz w:val="28"/>
        <w:szCs w:val="36"/>
      </w:rPr>
    </w:pPr>
  </w:p>
  <w:p w14:paraId="74F9962E" w14:textId="3E45CD5B" w:rsidR="00340C3D" w:rsidRPr="00B245EF" w:rsidRDefault="00AE34E7" w:rsidP="00C074C6">
    <w:pPr>
      <w:pStyle w:val="Footer"/>
      <w:pBdr>
        <w:top w:val="single" w:sz="4" w:space="1" w:color="D9D9D9" w:themeColor="background1" w:themeShade="D9"/>
      </w:pBdr>
      <w:rPr>
        <w:rFonts w:ascii="Calibri" w:hAnsi="Calibri" w:cs="Calibri"/>
        <w:color w:val="808080" w:themeColor="background1" w:themeShade="80"/>
        <w:sz w:val="28"/>
        <w:szCs w:val="36"/>
      </w:rPr>
    </w:pPr>
    <w:r w:rsidRPr="00AE34E7">
      <w:rPr>
        <w:rFonts w:ascii="Calibri" w:hAnsi="Calibri" w:cs="Calibri"/>
        <w:noProof/>
        <w:color w:val="808080" w:themeColor="background1" w:themeShade="80"/>
        <w:sz w:val="28"/>
        <w:szCs w:val="36"/>
      </w:rPr>
      <w:drawing>
        <wp:inline distT="0" distB="0" distL="0" distR="0" wp14:anchorId="164AEC34" wp14:editId="7A732342">
          <wp:extent cx="2383634" cy="466725"/>
          <wp:effectExtent l="0" t="0" r="0" b="0"/>
          <wp:docPr id="516266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412" cy="4711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C53E" w14:textId="24F10151" w:rsidR="00340C3D" w:rsidRDefault="00340C3D">
    <w:pPr>
      <w:pStyle w:val="Footer"/>
    </w:pPr>
    <w:r>
      <w:rPr>
        <w:noProof/>
      </w:rPr>
      <mc:AlternateContent>
        <mc:Choice Requires="wps">
          <w:drawing>
            <wp:anchor distT="0" distB="0" distL="0" distR="0" simplePos="0" relativeHeight="251661312" behindDoc="0" locked="0" layoutInCell="1" allowOverlap="1" wp14:anchorId="4CCC52D9" wp14:editId="61A7711E">
              <wp:simplePos x="635" y="635"/>
              <wp:positionH relativeFrom="page">
                <wp:align>center</wp:align>
              </wp:positionH>
              <wp:positionV relativeFrom="page">
                <wp:align>bottom</wp:align>
              </wp:positionV>
              <wp:extent cx="622300" cy="391160"/>
              <wp:effectExtent l="0" t="0" r="6350" b="0"/>
              <wp:wrapNone/>
              <wp:docPr id="16300288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391ADB" w14:textId="45C812AF"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C52D9"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C391ADB" w14:textId="45C812AF"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8710" w14:textId="77777777" w:rsidR="009A20D4" w:rsidRDefault="009A20D4" w:rsidP="00340C3D">
      <w:pPr>
        <w:spacing w:after="0" w:line="240" w:lineRule="auto"/>
      </w:pPr>
      <w:r>
        <w:separator/>
      </w:r>
    </w:p>
  </w:footnote>
  <w:footnote w:type="continuationSeparator" w:id="0">
    <w:p w14:paraId="5627F455" w14:textId="77777777" w:rsidR="009A20D4" w:rsidRDefault="009A20D4" w:rsidP="0034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E0FE" w14:textId="5CBDE065" w:rsidR="00340C3D" w:rsidRDefault="00340C3D">
    <w:pPr>
      <w:pStyle w:val="Header"/>
    </w:pPr>
    <w:r>
      <w:rPr>
        <w:noProof/>
      </w:rPr>
      <mc:AlternateContent>
        <mc:Choice Requires="wps">
          <w:drawing>
            <wp:anchor distT="0" distB="0" distL="0" distR="0" simplePos="0" relativeHeight="251659264" behindDoc="0" locked="0" layoutInCell="1" allowOverlap="1" wp14:anchorId="7B565D93" wp14:editId="2EF762F4">
              <wp:simplePos x="635" y="635"/>
              <wp:positionH relativeFrom="page">
                <wp:align>center</wp:align>
              </wp:positionH>
              <wp:positionV relativeFrom="page">
                <wp:align>top</wp:align>
              </wp:positionV>
              <wp:extent cx="622300" cy="391160"/>
              <wp:effectExtent l="0" t="0" r="6350" b="8890"/>
              <wp:wrapNone/>
              <wp:docPr id="11687778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6BAD19" w14:textId="02DC58E6"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65D93"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96BAD19" w14:textId="02DC58E6"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1FCE" w14:textId="1DE82C2B" w:rsidR="00340C3D" w:rsidRPr="00BA5CD0" w:rsidRDefault="008025C2" w:rsidP="00BA5CD0">
    <w:pPr>
      <w:pStyle w:val="Header"/>
    </w:pPr>
    <w:r>
      <w:rPr>
        <w:noProof/>
      </w:rPr>
      <w:drawing>
        <wp:anchor distT="0" distB="0" distL="114300" distR="114300" simplePos="0" relativeHeight="251667456" behindDoc="1" locked="0" layoutInCell="1" allowOverlap="1" wp14:anchorId="6EF31ED9" wp14:editId="0662A780">
          <wp:simplePos x="0" y="0"/>
          <wp:positionH relativeFrom="page">
            <wp:align>left</wp:align>
          </wp:positionH>
          <wp:positionV relativeFrom="page">
            <wp:posOffset>29845</wp:posOffset>
          </wp:positionV>
          <wp:extent cx="7560000" cy="979200"/>
          <wp:effectExtent l="0" t="0" r="3175"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7E0C61" w:rsidRPr="007E0C61">
      <w:rPr>
        <w:noProof/>
      </w:rPr>
      <w:drawing>
        <wp:anchor distT="0" distB="0" distL="114300" distR="114300" simplePos="0" relativeHeight="251665408" behindDoc="1" locked="0" layoutInCell="1" allowOverlap="1" wp14:anchorId="2B7F2901" wp14:editId="49058E85">
          <wp:simplePos x="0" y="0"/>
          <wp:positionH relativeFrom="column">
            <wp:posOffset>3486150</wp:posOffset>
          </wp:positionH>
          <wp:positionV relativeFrom="paragraph">
            <wp:posOffset>-201930</wp:posOffset>
          </wp:positionV>
          <wp:extent cx="2790825" cy="662305"/>
          <wp:effectExtent l="0" t="0" r="9525" b="4445"/>
          <wp:wrapNone/>
          <wp:docPr id="1695585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5038" name=""/>
                  <pic:cNvPicPr/>
                </pic:nvPicPr>
                <pic:blipFill>
                  <a:blip r:embed="rId2">
                    <a:extLst>
                      <a:ext uri="{28A0092B-C50C-407E-A947-70E740481C1C}">
                        <a14:useLocalDpi xmlns:a14="http://schemas.microsoft.com/office/drawing/2010/main" val="0"/>
                      </a:ext>
                    </a:extLst>
                  </a:blip>
                  <a:stretch>
                    <a:fillRect/>
                  </a:stretch>
                </pic:blipFill>
                <pic:spPr>
                  <a:xfrm>
                    <a:off x="0" y="0"/>
                    <a:ext cx="2790825" cy="662305"/>
                  </a:xfrm>
                  <a:prstGeom prst="rect">
                    <a:avLst/>
                  </a:prstGeom>
                </pic:spPr>
              </pic:pic>
            </a:graphicData>
          </a:graphic>
        </wp:anchor>
      </w:drawing>
    </w:r>
    <w:r w:rsidR="007E0C61">
      <w:tab/>
    </w:r>
    <w:r w:rsidR="007E0C6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9069" w14:textId="3535DE7E" w:rsidR="00340C3D" w:rsidRDefault="00340C3D">
    <w:pPr>
      <w:pStyle w:val="Header"/>
    </w:pPr>
    <w:r>
      <w:rPr>
        <w:noProof/>
      </w:rPr>
      <mc:AlternateContent>
        <mc:Choice Requires="wps">
          <w:drawing>
            <wp:anchor distT="0" distB="0" distL="0" distR="0" simplePos="0" relativeHeight="251658240" behindDoc="0" locked="0" layoutInCell="1" allowOverlap="1" wp14:anchorId="6EA56163" wp14:editId="558178EA">
              <wp:simplePos x="635" y="635"/>
              <wp:positionH relativeFrom="page">
                <wp:align>center</wp:align>
              </wp:positionH>
              <wp:positionV relativeFrom="page">
                <wp:align>top</wp:align>
              </wp:positionV>
              <wp:extent cx="622300" cy="391160"/>
              <wp:effectExtent l="0" t="0" r="6350" b="8890"/>
              <wp:wrapNone/>
              <wp:docPr id="2589248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2FBAED" w14:textId="14230EA9"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56163"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A2FBAED" w14:textId="14230EA9" w:rsidR="00340C3D" w:rsidRPr="00340C3D" w:rsidRDefault="00340C3D" w:rsidP="00340C3D">
                    <w:pPr>
                      <w:spacing w:after="0"/>
                      <w:rPr>
                        <w:rFonts w:ascii="Aptos" w:eastAsia="Aptos" w:hAnsi="Aptos" w:cs="Aptos"/>
                        <w:noProof/>
                        <w:color w:val="FF0000"/>
                        <w:sz w:val="24"/>
                      </w:rPr>
                    </w:pPr>
                    <w:r w:rsidRPr="00340C3D">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06ED"/>
    <w:multiLevelType w:val="multilevel"/>
    <w:tmpl w:val="B372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1583E"/>
    <w:multiLevelType w:val="hybridMultilevel"/>
    <w:tmpl w:val="198A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E15989"/>
    <w:multiLevelType w:val="multilevel"/>
    <w:tmpl w:val="408CC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F836E36"/>
    <w:multiLevelType w:val="multilevel"/>
    <w:tmpl w:val="C30E8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47733448">
    <w:abstractNumId w:val="2"/>
    <w:lvlOverride w:ilvl="0">
      <w:startOverride w:val="1"/>
    </w:lvlOverride>
  </w:num>
  <w:num w:numId="2" w16cid:durableId="1127234144">
    <w:abstractNumId w:val="3"/>
    <w:lvlOverride w:ilvl="0">
      <w:startOverride w:val="1"/>
    </w:lvlOverride>
  </w:num>
  <w:num w:numId="3" w16cid:durableId="1071006841">
    <w:abstractNumId w:val="1"/>
  </w:num>
  <w:num w:numId="4" w16cid:durableId="41039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3D"/>
    <w:rsid w:val="0000638D"/>
    <w:rsid w:val="0001040A"/>
    <w:rsid w:val="00040B8B"/>
    <w:rsid w:val="00063129"/>
    <w:rsid w:val="000721C8"/>
    <w:rsid w:val="00083395"/>
    <w:rsid w:val="000B00A2"/>
    <w:rsid w:val="000B2D80"/>
    <w:rsid w:val="000B3B4C"/>
    <w:rsid w:val="000C0BE5"/>
    <w:rsid w:val="000D41FF"/>
    <w:rsid w:val="00101262"/>
    <w:rsid w:val="00112C68"/>
    <w:rsid w:val="001245BE"/>
    <w:rsid w:val="00131CA6"/>
    <w:rsid w:val="00134EB7"/>
    <w:rsid w:val="0013733A"/>
    <w:rsid w:val="00140572"/>
    <w:rsid w:val="001458AF"/>
    <w:rsid w:val="00150728"/>
    <w:rsid w:val="0015389F"/>
    <w:rsid w:val="00156C0F"/>
    <w:rsid w:val="00165666"/>
    <w:rsid w:val="00182EF3"/>
    <w:rsid w:val="00195784"/>
    <w:rsid w:val="001B00E9"/>
    <w:rsid w:val="001B03D2"/>
    <w:rsid w:val="001B502A"/>
    <w:rsid w:val="001B7414"/>
    <w:rsid w:val="001C4413"/>
    <w:rsid w:val="001C5B4E"/>
    <w:rsid w:val="001D60A4"/>
    <w:rsid w:val="001E64C2"/>
    <w:rsid w:val="001F28E2"/>
    <w:rsid w:val="00271F67"/>
    <w:rsid w:val="00280050"/>
    <w:rsid w:val="00292503"/>
    <w:rsid w:val="00295548"/>
    <w:rsid w:val="002976CC"/>
    <w:rsid w:val="002A4FB7"/>
    <w:rsid w:val="002D45AA"/>
    <w:rsid w:val="002F2A34"/>
    <w:rsid w:val="002F7851"/>
    <w:rsid w:val="003214D5"/>
    <w:rsid w:val="003266F6"/>
    <w:rsid w:val="003316E1"/>
    <w:rsid w:val="0033352F"/>
    <w:rsid w:val="00340C3D"/>
    <w:rsid w:val="00346723"/>
    <w:rsid w:val="00354390"/>
    <w:rsid w:val="00354B72"/>
    <w:rsid w:val="003617D9"/>
    <w:rsid w:val="0036243D"/>
    <w:rsid w:val="00363EF6"/>
    <w:rsid w:val="00374C83"/>
    <w:rsid w:val="00386501"/>
    <w:rsid w:val="00390C96"/>
    <w:rsid w:val="003B5D69"/>
    <w:rsid w:val="003F29C3"/>
    <w:rsid w:val="003F628C"/>
    <w:rsid w:val="00406B4C"/>
    <w:rsid w:val="0042278C"/>
    <w:rsid w:val="00423F4A"/>
    <w:rsid w:val="0042509B"/>
    <w:rsid w:val="00425E47"/>
    <w:rsid w:val="00433CFC"/>
    <w:rsid w:val="00482CD1"/>
    <w:rsid w:val="004B230A"/>
    <w:rsid w:val="004C3F81"/>
    <w:rsid w:val="004D0ECA"/>
    <w:rsid w:val="004E4F8B"/>
    <w:rsid w:val="004F2772"/>
    <w:rsid w:val="004F2E5D"/>
    <w:rsid w:val="00500099"/>
    <w:rsid w:val="00512433"/>
    <w:rsid w:val="00531181"/>
    <w:rsid w:val="00563128"/>
    <w:rsid w:val="005A4476"/>
    <w:rsid w:val="005D204F"/>
    <w:rsid w:val="005D46AE"/>
    <w:rsid w:val="005E1F17"/>
    <w:rsid w:val="005E674A"/>
    <w:rsid w:val="006003FE"/>
    <w:rsid w:val="00601C4F"/>
    <w:rsid w:val="006244A5"/>
    <w:rsid w:val="00624584"/>
    <w:rsid w:val="00627F13"/>
    <w:rsid w:val="00631AA8"/>
    <w:rsid w:val="00637F50"/>
    <w:rsid w:val="00644CB2"/>
    <w:rsid w:val="00646680"/>
    <w:rsid w:val="00655029"/>
    <w:rsid w:val="006651A0"/>
    <w:rsid w:val="00665242"/>
    <w:rsid w:val="00686C42"/>
    <w:rsid w:val="006A4845"/>
    <w:rsid w:val="006A7465"/>
    <w:rsid w:val="006C78B1"/>
    <w:rsid w:val="006D39F3"/>
    <w:rsid w:val="006D7071"/>
    <w:rsid w:val="006E05ED"/>
    <w:rsid w:val="00710D75"/>
    <w:rsid w:val="0072093D"/>
    <w:rsid w:val="00735EF4"/>
    <w:rsid w:val="007406B0"/>
    <w:rsid w:val="00766264"/>
    <w:rsid w:val="0077020A"/>
    <w:rsid w:val="007736E2"/>
    <w:rsid w:val="00794CFB"/>
    <w:rsid w:val="00795CA7"/>
    <w:rsid w:val="007B58E5"/>
    <w:rsid w:val="007B5916"/>
    <w:rsid w:val="007E0C61"/>
    <w:rsid w:val="007F5B5A"/>
    <w:rsid w:val="008025C2"/>
    <w:rsid w:val="00815736"/>
    <w:rsid w:val="00833C56"/>
    <w:rsid w:val="00874D27"/>
    <w:rsid w:val="008912EF"/>
    <w:rsid w:val="008A3782"/>
    <w:rsid w:val="008A4478"/>
    <w:rsid w:val="008C6B2E"/>
    <w:rsid w:val="008E4145"/>
    <w:rsid w:val="008F3291"/>
    <w:rsid w:val="009025D3"/>
    <w:rsid w:val="00911DB3"/>
    <w:rsid w:val="00920DAB"/>
    <w:rsid w:val="00925AA4"/>
    <w:rsid w:val="00941A95"/>
    <w:rsid w:val="0094699D"/>
    <w:rsid w:val="00950590"/>
    <w:rsid w:val="0095161F"/>
    <w:rsid w:val="009541F2"/>
    <w:rsid w:val="00957E45"/>
    <w:rsid w:val="00966208"/>
    <w:rsid w:val="009A165D"/>
    <w:rsid w:val="009A20D4"/>
    <w:rsid w:val="009A31E0"/>
    <w:rsid w:val="009A5A43"/>
    <w:rsid w:val="009B5EA8"/>
    <w:rsid w:val="009C4378"/>
    <w:rsid w:val="00A274C5"/>
    <w:rsid w:val="00A3112C"/>
    <w:rsid w:val="00A327C1"/>
    <w:rsid w:val="00A50BDE"/>
    <w:rsid w:val="00A60B93"/>
    <w:rsid w:val="00A73D4D"/>
    <w:rsid w:val="00A96FB3"/>
    <w:rsid w:val="00A9742A"/>
    <w:rsid w:val="00AA0DB7"/>
    <w:rsid w:val="00AA7C66"/>
    <w:rsid w:val="00AD7BB4"/>
    <w:rsid w:val="00AE0001"/>
    <w:rsid w:val="00AE3185"/>
    <w:rsid w:val="00AE34E7"/>
    <w:rsid w:val="00B0335A"/>
    <w:rsid w:val="00B245EF"/>
    <w:rsid w:val="00B3262D"/>
    <w:rsid w:val="00B41F06"/>
    <w:rsid w:val="00B457EF"/>
    <w:rsid w:val="00B54225"/>
    <w:rsid w:val="00B5428B"/>
    <w:rsid w:val="00B61E02"/>
    <w:rsid w:val="00B913E8"/>
    <w:rsid w:val="00B95AF0"/>
    <w:rsid w:val="00BA5CD0"/>
    <w:rsid w:val="00BC4AAA"/>
    <w:rsid w:val="00BD2CBF"/>
    <w:rsid w:val="00BF085F"/>
    <w:rsid w:val="00BF4B19"/>
    <w:rsid w:val="00BF582E"/>
    <w:rsid w:val="00C074C6"/>
    <w:rsid w:val="00C613C1"/>
    <w:rsid w:val="00C7206D"/>
    <w:rsid w:val="00C7228D"/>
    <w:rsid w:val="00C72741"/>
    <w:rsid w:val="00C74C62"/>
    <w:rsid w:val="00C87722"/>
    <w:rsid w:val="00C92B87"/>
    <w:rsid w:val="00CD44A2"/>
    <w:rsid w:val="00D01C2B"/>
    <w:rsid w:val="00D14F09"/>
    <w:rsid w:val="00D23EF5"/>
    <w:rsid w:val="00D25F35"/>
    <w:rsid w:val="00D33D39"/>
    <w:rsid w:val="00D55892"/>
    <w:rsid w:val="00D5673B"/>
    <w:rsid w:val="00D7466C"/>
    <w:rsid w:val="00D75A08"/>
    <w:rsid w:val="00D9270E"/>
    <w:rsid w:val="00D93FF0"/>
    <w:rsid w:val="00DB1873"/>
    <w:rsid w:val="00DB4C20"/>
    <w:rsid w:val="00DC2B45"/>
    <w:rsid w:val="00DC4BF5"/>
    <w:rsid w:val="00DD0980"/>
    <w:rsid w:val="00DD478B"/>
    <w:rsid w:val="00DE4354"/>
    <w:rsid w:val="00E11EC5"/>
    <w:rsid w:val="00E2713E"/>
    <w:rsid w:val="00E36CAB"/>
    <w:rsid w:val="00E55BBB"/>
    <w:rsid w:val="00E918D1"/>
    <w:rsid w:val="00E978E9"/>
    <w:rsid w:val="00EA6E28"/>
    <w:rsid w:val="00EB1756"/>
    <w:rsid w:val="00EC2473"/>
    <w:rsid w:val="00ED23C9"/>
    <w:rsid w:val="00EE6853"/>
    <w:rsid w:val="00EF641C"/>
    <w:rsid w:val="00F0743C"/>
    <w:rsid w:val="00F14D6C"/>
    <w:rsid w:val="00F3031B"/>
    <w:rsid w:val="00F34F66"/>
    <w:rsid w:val="00F56188"/>
    <w:rsid w:val="00F746C0"/>
    <w:rsid w:val="00F76F8A"/>
    <w:rsid w:val="00F81A49"/>
    <w:rsid w:val="00F81E3A"/>
    <w:rsid w:val="00F82A57"/>
    <w:rsid w:val="00F83B03"/>
    <w:rsid w:val="00FA39F6"/>
    <w:rsid w:val="00FA5FE8"/>
    <w:rsid w:val="00FD4886"/>
    <w:rsid w:val="00FE0F58"/>
    <w:rsid w:val="00FF4A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DF3F"/>
  <w15:chartTrackingRefBased/>
  <w15:docId w15:val="{8886512D-2172-4652-B43F-9C719D4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C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0C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0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0C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0C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0C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C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C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0C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0C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0C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0C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0C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C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C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0C3D"/>
    <w:pPr>
      <w:spacing w:before="160"/>
      <w:jc w:val="center"/>
    </w:pPr>
    <w:rPr>
      <w:i/>
      <w:iCs/>
      <w:color w:val="404040" w:themeColor="text1" w:themeTint="BF"/>
    </w:rPr>
  </w:style>
  <w:style w:type="character" w:customStyle="1" w:styleId="QuoteChar">
    <w:name w:val="Quote Char"/>
    <w:basedOn w:val="DefaultParagraphFont"/>
    <w:link w:val="Quote"/>
    <w:uiPriority w:val="29"/>
    <w:rsid w:val="00340C3D"/>
    <w:rPr>
      <w:i/>
      <w:iCs/>
      <w:color w:val="404040" w:themeColor="text1" w:themeTint="BF"/>
    </w:rPr>
  </w:style>
  <w:style w:type="paragraph" w:styleId="ListParagraph">
    <w:name w:val="List Paragraph"/>
    <w:basedOn w:val="Normal"/>
    <w:uiPriority w:val="34"/>
    <w:qFormat/>
    <w:rsid w:val="00340C3D"/>
    <w:pPr>
      <w:ind w:left="720"/>
      <w:contextualSpacing/>
    </w:pPr>
  </w:style>
  <w:style w:type="character" w:styleId="IntenseEmphasis">
    <w:name w:val="Intense Emphasis"/>
    <w:basedOn w:val="DefaultParagraphFont"/>
    <w:uiPriority w:val="21"/>
    <w:qFormat/>
    <w:rsid w:val="00340C3D"/>
    <w:rPr>
      <w:i/>
      <w:iCs/>
      <w:color w:val="0F4761" w:themeColor="accent1" w:themeShade="BF"/>
    </w:rPr>
  </w:style>
  <w:style w:type="paragraph" w:styleId="IntenseQuote">
    <w:name w:val="Intense Quote"/>
    <w:basedOn w:val="Normal"/>
    <w:next w:val="Normal"/>
    <w:link w:val="IntenseQuoteChar"/>
    <w:uiPriority w:val="30"/>
    <w:qFormat/>
    <w:rsid w:val="0034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C3D"/>
    <w:rPr>
      <w:i/>
      <w:iCs/>
      <w:color w:val="0F4761" w:themeColor="accent1" w:themeShade="BF"/>
    </w:rPr>
  </w:style>
  <w:style w:type="character" w:styleId="IntenseReference">
    <w:name w:val="Intense Reference"/>
    <w:basedOn w:val="DefaultParagraphFont"/>
    <w:uiPriority w:val="32"/>
    <w:qFormat/>
    <w:rsid w:val="00340C3D"/>
    <w:rPr>
      <w:b/>
      <w:bCs/>
      <w:smallCaps/>
      <w:color w:val="0F4761" w:themeColor="accent1" w:themeShade="BF"/>
      <w:spacing w:val="5"/>
    </w:rPr>
  </w:style>
  <w:style w:type="character" w:styleId="Hyperlink">
    <w:name w:val="Hyperlink"/>
    <w:basedOn w:val="DefaultParagraphFont"/>
    <w:uiPriority w:val="99"/>
    <w:unhideWhenUsed/>
    <w:rsid w:val="00340C3D"/>
    <w:rPr>
      <w:color w:val="467886" w:themeColor="hyperlink"/>
      <w:u w:val="single"/>
    </w:rPr>
  </w:style>
  <w:style w:type="character" w:styleId="UnresolvedMention">
    <w:name w:val="Unresolved Mention"/>
    <w:basedOn w:val="DefaultParagraphFont"/>
    <w:uiPriority w:val="99"/>
    <w:semiHidden/>
    <w:unhideWhenUsed/>
    <w:rsid w:val="00340C3D"/>
    <w:rPr>
      <w:color w:val="605E5C"/>
      <w:shd w:val="clear" w:color="auto" w:fill="E1DFDD"/>
    </w:rPr>
  </w:style>
  <w:style w:type="paragraph" w:styleId="Header">
    <w:name w:val="header"/>
    <w:basedOn w:val="Normal"/>
    <w:link w:val="HeaderChar"/>
    <w:uiPriority w:val="99"/>
    <w:unhideWhenUsed/>
    <w:rsid w:val="00340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3D"/>
  </w:style>
  <w:style w:type="paragraph" w:styleId="Footer">
    <w:name w:val="footer"/>
    <w:basedOn w:val="Normal"/>
    <w:link w:val="FooterChar"/>
    <w:uiPriority w:val="99"/>
    <w:unhideWhenUsed/>
    <w:rsid w:val="00340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3D"/>
  </w:style>
  <w:style w:type="character" w:styleId="CommentReference">
    <w:name w:val="annotation reference"/>
    <w:basedOn w:val="DefaultParagraphFont"/>
    <w:uiPriority w:val="99"/>
    <w:semiHidden/>
    <w:unhideWhenUsed/>
    <w:rsid w:val="00FA5FE8"/>
    <w:rPr>
      <w:sz w:val="16"/>
      <w:szCs w:val="16"/>
    </w:rPr>
  </w:style>
  <w:style w:type="paragraph" w:styleId="CommentText">
    <w:name w:val="annotation text"/>
    <w:basedOn w:val="Normal"/>
    <w:link w:val="CommentTextChar"/>
    <w:uiPriority w:val="99"/>
    <w:unhideWhenUsed/>
    <w:rsid w:val="00FA5FE8"/>
    <w:pPr>
      <w:spacing w:line="240" w:lineRule="auto"/>
    </w:pPr>
    <w:rPr>
      <w:szCs w:val="20"/>
    </w:rPr>
  </w:style>
  <w:style w:type="character" w:customStyle="1" w:styleId="CommentTextChar">
    <w:name w:val="Comment Text Char"/>
    <w:basedOn w:val="DefaultParagraphFont"/>
    <w:link w:val="CommentText"/>
    <w:uiPriority w:val="99"/>
    <w:rsid w:val="00FA5FE8"/>
    <w:rPr>
      <w:szCs w:val="20"/>
    </w:rPr>
  </w:style>
  <w:style w:type="paragraph" w:styleId="CommentSubject">
    <w:name w:val="annotation subject"/>
    <w:basedOn w:val="CommentText"/>
    <w:next w:val="CommentText"/>
    <w:link w:val="CommentSubjectChar"/>
    <w:uiPriority w:val="99"/>
    <w:semiHidden/>
    <w:unhideWhenUsed/>
    <w:rsid w:val="00FA5FE8"/>
    <w:rPr>
      <w:b/>
      <w:bCs/>
    </w:rPr>
  </w:style>
  <w:style w:type="character" w:customStyle="1" w:styleId="CommentSubjectChar">
    <w:name w:val="Comment Subject Char"/>
    <w:basedOn w:val="CommentTextChar"/>
    <w:link w:val="CommentSubject"/>
    <w:uiPriority w:val="99"/>
    <w:semiHidden/>
    <w:rsid w:val="00FA5FE8"/>
    <w:rPr>
      <w:b/>
      <w:bCs/>
      <w:szCs w:val="20"/>
    </w:rPr>
  </w:style>
  <w:style w:type="paragraph" w:styleId="Revision">
    <w:name w:val="Revision"/>
    <w:hidden/>
    <w:uiPriority w:val="99"/>
    <w:semiHidden/>
    <w:rsid w:val="00B61E02"/>
    <w:pPr>
      <w:spacing w:after="0" w:line="240" w:lineRule="auto"/>
    </w:pPr>
  </w:style>
  <w:style w:type="character" w:styleId="FollowedHyperlink">
    <w:name w:val="FollowedHyperlink"/>
    <w:basedOn w:val="DefaultParagraphFont"/>
    <w:uiPriority w:val="99"/>
    <w:semiHidden/>
    <w:unhideWhenUsed/>
    <w:rsid w:val="00C92B87"/>
    <w:rPr>
      <w:color w:val="96607D" w:themeColor="followedHyperlink"/>
      <w:u w:val="single"/>
    </w:rPr>
  </w:style>
  <w:style w:type="paragraph" w:styleId="NoSpacing">
    <w:name w:val="No Spacing"/>
    <w:uiPriority w:val="1"/>
    <w:qFormat/>
    <w:rsid w:val="00112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2024-04/mymedicare-registration-form_0.pdf" TargetMode="External"/><Relationship Id="rId13" Type="http://schemas.openxmlformats.org/officeDocument/2006/relationships/hyperlink" Target="https://www.servicesaustralia.gov.au/register-for-mymedicare?context=22751" TargetMode="External"/><Relationship Id="rId18" Type="http://schemas.openxmlformats.org/officeDocument/2006/relationships/hyperlink" Target="http://mymedicare@healt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perational.servicesaustralia.gov.au/public/Pages/your-health/011-40030000-01.html" TargetMode="External"/><Relationship Id="rId17" Type="http://schemas.openxmlformats.org/officeDocument/2006/relationships/hyperlink" Target="https://www.health.gov.au/resources/collections/resources-for-mymedicare-general-practices-and-healthcare-providers?languag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yagedcare.gov.au/registering-suppor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rational.servicesaustralia.gov.au/public/Pages/your-health/011-40030000-01.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ervicesaustralia.gov.au/medicare-online-account" TargetMode="External"/><Relationship Id="rId23" Type="http://schemas.openxmlformats.org/officeDocument/2006/relationships/header" Target="header3.xml"/><Relationship Id="rId10" Type="http://schemas.openxmlformats.org/officeDocument/2006/relationships/hyperlink" Target="https://www.health.gov.au/sites/default/files/2024-04/mymedicare-registration-form_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9.health.gov.au/mbs/fullDisplay.cfm?type=note&amp;q=MN.13.12&amp;qt=noteID" TargetMode="External"/><Relationship Id="rId14" Type="http://schemas.openxmlformats.org/officeDocument/2006/relationships/hyperlink" Target="https://www.servicesaustralia.gov.au/medicare-online-accou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78B6-9BCF-402E-81AA-DED86A06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4233</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pathways to support people experiencing incapacity who need assistance</dc:title>
  <dc:subject>Medicare registration pathways</dc:subject>
  <dc:creator>Australian Government Department of Health, Disability and Ageing</dc:creator>
  <cp:keywords>Medicare</cp:keywords>
  <dc:description/>
  <dcterms:created xsi:type="dcterms:W3CDTF">2026-04-22T00:58:00Z</dcterms:created>
  <dcterms:modified xsi:type="dcterms:W3CDTF">2026-04-22T04:02:00Z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f6ee11c,45aa22a3,5114ad84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6128440f,4c3cc1ad,66bac842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2026-03-31T04:31:30Z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9a6cd880-df7f-4cca-bc63-d10b2e607e88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