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9E25" w14:textId="3BFFF030" w:rsidR="00081620" w:rsidRPr="008435AE" w:rsidRDefault="00DC02B5" w:rsidP="008435AE">
      <w:bookmarkStart w:id="0" w:name="_Toc107835765"/>
      <w:bookmarkStart w:id="1" w:name="_Toc107835832"/>
      <w:bookmarkStart w:id="2" w:name="_Toc107911556"/>
      <w:bookmarkStart w:id="3" w:name="_Toc107920651"/>
      <w:bookmarkStart w:id="4" w:name="_Toc111552630"/>
      <w:bookmarkStart w:id="5" w:name="_Toc111558639"/>
      <w:bookmarkStart w:id="6" w:name="_Toc111561063"/>
      <w:bookmarkStart w:id="7" w:name="_Toc117841798"/>
      <w:r w:rsidRPr="00081620">
        <w:rPr>
          <w:noProof/>
        </w:rPr>
        <mc:AlternateContent>
          <mc:Choice Requires="wps">
            <w:drawing>
              <wp:anchor distT="0" distB="0" distL="114300" distR="114300" simplePos="0" relativeHeight="251658244" behindDoc="0" locked="0" layoutInCell="1" allowOverlap="1" wp14:anchorId="66DCA4F3" wp14:editId="4BACEF6F">
                <wp:simplePos x="0" y="0"/>
                <wp:positionH relativeFrom="page">
                  <wp:posOffset>3371850</wp:posOffset>
                </wp:positionH>
                <wp:positionV relativeFrom="paragraph">
                  <wp:posOffset>4124325</wp:posOffset>
                </wp:positionV>
                <wp:extent cx="4171950" cy="3636010"/>
                <wp:effectExtent l="0" t="0" r="0" b="2540"/>
                <wp:wrapNone/>
                <wp:docPr id="59" name="Text Box 59" descr="FINAL REPORT"/>
                <wp:cNvGraphicFramePr/>
                <a:graphic xmlns:a="http://schemas.openxmlformats.org/drawingml/2006/main">
                  <a:graphicData uri="http://schemas.microsoft.com/office/word/2010/wordprocessingShape">
                    <wps:wsp>
                      <wps:cNvSpPr txBox="1"/>
                      <wps:spPr>
                        <a:xfrm>
                          <a:off x="0" y="0"/>
                          <a:ext cx="4171950" cy="3636010"/>
                        </a:xfrm>
                        <a:prstGeom prst="rect">
                          <a:avLst/>
                        </a:prstGeom>
                        <a:noFill/>
                        <a:ln>
                          <a:noFill/>
                        </a:ln>
                      </wps:spPr>
                      <wps:txbx>
                        <w:txbxContent>
                          <w:p w14:paraId="7DD40231" w14:textId="44A5ED8E" w:rsidR="00081620" w:rsidRPr="008435AE" w:rsidRDefault="00081620" w:rsidP="008435AE">
                            <w:pPr>
                              <w:pStyle w:val="Title"/>
                            </w:pPr>
                            <w:r w:rsidRPr="008435AE">
                              <w:t>FIN</w:t>
                            </w:r>
                            <w:r w:rsidR="00FC07F2" w:rsidRPr="008435AE">
                              <w:t>AL</w:t>
                            </w:r>
                            <w:r w:rsidR="008435AE" w:rsidRPr="008435AE">
                              <w:t xml:space="preserv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CA4F3" id="_x0000_t202" coordsize="21600,21600" o:spt="202" path="m,l,21600r21600,l21600,xe">
                <v:stroke joinstyle="miter"/>
                <v:path gradientshapeok="t" o:connecttype="rect"/>
              </v:shapetype>
              <v:shape id="Text Box 59" o:spid="_x0000_s1026" type="#_x0000_t202" alt="FINAL REPORT" style="position:absolute;margin-left:265.5pt;margin-top:324.75pt;width:328.5pt;height:286.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" filled="f" stroked="f">
                <v:textbox>
                  <w:txbxContent>
                    <w:p w14:paraId="7DD40231" w14:textId="44A5ED8E" w:rsidR="00081620" w:rsidRPr="008435AE" w:rsidRDefault="00081620" w:rsidP="008435AE">
                      <w:pPr>
                        <w:pStyle w:val="Title"/>
                      </w:pPr>
                      <w:r w:rsidRPr="008435AE">
                        <w:t>FIN</w:t>
                      </w:r>
                      <w:r w:rsidR="00FC07F2" w:rsidRPr="008435AE">
                        <w:t>AL</w:t>
                      </w:r>
                      <w:r w:rsidR="008435AE" w:rsidRPr="008435AE">
                        <w:t xml:space="preserve"> REPORT</w:t>
                      </w:r>
                    </w:p>
                  </w:txbxContent>
                </v:textbox>
                <w10:wrap anchorx="page"/>
              </v:shape>
            </w:pict>
          </mc:Fallback>
        </mc:AlternateContent>
      </w:r>
      <w:r w:rsidR="009A2A19" w:rsidRPr="00081620">
        <w:rPr>
          <w:noProof/>
        </w:rPr>
        <mc:AlternateContent>
          <mc:Choice Requires="wps">
            <w:drawing>
              <wp:anchor distT="0" distB="0" distL="114300" distR="114300" simplePos="0" relativeHeight="251658243" behindDoc="0" locked="0" layoutInCell="1" allowOverlap="1" wp14:anchorId="510C40CF" wp14:editId="32900CA3">
                <wp:simplePos x="0" y="0"/>
                <wp:positionH relativeFrom="margin">
                  <wp:posOffset>2402205</wp:posOffset>
                </wp:positionH>
                <wp:positionV relativeFrom="paragraph">
                  <wp:posOffset>2241550</wp:posOffset>
                </wp:positionV>
                <wp:extent cx="3238500" cy="2032000"/>
                <wp:effectExtent l="0" t="0" r="0" b="6350"/>
                <wp:wrapNone/>
                <wp:docPr id="62" name="Text Box 62" descr="Vascular Interventional Radiology Review"/>
                <wp:cNvGraphicFramePr/>
                <a:graphic xmlns:a="http://schemas.openxmlformats.org/drawingml/2006/main">
                  <a:graphicData uri="http://schemas.microsoft.com/office/word/2010/wordprocessingShape">
                    <wps:wsp>
                      <wps:cNvSpPr txBox="1"/>
                      <wps:spPr>
                        <a:xfrm>
                          <a:off x="0" y="0"/>
                          <a:ext cx="3238500" cy="2032000"/>
                        </a:xfrm>
                        <a:prstGeom prst="rect">
                          <a:avLst/>
                        </a:prstGeom>
                        <a:noFill/>
                        <a:ln>
                          <a:noFill/>
                        </a:ln>
                      </wps:spPr>
                      <wps:txbx>
                        <w:txbxContent>
                          <w:p w14:paraId="45E37CF0" w14:textId="32BD9D70" w:rsidR="00081620" w:rsidRPr="008435AE" w:rsidRDefault="00FC07F2" w:rsidP="008435AE">
                            <w:pPr>
                              <w:pStyle w:val="Subtitle"/>
                            </w:pPr>
                            <w:r w:rsidRPr="008435AE">
                              <w:t xml:space="preserve">Vascular Interventional Radiology </w:t>
                            </w:r>
                            <w:r w:rsidR="00692BBC" w:rsidRPr="008435AE">
                              <w:t>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40CF" id="Text Box 62" o:spid="_x0000_s1027" type="#_x0000_t202" alt="Vascular Interventional Radiology Review" style="position:absolute;margin-left:189.15pt;margin-top:176.5pt;width:255pt;height:160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" filled="f" stroked="f">
                <v:textbox>
                  <w:txbxContent>
                    <w:p w14:paraId="45E37CF0" w14:textId="32BD9D70" w:rsidR="00081620" w:rsidRPr="008435AE" w:rsidRDefault="00FC07F2" w:rsidP="008435AE">
                      <w:pPr>
                        <w:pStyle w:val="Subtitle"/>
                      </w:pPr>
                      <w:r w:rsidRPr="008435AE">
                        <w:t xml:space="preserve">Vascular Interventional Radiology </w:t>
                      </w:r>
                      <w:r w:rsidR="00692BBC" w:rsidRPr="008435AE">
                        <w:t>Review</w:t>
                      </w:r>
                    </w:p>
                  </w:txbxContent>
                </v:textbox>
                <w10:wrap anchorx="margin"/>
              </v:shape>
            </w:pict>
          </mc:Fallback>
        </mc:AlternateContent>
      </w:r>
      <w:r w:rsidR="00081620" w:rsidRPr="00081620">
        <w:rPr>
          <w:noProof/>
        </w:rPr>
        <mc:AlternateContent>
          <mc:Choice Requires="wps">
            <w:drawing>
              <wp:anchor distT="0" distB="0" distL="114300" distR="114300" simplePos="0" relativeHeight="251658246" behindDoc="0" locked="0" layoutInCell="1" allowOverlap="1" wp14:anchorId="1F25BF3E" wp14:editId="4E9EA5E5">
                <wp:simplePos x="0" y="0"/>
                <wp:positionH relativeFrom="margin">
                  <wp:posOffset>3297555</wp:posOffset>
                </wp:positionH>
                <wp:positionV relativeFrom="paragraph">
                  <wp:posOffset>8782050</wp:posOffset>
                </wp:positionV>
                <wp:extent cx="2952750" cy="2813050"/>
                <wp:effectExtent l="0" t="0" r="0" b="6350"/>
                <wp:wrapNone/>
                <wp:docPr id="22" name="Text Box 22" descr="March 2026"/>
                <wp:cNvGraphicFramePr/>
                <a:graphic xmlns:a="http://schemas.openxmlformats.org/drawingml/2006/main">
                  <a:graphicData uri="http://schemas.microsoft.com/office/word/2010/wordprocessingShape">
                    <wps:wsp>
                      <wps:cNvSpPr txBox="1"/>
                      <wps:spPr>
                        <a:xfrm>
                          <a:off x="0" y="0"/>
                          <a:ext cx="2952750" cy="2813050"/>
                        </a:xfrm>
                        <a:prstGeom prst="rect">
                          <a:avLst/>
                        </a:prstGeom>
                        <a:noFill/>
                        <a:ln>
                          <a:noFill/>
                        </a:ln>
                      </wps:spPr>
                      <wps:txbx>
                        <w:txbxContent>
                          <w:p w14:paraId="5D6FA78E" w14:textId="033B3B06" w:rsidR="00081620" w:rsidRDefault="007D0878" w:rsidP="00081620">
                            <w:pPr>
                              <w:spacing w:after="600"/>
                            </w:pPr>
                            <w:r>
                              <w:rPr>
                                <w:rFonts w:cs="Calibri"/>
                                <w:sz w:val="44"/>
                                <w:szCs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March</w:t>
                            </w:r>
                            <w:r w:rsidR="00FC07F2">
                              <w:rPr>
                                <w:rFonts w:cs="Calibri"/>
                                <w:sz w:val="44"/>
                                <w:szCs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5BF3E" id="Text Box 22" o:spid="_x0000_s1028" type="#_x0000_t202" alt="March 2026" style="position:absolute;margin-left:259.65pt;margin-top:691.5pt;width:232.5pt;height:221.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" filled="f" stroked="f">
                <v:textbox>
                  <w:txbxContent>
                    <w:p w14:paraId="5D6FA78E" w14:textId="033B3B06" w:rsidR="00081620" w:rsidRDefault="007D0878" w:rsidP="00081620">
                      <w:pPr>
                        <w:spacing w:after="600"/>
                      </w:pPr>
                      <w:r>
                        <w:rPr>
                          <w:rFonts w:cs="Calibri"/>
                          <w:sz w:val="44"/>
                          <w:szCs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March</w:t>
                      </w:r>
                      <w:r w:rsidR="00FC07F2">
                        <w:rPr>
                          <w:rFonts w:cs="Calibri"/>
                          <w:sz w:val="44"/>
                          <w:szCs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2026</w:t>
                      </w:r>
                    </w:p>
                  </w:txbxContent>
                </v:textbox>
                <w10:wrap anchorx="margin"/>
              </v:shape>
            </w:pict>
          </mc:Fallback>
        </mc:AlternateContent>
      </w:r>
      <w:r w:rsidR="00081620" w:rsidRPr="00081620">
        <w:rPr>
          <w:noProof/>
        </w:rPr>
        <mc:AlternateContent>
          <mc:Choice Requires="wps">
            <w:drawing>
              <wp:anchor distT="0" distB="0" distL="114300" distR="114300" simplePos="0" relativeHeight="251658242" behindDoc="0" locked="0" layoutInCell="1" allowOverlap="1" wp14:anchorId="0B161B26" wp14:editId="758922DB">
                <wp:simplePos x="0" y="0"/>
                <wp:positionH relativeFrom="margin">
                  <wp:posOffset>2171700</wp:posOffset>
                </wp:positionH>
                <wp:positionV relativeFrom="paragraph">
                  <wp:posOffset>-676275</wp:posOffset>
                </wp:positionV>
                <wp:extent cx="3705225" cy="1828800"/>
                <wp:effectExtent l="0" t="0" r="0" b="5715"/>
                <wp:wrapNone/>
                <wp:docPr id="63" name="Text Box 63" descr="MBS Review Advisory Committee"/>
                <wp:cNvGraphicFramePr/>
                <a:graphic xmlns:a="http://schemas.openxmlformats.org/drawingml/2006/main">
                  <a:graphicData uri="http://schemas.microsoft.com/office/word/2010/wordprocessingShape">
                    <wps:wsp>
                      <wps:cNvSpPr txBox="1"/>
                      <wps:spPr>
                        <a:xfrm>
                          <a:off x="0" y="0"/>
                          <a:ext cx="3705225" cy="1828800"/>
                        </a:xfrm>
                        <a:prstGeom prst="rect">
                          <a:avLst/>
                        </a:prstGeom>
                        <a:noFill/>
                        <a:ln>
                          <a:noFill/>
                        </a:ln>
                      </wps:spPr>
                      <wps:txbx>
                        <w:txbxContent>
                          <w:p w14:paraId="6ED0BB90" w14:textId="77777777" w:rsidR="00081620" w:rsidRPr="00081620" w:rsidRDefault="00081620" w:rsidP="00081620">
                            <w:pPr>
                              <w:spacing w:after="600"/>
                              <w:rPr>
                                <w:rFonts w:cs="Calibri"/>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1620">
                              <w:rPr>
                                <w:rFonts w:cs="Calibri"/>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MBS Review Advisory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161B26" id="Text Box 63" o:spid="_x0000_s1029" type="#_x0000_t202" alt="MBS Review Advisory Committee" style="position:absolute;margin-left:171pt;margin-top:-53.25pt;width:291.75pt;height:2in;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" filled="f" stroked="f">
                <v:textbox style="mso-fit-shape-to-text:t">
                  <w:txbxContent>
                    <w:p w14:paraId="6ED0BB90" w14:textId="77777777" w:rsidR="00081620" w:rsidRPr="00081620" w:rsidRDefault="00081620" w:rsidP="00081620">
                      <w:pPr>
                        <w:spacing w:after="600"/>
                        <w:rPr>
                          <w:rFonts w:cs="Calibri"/>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1620">
                        <w:rPr>
                          <w:rFonts w:cs="Calibri"/>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MBS Review Advisory Committee</w:t>
                      </w:r>
                    </w:p>
                  </w:txbxContent>
                </v:textbox>
                <w10:wrap anchorx="margin"/>
              </v:shape>
            </w:pict>
          </mc:Fallback>
        </mc:AlternateContent>
      </w:r>
      <w:r w:rsidR="00081620" w:rsidRPr="00081620">
        <w:rPr>
          <w:noProof/>
          <w:color w:val="C0504D"/>
        </w:rPr>
        <mc:AlternateContent>
          <mc:Choice Requires="wps">
            <w:drawing>
              <wp:anchor distT="0" distB="0" distL="114300" distR="114300" simplePos="0" relativeHeight="251658241" behindDoc="0" locked="0" layoutInCell="1" allowOverlap="1" wp14:anchorId="55B86F38" wp14:editId="1F8F886B">
                <wp:simplePos x="0" y="0"/>
                <wp:positionH relativeFrom="column">
                  <wp:posOffset>-3913824</wp:posOffset>
                </wp:positionH>
                <wp:positionV relativeFrom="paragraph">
                  <wp:posOffset>4696777</wp:posOffset>
                </wp:positionV>
                <wp:extent cx="11261595" cy="45719"/>
                <wp:effectExtent l="7302" t="0" r="4763" b="4762"/>
                <wp:wrapNone/>
                <wp:docPr id="18" name="Rectangle 18"/>
                <wp:cNvGraphicFramePr/>
                <a:graphic xmlns:a="http://schemas.openxmlformats.org/drawingml/2006/main">
                  <a:graphicData uri="http://schemas.microsoft.com/office/word/2010/wordprocessingShape">
                    <wps:wsp>
                      <wps:cNvSpPr/>
                      <wps:spPr>
                        <a:xfrm rot="5400000">
                          <a:off x="0" y="0"/>
                          <a:ext cx="11261595" cy="45719"/>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60EA6" id="Rectangle 18" o:spid="_x0000_s1026" style="position:absolute;margin-left:-308.2pt;margin-top:369.8pt;width:886.75pt;height:3.6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" fillcolor="windowText" stroked="f" strokeweight="2pt"/>
            </w:pict>
          </mc:Fallback>
        </mc:AlternateContent>
      </w:r>
      <w:r w:rsidR="00081620" w:rsidRPr="00081620">
        <w:rPr>
          <w:noProof/>
        </w:rPr>
        <w:drawing>
          <wp:anchor distT="0" distB="0" distL="114300" distR="114300" simplePos="0" relativeHeight="251658240" behindDoc="1" locked="0" layoutInCell="1" allowOverlap="1" wp14:anchorId="607138E0" wp14:editId="729FD891">
            <wp:simplePos x="0" y="0"/>
            <wp:positionH relativeFrom="page">
              <wp:align>left</wp:align>
            </wp:positionH>
            <wp:positionV relativeFrom="paragraph">
              <wp:posOffset>-895350</wp:posOffset>
            </wp:positionV>
            <wp:extent cx="2875280" cy="10972800"/>
            <wp:effectExtent l="0" t="0" r="1270" b="0"/>
            <wp:wrapNone/>
            <wp:docPr id="21" name="Picture 21" descr="Triangular abstrac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riangular abstract background"/>
                    <pic:cNvPicPr/>
                  </pic:nvPicPr>
                  <pic:blipFill rotWithShape="1">
                    <a:blip r:embed="rId11">
                      <a:alphaModFix amt="74000"/>
                      <a:extLst>
                        <a:ext uri="{28A0092B-C50C-407E-A947-70E740481C1C}">
                          <a14:useLocalDpi xmlns:a14="http://schemas.microsoft.com/office/drawing/2010/main" val="0"/>
                        </a:ext>
                      </a:extLst>
                    </a:blip>
                    <a:srcRect r="69144"/>
                    <a:stretch/>
                  </pic:blipFill>
                  <pic:spPr bwMode="auto">
                    <a:xfrm>
                      <a:off x="0" y="0"/>
                      <a:ext cx="2875280" cy="1097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1620" w:rsidRPr="00081620">
        <w:rPr>
          <w:rFonts w:cs="Calibri"/>
        </w:rPr>
        <w:br w:type="page"/>
      </w:r>
    </w:p>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8" w:name="_Toc227143218" w:displacedByCustomXml="next"/>
    <w:bookmarkStart w:id="9" w:name="_Toc107920652" w:displacedByCustomXml="next"/>
    <w:bookmarkStart w:id="10" w:name="_Toc119920737" w:displacedByCustomXml="next"/>
    <w:bookmarkStart w:id="11" w:name="_Toc119068518" w:displacedByCustomXml="next"/>
    <w:sdt>
      <w:sdtPr>
        <w:rPr>
          <w:lang w:val="en-GB"/>
        </w:rPr>
        <w:id w:val="-1477987670"/>
        <w:docPartObj>
          <w:docPartGallery w:val="Table of Contents"/>
          <w:docPartUnique/>
        </w:docPartObj>
      </w:sdtPr>
      <w:sdtEndPr>
        <w:rPr>
          <w:rFonts w:eastAsiaTheme="minorEastAsia" w:cs="Times New Roman"/>
          <w:bCs/>
          <w:kern w:val="2"/>
          <w:sz w:val="20"/>
          <w:szCs w:val="24"/>
          <w14:ligatures w14:val="standardContextual"/>
        </w:rPr>
      </w:sdtEndPr>
      <w:sdtContent>
        <w:p w14:paraId="4C29B131" w14:textId="10E59E3C" w:rsidR="00165193" w:rsidRDefault="00165193">
          <w:pPr>
            <w:pStyle w:val="TOCHeading"/>
          </w:pPr>
          <w:r>
            <w:rPr>
              <w:lang w:val="en-GB"/>
            </w:rPr>
            <w:t>Contents</w:t>
          </w:r>
        </w:p>
        <w:p w14:paraId="08CD1D10" w14:textId="37262BF6" w:rsidR="00165193" w:rsidRDefault="00165193" w:rsidP="00165193">
          <w:pPr>
            <w:pStyle w:val="TOC1"/>
            <w:rPr>
              <w:rFonts w:asciiTheme="minorHAnsi" w:hAnsiTheme="minorHAnsi" w:cstheme="minorBidi"/>
              <w:sz w:val="24"/>
            </w:rPr>
          </w:pPr>
          <w:r>
            <w:fldChar w:fldCharType="begin"/>
          </w:r>
          <w:r>
            <w:instrText xml:space="preserve"> TOC \o "1-3" \h \z \u </w:instrText>
          </w:r>
          <w:r>
            <w:fldChar w:fldCharType="separate"/>
          </w:r>
          <w:hyperlink w:anchor="_Toc227143275" w:history="1">
            <w:r w:rsidRPr="001C7B68">
              <w:rPr>
                <w:rStyle w:val="Hyperlink"/>
              </w:rPr>
              <w:t>Summary</w:t>
            </w:r>
            <w:r>
              <w:rPr>
                <w:webHidden/>
              </w:rPr>
              <w:tab/>
            </w:r>
            <w:r>
              <w:rPr>
                <w:webHidden/>
              </w:rPr>
              <w:fldChar w:fldCharType="begin"/>
            </w:r>
            <w:r>
              <w:rPr>
                <w:webHidden/>
              </w:rPr>
              <w:instrText xml:space="preserve"> PAGEREF _Toc227143275 \h </w:instrText>
            </w:r>
            <w:r>
              <w:rPr>
                <w:webHidden/>
              </w:rPr>
            </w:r>
            <w:r>
              <w:rPr>
                <w:webHidden/>
              </w:rPr>
              <w:fldChar w:fldCharType="separate"/>
            </w:r>
            <w:r>
              <w:rPr>
                <w:webHidden/>
              </w:rPr>
              <w:t>3</w:t>
            </w:r>
            <w:r>
              <w:rPr>
                <w:webHidden/>
              </w:rPr>
              <w:fldChar w:fldCharType="end"/>
            </w:r>
          </w:hyperlink>
        </w:p>
        <w:p w14:paraId="3FE0B3F9" w14:textId="6D893AF9" w:rsidR="00165193" w:rsidRDefault="00165193" w:rsidP="00165193">
          <w:pPr>
            <w:pStyle w:val="TOC2"/>
            <w:rPr>
              <w:rFonts w:asciiTheme="minorHAnsi" w:hAnsiTheme="minorHAnsi" w:cstheme="minorBidi"/>
              <w:sz w:val="24"/>
            </w:rPr>
          </w:pPr>
          <w:hyperlink w:anchor="_Toc227143276" w:history="1">
            <w:r w:rsidRPr="001C7B68">
              <w:rPr>
                <w:rStyle w:val="Hyperlink"/>
              </w:rPr>
              <w:t>PICO process</w:t>
            </w:r>
            <w:r>
              <w:rPr>
                <w:webHidden/>
              </w:rPr>
              <w:tab/>
            </w:r>
            <w:r>
              <w:rPr>
                <w:webHidden/>
              </w:rPr>
              <w:fldChar w:fldCharType="begin"/>
            </w:r>
            <w:r>
              <w:rPr>
                <w:webHidden/>
              </w:rPr>
              <w:instrText xml:space="preserve"> PAGEREF _Toc227143276 \h </w:instrText>
            </w:r>
            <w:r>
              <w:rPr>
                <w:webHidden/>
              </w:rPr>
            </w:r>
            <w:r>
              <w:rPr>
                <w:webHidden/>
              </w:rPr>
              <w:fldChar w:fldCharType="separate"/>
            </w:r>
            <w:r>
              <w:rPr>
                <w:webHidden/>
              </w:rPr>
              <w:t>3</w:t>
            </w:r>
            <w:r>
              <w:rPr>
                <w:webHidden/>
              </w:rPr>
              <w:fldChar w:fldCharType="end"/>
            </w:r>
          </w:hyperlink>
        </w:p>
        <w:p w14:paraId="2A652409" w14:textId="0B22BC0B" w:rsidR="00165193" w:rsidRDefault="00165193" w:rsidP="00165193">
          <w:pPr>
            <w:pStyle w:val="TOC2"/>
            <w:rPr>
              <w:rFonts w:asciiTheme="minorHAnsi" w:hAnsiTheme="minorHAnsi" w:cstheme="minorBidi"/>
              <w:sz w:val="24"/>
            </w:rPr>
          </w:pPr>
          <w:hyperlink w:anchor="_Toc227143277" w:history="1">
            <w:r w:rsidRPr="001C7B68">
              <w:rPr>
                <w:rStyle w:val="Hyperlink"/>
              </w:rPr>
              <w:t>Recommendations</w:t>
            </w:r>
            <w:r>
              <w:rPr>
                <w:webHidden/>
              </w:rPr>
              <w:tab/>
            </w:r>
            <w:r>
              <w:rPr>
                <w:webHidden/>
              </w:rPr>
              <w:fldChar w:fldCharType="begin"/>
            </w:r>
            <w:r>
              <w:rPr>
                <w:webHidden/>
              </w:rPr>
              <w:instrText xml:space="preserve"> PAGEREF _Toc227143277 \h </w:instrText>
            </w:r>
            <w:r>
              <w:rPr>
                <w:webHidden/>
              </w:rPr>
            </w:r>
            <w:r>
              <w:rPr>
                <w:webHidden/>
              </w:rPr>
              <w:fldChar w:fldCharType="separate"/>
            </w:r>
            <w:r>
              <w:rPr>
                <w:webHidden/>
              </w:rPr>
              <w:t>3</w:t>
            </w:r>
            <w:r>
              <w:rPr>
                <w:webHidden/>
              </w:rPr>
              <w:fldChar w:fldCharType="end"/>
            </w:r>
          </w:hyperlink>
        </w:p>
        <w:p w14:paraId="0524392D" w14:textId="35441FA9" w:rsidR="00165193" w:rsidRDefault="00165193" w:rsidP="00165193">
          <w:pPr>
            <w:pStyle w:val="TOC2"/>
            <w:rPr>
              <w:rFonts w:asciiTheme="minorHAnsi" w:hAnsiTheme="minorHAnsi" w:cstheme="minorBidi"/>
              <w:sz w:val="24"/>
            </w:rPr>
          </w:pPr>
          <w:hyperlink w:anchor="_Toc227143278" w:history="1">
            <w:r w:rsidRPr="001C7B68">
              <w:rPr>
                <w:rStyle w:val="Hyperlink"/>
              </w:rPr>
              <w:t>Considerations for implementation</w:t>
            </w:r>
            <w:r>
              <w:rPr>
                <w:webHidden/>
              </w:rPr>
              <w:tab/>
            </w:r>
            <w:r>
              <w:rPr>
                <w:webHidden/>
              </w:rPr>
              <w:fldChar w:fldCharType="begin"/>
            </w:r>
            <w:r>
              <w:rPr>
                <w:webHidden/>
              </w:rPr>
              <w:instrText xml:space="preserve"> PAGEREF _Toc227143278 \h </w:instrText>
            </w:r>
            <w:r>
              <w:rPr>
                <w:webHidden/>
              </w:rPr>
            </w:r>
            <w:r>
              <w:rPr>
                <w:webHidden/>
              </w:rPr>
              <w:fldChar w:fldCharType="separate"/>
            </w:r>
            <w:r>
              <w:rPr>
                <w:webHidden/>
              </w:rPr>
              <w:t>4</w:t>
            </w:r>
            <w:r>
              <w:rPr>
                <w:webHidden/>
              </w:rPr>
              <w:fldChar w:fldCharType="end"/>
            </w:r>
          </w:hyperlink>
        </w:p>
        <w:p w14:paraId="59B226E6" w14:textId="5DC88495" w:rsidR="00165193" w:rsidRDefault="00165193" w:rsidP="00165193">
          <w:pPr>
            <w:pStyle w:val="TOC1"/>
            <w:rPr>
              <w:rFonts w:asciiTheme="minorHAnsi" w:hAnsiTheme="minorHAnsi" w:cstheme="minorBidi"/>
              <w:sz w:val="24"/>
            </w:rPr>
          </w:pPr>
          <w:hyperlink w:anchor="_Toc227143279" w:history="1">
            <w:r w:rsidRPr="001C7B68">
              <w:rPr>
                <w:rStyle w:val="Hyperlink"/>
              </w:rPr>
              <w:t>List of recommendations</w:t>
            </w:r>
            <w:r>
              <w:rPr>
                <w:webHidden/>
              </w:rPr>
              <w:tab/>
            </w:r>
            <w:r>
              <w:rPr>
                <w:webHidden/>
              </w:rPr>
              <w:fldChar w:fldCharType="begin"/>
            </w:r>
            <w:r>
              <w:rPr>
                <w:webHidden/>
              </w:rPr>
              <w:instrText xml:space="preserve"> PAGEREF _Toc227143279 \h </w:instrText>
            </w:r>
            <w:r>
              <w:rPr>
                <w:webHidden/>
              </w:rPr>
            </w:r>
            <w:r>
              <w:rPr>
                <w:webHidden/>
              </w:rPr>
              <w:fldChar w:fldCharType="separate"/>
            </w:r>
            <w:r>
              <w:rPr>
                <w:webHidden/>
              </w:rPr>
              <w:t>5</w:t>
            </w:r>
            <w:r>
              <w:rPr>
                <w:webHidden/>
              </w:rPr>
              <w:fldChar w:fldCharType="end"/>
            </w:r>
          </w:hyperlink>
        </w:p>
        <w:p w14:paraId="0BE460FC" w14:textId="786E1EDD" w:rsidR="00165193" w:rsidRDefault="00165193" w:rsidP="00165193">
          <w:pPr>
            <w:pStyle w:val="TOC1"/>
            <w:rPr>
              <w:rFonts w:asciiTheme="minorHAnsi" w:hAnsiTheme="minorHAnsi" w:cstheme="minorBidi"/>
              <w:sz w:val="24"/>
            </w:rPr>
          </w:pPr>
          <w:hyperlink w:anchor="_Toc227143293" w:history="1">
            <w:r w:rsidRPr="001C7B68">
              <w:rPr>
                <w:rStyle w:val="Hyperlink"/>
              </w:rPr>
              <w:t>Acronyms</w:t>
            </w:r>
            <w:r>
              <w:rPr>
                <w:webHidden/>
              </w:rPr>
              <w:tab/>
            </w:r>
            <w:r>
              <w:rPr>
                <w:webHidden/>
              </w:rPr>
              <w:fldChar w:fldCharType="begin"/>
            </w:r>
            <w:r>
              <w:rPr>
                <w:webHidden/>
              </w:rPr>
              <w:instrText xml:space="preserve"> PAGEREF _Toc227143293 \h </w:instrText>
            </w:r>
            <w:r>
              <w:rPr>
                <w:webHidden/>
              </w:rPr>
            </w:r>
            <w:r>
              <w:rPr>
                <w:webHidden/>
              </w:rPr>
              <w:fldChar w:fldCharType="separate"/>
            </w:r>
            <w:r>
              <w:rPr>
                <w:webHidden/>
              </w:rPr>
              <w:t>7</w:t>
            </w:r>
            <w:r>
              <w:rPr>
                <w:webHidden/>
              </w:rPr>
              <w:fldChar w:fldCharType="end"/>
            </w:r>
          </w:hyperlink>
        </w:p>
        <w:p w14:paraId="53695EBD" w14:textId="0CF64382" w:rsidR="00165193" w:rsidRDefault="00165193" w:rsidP="00165193">
          <w:pPr>
            <w:pStyle w:val="TOC1"/>
            <w:rPr>
              <w:rFonts w:asciiTheme="minorHAnsi" w:hAnsiTheme="minorHAnsi" w:cstheme="minorBidi"/>
              <w:sz w:val="24"/>
            </w:rPr>
          </w:pPr>
          <w:hyperlink w:anchor="_Toc227143294" w:history="1">
            <w:r w:rsidRPr="001C7B68">
              <w:rPr>
                <w:rStyle w:val="Hyperlink"/>
              </w:rPr>
              <w:t>Background</w:t>
            </w:r>
            <w:r>
              <w:rPr>
                <w:webHidden/>
              </w:rPr>
              <w:tab/>
            </w:r>
            <w:r>
              <w:rPr>
                <w:webHidden/>
              </w:rPr>
              <w:fldChar w:fldCharType="begin"/>
            </w:r>
            <w:r>
              <w:rPr>
                <w:webHidden/>
              </w:rPr>
              <w:instrText xml:space="preserve"> PAGEREF _Toc227143294 \h </w:instrText>
            </w:r>
            <w:r>
              <w:rPr>
                <w:webHidden/>
              </w:rPr>
            </w:r>
            <w:r>
              <w:rPr>
                <w:webHidden/>
              </w:rPr>
              <w:fldChar w:fldCharType="separate"/>
            </w:r>
            <w:r>
              <w:rPr>
                <w:webHidden/>
              </w:rPr>
              <w:t>8</w:t>
            </w:r>
            <w:r>
              <w:rPr>
                <w:webHidden/>
              </w:rPr>
              <w:fldChar w:fldCharType="end"/>
            </w:r>
          </w:hyperlink>
        </w:p>
        <w:p w14:paraId="0C646589" w14:textId="3572C817" w:rsidR="00165193" w:rsidRDefault="00165193" w:rsidP="00165193">
          <w:pPr>
            <w:pStyle w:val="TOC2"/>
            <w:rPr>
              <w:rFonts w:asciiTheme="minorHAnsi" w:hAnsiTheme="minorHAnsi" w:cstheme="minorBidi"/>
              <w:sz w:val="24"/>
            </w:rPr>
          </w:pPr>
          <w:hyperlink w:anchor="_Toc227143295" w:history="1">
            <w:r w:rsidRPr="001C7B68">
              <w:rPr>
                <w:rStyle w:val="Hyperlink"/>
              </w:rPr>
              <w:t>Key recommendations from the MBS Review Taskforce</w:t>
            </w:r>
            <w:r>
              <w:rPr>
                <w:webHidden/>
              </w:rPr>
              <w:tab/>
            </w:r>
            <w:r>
              <w:rPr>
                <w:webHidden/>
              </w:rPr>
              <w:fldChar w:fldCharType="begin"/>
            </w:r>
            <w:r>
              <w:rPr>
                <w:webHidden/>
              </w:rPr>
              <w:instrText xml:space="preserve"> PAGEREF _Toc227143295 \h </w:instrText>
            </w:r>
            <w:r>
              <w:rPr>
                <w:webHidden/>
              </w:rPr>
            </w:r>
            <w:r>
              <w:rPr>
                <w:webHidden/>
              </w:rPr>
              <w:fldChar w:fldCharType="separate"/>
            </w:r>
            <w:r>
              <w:rPr>
                <w:webHidden/>
              </w:rPr>
              <w:t>8</w:t>
            </w:r>
            <w:r>
              <w:rPr>
                <w:webHidden/>
              </w:rPr>
              <w:fldChar w:fldCharType="end"/>
            </w:r>
          </w:hyperlink>
        </w:p>
        <w:p w14:paraId="0297E954" w14:textId="47EF5542" w:rsidR="00165193" w:rsidRDefault="00165193" w:rsidP="00165193">
          <w:pPr>
            <w:pStyle w:val="TOC2"/>
            <w:rPr>
              <w:rFonts w:asciiTheme="minorHAnsi" w:hAnsiTheme="minorHAnsi" w:cstheme="minorBidi"/>
              <w:sz w:val="24"/>
            </w:rPr>
          </w:pPr>
          <w:hyperlink w:anchor="_Toc227143296" w:history="1">
            <w:r w:rsidRPr="001C7B68">
              <w:rPr>
                <w:rStyle w:val="Hyperlink"/>
              </w:rPr>
              <w:t>Vascular Interventional Radiology Working Group</w:t>
            </w:r>
            <w:r>
              <w:rPr>
                <w:webHidden/>
              </w:rPr>
              <w:tab/>
            </w:r>
            <w:r>
              <w:rPr>
                <w:webHidden/>
              </w:rPr>
              <w:fldChar w:fldCharType="begin"/>
            </w:r>
            <w:r>
              <w:rPr>
                <w:webHidden/>
              </w:rPr>
              <w:instrText xml:space="preserve"> PAGEREF _Toc227143296 \h </w:instrText>
            </w:r>
            <w:r>
              <w:rPr>
                <w:webHidden/>
              </w:rPr>
            </w:r>
            <w:r>
              <w:rPr>
                <w:webHidden/>
              </w:rPr>
              <w:fldChar w:fldCharType="separate"/>
            </w:r>
            <w:r>
              <w:rPr>
                <w:webHidden/>
              </w:rPr>
              <w:t>9</w:t>
            </w:r>
            <w:r>
              <w:rPr>
                <w:webHidden/>
              </w:rPr>
              <w:fldChar w:fldCharType="end"/>
            </w:r>
          </w:hyperlink>
        </w:p>
        <w:p w14:paraId="18DEE39B" w14:textId="6B219E58" w:rsidR="00165193" w:rsidRPr="00165193" w:rsidRDefault="00165193" w:rsidP="00165193">
          <w:pPr>
            <w:pStyle w:val="TOC1"/>
          </w:pPr>
          <w:hyperlink w:anchor="_Toc227143297" w:history="1">
            <w:r w:rsidRPr="001C7B68">
              <w:rPr>
                <w:rStyle w:val="Hyperlink"/>
              </w:rPr>
              <w:t>PICO assessments</w:t>
            </w:r>
            <w:r>
              <w:rPr>
                <w:webHidden/>
              </w:rPr>
              <w:tab/>
            </w:r>
            <w:r>
              <w:rPr>
                <w:webHidden/>
              </w:rPr>
              <w:fldChar w:fldCharType="begin"/>
            </w:r>
            <w:r>
              <w:rPr>
                <w:webHidden/>
              </w:rPr>
              <w:instrText xml:space="preserve"> PAGEREF _Toc227143297 \h </w:instrText>
            </w:r>
            <w:r>
              <w:rPr>
                <w:webHidden/>
              </w:rPr>
            </w:r>
            <w:r>
              <w:rPr>
                <w:webHidden/>
              </w:rPr>
              <w:fldChar w:fldCharType="separate"/>
            </w:r>
            <w:r>
              <w:rPr>
                <w:webHidden/>
              </w:rPr>
              <w:t>10</w:t>
            </w:r>
            <w:r>
              <w:rPr>
                <w:webHidden/>
              </w:rPr>
              <w:fldChar w:fldCharType="end"/>
            </w:r>
          </w:hyperlink>
        </w:p>
        <w:p w14:paraId="39CE6B9B" w14:textId="25B3DF53" w:rsidR="00165193" w:rsidRDefault="00165193" w:rsidP="00165193">
          <w:pPr>
            <w:pStyle w:val="TOC1"/>
            <w:rPr>
              <w:rFonts w:asciiTheme="minorHAnsi" w:hAnsiTheme="minorHAnsi" w:cstheme="minorBidi"/>
              <w:sz w:val="24"/>
            </w:rPr>
          </w:pPr>
          <w:hyperlink w:anchor="_Toc227143298" w:history="1">
            <w:r w:rsidRPr="001C7B68">
              <w:rPr>
                <w:rStyle w:val="Hyperlink"/>
              </w:rPr>
              <w:t>Recommendations and rationale</w:t>
            </w:r>
            <w:r>
              <w:rPr>
                <w:webHidden/>
              </w:rPr>
              <w:tab/>
            </w:r>
            <w:r>
              <w:rPr>
                <w:webHidden/>
              </w:rPr>
              <w:fldChar w:fldCharType="begin"/>
            </w:r>
            <w:r>
              <w:rPr>
                <w:webHidden/>
              </w:rPr>
              <w:instrText xml:space="preserve"> PAGEREF _Toc227143298 \h </w:instrText>
            </w:r>
            <w:r>
              <w:rPr>
                <w:webHidden/>
              </w:rPr>
            </w:r>
            <w:r>
              <w:rPr>
                <w:webHidden/>
              </w:rPr>
              <w:fldChar w:fldCharType="separate"/>
            </w:r>
            <w:r>
              <w:rPr>
                <w:webHidden/>
              </w:rPr>
              <w:t>11</w:t>
            </w:r>
            <w:r>
              <w:rPr>
                <w:webHidden/>
              </w:rPr>
              <w:fldChar w:fldCharType="end"/>
            </w:r>
          </w:hyperlink>
        </w:p>
        <w:p w14:paraId="3F02EFED" w14:textId="790D355A" w:rsidR="00165193" w:rsidRPr="00165193" w:rsidRDefault="00165193" w:rsidP="00165193">
          <w:pPr>
            <w:pStyle w:val="TOC2"/>
          </w:pPr>
          <w:hyperlink w:anchor="_Toc227143299" w:history="1">
            <w:r w:rsidRPr="001C7B68">
              <w:rPr>
                <w:rStyle w:val="Hyperlink"/>
              </w:rPr>
              <w:t>Final recommendations</w:t>
            </w:r>
            <w:r>
              <w:rPr>
                <w:webHidden/>
              </w:rPr>
              <w:tab/>
            </w:r>
            <w:r>
              <w:rPr>
                <w:webHidden/>
              </w:rPr>
              <w:fldChar w:fldCharType="begin"/>
            </w:r>
            <w:r>
              <w:rPr>
                <w:webHidden/>
              </w:rPr>
              <w:instrText xml:space="preserve"> PAGEREF _Toc227143299 \h </w:instrText>
            </w:r>
            <w:r>
              <w:rPr>
                <w:webHidden/>
              </w:rPr>
            </w:r>
            <w:r>
              <w:rPr>
                <w:webHidden/>
              </w:rPr>
              <w:fldChar w:fldCharType="separate"/>
            </w:r>
            <w:r>
              <w:rPr>
                <w:webHidden/>
              </w:rPr>
              <w:t>11</w:t>
            </w:r>
            <w:r>
              <w:rPr>
                <w:webHidden/>
              </w:rPr>
              <w:fldChar w:fldCharType="end"/>
            </w:r>
          </w:hyperlink>
        </w:p>
        <w:p w14:paraId="6EBB3009" w14:textId="35718366" w:rsidR="00165193" w:rsidRPr="00165193" w:rsidRDefault="00165193" w:rsidP="00165193">
          <w:pPr>
            <w:pStyle w:val="TOC2"/>
          </w:pPr>
          <w:hyperlink w:anchor="_Toc227143300" w:history="1">
            <w:r w:rsidRPr="001C7B68">
              <w:rPr>
                <w:rStyle w:val="Hyperlink"/>
              </w:rPr>
              <w:t>Diagnostic-only angiography services</w:t>
            </w:r>
            <w:r>
              <w:rPr>
                <w:webHidden/>
              </w:rPr>
              <w:tab/>
            </w:r>
            <w:r>
              <w:rPr>
                <w:webHidden/>
              </w:rPr>
              <w:fldChar w:fldCharType="begin"/>
            </w:r>
            <w:r>
              <w:rPr>
                <w:webHidden/>
              </w:rPr>
              <w:instrText xml:space="preserve"> PAGEREF _Toc227143300 \h </w:instrText>
            </w:r>
            <w:r>
              <w:rPr>
                <w:webHidden/>
              </w:rPr>
            </w:r>
            <w:r>
              <w:rPr>
                <w:webHidden/>
              </w:rPr>
              <w:fldChar w:fldCharType="separate"/>
            </w:r>
            <w:r>
              <w:rPr>
                <w:webHidden/>
              </w:rPr>
              <w:t>11</w:t>
            </w:r>
            <w:r>
              <w:rPr>
                <w:webHidden/>
              </w:rPr>
              <w:fldChar w:fldCharType="end"/>
            </w:r>
          </w:hyperlink>
        </w:p>
        <w:p w14:paraId="1E2EBA6A" w14:textId="238F2940" w:rsidR="00165193" w:rsidRDefault="00165193" w:rsidP="00165193">
          <w:pPr>
            <w:pStyle w:val="TOC3"/>
            <w:rPr>
              <w:rFonts w:asciiTheme="minorHAnsi" w:hAnsiTheme="minorHAnsi" w:cstheme="minorBidi"/>
              <w:noProof/>
              <w:sz w:val="24"/>
            </w:rPr>
          </w:pPr>
          <w:hyperlink w:anchor="_Toc227143301" w:history="1">
            <w:r w:rsidRPr="001C7B68">
              <w:rPr>
                <w:rStyle w:val="Hyperlink"/>
                <w:noProof/>
              </w:rPr>
              <w:t>Angiography and fluoroscopy in vascular procedures</w:t>
            </w:r>
            <w:r>
              <w:rPr>
                <w:noProof/>
                <w:webHidden/>
              </w:rPr>
              <w:tab/>
            </w:r>
            <w:r>
              <w:rPr>
                <w:noProof/>
                <w:webHidden/>
              </w:rPr>
              <w:fldChar w:fldCharType="begin"/>
            </w:r>
            <w:r>
              <w:rPr>
                <w:noProof/>
                <w:webHidden/>
              </w:rPr>
              <w:instrText xml:space="preserve"> PAGEREF _Toc227143301 \h </w:instrText>
            </w:r>
            <w:r>
              <w:rPr>
                <w:noProof/>
                <w:webHidden/>
              </w:rPr>
            </w:r>
            <w:r>
              <w:rPr>
                <w:noProof/>
                <w:webHidden/>
              </w:rPr>
              <w:fldChar w:fldCharType="separate"/>
            </w:r>
            <w:r>
              <w:rPr>
                <w:noProof/>
                <w:webHidden/>
              </w:rPr>
              <w:t>12</w:t>
            </w:r>
            <w:r>
              <w:rPr>
                <w:noProof/>
                <w:webHidden/>
              </w:rPr>
              <w:fldChar w:fldCharType="end"/>
            </w:r>
          </w:hyperlink>
        </w:p>
        <w:p w14:paraId="01B232C7" w14:textId="79CC2BFB" w:rsidR="00165193" w:rsidRDefault="00165193" w:rsidP="00165193">
          <w:pPr>
            <w:pStyle w:val="TOC3"/>
            <w:rPr>
              <w:rFonts w:asciiTheme="minorHAnsi" w:hAnsiTheme="minorHAnsi" w:cstheme="minorBidi"/>
              <w:noProof/>
              <w:sz w:val="24"/>
            </w:rPr>
          </w:pPr>
          <w:hyperlink w:anchor="_Toc227143302" w:history="1">
            <w:r w:rsidRPr="001C7B68">
              <w:rPr>
                <w:rStyle w:val="Hyperlink"/>
                <w:noProof/>
              </w:rPr>
              <w:t>Aftercare in procedural items</w:t>
            </w:r>
            <w:r>
              <w:rPr>
                <w:noProof/>
                <w:webHidden/>
              </w:rPr>
              <w:tab/>
            </w:r>
            <w:r>
              <w:rPr>
                <w:noProof/>
                <w:webHidden/>
              </w:rPr>
              <w:fldChar w:fldCharType="begin"/>
            </w:r>
            <w:r>
              <w:rPr>
                <w:noProof/>
                <w:webHidden/>
              </w:rPr>
              <w:instrText xml:space="preserve"> PAGEREF _Toc227143302 \h </w:instrText>
            </w:r>
            <w:r>
              <w:rPr>
                <w:noProof/>
                <w:webHidden/>
              </w:rPr>
            </w:r>
            <w:r>
              <w:rPr>
                <w:noProof/>
                <w:webHidden/>
              </w:rPr>
              <w:fldChar w:fldCharType="separate"/>
            </w:r>
            <w:r>
              <w:rPr>
                <w:noProof/>
                <w:webHidden/>
              </w:rPr>
              <w:t>12</w:t>
            </w:r>
            <w:r>
              <w:rPr>
                <w:noProof/>
                <w:webHidden/>
              </w:rPr>
              <w:fldChar w:fldCharType="end"/>
            </w:r>
          </w:hyperlink>
        </w:p>
        <w:p w14:paraId="2C52AD99" w14:textId="7357C26F" w:rsidR="00165193" w:rsidRDefault="00165193" w:rsidP="00165193">
          <w:pPr>
            <w:pStyle w:val="TOC3"/>
            <w:rPr>
              <w:rFonts w:asciiTheme="minorHAnsi" w:hAnsiTheme="minorHAnsi" w:cstheme="minorBidi"/>
              <w:noProof/>
              <w:sz w:val="24"/>
            </w:rPr>
          </w:pPr>
          <w:hyperlink w:anchor="_Toc227143303" w:history="1">
            <w:r w:rsidRPr="001C7B68">
              <w:rPr>
                <w:rStyle w:val="Hyperlink"/>
                <w:noProof/>
              </w:rPr>
              <w:t>Invasive diagnostic services</w:t>
            </w:r>
            <w:r>
              <w:rPr>
                <w:noProof/>
                <w:webHidden/>
              </w:rPr>
              <w:tab/>
            </w:r>
            <w:r>
              <w:rPr>
                <w:noProof/>
                <w:webHidden/>
              </w:rPr>
              <w:fldChar w:fldCharType="begin"/>
            </w:r>
            <w:r>
              <w:rPr>
                <w:noProof/>
                <w:webHidden/>
              </w:rPr>
              <w:instrText xml:space="preserve"> PAGEREF _Toc227143303 \h </w:instrText>
            </w:r>
            <w:r>
              <w:rPr>
                <w:noProof/>
                <w:webHidden/>
              </w:rPr>
            </w:r>
            <w:r>
              <w:rPr>
                <w:noProof/>
                <w:webHidden/>
              </w:rPr>
              <w:fldChar w:fldCharType="separate"/>
            </w:r>
            <w:r>
              <w:rPr>
                <w:noProof/>
                <w:webHidden/>
              </w:rPr>
              <w:t>12</w:t>
            </w:r>
            <w:r>
              <w:rPr>
                <w:noProof/>
                <w:webHidden/>
              </w:rPr>
              <w:fldChar w:fldCharType="end"/>
            </w:r>
          </w:hyperlink>
        </w:p>
        <w:p w14:paraId="7ADA8DFD" w14:textId="715A6CA6" w:rsidR="00165193" w:rsidRDefault="00165193" w:rsidP="00165193">
          <w:pPr>
            <w:pStyle w:val="TOC3"/>
            <w:rPr>
              <w:rFonts w:asciiTheme="minorHAnsi" w:hAnsiTheme="minorHAnsi" w:cstheme="minorBidi"/>
              <w:noProof/>
              <w:sz w:val="24"/>
            </w:rPr>
          </w:pPr>
          <w:hyperlink w:anchor="_Toc227143304" w:history="1">
            <w:r w:rsidRPr="001C7B68">
              <w:rPr>
                <w:rStyle w:val="Hyperlink"/>
                <w:noProof/>
              </w:rPr>
              <w:t>Open and endovascular/hybrid approaches</w:t>
            </w:r>
            <w:r>
              <w:rPr>
                <w:noProof/>
                <w:webHidden/>
              </w:rPr>
              <w:tab/>
            </w:r>
            <w:r>
              <w:rPr>
                <w:noProof/>
                <w:webHidden/>
              </w:rPr>
              <w:fldChar w:fldCharType="begin"/>
            </w:r>
            <w:r>
              <w:rPr>
                <w:noProof/>
                <w:webHidden/>
              </w:rPr>
              <w:instrText xml:space="preserve"> PAGEREF _Toc227143304 \h </w:instrText>
            </w:r>
            <w:r>
              <w:rPr>
                <w:noProof/>
                <w:webHidden/>
              </w:rPr>
            </w:r>
            <w:r>
              <w:rPr>
                <w:noProof/>
                <w:webHidden/>
              </w:rPr>
              <w:fldChar w:fldCharType="separate"/>
            </w:r>
            <w:r>
              <w:rPr>
                <w:noProof/>
                <w:webHidden/>
              </w:rPr>
              <w:t>13</w:t>
            </w:r>
            <w:r>
              <w:rPr>
                <w:noProof/>
                <w:webHidden/>
              </w:rPr>
              <w:fldChar w:fldCharType="end"/>
            </w:r>
          </w:hyperlink>
        </w:p>
        <w:p w14:paraId="2D8617BA" w14:textId="6BA42724" w:rsidR="00165193" w:rsidRDefault="00165193" w:rsidP="00165193">
          <w:pPr>
            <w:pStyle w:val="TOC3"/>
            <w:rPr>
              <w:rFonts w:asciiTheme="minorHAnsi" w:hAnsiTheme="minorHAnsi" w:cstheme="minorBidi"/>
              <w:noProof/>
              <w:sz w:val="24"/>
            </w:rPr>
          </w:pPr>
          <w:hyperlink w:anchor="_Toc227143305" w:history="1">
            <w:r w:rsidRPr="001C7B68">
              <w:rPr>
                <w:rStyle w:val="Hyperlink"/>
                <w:noProof/>
              </w:rPr>
              <w:t>Consistency of MBS fees</w:t>
            </w:r>
            <w:r>
              <w:rPr>
                <w:noProof/>
                <w:webHidden/>
              </w:rPr>
              <w:tab/>
            </w:r>
            <w:r>
              <w:rPr>
                <w:noProof/>
                <w:webHidden/>
              </w:rPr>
              <w:fldChar w:fldCharType="begin"/>
            </w:r>
            <w:r>
              <w:rPr>
                <w:noProof/>
                <w:webHidden/>
              </w:rPr>
              <w:instrText xml:space="preserve"> PAGEREF _Toc227143305 \h </w:instrText>
            </w:r>
            <w:r>
              <w:rPr>
                <w:noProof/>
                <w:webHidden/>
              </w:rPr>
            </w:r>
            <w:r>
              <w:rPr>
                <w:noProof/>
                <w:webHidden/>
              </w:rPr>
              <w:fldChar w:fldCharType="separate"/>
            </w:r>
            <w:r>
              <w:rPr>
                <w:noProof/>
                <w:webHidden/>
              </w:rPr>
              <w:t>13</w:t>
            </w:r>
            <w:r>
              <w:rPr>
                <w:noProof/>
                <w:webHidden/>
              </w:rPr>
              <w:fldChar w:fldCharType="end"/>
            </w:r>
          </w:hyperlink>
        </w:p>
        <w:p w14:paraId="0C48F4F1" w14:textId="79CB07F7" w:rsidR="00165193" w:rsidRDefault="00165193" w:rsidP="00165193">
          <w:pPr>
            <w:pStyle w:val="TOC3"/>
            <w:rPr>
              <w:rFonts w:asciiTheme="minorHAnsi" w:hAnsiTheme="minorHAnsi" w:cstheme="minorBidi"/>
              <w:noProof/>
              <w:sz w:val="24"/>
            </w:rPr>
          </w:pPr>
          <w:hyperlink w:anchor="_Toc227143306" w:history="1">
            <w:r w:rsidRPr="001C7B68">
              <w:rPr>
                <w:rStyle w:val="Hyperlink"/>
                <w:noProof/>
              </w:rPr>
              <w:t>Endovascular equivalents</w:t>
            </w:r>
            <w:r>
              <w:rPr>
                <w:noProof/>
                <w:webHidden/>
              </w:rPr>
              <w:tab/>
            </w:r>
            <w:r>
              <w:rPr>
                <w:noProof/>
                <w:webHidden/>
              </w:rPr>
              <w:fldChar w:fldCharType="begin"/>
            </w:r>
            <w:r>
              <w:rPr>
                <w:noProof/>
                <w:webHidden/>
              </w:rPr>
              <w:instrText xml:space="preserve"> PAGEREF _Toc227143306 \h </w:instrText>
            </w:r>
            <w:r>
              <w:rPr>
                <w:noProof/>
                <w:webHidden/>
              </w:rPr>
            </w:r>
            <w:r>
              <w:rPr>
                <w:noProof/>
                <w:webHidden/>
              </w:rPr>
              <w:fldChar w:fldCharType="separate"/>
            </w:r>
            <w:r>
              <w:rPr>
                <w:noProof/>
                <w:webHidden/>
              </w:rPr>
              <w:t>13</w:t>
            </w:r>
            <w:r>
              <w:rPr>
                <w:noProof/>
                <w:webHidden/>
              </w:rPr>
              <w:fldChar w:fldCharType="end"/>
            </w:r>
          </w:hyperlink>
        </w:p>
        <w:p w14:paraId="65E98822" w14:textId="2680D73A" w:rsidR="00165193" w:rsidRDefault="00165193" w:rsidP="00165193">
          <w:pPr>
            <w:pStyle w:val="TOC3"/>
            <w:rPr>
              <w:rFonts w:asciiTheme="minorHAnsi" w:hAnsiTheme="minorHAnsi" w:cstheme="minorBidi"/>
              <w:noProof/>
              <w:sz w:val="24"/>
            </w:rPr>
          </w:pPr>
          <w:hyperlink w:anchor="_Toc227143307" w:history="1">
            <w:r w:rsidRPr="001C7B68">
              <w:rPr>
                <w:rStyle w:val="Hyperlink"/>
                <w:noProof/>
              </w:rPr>
              <w:t>Complexity modifiers</w:t>
            </w:r>
            <w:r>
              <w:rPr>
                <w:noProof/>
                <w:webHidden/>
              </w:rPr>
              <w:tab/>
            </w:r>
            <w:r>
              <w:rPr>
                <w:noProof/>
                <w:webHidden/>
              </w:rPr>
              <w:fldChar w:fldCharType="begin"/>
            </w:r>
            <w:r>
              <w:rPr>
                <w:noProof/>
                <w:webHidden/>
              </w:rPr>
              <w:instrText xml:space="preserve"> PAGEREF _Toc227143307 \h </w:instrText>
            </w:r>
            <w:r>
              <w:rPr>
                <w:noProof/>
                <w:webHidden/>
              </w:rPr>
            </w:r>
            <w:r>
              <w:rPr>
                <w:noProof/>
                <w:webHidden/>
              </w:rPr>
              <w:fldChar w:fldCharType="separate"/>
            </w:r>
            <w:r>
              <w:rPr>
                <w:noProof/>
                <w:webHidden/>
              </w:rPr>
              <w:t>13</w:t>
            </w:r>
            <w:r>
              <w:rPr>
                <w:noProof/>
                <w:webHidden/>
              </w:rPr>
              <w:fldChar w:fldCharType="end"/>
            </w:r>
          </w:hyperlink>
        </w:p>
        <w:p w14:paraId="4B185E3D" w14:textId="629FE426" w:rsidR="00165193" w:rsidRDefault="00165193" w:rsidP="00165193">
          <w:pPr>
            <w:pStyle w:val="TOC3"/>
            <w:rPr>
              <w:rFonts w:asciiTheme="minorHAnsi" w:hAnsiTheme="minorHAnsi" w:cstheme="minorBidi"/>
              <w:noProof/>
              <w:sz w:val="24"/>
            </w:rPr>
          </w:pPr>
          <w:hyperlink w:anchor="_Toc227143308" w:history="1">
            <w:r w:rsidRPr="001C7B68">
              <w:rPr>
                <w:rStyle w:val="Hyperlink"/>
                <w:noProof/>
              </w:rPr>
              <w:t>Subheadings for interventional radiology items</w:t>
            </w:r>
            <w:r>
              <w:rPr>
                <w:noProof/>
                <w:webHidden/>
              </w:rPr>
              <w:tab/>
            </w:r>
            <w:r>
              <w:rPr>
                <w:noProof/>
                <w:webHidden/>
              </w:rPr>
              <w:fldChar w:fldCharType="begin"/>
            </w:r>
            <w:r>
              <w:rPr>
                <w:noProof/>
                <w:webHidden/>
              </w:rPr>
              <w:instrText xml:space="preserve"> PAGEREF _Toc227143308 \h </w:instrText>
            </w:r>
            <w:r>
              <w:rPr>
                <w:noProof/>
                <w:webHidden/>
              </w:rPr>
            </w:r>
            <w:r>
              <w:rPr>
                <w:noProof/>
                <w:webHidden/>
              </w:rPr>
              <w:fldChar w:fldCharType="separate"/>
            </w:r>
            <w:r>
              <w:rPr>
                <w:noProof/>
                <w:webHidden/>
              </w:rPr>
              <w:t>14</w:t>
            </w:r>
            <w:r>
              <w:rPr>
                <w:noProof/>
                <w:webHidden/>
              </w:rPr>
              <w:fldChar w:fldCharType="end"/>
            </w:r>
          </w:hyperlink>
        </w:p>
        <w:p w14:paraId="00E4147E" w14:textId="4B75AB2D" w:rsidR="00165193" w:rsidRDefault="00165193" w:rsidP="00165193">
          <w:pPr>
            <w:pStyle w:val="TOC3"/>
            <w:rPr>
              <w:rFonts w:asciiTheme="minorHAnsi" w:hAnsiTheme="minorHAnsi" w:cstheme="minorBidi"/>
              <w:noProof/>
              <w:sz w:val="24"/>
            </w:rPr>
          </w:pPr>
          <w:hyperlink w:anchor="_Toc227143309" w:history="1">
            <w:r w:rsidRPr="001C7B68">
              <w:rPr>
                <w:rStyle w:val="Hyperlink"/>
                <w:noProof/>
              </w:rPr>
              <w:t>Consistency in terms in MBS items</w:t>
            </w:r>
            <w:r>
              <w:rPr>
                <w:noProof/>
                <w:webHidden/>
              </w:rPr>
              <w:tab/>
            </w:r>
            <w:r>
              <w:rPr>
                <w:noProof/>
                <w:webHidden/>
              </w:rPr>
              <w:fldChar w:fldCharType="begin"/>
            </w:r>
            <w:r>
              <w:rPr>
                <w:noProof/>
                <w:webHidden/>
              </w:rPr>
              <w:instrText xml:space="preserve"> PAGEREF _Toc227143309 \h </w:instrText>
            </w:r>
            <w:r>
              <w:rPr>
                <w:noProof/>
                <w:webHidden/>
              </w:rPr>
            </w:r>
            <w:r>
              <w:rPr>
                <w:noProof/>
                <w:webHidden/>
              </w:rPr>
              <w:fldChar w:fldCharType="separate"/>
            </w:r>
            <w:r>
              <w:rPr>
                <w:noProof/>
                <w:webHidden/>
              </w:rPr>
              <w:t>14</w:t>
            </w:r>
            <w:r>
              <w:rPr>
                <w:noProof/>
                <w:webHidden/>
              </w:rPr>
              <w:fldChar w:fldCharType="end"/>
            </w:r>
          </w:hyperlink>
        </w:p>
        <w:p w14:paraId="48F2E071" w14:textId="1094D962" w:rsidR="00165193" w:rsidRDefault="00165193" w:rsidP="00165193">
          <w:pPr>
            <w:pStyle w:val="TOC3"/>
            <w:rPr>
              <w:rFonts w:asciiTheme="minorHAnsi" w:hAnsiTheme="minorHAnsi" w:cstheme="minorBidi"/>
              <w:noProof/>
              <w:sz w:val="24"/>
            </w:rPr>
          </w:pPr>
          <w:hyperlink w:anchor="_Toc227143310" w:history="1">
            <w:r w:rsidRPr="001C7B68">
              <w:rPr>
                <w:rStyle w:val="Hyperlink"/>
                <w:noProof/>
              </w:rPr>
              <w:t>Private patient costs</w:t>
            </w:r>
            <w:r>
              <w:rPr>
                <w:noProof/>
                <w:webHidden/>
              </w:rPr>
              <w:tab/>
            </w:r>
            <w:r>
              <w:rPr>
                <w:noProof/>
                <w:webHidden/>
              </w:rPr>
              <w:fldChar w:fldCharType="begin"/>
            </w:r>
            <w:r>
              <w:rPr>
                <w:noProof/>
                <w:webHidden/>
              </w:rPr>
              <w:instrText xml:space="preserve"> PAGEREF _Toc227143310 \h </w:instrText>
            </w:r>
            <w:r>
              <w:rPr>
                <w:noProof/>
                <w:webHidden/>
              </w:rPr>
            </w:r>
            <w:r>
              <w:rPr>
                <w:noProof/>
                <w:webHidden/>
              </w:rPr>
              <w:fldChar w:fldCharType="separate"/>
            </w:r>
            <w:r>
              <w:rPr>
                <w:noProof/>
                <w:webHidden/>
              </w:rPr>
              <w:t>14</w:t>
            </w:r>
            <w:r>
              <w:rPr>
                <w:noProof/>
                <w:webHidden/>
              </w:rPr>
              <w:fldChar w:fldCharType="end"/>
            </w:r>
          </w:hyperlink>
        </w:p>
        <w:p w14:paraId="28993182" w14:textId="579108DD" w:rsidR="00165193" w:rsidRDefault="00165193" w:rsidP="00165193">
          <w:pPr>
            <w:pStyle w:val="TOC3"/>
            <w:rPr>
              <w:rFonts w:asciiTheme="minorHAnsi" w:hAnsiTheme="minorHAnsi" w:cstheme="minorBidi"/>
              <w:noProof/>
              <w:sz w:val="24"/>
            </w:rPr>
          </w:pPr>
          <w:hyperlink w:anchor="_Toc227143311" w:history="1">
            <w:r w:rsidRPr="001C7B68">
              <w:rPr>
                <w:rStyle w:val="Hyperlink"/>
                <w:noProof/>
              </w:rPr>
              <w:t>Prescribed List process</w:t>
            </w:r>
            <w:r>
              <w:rPr>
                <w:noProof/>
                <w:webHidden/>
              </w:rPr>
              <w:tab/>
            </w:r>
            <w:r>
              <w:rPr>
                <w:noProof/>
                <w:webHidden/>
              </w:rPr>
              <w:fldChar w:fldCharType="begin"/>
            </w:r>
            <w:r>
              <w:rPr>
                <w:noProof/>
                <w:webHidden/>
              </w:rPr>
              <w:instrText xml:space="preserve"> PAGEREF _Toc227143311 \h </w:instrText>
            </w:r>
            <w:r>
              <w:rPr>
                <w:noProof/>
                <w:webHidden/>
              </w:rPr>
            </w:r>
            <w:r>
              <w:rPr>
                <w:noProof/>
                <w:webHidden/>
              </w:rPr>
              <w:fldChar w:fldCharType="separate"/>
            </w:r>
            <w:r>
              <w:rPr>
                <w:noProof/>
                <w:webHidden/>
              </w:rPr>
              <w:t>15</w:t>
            </w:r>
            <w:r>
              <w:rPr>
                <w:noProof/>
                <w:webHidden/>
              </w:rPr>
              <w:fldChar w:fldCharType="end"/>
            </w:r>
          </w:hyperlink>
        </w:p>
        <w:p w14:paraId="180D2118" w14:textId="1B5BA648" w:rsidR="00165193" w:rsidRDefault="00165193" w:rsidP="00165193">
          <w:pPr>
            <w:pStyle w:val="TOC3"/>
            <w:rPr>
              <w:rFonts w:asciiTheme="minorHAnsi" w:hAnsiTheme="minorHAnsi" w:cstheme="minorBidi"/>
              <w:noProof/>
              <w:sz w:val="24"/>
            </w:rPr>
          </w:pPr>
          <w:hyperlink w:anchor="_Toc227143312" w:history="1">
            <w:r w:rsidRPr="001C7B68">
              <w:rPr>
                <w:rStyle w:val="Hyperlink"/>
                <w:noProof/>
              </w:rPr>
              <w:t>Pre-surgery MBS items</w:t>
            </w:r>
            <w:r>
              <w:rPr>
                <w:noProof/>
                <w:webHidden/>
              </w:rPr>
              <w:tab/>
            </w:r>
            <w:r>
              <w:rPr>
                <w:noProof/>
                <w:webHidden/>
              </w:rPr>
              <w:fldChar w:fldCharType="begin"/>
            </w:r>
            <w:r>
              <w:rPr>
                <w:noProof/>
                <w:webHidden/>
              </w:rPr>
              <w:instrText xml:space="preserve"> PAGEREF _Toc227143312 \h </w:instrText>
            </w:r>
            <w:r>
              <w:rPr>
                <w:noProof/>
                <w:webHidden/>
              </w:rPr>
            </w:r>
            <w:r>
              <w:rPr>
                <w:noProof/>
                <w:webHidden/>
              </w:rPr>
              <w:fldChar w:fldCharType="separate"/>
            </w:r>
            <w:r>
              <w:rPr>
                <w:noProof/>
                <w:webHidden/>
              </w:rPr>
              <w:t>15</w:t>
            </w:r>
            <w:r>
              <w:rPr>
                <w:noProof/>
                <w:webHidden/>
              </w:rPr>
              <w:fldChar w:fldCharType="end"/>
            </w:r>
          </w:hyperlink>
        </w:p>
        <w:p w14:paraId="4ABB5987" w14:textId="6CFB6051" w:rsidR="00165193" w:rsidRDefault="00165193" w:rsidP="00165193">
          <w:pPr>
            <w:pStyle w:val="TOC2"/>
            <w:rPr>
              <w:rFonts w:asciiTheme="minorHAnsi" w:hAnsiTheme="minorHAnsi" w:cstheme="minorBidi"/>
              <w:sz w:val="24"/>
            </w:rPr>
          </w:pPr>
          <w:hyperlink w:anchor="_Toc227143313" w:history="1">
            <w:r w:rsidRPr="001C7B68">
              <w:rPr>
                <w:rStyle w:val="Hyperlink"/>
              </w:rPr>
              <w:t>Outstanding Issues</w:t>
            </w:r>
            <w:r>
              <w:rPr>
                <w:webHidden/>
              </w:rPr>
              <w:tab/>
            </w:r>
            <w:r>
              <w:rPr>
                <w:webHidden/>
              </w:rPr>
              <w:fldChar w:fldCharType="begin"/>
            </w:r>
            <w:r>
              <w:rPr>
                <w:webHidden/>
              </w:rPr>
              <w:instrText xml:space="preserve"> PAGEREF _Toc227143313 \h </w:instrText>
            </w:r>
            <w:r>
              <w:rPr>
                <w:webHidden/>
              </w:rPr>
            </w:r>
            <w:r>
              <w:rPr>
                <w:webHidden/>
              </w:rPr>
              <w:fldChar w:fldCharType="separate"/>
            </w:r>
            <w:r>
              <w:rPr>
                <w:webHidden/>
              </w:rPr>
              <w:t>16</w:t>
            </w:r>
            <w:r>
              <w:rPr>
                <w:webHidden/>
              </w:rPr>
              <w:fldChar w:fldCharType="end"/>
            </w:r>
          </w:hyperlink>
        </w:p>
        <w:p w14:paraId="106678A5" w14:textId="71A6780C" w:rsidR="00165193" w:rsidRDefault="00165193" w:rsidP="00165193">
          <w:pPr>
            <w:pStyle w:val="TOC1"/>
            <w:rPr>
              <w:rFonts w:asciiTheme="minorHAnsi" w:hAnsiTheme="minorHAnsi" w:cstheme="minorBidi"/>
              <w:sz w:val="24"/>
            </w:rPr>
          </w:pPr>
          <w:hyperlink w:anchor="_Toc227143314" w:history="1">
            <w:r w:rsidRPr="001C7B68">
              <w:rPr>
                <w:rStyle w:val="Hyperlink"/>
              </w:rPr>
              <w:t>Considerations for implementation</w:t>
            </w:r>
            <w:r>
              <w:rPr>
                <w:webHidden/>
              </w:rPr>
              <w:tab/>
            </w:r>
            <w:r>
              <w:rPr>
                <w:webHidden/>
              </w:rPr>
              <w:fldChar w:fldCharType="begin"/>
            </w:r>
            <w:r>
              <w:rPr>
                <w:webHidden/>
              </w:rPr>
              <w:instrText xml:space="preserve"> PAGEREF _Toc227143314 \h </w:instrText>
            </w:r>
            <w:r>
              <w:rPr>
                <w:webHidden/>
              </w:rPr>
            </w:r>
            <w:r>
              <w:rPr>
                <w:webHidden/>
              </w:rPr>
              <w:fldChar w:fldCharType="separate"/>
            </w:r>
            <w:r>
              <w:rPr>
                <w:webHidden/>
              </w:rPr>
              <w:t>17</w:t>
            </w:r>
            <w:r>
              <w:rPr>
                <w:webHidden/>
              </w:rPr>
              <w:fldChar w:fldCharType="end"/>
            </w:r>
          </w:hyperlink>
        </w:p>
        <w:p w14:paraId="462F1B4C" w14:textId="4C6A2D50" w:rsidR="00165193" w:rsidRDefault="00165193" w:rsidP="00165193">
          <w:pPr>
            <w:pStyle w:val="TOC2"/>
            <w:rPr>
              <w:rFonts w:asciiTheme="minorHAnsi" w:hAnsiTheme="minorHAnsi" w:cstheme="minorBidi"/>
              <w:sz w:val="24"/>
            </w:rPr>
          </w:pPr>
          <w:hyperlink w:anchor="_Toc227143315" w:history="1">
            <w:r w:rsidRPr="001C7B68">
              <w:rPr>
                <w:rStyle w:val="Hyperlink"/>
              </w:rPr>
              <w:t>The rapidly evolving clinical and technological landscape</w:t>
            </w:r>
            <w:r>
              <w:rPr>
                <w:webHidden/>
              </w:rPr>
              <w:tab/>
            </w:r>
            <w:r>
              <w:rPr>
                <w:webHidden/>
              </w:rPr>
              <w:fldChar w:fldCharType="begin"/>
            </w:r>
            <w:r>
              <w:rPr>
                <w:webHidden/>
              </w:rPr>
              <w:instrText xml:space="preserve"> PAGEREF _Toc227143315 \h </w:instrText>
            </w:r>
            <w:r>
              <w:rPr>
                <w:webHidden/>
              </w:rPr>
            </w:r>
            <w:r>
              <w:rPr>
                <w:webHidden/>
              </w:rPr>
              <w:fldChar w:fldCharType="separate"/>
            </w:r>
            <w:r>
              <w:rPr>
                <w:webHidden/>
              </w:rPr>
              <w:t>17</w:t>
            </w:r>
            <w:r>
              <w:rPr>
                <w:webHidden/>
              </w:rPr>
              <w:fldChar w:fldCharType="end"/>
            </w:r>
          </w:hyperlink>
        </w:p>
        <w:p w14:paraId="183705C8" w14:textId="17842E9F" w:rsidR="00165193" w:rsidRDefault="00165193" w:rsidP="00165193">
          <w:pPr>
            <w:pStyle w:val="TOC2"/>
            <w:rPr>
              <w:rFonts w:asciiTheme="minorHAnsi" w:hAnsiTheme="minorHAnsi" w:cstheme="minorBidi"/>
              <w:sz w:val="24"/>
            </w:rPr>
          </w:pPr>
          <w:hyperlink w:anchor="_Toc227143316" w:history="1">
            <w:r w:rsidRPr="001C7B68">
              <w:rPr>
                <w:rStyle w:val="Hyperlink"/>
              </w:rPr>
              <w:t>MBS fees and budget</w:t>
            </w:r>
            <w:r>
              <w:rPr>
                <w:webHidden/>
              </w:rPr>
              <w:tab/>
            </w:r>
            <w:r>
              <w:rPr>
                <w:webHidden/>
              </w:rPr>
              <w:fldChar w:fldCharType="begin"/>
            </w:r>
            <w:r>
              <w:rPr>
                <w:webHidden/>
              </w:rPr>
              <w:instrText xml:space="preserve"> PAGEREF _Toc227143316 \h </w:instrText>
            </w:r>
            <w:r>
              <w:rPr>
                <w:webHidden/>
              </w:rPr>
            </w:r>
            <w:r>
              <w:rPr>
                <w:webHidden/>
              </w:rPr>
              <w:fldChar w:fldCharType="separate"/>
            </w:r>
            <w:r>
              <w:rPr>
                <w:webHidden/>
              </w:rPr>
              <w:t>17</w:t>
            </w:r>
            <w:r>
              <w:rPr>
                <w:webHidden/>
              </w:rPr>
              <w:fldChar w:fldCharType="end"/>
            </w:r>
          </w:hyperlink>
        </w:p>
        <w:p w14:paraId="11E594F6" w14:textId="42038041" w:rsidR="00165193" w:rsidRDefault="00165193" w:rsidP="00165193">
          <w:pPr>
            <w:pStyle w:val="TOC2"/>
            <w:rPr>
              <w:rFonts w:asciiTheme="minorHAnsi" w:hAnsiTheme="minorHAnsi" w:cstheme="minorBidi"/>
              <w:sz w:val="24"/>
            </w:rPr>
          </w:pPr>
          <w:hyperlink w:anchor="_Toc227143317" w:history="1">
            <w:r w:rsidRPr="001C7B68">
              <w:rPr>
                <w:rStyle w:val="Hyperlink"/>
              </w:rPr>
              <w:t>Potential for reform</w:t>
            </w:r>
            <w:r>
              <w:rPr>
                <w:webHidden/>
              </w:rPr>
              <w:tab/>
            </w:r>
            <w:r>
              <w:rPr>
                <w:webHidden/>
              </w:rPr>
              <w:fldChar w:fldCharType="begin"/>
            </w:r>
            <w:r>
              <w:rPr>
                <w:webHidden/>
              </w:rPr>
              <w:instrText xml:space="preserve"> PAGEREF _Toc227143317 \h </w:instrText>
            </w:r>
            <w:r>
              <w:rPr>
                <w:webHidden/>
              </w:rPr>
            </w:r>
            <w:r>
              <w:rPr>
                <w:webHidden/>
              </w:rPr>
              <w:fldChar w:fldCharType="separate"/>
            </w:r>
            <w:r>
              <w:rPr>
                <w:webHidden/>
              </w:rPr>
              <w:t>17</w:t>
            </w:r>
            <w:r>
              <w:rPr>
                <w:webHidden/>
              </w:rPr>
              <w:fldChar w:fldCharType="end"/>
            </w:r>
          </w:hyperlink>
        </w:p>
        <w:p w14:paraId="2F9069E6" w14:textId="37F6A390" w:rsidR="00165193" w:rsidRDefault="00165193" w:rsidP="00165193">
          <w:pPr>
            <w:pStyle w:val="TOC1"/>
            <w:rPr>
              <w:rFonts w:asciiTheme="minorHAnsi" w:hAnsiTheme="minorHAnsi" w:cstheme="minorBidi"/>
              <w:sz w:val="24"/>
            </w:rPr>
          </w:pPr>
          <w:hyperlink w:anchor="_Toc227143318" w:history="1">
            <w:r w:rsidRPr="001C7B68">
              <w:rPr>
                <w:rStyle w:val="Hyperlink"/>
              </w:rPr>
              <w:t>Consultation and feedback review process</w:t>
            </w:r>
            <w:r>
              <w:rPr>
                <w:webHidden/>
              </w:rPr>
              <w:tab/>
            </w:r>
            <w:r>
              <w:rPr>
                <w:webHidden/>
              </w:rPr>
              <w:fldChar w:fldCharType="begin"/>
            </w:r>
            <w:r>
              <w:rPr>
                <w:webHidden/>
              </w:rPr>
              <w:instrText xml:space="preserve"> PAGEREF _Toc227143318 \h </w:instrText>
            </w:r>
            <w:r>
              <w:rPr>
                <w:webHidden/>
              </w:rPr>
            </w:r>
            <w:r>
              <w:rPr>
                <w:webHidden/>
              </w:rPr>
              <w:fldChar w:fldCharType="separate"/>
            </w:r>
            <w:r>
              <w:rPr>
                <w:webHidden/>
              </w:rPr>
              <w:t>19</w:t>
            </w:r>
            <w:r>
              <w:rPr>
                <w:webHidden/>
              </w:rPr>
              <w:fldChar w:fldCharType="end"/>
            </w:r>
          </w:hyperlink>
        </w:p>
        <w:p w14:paraId="523B6FCD" w14:textId="34D79282" w:rsidR="00165193" w:rsidRDefault="00165193" w:rsidP="00165193">
          <w:pPr>
            <w:pStyle w:val="TOC2"/>
            <w:rPr>
              <w:rFonts w:asciiTheme="minorHAnsi" w:hAnsiTheme="minorHAnsi" w:cstheme="minorBidi"/>
              <w:sz w:val="24"/>
            </w:rPr>
          </w:pPr>
          <w:hyperlink w:anchor="_Toc227143319" w:history="1">
            <w:r w:rsidRPr="001C7B68">
              <w:rPr>
                <w:rStyle w:val="Hyperlink"/>
              </w:rPr>
              <w:t>Consultation and outcomes</w:t>
            </w:r>
            <w:r>
              <w:rPr>
                <w:webHidden/>
              </w:rPr>
              <w:tab/>
            </w:r>
            <w:r>
              <w:rPr>
                <w:webHidden/>
              </w:rPr>
              <w:fldChar w:fldCharType="begin"/>
            </w:r>
            <w:r>
              <w:rPr>
                <w:webHidden/>
              </w:rPr>
              <w:instrText xml:space="preserve"> PAGEREF _Toc227143319 \h </w:instrText>
            </w:r>
            <w:r>
              <w:rPr>
                <w:webHidden/>
              </w:rPr>
            </w:r>
            <w:r>
              <w:rPr>
                <w:webHidden/>
              </w:rPr>
              <w:fldChar w:fldCharType="separate"/>
            </w:r>
            <w:r>
              <w:rPr>
                <w:webHidden/>
              </w:rPr>
              <w:t>19</w:t>
            </w:r>
            <w:r>
              <w:rPr>
                <w:webHidden/>
              </w:rPr>
              <w:fldChar w:fldCharType="end"/>
            </w:r>
          </w:hyperlink>
        </w:p>
        <w:p w14:paraId="4D3CDDBE" w14:textId="38CFE28B" w:rsidR="00165193" w:rsidRDefault="00165193" w:rsidP="00165193">
          <w:pPr>
            <w:pStyle w:val="TOC1"/>
            <w:rPr>
              <w:rFonts w:asciiTheme="minorHAnsi" w:hAnsiTheme="minorHAnsi" w:cstheme="minorBidi"/>
              <w:sz w:val="24"/>
            </w:rPr>
          </w:pPr>
          <w:hyperlink w:anchor="_Toc227143320" w:history="1">
            <w:r w:rsidRPr="001C7B68">
              <w:rPr>
                <w:rStyle w:val="Hyperlink"/>
              </w:rPr>
              <w:t>Appendix 1 Medicare Benefits Schedule Continuous Review</w:t>
            </w:r>
            <w:r>
              <w:rPr>
                <w:webHidden/>
              </w:rPr>
              <w:tab/>
            </w:r>
            <w:r>
              <w:rPr>
                <w:webHidden/>
              </w:rPr>
              <w:fldChar w:fldCharType="begin"/>
            </w:r>
            <w:r>
              <w:rPr>
                <w:webHidden/>
              </w:rPr>
              <w:instrText xml:space="preserve"> PAGEREF _Toc227143320 \h </w:instrText>
            </w:r>
            <w:r>
              <w:rPr>
                <w:webHidden/>
              </w:rPr>
            </w:r>
            <w:r>
              <w:rPr>
                <w:webHidden/>
              </w:rPr>
              <w:fldChar w:fldCharType="separate"/>
            </w:r>
            <w:r>
              <w:rPr>
                <w:webHidden/>
              </w:rPr>
              <w:t>20</w:t>
            </w:r>
            <w:r>
              <w:rPr>
                <w:webHidden/>
              </w:rPr>
              <w:fldChar w:fldCharType="end"/>
            </w:r>
          </w:hyperlink>
        </w:p>
        <w:p w14:paraId="3313ACCC" w14:textId="540EAA3B" w:rsidR="00165193" w:rsidRDefault="00165193" w:rsidP="00165193">
          <w:pPr>
            <w:pStyle w:val="TOC2"/>
            <w:rPr>
              <w:rFonts w:asciiTheme="minorHAnsi" w:hAnsiTheme="minorHAnsi" w:cstheme="minorBidi"/>
              <w:sz w:val="24"/>
            </w:rPr>
          </w:pPr>
          <w:hyperlink w:anchor="_Toc227143321" w:history="1">
            <w:r w:rsidRPr="001C7B68">
              <w:rPr>
                <w:rStyle w:val="Hyperlink"/>
              </w:rPr>
              <w:t>Medicare Benefits Schedule Review Advisory Committee</w:t>
            </w:r>
            <w:r>
              <w:rPr>
                <w:webHidden/>
              </w:rPr>
              <w:tab/>
            </w:r>
            <w:r>
              <w:rPr>
                <w:webHidden/>
              </w:rPr>
              <w:fldChar w:fldCharType="begin"/>
            </w:r>
            <w:r>
              <w:rPr>
                <w:webHidden/>
              </w:rPr>
              <w:instrText xml:space="preserve"> PAGEREF _Toc227143321 \h </w:instrText>
            </w:r>
            <w:r>
              <w:rPr>
                <w:webHidden/>
              </w:rPr>
            </w:r>
            <w:r>
              <w:rPr>
                <w:webHidden/>
              </w:rPr>
              <w:fldChar w:fldCharType="separate"/>
            </w:r>
            <w:r>
              <w:rPr>
                <w:webHidden/>
              </w:rPr>
              <w:t>20</w:t>
            </w:r>
            <w:r>
              <w:rPr>
                <w:webHidden/>
              </w:rPr>
              <w:fldChar w:fldCharType="end"/>
            </w:r>
          </w:hyperlink>
        </w:p>
        <w:p w14:paraId="14D8E1BB" w14:textId="54B125AD" w:rsidR="00165193" w:rsidRDefault="00165193" w:rsidP="00165193">
          <w:pPr>
            <w:pStyle w:val="TOC2"/>
            <w:rPr>
              <w:rFonts w:asciiTheme="minorHAnsi" w:hAnsiTheme="minorHAnsi" w:cstheme="minorBidi"/>
              <w:sz w:val="24"/>
            </w:rPr>
          </w:pPr>
          <w:hyperlink w:anchor="_Toc227143322" w:history="1">
            <w:r w:rsidRPr="001C7B68">
              <w:rPr>
                <w:rStyle w:val="Hyperlink"/>
              </w:rPr>
              <w:t>MBS Continuous Review Guiding Principles</w:t>
            </w:r>
            <w:r>
              <w:rPr>
                <w:webHidden/>
              </w:rPr>
              <w:tab/>
            </w:r>
            <w:r>
              <w:rPr>
                <w:webHidden/>
              </w:rPr>
              <w:fldChar w:fldCharType="begin"/>
            </w:r>
            <w:r>
              <w:rPr>
                <w:webHidden/>
              </w:rPr>
              <w:instrText xml:space="preserve"> PAGEREF _Toc227143322 \h </w:instrText>
            </w:r>
            <w:r>
              <w:rPr>
                <w:webHidden/>
              </w:rPr>
            </w:r>
            <w:r>
              <w:rPr>
                <w:webHidden/>
              </w:rPr>
              <w:fldChar w:fldCharType="separate"/>
            </w:r>
            <w:r>
              <w:rPr>
                <w:webHidden/>
              </w:rPr>
              <w:t>20</w:t>
            </w:r>
            <w:r>
              <w:rPr>
                <w:webHidden/>
              </w:rPr>
              <w:fldChar w:fldCharType="end"/>
            </w:r>
          </w:hyperlink>
        </w:p>
        <w:p w14:paraId="5F5891AF" w14:textId="1E04F5B9" w:rsidR="00165193" w:rsidRDefault="00165193" w:rsidP="00165193">
          <w:pPr>
            <w:pStyle w:val="TOC2"/>
            <w:rPr>
              <w:rFonts w:asciiTheme="minorHAnsi" w:hAnsiTheme="minorHAnsi" w:cstheme="minorBidi"/>
              <w:sz w:val="24"/>
            </w:rPr>
          </w:pPr>
          <w:hyperlink w:anchor="_Toc227143323" w:history="1">
            <w:r w:rsidRPr="001C7B68">
              <w:rPr>
                <w:rStyle w:val="Hyperlink"/>
              </w:rPr>
              <w:t>Government consideration</w:t>
            </w:r>
            <w:r>
              <w:rPr>
                <w:webHidden/>
              </w:rPr>
              <w:tab/>
            </w:r>
            <w:r>
              <w:rPr>
                <w:webHidden/>
              </w:rPr>
              <w:fldChar w:fldCharType="begin"/>
            </w:r>
            <w:r>
              <w:rPr>
                <w:webHidden/>
              </w:rPr>
              <w:instrText xml:space="preserve"> PAGEREF _Toc227143323 \h </w:instrText>
            </w:r>
            <w:r>
              <w:rPr>
                <w:webHidden/>
              </w:rPr>
            </w:r>
            <w:r>
              <w:rPr>
                <w:webHidden/>
              </w:rPr>
              <w:fldChar w:fldCharType="separate"/>
            </w:r>
            <w:r>
              <w:rPr>
                <w:webHidden/>
              </w:rPr>
              <w:t>21</w:t>
            </w:r>
            <w:r>
              <w:rPr>
                <w:webHidden/>
              </w:rPr>
              <w:fldChar w:fldCharType="end"/>
            </w:r>
          </w:hyperlink>
        </w:p>
        <w:p w14:paraId="63D9BCBD" w14:textId="68EF20F2" w:rsidR="00165193" w:rsidRDefault="00165193" w:rsidP="00165193">
          <w:pPr>
            <w:pStyle w:val="TOC1"/>
            <w:rPr>
              <w:rFonts w:asciiTheme="minorHAnsi" w:hAnsiTheme="minorHAnsi" w:cstheme="minorBidi"/>
              <w:sz w:val="24"/>
            </w:rPr>
          </w:pPr>
          <w:hyperlink w:anchor="_Toc227143324" w:history="1">
            <w:r w:rsidRPr="001C7B68">
              <w:rPr>
                <w:rStyle w:val="Hyperlink"/>
              </w:rPr>
              <w:t>Appendix 2 Additional guidance for PICO assessments</w:t>
            </w:r>
            <w:r>
              <w:rPr>
                <w:webHidden/>
              </w:rPr>
              <w:tab/>
            </w:r>
            <w:r>
              <w:rPr>
                <w:webHidden/>
              </w:rPr>
              <w:fldChar w:fldCharType="begin"/>
            </w:r>
            <w:r>
              <w:rPr>
                <w:webHidden/>
              </w:rPr>
              <w:instrText xml:space="preserve"> PAGEREF _Toc227143324 \h </w:instrText>
            </w:r>
            <w:r>
              <w:rPr>
                <w:webHidden/>
              </w:rPr>
            </w:r>
            <w:r>
              <w:rPr>
                <w:webHidden/>
              </w:rPr>
              <w:fldChar w:fldCharType="separate"/>
            </w:r>
            <w:r>
              <w:rPr>
                <w:webHidden/>
              </w:rPr>
              <w:t>22</w:t>
            </w:r>
            <w:r>
              <w:rPr>
                <w:webHidden/>
              </w:rPr>
              <w:fldChar w:fldCharType="end"/>
            </w:r>
          </w:hyperlink>
        </w:p>
        <w:p w14:paraId="332A9A85" w14:textId="0AF80BF3" w:rsidR="00165193" w:rsidRDefault="00165193" w:rsidP="00165193">
          <w:pPr>
            <w:pStyle w:val="TOC1"/>
            <w:rPr>
              <w:rFonts w:asciiTheme="minorHAnsi" w:hAnsiTheme="minorHAnsi" w:cstheme="minorBidi"/>
              <w:sz w:val="24"/>
            </w:rPr>
          </w:pPr>
          <w:hyperlink w:anchor="_Toc227143325" w:history="1">
            <w:r w:rsidRPr="001C7B68">
              <w:rPr>
                <w:rStyle w:val="Hyperlink"/>
              </w:rPr>
              <w:t>Appendix 3</w:t>
            </w:r>
            <w:r>
              <w:rPr>
                <w:rFonts w:asciiTheme="minorHAnsi" w:hAnsiTheme="minorHAnsi" w:cstheme="minorBidi"/>
                <w:sz w:val="24"/>
              </w:rPr>
              <w:t xml:space="preserve"> </w:t>
            </w:r>
            <w:r w:rsidRPr="001C7B68">
              <w:rPr>
                <w:rStyle w:val="Hyperlink"/>
              </w:rPr>
              <w:t>Assessment of the proposed MBS item descriptor</w:t>
            </w:r>
            <w:r>
              <w:rPr>
                <w:webHidden/>
              </w:rPr>
              <w:tab/>
            </w:r>
            <w:r>
              <w:rPr>
                <w:webHidden/>
              </w:rPr>
              <w:fldChar w:fldCharType="begin"/>
            </w:r>
            <w:r>
              <w:rPr>
                <w:webHidden/>
              </w:rPr>
              <w:instrText xml:space="preserve"> PAGEREF _Toc227143325 \h </w:instrText>
            </w:r>
            <w:r>
              <w:rPr>
                <w:webHidden/>
              </w:rPr>
            </w:r>
            <w:r>
              <w:rPr>
                <w:webHidden/>
              </w:rPr>
              <w:fldChar w:fldCharType="separate"/>
            </w:r>
            <w:r>
              <w:rPr>
                <w:webHidden/>
              </w:rPr>
              <w:t>24</w:t>
            </w:r>
            <w:r>
              <w:rPr>
                <w:webHidden/>
              </w:rPr>
              <w:fldChar w:fldCharType="end"/>
            </w:r>
          </w:hyperlink>
        </w:p>
        <w:p w14:paraId="78695BBC" w14:textId="50001E94" w:rsidR="00165193" w:rsidRPr="00165193" w:rsidRDefault="00165193" w:rsidP="00165193">
          <w:r>
            <w:rPr>
              <w:b/>
              <w:bCs/>
              <w:lang w:val="en-GB"/>
            </w:rPr>
            <w:fldChar w:fldCharType="end"/>
          </w:r>
        </w:p>
      </w:sdtContent>
    </w:sdt>
    <w:p w14:paraId="08A56EAC" w14:textId="3387B64C" w:rsidR="00821270" w:rsidRPr="00053613" w:rsidRDefault="00821270" w:rsidP="00832017">
      <w:pPr>
        <w:pStyle w:val="Heading1"/>
      </w:pPr>
      <w:bookmarkStart w:id="12" w:name="_Toc227143275"/>
      <w:r w:rsidRPr="00053613">
        <w:t>Summary</w:t>
      </w:r>
      <w:bookmarkEnd w:id="11"/>
      <w:bookmarkEnd w:id="10"/>
      <w:bookmarkEnd w:id="8"/>
      <w:bookmarkEnd w:id="12"/>
    </w:p>
    <w:p w14:paraId="4F5A8F66" w14:textId="24980105" w:rsidR="006C4E6B" w:rsidRDefault="006C4E6B" w:rsidP="00D659F1">
      <w:bookmarkStart w:id="13" w:name="_Toc208307076"/>
      <w:bookmarkStart w:id="14" w:name="_Toc119068519"/>
      <w:bookmarkStart w:id="15" w:name="_Toc119920738"/>
      <w:r w:rsidRPr="00E74D19">
        <w:t>In April 2022, the</w:t>
      </w:r>
      <w:r>
        <w:t xml:space="preserve"> </w:t>
      </w:r>
      <w:r w:rsidR="007F4E68">
        <w:t xml:space="preserve">then </w:t>
      </w:r>
      <w:r w:rsidRPr="00E74D19">
        <w:t xml:space="preserve">Department of Health and Aged Care nominated and requested a review by the </w:t>
      </w:r>
      <w:r w:rsidR="00FD5EAD">
        <w:t>M</w:t>
      </w:r>
      <w:r w:rsidR="00024F05">
        <w:t xml:space="preserve">edicare </w:t>
      </w:r>
      <w:r w:rsidR="00FD5EAD">
        <w:t>B</w:t>
      </w:r>
      <w:r w:rsidR="00024F05">
        <w:t xml:space="preserve">enefits </w:t>
      </w:r>
      <w:r w:rsidR="00FD5EAD">
        <w:t>S</w:t>
      </w:r>
      <w:r w:rsidR="00024F05">
        <w:t>chedule (</w:t>
      </w:r>
      <w:r w:rsidR="00FD5EAD">
        <w:t>MBS</w:t>
      </w:r>
      <w:r w:rsidR="00024F05">
        <w:t>)</w:t>
      </w:r>
      <w:r w:rsidR="00FD5EAD">
        <w:t xml:space="preserve"> </w:t>
      </w:r>
      <w:r w:rsidR="009F25A3">
        <w:t>Review Advisory Committee (</w:t>
      </w:r>
      <w:r w:rsidRPr="00E74D19">
        <w:t>MRAC</w:t>
      </w:r>
      <w:r w:rsidR="009F25A3">
        <w:t>)</w:t>
      </w:r>
      <w:r w:rsidRPr="00E74D19">
        <w:t xml:space="preserve"> of </w:t>
      </w:r>
      <w:r w:rsidR="009F25A3">
        <w:t>vascular interventional radiology (</w:t>
      </w:r>
      <w:r w:rsidRPr="00E74D19">
        <w:t>VIR</w:t>
      </w:r>
      <w:r w:rsidR="009F25A3">
        <w:t>)</w:t>
      </w:r>
      <w:r w:rsidRPr="00E74D19">
        <w:t xml:space="preserve"> services. This work would review and expand on the </w:t>
      </w:r>
      <w:r>
        <w:t>MBS</w:t>
      </w:r>
      <w:r w:rsidR="00024F05">
        <w:t xml:space="preserve"> Review</w:t>
      </w:r>
      <w:r>
        <w:t xml:space="preserve"> </w:t>
      </w:r>
      <w:r w:rsidRPr="00E74D19">
        <w:t xml:space="preserve">Taskforce’s </w:t>
      </w:r>
      <w:r w:rsidR="00E60C87" w:rsidRPr="00D659F1">
        <w:rPr>
          <w:rStyle w:val="Emphasis"/>
        </w:rPr>
        <w:t>R</w:t>
      </w:r>
      <w:r w:rsidRPr="00D659F1">
        <w:rPr>
          <w:rStyle w:val="Emphasis"/>
        </w:rPr>
        <w:t>eport</w:t>
      </w:r>
      <w:r w:rsidR="00E60C87" w:rsidRPr="00D659F1">
        <w:rPr>
          <w:rStyle w:val="Emphasis"/>
        </w:rPr>
        <w:t xml:space="preserve"> on vascular services items</w:t>
      </w:r>
      <w:r w:rsidR="0093638C" w:rsidRPr="00D659F1">
        <w:t>, published in 2020</w:t>
      </w:r>
      <w:r w:rsidRPr="00E74D19">
        <w:t>.</w:t>
      </w:r>
      <w:r>
        <w:t xml:space="preserve"> </w:t>
      </w:r>
      <w:r w:rsidRPr="00E74D19">
        <w:t xml:space="preserve">The </w:t>
      </w:r>
      <w:r w:rsidR="009F25A3">
        <w:t>VIR Working Group (</w:t>
      </w:r>
      <w:r w:rsidRPr="00E74D19">
        <w:t>VIRWG</w:t>
      </w:r>
      <w:r w:rsidR="009F25A3">
        <w:t>)</w:t>
      </w:r>
      <w:r w:rsidRPr="00E74D19">
        <w:t xml:space="preserve"> was established to advise </w:t>
      </w:r>
      <w:r w:rsidR="004950EA">
        <w:t xml:space="preserve">the </w:t>
      </w:r>
      <w:r w:rsidRPr="00E74D19">
        <w:t>MRAC</w:t>
      </w:r>
      <w:r>
        <w:t xml:space="preserve"> and</w:t>
      </w:r>
      <w:r w:rsidRPr="00E74D19">
        <w:t xml:space="preserve"> comprises 4 MRAC members, including in the roles of Chair and consumer representative, as well as </w:t>
      </w:r>
      <w:r>
        <w:t>clinical experts nominated by</w:t>
      </w:r>
      <w:r w:rsidRPr="00E74D19">
        <w:t xml:space="preserve"> </w:t>
      </w:r>
      <w:r>
        <w:t>several</w:t>
      </w:r>
      <w:r w:rsidRPr="00E74D19">
        <w:t xml:space="preserve"> peak bodies</w:t>
      </w:r>
      <w:r>
        <w:t>.</w:t>
      </w:r>
    </w:p>
    <w:p w14:paraId="22169D11" w14:textId="766BCFC4" w:rsidR="00F0319C" w:rsidRPr="00F8786C" w:rsidRDefault="00F0319C" w:rsidP="00F8786C">
      <w:r w:rsidRPr="00F8786C">
        <w:t xml:space="preserve">The </w:t>
      </w:r>
      <w:r w:rsidR="00F85C6C" w:rsidRPr="00F8786C">
        <w:t>d</w:t>
      </w:r>
      <w:r w:rsidRPr="00F8786C">
        <w:t xml:space="preserve">epartment sought </w:t>
      </w:r>
      <w:r w:rsidR="004950EA" w:rsidRPr="00F8786C">
        <w:t xml:space="preserve">the </w:t>
      </w:r>
      <w:r w:rsidRPr="00F8786C">
        <w:t>MRAC’s advice on the following issues:</w:t>
      </w:r>
    </w:p>
    <w:p w14:paraId="58945251" w14:textId="48796385" w:rsidR="00F0319C" w:rsidRDefault="00F0319C" w:rsidP="00F8786C">
      <w:pPr>
        <w:pStyle w:val="ListNumber"/>
      </w:pPr>
      <w:r w:rsidRPr="00E74D19">
        <w:t>The creation of a new stand</w:t>
      </w:r>
      <w:r>
        <w:t>alone</w:t>
      </w:r>
      <w:r w:rsidRPr="00E74D19">
        <w:t xml:space="preserve"> section of MBS </w:t>
      </w:r>
      <w:r w:rsidR="00891DA5">
        <w:t>‘</w:t>
      </w:r>
      <w:r w:rsidRPr="00E74D19">
        <w:t xml:space="preserve">Category 3, </w:t>
      </w:r>
      <w:r w:rsidR="00891DA5">
        <w:t>Group</w:t>
      </w:r>
      <w:r w:rsidR="00891DA5" w:rsidRPr="00E74D19">
        <w:t xml:space="preserve"> </w:t>
      </w:r>
      <w:r w:rsidRPr="00E74D19">
        <w:t>T8 – Surgical Operations</w:t>
      </w:r>
      <w:r w:rsidR="00CF694B">
        <w:t>’</w:t>
      </w:r>
      <w:r w:rsidRPr="00E74D19">
        <w:t xml:space="preserve"> for vascular</w:t>
      </w:r>
      <w:r>
        <w:t>-</w:t>
      </w:r>
      <w:r w:rsidRPr="00E74D19">
        <w:t xml:space="preserve">related </w:t>
      </w:r>
      <w:r w:rsidR="00DA2444">
        <w:t>interventional radiology (</w:t>
      </w:r>
      <w:r w:rsidRPr="00E74D19">
        <w:t>IR</w:t>
      </w:r>
      <w:r w:rsidR="00DA2444">
        <w:t>)</w:t>
      </w:r>
      <w:r w:rsidRPr="00E74D19">
        <w:t xml:space="preserve"> procedures</w:t>
      </w:r>
      <w:r w:rsidR="00CF694B">
        <w:t>,</w:t>
      </w:r>
      <w:r w:rsidRPr="00E74D19">
        <w:t xml:space="preserve"> or </w:t>
      </w:r>
      <w:r w:rsidR="00D46CE1">
        <w:t xml:space="preserve">the </w:t>
      </w:r>
      <w:r w:rsidRPr="00E74D19">
        <w:t xml:space="preserve">renaming of the </w:t>
      </w:r>
      <w:r w:rsidR="00D46CE1">
        <w:t>‘V</w:t>
      </w:r>
      <w:r w:rsidRPr="00E74D19">
        <w:t>ascular</w:t>
      </w:r>
      <w:r w:rsidR="00D46CE1">
        <w:t>’</w:t>
      </w:r>
      <w:r w:rsidRPr="00E74D19">
        <w:t xml:space="preserve"> </w:t>
      </w:r>
      <w:r w:rsidR="00D46CE1">
        <w:t>subgroup</w:t>
      </w:r>
      <w:r w:rsidRPr="00E74D19">
        <w:t xml:space="preserve"> to ‘Vascular, Endovascular and Interventional Radiology’</w:t>
      </w:r>
      <w:r w:rsidR="003E6F2C">
        <w:t>.</w:t>
      </w:r>
    </w:p>
    <w:p w14:paraId="5B3CC679" w14:textId="4551F304" w:rsidR="005A2A97" w:rsidRPr="00E74D19" w:rsidRDefault="005A2A97" w:rsidP="00F8786C">
      <w:pPr>
        <w:pStyle w:val="ListNumber"/>
      </w:pPr>
      <w:r w:rsidRPr="005A2A97">
        <w:t>The creation of new MBS items for IR / interventional neuroradiology (INR) procedural and diagnostic services as proposed by the Royal Australian and New Zealand College of Radiologists (RANZCR) and the Australian and New Zealand Society of Neuroradiology (ANZSNR), noting that, while RANZCR supported the range of INR procedures proposed by ANZSNR, it also provided a list of new MBS items distinct from ANZSNR’s set of proposed new and amended items.</w:t>
      </w:r>
    </w:p>
    <w:p w14:paraId="48EE8905" w14:textId="01442D59" w:rsidR="00F0319C" w:rsidRPr="00E74D19" w:rsidRDefault="00F50B83" w:rsidP="00F8786C">
      <w:pPr>
        <w:pStyle w:val="ListNumber"/>
      </w:pPr>
      <w:r>
        <w:t>Additionally, whether</w:t>
      </w:r>
      <w:r w:rsidR="00F0319C" w:rsidRPr="00E74D19">
        <w:t xml:space="preserve"> the existing diagnostic angiography fees for specific anatomical sites (corresponding with the procedural site) </w:t>
      </w:r>
      <w:r w:rsidR="001A616B">
        <w:t xml:space="preserve">should </w:t>
      </w:r>
      <w:r w:rsidR="00F0319C" w:rsidRPr="00E74D19">
        <w:t>be included or considered an acceptable guide with respect to the proposed IR/INR bundled procedural items</w:t>
      </w:r>
      <w:r w:rsidR="003E6F2C">
        <w:t>?</w:t>
      </w:r>
    </w:p>
    <w:p w14:paraId="020B56A4" w14:textId="29016843" w:rsidR="00F0319C" w:rsidRPr="00E74D19" w:rsidRDefault="00F0319C" w:rsidP="00F8786C">
      <w:pPr>
        <w:pStyle w:val="ListNumber"/>
      </w:pPr>
      <w:r w:rsidRPr="00E74D19">
        <w:t>The support for the Taskforce recommendation to align the proposed INR items with the neurosurgery items, noting that INR procedures are also undertaken by neurosurgeons and neurologists</w:t>
      </w:r>
      <w:r w:rsidR="003E6F2C">
        <w:t>.</w:t>
      </w:r>
    </w:p>
    <w:p w14:paraId="0807928B" w14:textId="324239FD" w:rsidR="00F0319C" w:rsidRPr="00E74D19" w:rsidRDefault="00F134A6" w:rsidP="00F8786C">
      <w:pPr>
        <w:pStyle w:val="ListNumber"/>
      </w:pPr>
      <w:r>
        <w:t>The amendment (w</w:t>
      </w:r>
      <w:r w:rsidR="00F0319C" w:rsidRPr="00E74D19">
        <w:t>here possible</w:t>
      </w:r>
      <w:r>
        <w:t>)</w:t>
      </w:r>
      <w:r w:rsidR="00F0319C" w:rsidRPr="00E74D19">
        <w:t xml:space="preserve"> </w:t>
      </w:r>
      <w:r>
        <w:t>of</w:t>
      </w:r>
      <w:r w:rsidR="00F0319C" w:rsidRPr="00E74D19">
        <w:t xml:space="preserve"> existing vascular open surgical approach items to include endovascular or hybrid repair (</w:t>
      </w:r>
      <w:r w:rsidR="00F0319C">
        <w:t>for example,</w:t>
      </w:r>
      <w:r w:rsidR="00F0319C" w:rsidRPr="00E74D19">
        <w:t xml:space="preserve"> by any approach)</w:t>
      </w:r>
      <w:r w:rsidR="003A0904">
        <w:t>,</w:t>
      </w:r>
      <w:r w:rsidR="00F0319C" w:rsidRPr="00E74D19">
        <w:t xml:space="preserve"> or </w:t>
      </w:r>
      <w:r w:rsidR="003A0904">
        <w:t xml:space="preserve">the </w:t>
      </w:r>
      <w:r w:rsidR="00F0319C" w:rsidRPr="00E74D19">
        <w:t>creat</w:t>
      </w:r>
      <w:r w:rsidR="003A0904">
        <w:t>ion of</w:t>
      </w:r>
      <w:r w:rsidR="00F0319C" w:rsidRPr="00E74D19">
        <w:t xml:space="preserve"> new items. </w:t>
      </w:r>
    </w:p>
    <w:p w14:paraId="09BBBCC8" w14:textId="72D26702" w:rsidR="00F0319C" w:rsidRDefault="00F0319C" w:rsidP="00832017">
      <w:pPr>
        <w:pStyle w:val="Heading2"/>
      </w:pPr>
      <w:bookmarkStart w:id="16" w:name="_Toc227143219"/>
      <w:bookmarkStart w:id="17" w:name="_Toc227143276"/>
      <w:r>
        <w:t>PICO process</w:t>
      </w:r>
      <w:bookmarkEnd w:id="16"/>
      <w:bookmarkEnd w:id="17"/>
    </w:p>
    <w:p w14:paraId="6B92C1DC" w14:textId="44219798" w:rsidR="00F0319C" w:rsidRPr="00DB76EF" w:rsidRDefault="00F0319C" w:rsidP="00F0319C">
      <w:r w:rsidRPr="00DB76EF">
        <w:t xml:space="preserve">VIRWG </w:t>
      </w:r>
      <w:r>
        <w:t>members reviewed existing and new MBS items</w:t>
      </w:r>
      <w:r w:rsidRPr="00DB76EF">
        <w:t xml:space="preserve"> </w:t>
      </w:r>
      <w:r>
        <w:t xml:space="preserve">for a wide range of </w:t>
      </w:r>
      <w:r w:rsidRPr="00DB76EF">
        <w:t>IR/INR and surgical services</w:t>
      </w:r>
      <w:r w:rsidR="00C10A4A">
        <w:t xml:space="preserve"> using the PICO </w:t>
      </w:r>
      <w:r w:rsidR="002F7E20">
        <w:t>(p</w:t>
      </w:r>
      <w:r w:rsidR="002F7E20" w:rsidRPr="00C73E73">
        <w:t xml:space="preserve">opulation, </w:t>
      </w:r>
      <w:r w:rsidR="002F7E20">
        <w:t>i</w:t>
      </w:r>
      <w:r w:rsidR="002F7E20" w:rsidRPr="00C73E73">
        <w:t xml:space="preserve">ntervention, </w:t>
      </w:r>
      <w:r w:rsidR="002F7E20">
        <w:t>c</w:t>
      </w:r>
      <w:r w:rsidR="002F7E20" w:rsidRPr="00C73E73">
        <w:t xml:space="preserve">omparator, </w:t>
      </w:r>
      <w:r w:rsidR="002F7E20">
        <w:t>o</w:t>
      </w:r>
      <w:r w:rsidR="002F7E20" w:rsidRPr="00C73E73">
        <w:t>utcomes</w:t>
      </w:r>
      <w:r w:rsidR="002F7E20">
        <w:t xml:space="preserve">) </w:t>
      </w:r>
      <w:r w:rsidR="00C10A4A">
        <w:t xml:space="preserve">process. </w:t>
      </w:r>
      <w:r w:rsidRPr="00DB76EF">
        <w:t xml:space="preserve">The VIRWG considered the </w:t>
      </w:r>
      <w:r>
        <w:t xml:space="preserve">PICOs </w:t>
      </w:r>
      <w:r w:rsidRPr="00DB76EF">
        <w:t>in line with the MBS Continuous Review Guiding Principles</w:t>
      </w:r>
      <w:r w:rsidR="00C10A4A">
        <w:t>.</w:t>
      </w:r>
    </w:p>
    <w:p w14:paraId="7823FB92" w14:textId="41504E9F" w:rsidR="00F0319C" w:rsidRDefault="00F0319C" w:rsidP="00F0319C">
      <w:r>
        <w:t xml:space="preserve">The VIRWG recognised that it was not feasible for it to complete the development of the proposed new and amended MBS items, and that this should be undertaken by the </w:t>
      </w:r>
      <w:r w:rsidR="00CB28B5">
        <w:t>d</w:t>
      </w:r>
      <w:r>
        <w:t xml:space="preserve">epartment </w:t>
      </w:r>
      <w:r w:rsidRPr="005407D9">
        <w:t>in consultation with</w:t>
      </w:r>
      <w:r>
        <w:t xml:space="preserve"> all</w:t>
      </w:r>
      <w:r w:rsidRPr="005407D9">
        <w:t xml:space="preserve"> relevant stakeholders. </w:t>
      </w:r>
      <w:r>
        <w:t xml:space="preserve">It therefore agreed that the draft MBS </w:t>
      </w:r>
      <w:r w:rsidRPr="005407D9">
        <w:t xml:space="preserve">items </w:t>
      </w:r>
      <w:r>
        <w:t>w</w:t>
      </w:r>
      <w:r w:rsidRPr="005407D9">
        <w:t xml:space="preserve">ould not be included in </w:t>
      </w:r>
      <w:r>
        <w:t>the MRAC r</w:t>
      </w:r>
      <w:r w:rsidRPr="005407D9">
        <w:t>eport</w:t>
      </w:r>
      <w:r>
        <w:t>.</w:t>
      </w:r>
    </w:p>
    <w:p w14:paraId="5BFCFBA2" w14:textId="6DC64378" w:rsidR="00DF6DC0" w:rsidRDefault="00DF6DC0" w:rsidP="00832017">
      <w:pPr>
        <w:pStyle w:val="Heading2"/>
      </w:pPr>
      <w:bookmarkStart w:id="18" w:name="_Toc227143220"/>
      <w:bookmarkStart w:id="19" w:name="_Toc227143277"/>
      <w:r>
        <w:t>Recommendations</w:t>
      </w:r>
      <w:bookmarkEnd w:id="18"/>
      <w:bookmarkEnd w:id="19"/>
    </w:p>
    <w:p w14:paraId="5D52C9CE" w14:textId="44651167" w:rsidR="00DF6DC0" w:rsidRDefault="00DF6DC0" w:rsidP="00DF6DC0">
      <w:r>
        <w:t xml:space="preserve">The VIRWG </w:t>
      </w:r>
      <w:r w:rsidR="002F58A9">
        <w:t>made 13 </w:t>
      </w:r>
      <w:r w:rsidR="0094017F">
        <w:t xml:space="preserve">final </w:t>
      </w:r>
      <w:r w:rsidR="002F58A9">
        <w:t xml:space="preserve">recommendations (see </w:t>
      </w:r>
      <w:hyperlink w:anchor="_List_of_recommendations" w:history="1">
        <w:r w:rsidR="002F58A9" w:rsidRPr="002F58A9">
          <w:rPr>
            <w:rStyle w:val="Hyperlink"/>
          </w:rPr>
          <w:t>List of recommendations</w:t>
        </w:r>
      </w:hyperlink>
      <w:r w:rsidR="002F58A9">
        <w:t>)</w:t>
      </w:r>
      <w:r w:rsidR="003E6F2C">
        <w:t>.</w:t>
      </w:r>
      <w:r w:rsidR="002F58A9">
        <w:t xml:space="preserve"> </w:t>
      </w:r>
      <w:r w:rsidR="00486149">
        <w:t xml:space="preserve">Four draft recommendations were not finalised by the VIRWG because </w:t>
      </w:r>
      <w:r w:rsidR="002F7E20">
        <w:t xml:space="preserve">members </w:t>
      </w:r>
      <w:r w:rsidR="00486149">
        <w:t>could not reach consensus on them</w:t>
      </w:r>
      <w:r w:rsidR="00FE6E77">
        <w:t>. These draft recommendations were also not universally supported during the public consultation.</w:t>
      </w:r>
    </w:p>
    <w:p w14:paraId="447DE890" w14:textId="7ACCC2B4" w:rsidR="00FE6E77" w:rsidRDefault="00FE6E77" w:rsidP="00832017">
      <w:pPr>
        <w:pStyle w:val="Heading2"/>
      </w:pPr>
      <w:bookmarkStart w:id="20" w:name="_Toc227143221"/>
      <w:bookmarkStart w:id="21" w:name="_Toc227143278"/>
      <w:r>
        <w:t>Considerations for implementation</w:t>
      </w:r>
      <w:bookmarkEnd w:id="20"/>
      <w:bookmarkEnd w:id="21"/>
    </w:p>
    <w:p w14:paraId="02911373" w14:textId="1BDFEB6E" w:rsidR="0059690B" w:rsidRDefault="0059690B" w:rsidP="00D659F1">
      <w:r>
        <w:t>The VIRWG noted several issues that may affect implementation of their recommendations</w:t>
      </w:r>
      <w:r w:rsidR="008B5AED">
        <w:t>.</w:t>
      </w:r>
    </w:p>
    <w:p w14:paraId="7A151590" w14:textId="2ABAC34A" w:rsidR="008B5AED" w:rsidRDefault="008B5AED" w:rsidP="008B5AED">
      <w:r>
        <w:t>First, t</w:t>
      </w:r>
      <w:r w:rsidRPr="00D22A16">
        <w:t xml:space="preserve">he VIRWG </w:t>
      </w:r>
      <w:r>
        <w:t>acknowledged t</w:t>
      </w:r>
      <w:r w:rsidRPr="00D22A16">
        <w:t xml:space="preserve">he rapidly evolving clinical landscape in which </w:t>
      </w:r>
      <w:r>
        <w:t xml:space="preserve">vascular surgery and IR/INR </w:t>
      </w:r>
      <w:r w:rsidRPr="00D22A16">
        <w:t xml:space="preserve">operate, </w:t>
      </w:r>
      <w:r w:rsidR="003B68BD">
        <w:t xml:space="preserve">due </w:t>
      </w:r>
      <w:r w:rsidRPr="00D22A16">
        <w:t>in part to technological advancements.</w:t>
      </w:r>
      <w:r>
        <w:t xml:space="preserve"> </w:t>
      </w:r>
      <w:r w:rsidRPr="00D22A16">
        <w:t xml:space="preserve">There has been a </w:t>
      </w:r>
      <w:r>
        <w:t xml:space="preserve">perceptible clinical </w:t>
      </w:r>
      <w:r w:rsidRPr="00D22A16">
        <w:t>shift toward</w:t>
      </w:r>
      <w:r>
        <w:t>s</w:t>
      </w:r>
      <w:r w:rsidRPr="00D22A16">
        <w:t xml:space="preserve"> more endovascular services and less open surgery, particularly </w:t>
      </w:r>
      <w:r w:rsidR="00BA7352">
        <w:t>for</w:t>
      </w:r>
      <w:r w:rsidR="00BA7352" w:rsidRPr="00D22A16">
        <w:t xml:space="preserve"> </w:t>
      </w:r>
      <w:r w:rsidRPr="00D22A16">
        <w:t>arterial diseases.</w:t>
      </w:r>
      <w:r w:rsidR="00F14094">
        <w:t xml:space="preserve"> </w:t>
      </w:r>
      <w:r>
        <w:t xml:space="preserve">In the future, the integration </w:t>
      </w:r>
      <w:r w:rsidRPr="00D22A16">
        <w:t xml:space="preserve">of genetic factors, use of artificial intelligence (AI) and robot-assisted procedures </w:t>
      </w:r>
      <w:r>
        <w:t xml:space="preserve">are expected </w:t>
      </w:r>
      <w:r w:rsidRPr="00D22A16">
        <w:t>to play a vital role in improving technical success across many settings</w:t>
      </w:r>
      <w:r>
        <w:t xml:space="preserve">, potentially having a profound influence on </w:t>
      </w:r>
      <w:r w:rsidRPr="00D22A16">
        <w:t xml:space="preserve">how vascular medicine is conducted. </w:t>
      </w:r>
    </w:p>
    <w:p w14:paraId="06ACEAB1" w14:textId="73A6DF63" w:rsidR="008B5AED" w:rsidRDefault="008B5AED" w:rsidP="008B5AED">
      <w:r>
        <w:t xml:space="preserve">Second, </w:t>
      </w:r>
      <w:r w:rsidR="00F14094">
        <w:t>t</w:t>
      </w:r>
      <w:r w:rsidRPr="00D22A16">
        <w:t xml:space="preserve">he VIRWG </w:t>
      </w:r>
      <w:r>
        <w:t xml:space="preserve">understood that its recommendations would likely affect </w:t>
      </w:r>
      <w:r w:rsidRPr="00D22A16">
        <w:t xml:space="preserve">Medicare expenditure and </w:t>
      </w:r>
      <w:r>
        <w:t xml:space="preserve">that the </w:t>
      </w:r>
      <w:r w:rsidR="00B57C04">
        <w:t>d</w:t>
      </w:r>
      <w:r>
        <w:t xml:space="preserve">epartment must consider the budget impact of any </w:t>
      </w:r>
      <w:r w:rsidR="00B57C04">
        <w:t xml:space="preserve">proposed </w:t>
      </w:r>
      <w:r>
        <w:t xml:space="preserve">MBS changes. Members </w:t>
      </w:r>
      <w:r w:rsidR="00F14094">
        <w:t xml:space="preserve">supported </w:t>
      </w:r>
      <w:r w:rsidR="00F77848">
        <w:t xml:space="preserve">reinvesting </w:t>
      </w:r>
      <w:r>
        <w:t xml:space="preserve">any </w:t>
      </w:r>
      <w:r w:rsidRPr="004842B3">
        <w:t xml:space="preserve">Medicare </w:t>
      </w:r>
      <w:r>
        <w:t>cost</w:t>
      </w:r>
      <w:r w:rsidR="00F77848">
        <w:t xml:space="preserve"> </w:t>
      </w:r>
      <w:r w:rsidRPr="004842B3">
        <w:t xml:space="preserve">savings achieved </w:t>
      </w:r>
      <w:r w:rsidR="00F77848">
        <w:t>from</w:t>
      </w:r>
      <w:r w:rsidRPr="004842B3">
        <w:t xml:space="preserve"> </w:t>
      </w:r>
      <w:r>
        <w:t>their</w:t>
      </w:r>
      <w:r w:rsidRPr="004842B3">
        <w:t xml:space="preserve"> recommendations</w:t>
      </w:r>
      <w:r>
        <w:t xml:space="preserve"> </w:t>
      </w:r>
      <w:r w:rsidRPr="004842B3">
        <w:t>in</w:t>
      </w:r>
      <w:r w:rsidR="00F77848">
        <w:t>to</w:t>
      </w:r>
      <w:r w:rsidRPr="004842B3">
        <w:t xml:space="preserve"> </w:t>
      </w:r>
      <w:r>
        <w:t xml:space="preserve">the </w:t>
      </w:r>
      <w:r w:rsidRPr="004842B3">
        <w:t>vascular</w:t>
      </w:r>
      <w:r>
        <w:t>/</w:t>
      </w:r>
      <w:r w:rsidRPr="004842B3">
        <w:t>IR</w:t>
      </w:r>
      <w:r>
        <w:t>/</w:t>
      </w:r>
      <w:r w:rsidRPr="004842B3">
        <w:t>INR se</w:t>
      </w:r>
      <w:r>
        <w:t>ctor</w:t>
      </w:r>
      <w:r w:rsidR="00F77848">
        <w:t>,</w:t>
      </w:r>
      <w:r>
        <w:t xml:space="preserve"> to promote service sustainability and improve patient access.</w:t>
      </w:r>
    </w:p>
    <w:p w14:paraId="4AAE92BE" w14:textId="63D4C8E8" w:rsidR="006C4E6B" w:rsidRPr="00E74D19" w:rsidRDefault="00F14094" w:rsidP="00E7079A">
      <w:r>
        <w:t>Finally, s</w:t>
      </w:r>
      <w:r w:rsidRPr="004842B3">
        <w:t xml:space="preserve">ignificant improvements in service effectiveness </w:t>
      </w:r>
      <w:r>
        <w:t xml:space="preserve">may be </w:t>
      </w:r>
      <w:r w:rsidRPr="004842B3">
        <w:t>achieved by reforming the current set of diagnostic angiography items and bundling diagnostic angiography and fluoroscopy with a range of procedural services.</w:t>
      </w:r>
    </w:p>
    <w:p w14:paraId="6FB364AF" w14:textId="77777777" w:rsidR="000659F3" w:rsidRDefault="000659F3" w:rsidP="000659F3">
      <w:pPr>
        <w:pStyle w:val="Heading1"/>
        <w:spacing w:after="0"/>
        <w:jc w:val="both"/>
      </w:pPr>
      <w:bookmarkStart w:id="22" w:name="_List_of_recommendations"/>
      <w:bookmarkStart w:id="23" w:name="_Toc227143222"/>
      <w:bookmarkStart w:id="24" w:name="_Toc227143279"/>
      <w:bookmarkEnd w:id="22"/>
      <w:r w:rsidRPr="00553BCB">
        <w:t>List of r</w:t>
      </w:r>
      <w:r>
        <w:t>ecommendations</w:t>
      </w:r>
      <w:bookmarkEnd w:id="13"/>
      <w:bookmarkEnd w:id="23"/>
      <w:bookmarkEnd w:id="24"/>
    </w:p>
    <w:p w14:paraId="20E9EF04" w14:textId="0B9FA6A0" w:rsidR="00704DC2" w:rsidRDefault="000659F3" w:rsidP="00832017">
      <w:pPr>
        <w:pStyle w:val="Heading2"/>
      </w:pPr>
      <w:bookmarkStart w:id="25" w:name="_Toc227143223"/>
      <w:bookmarkStart w:id="26" w:name="_Toc227143280"/>
      <w:r w:rsidRPr="008B445A">
        <w:t>Recommendation 1</w:t>
      </w:r>
      <w:bookmarkEnd w:id="25"/>
      <w:bookmarkEnd w:id="26"/>
    </w:p>
    <w:p w14:paraId="653F99FD" w14:textId="6724DC59" w:rsidR="00C879A0" w:rsidRDefault="00DA0E72" w:rsidP="00C879A0">
      <w:pPr>
        <w:rPr>
          <w:b/>
          <w:bCs/>
          <w:iCs/>
        </w:rPr>
      </w:pPr>
      <w:r w:rsidRPr="00DA0E72">
        <w:t>Simplify and modernise diagnostic-only angiography services by reducing the current set of items for diagnostic angiography to 2 items. Ensure that procedures sitting outside of the vascular/interventional radiology/interventional neuroradiology section of the MBS do not lose access to angiography and fluoroscopy services that are clinically necessary</w:t>
      </w:r>
      <w:r w:rsidR="00C879A0" w:rsidRPr="00C879A0">
        <w:t>.</w:t>
      </w:r>
    </w:p>
    <w:p w14:paraId="78B9B961" w14:textId="51AFEDB8" w:rsidR="000659F3" w:rsidRPr="008B445A" w:rsidRDefault="000659F3" w:rsidP="00832017">
      <w:pPr>
        <w:pStyle w:val="Heading2"/>
      </w:pPr>
      <w:bookmarkStart w:id="27" w:name="_Toc227143224"/>
      <w:bookmarkStart w:id="28" w:name="_Toc227143281"/>
      <w:r w:rsidRPr="008B445A">
        <w:t>Recommendation 2</w:t>
      </w:r>
      <w:bookmarkEnd w:id="27"/>
      <w:bookmarkEnd w:id="28"/>
    </w:p>
    <w:p w14:paraId="2341DB5E" w14:textId="77777777" w:rsidR="00FC38B6" w:rsidRDefault="00C879A0" w:rsidP="00F8786C">
      <w:pPr>
        <w:rPr>
          <w:b/>
          <w:bCs/>
          <w:iCs/>
        </w:rPr>
      </w:pPr>
      <w:r w:rsidRPr="00C879A0">
        <w:t>When possible, include angiography and fluoroscopy in vascular procedures.</w:t>
      </w:r>
    </w:p>
    <w:p w14:paraId="76B3DFA0" w14:textId="5BDF5EBA" w:rsidR="000659F3" w:rsidRPr="008B445A" w:rsidRDefault="000659F3" w:rsidP="00832017">
      <w:pPr>
        <w:pStyle w:val="Heading2"/>
      </w:pPr>
      <w:bookmarkStart w:id="29" w:name="_Toc227143225"/>
      <w:bookmarkStart w:id="30" w:name="_Toc227143282"/>
      <w:r w:rsidRPr="008B445A">
        <w:t>Recommendation 3</w:t>
      </w:r>
      <w:bookmarkEnd w:id="29"/>
      <w:bookmarkEnd w:id="30"/>
    </w:p>
    <w:p w14:paraId="6D96F575" w14:textId="37F3BBB9" w:rsidR="000659F3" w:rsidRPr="008B445A" w:rsidRDefault="00DA0E72" w:rsidP="00F8786C">
      <w:r w:rsidRPr="00DA0E72">
        <w:t>Remove the inclusion of aftercare in MBS items for vascular, interventional radiology and interventional neuroradiology procedures</w:t>
      </w:r>
      <w:r w:rsidR="000659F3" w:rsidRPr="008B445A">
        <w:t>.</w:t>
      </w:r>
    </w:p>
    <w:p w14:paraId="53537EEA" w14:textId="77777777" w:rsidR="000659F3" w:rsidRPr="008B445A" w:rsidRDefault="000659F3" w:rsidP="00832017">
      <w:pPr>
        <w:pStyle w:val="Heading2"/>
      </w:pPr>
      <w:bookmarkStart w:id="31" w:name="_Toc227143226"/>
      <w:bookmarkStart w:id="32" w:name="_Toc227143283"/>
      <w:r w:rsidRPr="008B445A">
        <w:t>Recommendation 4</w:t>
      </w:r>
      <w:bookmarkEnd w:id="31"/>
      <w:bookmarkEnd w:id="32"/>
    </w:p>
    <w:p w14:paraId="4538C920" w14:textId="7BCF2EC4" w:rsidR="000659F3" w:rsidRPr="008B445A" w:rsidRDefault="000659F3" w:rsidP="00F8786C">
      <w:r w:rsidRPr="004C6393">
        <w:t>Invasive diagnostic services should only be provided as preparation for some form of intervention, whe</w:t>
      </w:r>
      <w:r w:rsidR="00FC38B6">
        <w:t>n</w:t>
      </w:r>
      <w:r w:rsidRPr="004C6393">
        <w:t xml:space="preserve"> clinically appropriate</w:t>
      </w:r>
      <w:r w:rsidRPr="008B445A">
        <w:t>.</w:t>
      </w:r>
    </w:p>
    <w:p w14:paraId="2E889C9B" w14:textId="77777777" w:rsidR="000659F3" w:rsidRPr="008B445A" w:rsidRDefault="000659F3" w:rsidP="00832017">
      <w:pPr>
        <w:pStyle w:val="Heading2"/>
      </w:pPr>
      <w:bookmarkStart w:id="33" w:name="_Toc227143227"/>
      <w:bookmarkStart w:id="34" w:name="_Toc227143284"/>
      <w:r w:rsidRPr="008B445A">
        <w:t>Recommendation 5</w:t>
      </w:r>
      <w:bookmarkEnd w:id="33"/>
      <w:bookmarkEnd w:id="34"/>
    </w:p>
    <w:p w14:paraId="16F6DAD2" w14:textId="7EE9611D" w:rsidR="002F7E20" w:rsidRDefault="00DA0E72" w:rsidP="00F8786C">
      <w:pPr>
        <w:rPr>
          <w:b/>
          <w:bCs/>
          <w:iCs/>
        </w:rPr>
      </w:pPr>
      <w:r w:rsidRPr="00DA0E72">
        <w:t>The approach for existing MBS items for vascular procedures should be agnostic (that is, open, endovascular or hybrid) where and when it is clinically appropriate</w:t>
      </w:r>
      <w:r w:rsidR="002F7E20" w:rsidRPr="002F7E20">
        <w:t xml:space="preserve">. </w:t>
      </w:r>
    </w:p>
    <w:p w14:paraId="15E2B98A" w14:textId="65DE29CF" w:rsidR="000659F3" w:rsidRPr="008B445A" w:rsidRDefault="000659F3" w:rsidP="00832017">
      <w:pPr>
        <w:pStyle w:val="Heading2"/>
      </w:pPr>
      <w:bookmarkStart w:id="35" w:name="_Toc227143228"/>
      <w:bookmarkStart w:id="36" w:name="_Toc227143285"/>
      <w:r w:rsidRPr="008B445A">
        <w:t>Recommendation 6</w:t>
      </w:r>
      <w:bookmarkEnd w:id="35"/>
      <w:bookmarkEnd w:id="36"/>
    </w:p>
    <w:p w14:paraId="22A47D45" w14:textId="164D6C6B" w:rsidR="00DB601D" w:rsidRPr="00F8786C" w:rsidRDefault="00DB601D" w:rsidP="00DB601D">
      <w:r w:rsidRPr="00DB601D">
        <w:t>Ensure that the MBS fees are consistent for open surgical, hybrid and endovascular treatment approaches, whe</w:t>
      </w:r>
      <w:r w:rsidR="00FC38B6">
        <w:t>n</w:t>
      </w:r>
      <w:r w:rsidRPr="00DB601D">
        <w:t xml:space="preserve"> this is appropriate and reasonable. A complexity modifier will be used to adjust the MBS fee for a service based on the complexity of the pro</w:t>
      </w:r>
      <w:r w:rsidRPr="00F8786C">
        <w:t xml:space="preserve">cedure, where appropriate. </w:t>
      </w:r>
    </w:p>
    <w:p w14:paraId="02A1B797" w14:textId="29CC6DFE" w:rsidR="000659F3" w:rsidRPr="008B445A" w:rsidRDefault="000659F3" w:rsidP="00832017">
      <w:pPr>
        <w:pStyle w:val="Heading2"/>
      </w:pPr>
      <w:bookmarkStart w:id="37" w:name="_Toc227143229"/>
      <w:bookmarkStart w:id="38" w:name="_Toc227143286"/>
      <w:r w:rsidRPr="008B445A">
        <w:t>Recommendation 7</w:t>
      </w:r>
      <w:bookmarkEnd w:id="37"/>
      <w:bookmarkEnd w:id="38"/>
    </w:p>
    <w:p w14:paraId="110CCF7C" w14:textId="649F54D2" w:rsidR="000659F3" w:rsidRPr="00F8786C" w:rsidRDefault="000659F3" w:rsidP="00282AD0">
      <w:r w:rsidRPr="008B445A">
        <w:rPr>
          <w:rFonts w:cs="Arial"/>
        </w:rPr>
        <w:t>Whe</w:t>
      </w:r>
      <w:r w:rsidR="00FC38B6">
        <w:rPr>
          <w:rFonts w:cs="Arial"/>
        </w:rPr>
        <w:t>n</w:t>
      </w:r>
      <w:r w:rsidRPr="008B445A">
        <w:rPr>
          <w:rFonts w:cs="Arial"/>
        </w:rPr>
        <w:t xml:space="preserve"> an endovascular equivalent to an open surgical procedure does not exist, there will be no change </w:t>
      </w:r>
      <w:r w:rsidRPr="00F8786C">
        <w:t>to the</w:t>
      </w:r>
      <w:r w:rsidR="002F7E20" w:rsidRPr="00F8786C">
        <w:t xml:space="preserve"> MBS</w:t>
      </w:r>
      <w:r w:rsidRPr="00F8786C">
        <w:t xml:space="preserve"> item descriptor.</w:t>
      </w:r>
    </w:p>
    <w:p w14:paraId="3380814C" w14:textId="77777777" w:rsidR="000659F3" w:rsidRPr="008B445A" w:rsidRDefault="000659F3" w:rsidP="00832017">
      <w:pPr>
        <w:pStyle w:val="Heading2"/>
      </w:pPr>
      <w:bookmarkStart w:id="39" w:name="_Toc227143230"/>
      <w:bookmarkStart w:id="40" w:name="_Toc227143287"/>
      <w:r w:rsidRPr="008B445A">
        <w:t>Recommendation 8</w:t>
      </w:r>
      <w:bookmarkEnd w:id="39"/>
      <w:bookmarkEnd w:id="40"/>
      <w:r w:rsidRPr="008B445A">
        <w:t xml:space="preserve"> </w:t>
      </w:r>
    </w:p>
    <w:p w14:paraId="63ED0265" w14:textId="744D80E7" w:rsidR="000659F3" w:rsidRPr="00F8786C" w:rsidRDefault="00DA0E72" w:rsidP="00282AD0">
      <w:r w:rsidRPr="00DA0E72">
        <w:rPr>
          <w:rFonts w:cs="Arial"/>
        </w:rPr>
        <w:t>Develop complexity modifiers for procedures with additional clinical components compared to what</w:t>
      </w:r>
      <w:r w:rsidRPr="00F8786C">
        <w:t xml:space="preserve"> is expected of a standard procedure</w:t>
      </w:r>
      <w:r w:rsidR="000659F3" w:rsidRPr="00F8786C">
        <w:t>.</w:t>
      </w:r>
    </w:p>
    <w:p w14:paraId="1681C8F7" w14:textId="77777777" w:rsidR="000659F3" w:rsidRPr="008B445A" w:rsidRDefault="000659F3" w:rsidP="00832017">
      <w:pPr>
        <w:pStyle w:val="Heading2"/>
      </w:pPr>
      <w:bookmarkStart w:id="41" w:name="_Toc227143231"/>
      <w:bookmarkStart w:id="42" w:name="_Toc227143288"/>
      <w:r w:rsidRPr="008B445A">
        <w:t>Recommendation 9</w:t>
      </w:r>
      <w:bookmarkEnd w:id="41"/>
      <w:bookmarkEnd w:id="42"/>
      <w:r w:rsidRPr="008B445A">
        <w:t xml:space="preserve"> </w:t>
      </w:r>
    </w:p>
    <w:p w14:paraId="66A88D7A" w14:textId="4D338B5A" w:rsidR="00950500" w:rsidRPr="00F8786C" w:rsidRDefault="00DA0E72" w:rsidP="00950500">
      <w:r w:rsidRPr="00DA0E72">
        <w:t>MRAC endorses the following and requests that the Department consider</w:t>
      </w:r>
      <w:r w:rsidR="00611BC2">
        <w:t>:</w:t>
      </w:r>
      <w:r w:rsidRPr="00DA0E72">
        <w:t xml:space="preserve"> retaining the title of MBS ‘Group T8, Subgroup 3 – Vascular’ and create a new subheading for interventional radiology items</w:t>
      </w:r>
      <w:r w:rsidR="00611BC2">
        <w:t>;</w:t>
      </w:r>
      <w:r w:rsidRPr="00DA0E72">
        <w:t xml:space="preserve"> and including neurointerventional items in MBS ‘Group T8, Subgroup 7’ and amend its title from ‘Neurosurgical’ to ‘Neurosurgical and Neuro</w:t>
      </w:r>
      <w:r w:rsidRPr="00F8786C">
        <w:t>interventional’</w:t>
      </w:r>
      <w:r w:rsidR="00FC38B6" w:rsidRPr="00F8786C">
        <w:t>.</w:t>
      </w:r>
    </w:p>
    <w:p w14:paraId="149106C3" w14:textId="07C333D8" w:rsidR="000659F3" w:rsidRPr="008B445A" w:rsidRDefault="000659F3" w:rsidP="00832017">
      <w:pPr>
        <w:pStyle w:val="Heading2"/>
      </w:pPr>
      <w:bookmarkStart w:id="43" w:name="_Toc227143232"/>
      <w:bookmarkStart w:id="44" w:name="_Toc227143289"/>
      <w:r w:rsidRPr="008B445A">
        <w:t>Recommendation 10</w:t>
      </w:r>
      <w:bookmarkEnd w:id="43"/>
      <w:bookmarkEnd w:id="44"/>
    </w:p>
    <w:p w14:paraId="1ABD1E24" w14:textId="1D165A99" w:rsidR="000659F3" w:rsidRPr="00F8786C" w:rsidRDefault="001A2D87" w:rsidP="00F8786C">
      <w:r w:rsidRPr="00F8786C">
        <w:t>Ensure that MBS item descriptors and explanatory notes describe clinical procedures using wording that is consistent with the terminology used in clinical practice</w:t>
      </w:r>
      <w:r w:rsidR="000659F3" w:rsidRPr="00F8786C">
        <w:t xml:space="preserve">. </w:t>
      </w:r>
    </w:p>
    <w:p w14:paraId="643A0080" w14:textId="77777777" w:rsidR="000659F3" w:rsidRPr="008B445A" w:rsidRDefault="000659F3" w:rsidP="00832017">
      <w:pPr>
        <w:pStyle w:val="Heading2"/>
      </w:pPr>
      <w:bookmarkStart w:id="45" w:name="_Toc227143233"/>
      <w:bookmarkStart w:id="46" w:name="_Toc227143290"/>
      <w:r w:rsidRPr="008B445A">
        <w:t>Recommendation 11</w:t>
      </w:r>
      <w:bookmarkEnd w:id="45"/>
      <w:bookmarkEnd w:id="46"/>
    </w:p>
    <w:p w14:paraId="20321BE6" w14:textId="0F4E2CAD" w:rsidR="000659F3" w:rsidRPr="00F8786C" w:rsidRDefault="00911CA2" w:rsidP="00F8786C">
      <w:r w:rsidRPr="00F8786C">
        <w:t>T</w:t>
      </w:r>
      <w:r w:rsidR="00DA0E72" w:rsidRPr="00F8786C">
        <w:t xml:space="preserve">hat the Department review current private health insurance membership rules with a view to extending eligibility for vascular, endovascular, interventional radiology and interventional neuroradiology services to </w:t>
      </w:r>
      <w:proofErr w:type="gramStart"/>
      <w:r w:rsidR="00DA0E72" w:rsidRPr="00F8786C">
        <w:t>Bronze</w:t>
      </w:r>
      <w:proofErr w:type="gramEnd"/>
      <w:r w:rsidR="00DA0E72" w:rsidRPr="00F8786C">
        <w:t xml:space="preserve"> tier policies</w:t>
      </w:r>
      <w:r w:rsidR="000659F3" w:rsidRPr="00F8786C">
        <w:t>.</w:t>
      </w:r>
    </w:p>
    <w:p w14:paraId="3D650186" w14:textId="77777777" w:rsidR="000659F3" w:rsidRPr="008B445A" w:rsidRDefault="000659F3" w:rsidP="00832017">
      <w:pPr>
        <w:pStyle w:val="Heading2"/>
      </w:pPr>
      <w:bookmarkStart w:id="47" w:name="_Toc227143234"/>
      <w:bookmarkStart w:id="48" w:name="_Toc227143291"/>
      <w:r w:rsidRPr="008B445A">
        <w:t>Recommendation 12</w:t>
      </w:r>
      <w:bookmarkEnd w:id="47"/>
      <w:bookmarkEnd w:id="48"/>
    </w:p>
    <w:p w14:paraId="452ED6AA" w14:textId="77777777" w:rsidR="004C1612" w:rsidRPr="00F8786C" w:rsidRDefault="004C1612" w:rsidP="00F8786C">
      <w:r w:rsidRPr="00F8786C">
        <w:t>That the Department review the inclusion or removal of new devices on the Prescribed List of Medical Devices and Human Tissue Products, considering both the funding of non-implantable devices required during vascular procedures and the funding of related consumables not otherwise covered by private health insurance.</w:t>
      </w:r>
    </w:p>
    <w:p w14:paraId="5E2E2238" w14:textId="77777777" w:rsidR="000659F3" w:rsidRPr="008B445A" w:rsidRDefault="000659F3" w:rsidP="00832017">
      <w:pPr>
        <w:pStyle w:val="Heading2"/>
      </w:pPr>
      <w:bookmarkStart w:id="49" w:name="_Toc227143235"/>
      <w:bookmarkStart w:id="50" w:name="_Toc227143292"/>
      <w:r w:rsidRPr="008B445A">
        <w:t>Recommendation 13</w:t>
      </w:r>
      <w:bookmarkEnd w:id="49"/>
      <w:bookmarkEnd w:id="50"/>
    </w:p>
    <w:p w14:paraId="2AE3B209" w14:textId="4A000637" w:rsidR="000659F3" w:rsidRPr="00F8786C" w:rsidRDefault="00DA0E72" w:rsidP="00F8786C">
      <w:r w:rsidRPr="00F8786C">
        <w:t xml:space="preserve">MRAC notes the potential benefits of pre-surgery exercises / pre-operative optimisation </w:t>
      </w:r>
      <w:r w:rsidR="00911CA2" w:rsidRPr="00F8786C">
        <w:t xml:space="preserve">strategies and </w:t>
      </w:r>
      <w:r w:rsidRPr="00F8786C">
        <w:t xml:space="preserve">refers this matter to MRAC’s </w:t>
      </w:r>
      <w:r w:rsidR="00911CA2" w:rsidRPr="00F8786C">
        <w:t>Chronic Conditions Management Review</w:t>
      </w:r>
      <w:r w:rsidRPr="00F8786C">
        <w:t xml:space="preserve"> for consideration</w:t>
      </w:r>
      <w:r w:rsidR="00A31B19" w:rsidRPr="00F8786C">
        <w:t>.</w:t>
      </w:r>
    </w:p>
    <w:p w14:paraId="29B15F45" w14:textId="77777777" w:rsidR="00821270" w:rsidRDefault="00821270" w:rsidP="00821270">
      <w:pPr>
        <w:pStyle w:val="Heading1"/>
      </w:pPr>
      <w:bookmarkStart w:id="51" w:name="_Toc227143236"/>
      <w:bookmarkStart w:id="52" w:name="_Toc227143293"/>
      <w:r w:rsidRPr="00816F3E">
        <w:t>Acronyms</w:t>
      </w:r>
      <w:bookmarkEnd w:id="14"/>
      <w:bookmarkEnd w:id="15"/>
      <w:bookmarkEnd w:id="51"/>
      <w:bookmarkEnd w:id="52"/>
    </w:p>
    <w:p w14:paraId="38D69D71" w14:textId="3FD29379" w:rsidR="008F5ABD" w:rsidRPr="00C73E73" w:rsidRDefault="008F5ABD" w:rsidP="008F5ABD">
      <w:r w:rsidRPr="00FD5DF4">
        <w:t>ANZAN</w:t>
      </w:r>
      <w:r>
        <w:tab/>
      </w:r>
      <w:r>
        <w:tab/>
      </w:r>
      <w:r w:rsidRPr="00FD5DF4">
        <w:t>Australian and New Zealand Association of Neurologists</w:t>
      </w:r>
    </w:p>
    <w:p w14:paraId="1C62C8FA" w14:textId="77777777" w:rsidR="008F5ABD" w:rsidRPr="00C73E73" w:rsidRDefault="008F5ABD" w:rsidP="008F5ABD">
      <w:r w:rsidRPr="00C73E73">
        <w:t xml:space="preserve">ANZSNR </w:t>
      </w:r>
      <w:r w:rsidRPr="00C73E73">
        <w:tab/>
        <w:t xml:space="preserve">Australian and New Zealand Society of Neuroradiology </w:t>
      </w:r>
    </w:p>
    <w:p w14:paraId="14C4D8E5" w14:textId="27A53F6E" w:rsidR="008F5ABD" w:rsidRDefault="008F5ABD" w:rsidP="008F5ABD">
      <w:r w:rsidRPr="00C73E73">
        <w:t>ANZSVS</w:t>
      </w:r>
      <w:r w:rsidRPr="00C73E73">
        <w:tab/>
        <w:t>Australian and New Zealand Society of Vascular Surgery</w:t>
      </w:r>
    </w:p>
    <w:p w14:paraId="5EC173E6" w14:textId="7D82E029" w:rsidR="008F5ABD" w:rsidRPr="00C73E73" w:rsidRDefault="008F5ABD" w:rsidP="008F5ABD">
      <w:r w:rsidRPr="00C73E73">
        <w:t>DSA</w:t>
      </w:r>
      <w:r w:rsidRPr="00C73E73">
        <w:tab/>
      </w:r>
      <w:r w:rsidRPr="00C73E73">
        <w:tab/>
      </w:r>
      <w:r>
        <w:t>d</w:t>
      </w:r>
      <w:r w:rsidRPr="00C73E73">
        <w:t xml:space="preserve">igital </w:t>
      </w:r>
      <w:r>
        <w:t>s</w:t>
      </w:r>
      <w:r w:rsidRPr="00C73E73">
        <w:t xml:space="preserve">ubtraction </w:t>
      </w:r>
      <w:r>
        <w:t>a</w:t>
      </w:r>
      <w:r w:rsidRPr="00C73E73">
        <w:t>ngiography</w:t>
      </w:r>
    </w:p>
    <w:p w14:paraId="3E882CED" w14:textId="77777777" w:rsidR="008F5ABD" w:rsidRPr="00C73E73" w:rsidRDefault="008F5ABD" w:rsidP="008F5ABD">
      <w:r w:rsidRPr="00C73E73">
        <w:t>INR</w:t>
      </w:r>
      <w:r w:rsidRPr="00C73E73">
        <w:tab/>
      </w:r>
      <w:r w:rsidRPr="00C73E73">
        <w:tab/>
      </w:r>
      <w:r>
        <w:t>i</w:t>
      </w:r>
      <w:r w:rsidRPr="00C73E73">
        <w:t xml:space="preserve">nterventional </w:t>
      </w:r>
      <w:r>
        <w:t>n</w:t>
      </w:r>
      <w:r w:rsidRPr="00C73E73">
        <w:t>euroradiology</w:t>
      </w:r>
    </w:p>
    <w:p w14:paraId="093048EE" w14:textId="77777777" w:rsidR="008F5ABD" w:rsidRPr="00C73E73" w:rsidRDefault="008F5ABD" w:rsidP="008F5ABD">
      <w:r w:rsidRPr="00C73E73">
        <w:t>IR</w:t>
      </w:r>
      <w:r w:rsidRPr="00C73E73">
        <w:tab/>
      </w:r>
      <w:r w:rsidRPr="00C73E73">
        <w:tab/>
      </w:r>
      <w:r>
        <w:t>i</w:t>
      </w:r>
      <w:r w:rsidRPr="00C73E73">
        <w:t xml:space="preserve">nterventional </w:t>
      </w:r>
      <w:r>
        <w:t>r</w:t>
      </w:r>
      <w:r w:rsidRPr="00C73E73">
        <w:t>adiology</w:t>
      </w:r>
    </w:p>
    <w:p w14:paraId="1C6A9B38" w14:textId="3A9EFC18" w:rsidR="008F5ABD" w:rsidRPr="00C73E73" w:rsidRDefault="008F5ABD" w:rsidP="008F5ABD">
      <w:r w:rsidRPr="00C73E73">
        <w:t>IRSA</w:t>
      </w:r>
      <w:r w:rsidRPr="00C73E73">
        <w:tab/>
      </w:r>
      <w:r w:rsidRPr="00C73E73">
        <w:tab/>
        <w:t>Interventional Radiology Society of Australasia</w:t>
      </w:r>
    </w:p>
    <w:p w14:paraId="40D17522" w14:textId="77777777" w:rsidR="008F5ABD" w:rsidRDefault="008F5ABD" w:rsidP="008F5ABD">
      <w:r w:rsidRPr="00C73E73">
        <w:t>MBS</w:t>
      </w:r>
      <w:r w:rsidRPr="00C73E73">
        <w:tab/>
      </w:r>
      <w:r w:rsidRPr="00C73E73">
        <w:tab/>
        <w:t>Medicare Benefits Schedule</w:t>
      </w:r>
    </w:p>
    <w:p w14:paraId="3E875F43" w14:textId="77777777" w:rsidR="008F5ABD" w:rsidRDefault="008F5ABD" w:rsidP="008F5ABD">
      <w:r>
        <w:t>MRAC</w:t>
      </w:r>
      <w:r>
        <w:tab/>
      </w:r>
      <w:r>
        <w:tab/>
        <w:t>MBS Review Advisory Committee</w:t>
      </w:r>
    </w:p>
    <w:p w14:paraId="6A5E52DF" w14:textId="576008EC" w:rsidR="008F5ABD" w:rsidRPr="00C73E73" w:rsidRDefault="008F5ABD" w:rsidP="008F5ABD">
      <w:r>
        <w:t>NSA</w:t>
      </w:r>
      <w:r>
        <w:tab/>
      </w:r>
      <w:r>
        <w:tab/>
      </w:r>
      <w:r w:rsidRPr="00AA186E">
        <w:t>Neurosurgical Society of Australasia</w:t>
      </w:r>
    </w:p>
    <w:p w14:paraId="3F9E246E" w14:textId="16BC10AE" w:rsidR="008F5ABD" w:rsidRPr="00C73E73" w:rsidRDefault="008F5ABD" w:rsidP="008F5ABD">
      <w:r w:rsidRPr="00C73E73">
        <w:t>PICO</w:t>
      </w:r>
      <w:r w:rsidRPr="00C73E73">
        <w:tab/>
      </w:r>
      <w:r w:rsidRPr="00C73E73">
        <w:tab/>
      </w:r>
      <w:r w:rsidR="002F7E20">
        <w:t>p</w:t>
      </w:r>
      <w:r w:rsidRPr="00C73E73">
        <w:t xml:space="preserve">opulation, </w:t>
      </w:r>
      <w:r w:rsidR="002F7E20">
        <w:t>i</w:t>
      </w:r>
      <w:r w:rsidRPr="00C73E73">
        <w:t xml:space="preserve">ntervention, </w:t>
      </w:r>
      <w:r w:rsidR="002F7E20">
        <w:t>c</w:t>
      </w:r>
      <w:r w:rsidRPr="00C73E73">
        <w:t xml:space="preserve">omparator, </w:t>
      </w:r>
      <w:r w:rsidR="002F7E20">
        <w:t>o</w:t>
      </w:r>
      <w:r w:rsidRPr="00C73E73">
        <w:t>utcomes</w:t>
      </w:r>
    </w:p>
    <w:p w14:paraId="30E86D9F" w14:textId="77777777" w:rsidR="008F5ABD" w:rsidRPr="00C73E73" w:rsidRDefault="008F5ABD" w:rsidP="008F5ABD">
      <w:r w:rsidRPr="00C73E73">
        <w:t>PL</w:t>
      </w:r>
      <w:r w:rsidRPr="00C73E73">
        <w:tab/>
      </w:r>
      <w:r w:rsidRPr="00C73E73">
        <w:tab/>
        <w:t>Prescribed List of Medical Devices and Human Tissue Products</w:t>
      </w:r>
    </w:p>
    <w:p w14:paraId="5FC2488C" w14:textId="77777777" w:rsidR="008F5ABD" w:rsidRPr="00C73E73" w:rsidRDefault="008F5ABD" w:rsidP="008F5ABD">
      <w:r w:rsidRPr="00C73E73">
        <w:t>RANZCR</w:t>
      </w:r>
      <w:r w:rsidRPr="00C73E73">
        <w:tab/>
        <w:t>Royal Australian and New Zealand College of Radiologists</w:t>
      </w:r>
    </w:p>
    <w:p w14:paraId="3B661041" w14:textId="77777777" w:rsidR="008F5ABD" w:rsidRPr="00C73E73" w:rsidRDefault="008F5ABD" w:rsidP="008F5ABD">
      <w:r w:rsidRPr="00C73E73">
        <w:t>VIR</w:t>
      </w:r>
      <w:r w:rsidRPr="00C73E73">
        <w:tab/>
      </w:r>
      <w:r w:rsidRPr="00C73E73">
        <w:tab/>
      </w:r>
      <w:r>
        <w:t>v</w:t>
      </w:r>
      <w:r w:rsidRPr="00C73E73">
        <w:t xml:space="preserve">ascular </w:t>
      </w:r>
      <w:r>
        <w:t>i</w:t>
      </w:r>
      <w:r w:rsidRPr="00C73E73">
        <w:t xml:space="preserve">nterventional </w:t>
      </w:r>
      <w:r>
        <w:t>r</w:t>
      </w:r>
      <w:r w:rsidRPr="00C73E73">
        <w:t>adiology</w:t>
      </w:r>
    </w:p>
    <w:p w14:paraId="558A6EF2" w14:textId="77777777" w:rsidR="008F5ABD" w:rsidRPr="00C73E73" w:rsidRDefault="008F5ABD" w:rsidP="008F5ABD">
      <w:r w:rsidRPr="00C73E73">
        <w:t>VIRWG</w:t>
      </w:r>
      <w:r w:rsidRPr="00C73E73">
        <w:tab/>
      </w:r>
      <w:r>
        <w:tab/>
      </w:r>
      <w:r w:rsidRPr="00C73E73">
        <w:t>Vascular Interventional Radiology Working Group</w:t>
      </w:r>
    </w:p>
    <w:bookmarkEnd w:id="9"/>
    <w:p w14:paraId="621FAF4F" w14:textId="77777777" w:rsidR="00821270" w:rsidRDefault="00821270" w:rsidP="00821270">
      <w:r>
        <w:br w:type="page"/>
      </w:r>
    </w:p>
    <w:p w14:paraId="749550DF" w14:textId="61FD2E7A" w:rsidR="00963577" w:rsidRDefault="00FF77E4" w:rsidP="00AE5A0B">
      <w:pPr>
        <w:pStyle w:val="Heading1"/>
      </w:pPr>
      <w:bookmarkStart w:id="53" w:name="_Toc107920657"/>
      <w:bookmarkStart w:id="54" w:name="_Toc227143237"/>
      <w:bookmarkStart w:id="55" w:name="_Toc227143294"/>
      <w:r>
        <w:t>Background</w:t>
      </w:r>
      <w:bookmarkEnd w:id="54"/>
      <w:bookmarkEnd w:id="55"/>
    </w:p>
    <w:p w14:paraId="5BEF3F76" w14:textId="2FC84697" w:rsidR="0093001A" w:rsidRPr="00F8786C" w:rsidRDefault="00D21CCD" w:rsidP="00F8786C">
      <w:r w:rsidRPr="00F8786C">
        <w:t>In 2018, the M</w:t>
      </w:r>
      <w:r w:rsidR="00E80F3A" w:rsidRPr="00F8786C">
        <w:t>edicare Benefits Schedule (M</w:t>
      </w:r>
      <w:r w:rsidRPr="00F8786C">
        <w:t>BS</w:t>
      </w:r>
      <w:r w:rsidR="00E80F3A" w:rsidRPr="00F8786C">
        <w:t>)</w:t>
      </w:r>
      <w:r w:rsidRPr="00F8786C">
        <w:t xml:space="preserve"> Review Taskforce</w:t>
      </w:r>
      <w:r w:rsidR="00E80F3A" w:rsidRPr="00F8786C">
        <w:t xml:space="preserve"> established the Vascular Clinical Committee to review 290</w:t>
      </w:r>
      <w:r w:rsidR="00096F8A" w:rsidRPr="00F8786C">
        <w:t> </w:t>
      </w:r>
      <w:r w:rsidR="00E80F3A" w:rsidRPr="00F8786C">
        <w:t xml:space="preserve">MBS items </w:t>
      </w:r>
      <w:r w:rsidR="00F67A5B" w:rsidRPr="00F8786C">
        <w:t>related to vascular services</w:t>
      </w:r>
      <w:r w:rsidR="0093001A" w:rsidRPr="00F8786C">
        <w:t>, encompassing:</w:t>
      </w:r>
    </w:p>
    <w:p w14:paraId="6FDBA06D" w14:textId="25F1237C" w:rsidR="0093001A" w:rsidRPr="00832017" w:rsidRDefault="00D83990" w:rsidP="00832017">
      <w:pPr>
        <w:pStyle w:val="ListBullet"/>
      </w:pPr>
      <w:r w:rsidRPr="00832017">
        <w:t>vascular T8 surgical items</w:t>
      </w:r>
    </w:p>
    <w:p w14:paraId="1D862CA8" w14:textId="628A443E" w:rsidR="00D83990" w:rsidRPr="00832017" w:rsidRDefault="00D83990" w:rsidP="00832017">
      <w:pPr>
        <w:pStyle w:val="ListBullet"/>
      </w:pPr>
      <w:r w:rsidRPr="00832017">
        <w:t>vascular-related digital subtraction angiography (DSA) items</w:t>
      </w:r>
    </w:p>
    <w:p w14:paraId="71D008BD" w14:textId="13083192" w:rsidR="00D83990" w:rsidRPr="00832017" w:rsidRDefault="00D83990" w:rsidP="00832017">
      <w:pPr>
        <w:pStyle w:val="ListBullet"/>
      </w:pPr>
      <w:r w:rsidRPr="00832017">
        <w:t>diagnostic imaging items related to vascular care.</w:t>
      </w:r>
    </w:p>
    <w:p w14:paraId="269982DF" w14:textId="46F90888" w:rsidR="00F0668E" w:rsidRDefault="00096F8A" w:rsidP="00F0668E">
      <w:r>
        <w:t xml:space="preserve">The review, completed in 2020, </w:t>
      </w:r>
      <w:r w:rsidR="00F0668E" w:rsidRPr="00C73E73">
        <w:t xml:space="preserve">identified a significant gap related to </w:t>
      </w:r>
      <w:r w:rsidR="001003DD" w:rsidRPr="00303A87">
        <w:t xml:space="preserve">vascular interventional radiology </w:t>
      </w:r>
      <w:r w:rsidR="001003DD">
        <w:t>(</w:t>
      </w:r>
      <w:r w:rsidR="001003DD" w:rsidRPr="00C73E73">
        <w:t>VIR</w:t>
      </w:r>
      <w:r w:rsidR="001003DD">
        <w:t>)</w:t>
      </w:r>
      <w:r w:rsidR="001003DD" w:rsidRPr="00C73E73">
        <w:t xml:space="preserve"> </w:t>
      </w:r>
      <w:r w:rsidR="00F0668E" w:rsidRPr="00C73E73">
        <w:t>services on the MBS</w:t>
      </w:r>
      <w:r w:rsidR="00F0668E">
        <w:t>.</w:t>
      </w:r>
    </w:p>
    <w:p w14:paraId="6A3E7781" w14:textId="76571C99" w:rsidR="00F0668E" w:rsidRPr="00C73E73" w:rsidRDefault="00F0668E" w:rsidP="00F0668E">
      <w:r>
        <w:t>D</w:t>
      </w:r>
      <w:r w:rsidRPr="00C73E73">
        <w:t>ue to time constraints, the</w:t>
      </w:r>
      <w:r>
        <w:t xml:space="preserve"> Clinical Committee was </w:t>
      </w:r>
      <w:r w:rsidRPr="00C73E73">
        <w:t xml:space="preserve">unable to review and provide recommendations on new or amended </w:t>
      </w:r>
      <w:r w:rsidR="001003DD">
        <w:t xml:space="preserve">VIR </w:t>
      </w:r>
      <w:r w:rsidRPr="00C73E73">
        <w:t xml:space="preserve">procedures, particularly those that are not routinely performed by vascular surgeons. </w:t>
      </w:r>
      <w:r w:rsidR="00384EDC">
        <w:t>Currently</w:t>
      </w:r>
      <w:r w:rsidRPr="00C73E73">
        <w:t>,</w:t>
      </w:r>
      <w:r w:rsidR="00384EDC">
        <w:t xml:space="preserve"> many</w:t>
      </w:r>
      <w:r w:rsidRPr="00C73E73">
        <w:t xml:space="preserve"> </w:t>
      </w:r>
      <w:r w:rsidR="00303A87" w:rsidRPr="00303A87">
        <w:t xml:space="preserve">interventional radiology </w:t>
      </w:r>
      <w:r w:rsidR="00303A87">
        <w:t>(</w:t>
      </w:r>
      <w:r w:rsidRPr="00C73E73">
        <w:t>IR</w:t>
      </w:r>
      <w:r w:rsidR="00303A87">
        <w:t>)</w:t>
      </w:r>
      <w:r w:rsidRPr="00C73E73">
        <w:t xml:space="preserve"> procedures are </w:t>
      </w:r>
      <w:r w:rsidR="00233964">
        <w:t xml:space="preserve">billed </w:t>
      </w:r>
      <w:r w:rsidR="00233964" w:rsidRPr="00C73E73">
        <w:t>under existing</w:t>
      </w:r>
      <w:r w:rsidR="00233964">
        <w:t xml:space="preserve"> MBS</w:t>
      </w:r>
      <w:r w:rsidR="00233964" w:rsidRPr="00C73E73">
        <w:t xml:space="preserve"> items </w:t>
      </w:r>
      <w:r w:rsidR="00B043BC">
        <w:t>that have</w:t>
      </w:r>
      <w:r w:rsidR="00233964" w:rsidRPr="00C73E73">
        <w:t xml:space="preserve"> broad descriptors </w:t>
      </w:r>
      <w:r w:rsidR="00B043BC">
        <w:t xml:space="preserve">and </w:t>
      </w:r>
      <w:r w:rsidRPr="00C73E73">
        <w:t>rebate</w:t>
      </w:r>
      <w:r w:rsidR="00B043BC">
        <w:t>s</w:t>
      </w:r>
      <w:r w:rsidRPr="00C73E73">
        <w:t xml:space="preserve"> that </w:t>
      </w:r>
      <w:r w:rsidR="007E525B">
        <w:t xml:space="preserve">do not </w:t>
      </w:r>
      <w:r w:rsidRPr="00C73E73">
        <w:t>reflect the procedure</w:t>
      </w:r>
      <w:r w:rsidR="007E525B">
        <w:t>s</w:t>
      </w:r>
      <w:r w:rsidRPr="00C73E73">
        <w:t xml:space="preserve"> accurately in terms of time or complexity.</w:t>
      </w:r>
    </w:p>
    <w:p w14:paraId="143E8EC2" w14:textId="0DB20037" w:rsidR="00F0668E" w:rsidRPr="00F8786C" w:rsidRDefault="00F0668E" w:rsidP="00F8786C">
      <w:r w:rsidRPr="00F8786C">
        <w:t>After the Taskforce</w:t>
      </w:r>
      <w:r w:rsidR="00F65750" w:rsidRPr="00F8786C">
        <w:t>’s</w:t>
      </w:r>
      <w:r w:rsidRPr="00F8786C">
        <w:t xml:space="preserve"> </w:t>
      </w:r>
      <w:hyperlink r:id="rId12" w:history="1">
        <w:r w:rsidR="00172F49" w:rsidRPr="00F8786C">
          <w:rPr>
            <w:rStyle w:val="Hyperlink"/>
          </w:rPr>
          <w:t>R</w:t>
        </w:r>
        <w:r w:rsidRPr="00F8786C">
          <w:rPr>
            <w:rStyle w:val="Hyperlink"/>
          </w:rPr>
          <w:t>eport</w:t>
        </w:r>
        <w:r w:rsidR="00172F49" w:rsidRPr="00F8786C">
          <w:rPr>
            <w:rStyle w:val="Hyperlink"/>
          </w:rPr>
          <w:t xml:space="preserve"> on vascular services items</w:t>
        </w:r>
      </w:hyperlink>
      <w:r w:rsidRPr="00F8786C">
        <w:t xml:space="preserve"> was published, further input was provided by the </w:t>
      </w:r>
      <w:r w:rsidR="00441A53" w:rsidRPr="00F8786C">
        <w:t>Royal Australian and New Zealand College of Radiologists (</w:t>
      </w:r>
      <w:r w:rsidRPr="00F8786C">
        <w:t>RANZCR</w:t>
      </w:r>
      <w:r w:rsidR="00441A53" w:rsidRPr="00F8786C">
        <w:t>)</w:t>
      </w:r>
      <w:r w:rsidRPr="00F8786C">
        <w:t xml:space="preserve">, </w:t>
      </w:r>
      <w:r w:rsidR="007548D5" w:rsidRPr="00F8786C">
        <w:t>the Interventional Radiology Society of Australasia</w:t>
      </w:r>
      <w:r w:rsidRPr="00F8786C">
        <w:t xml:space="preserve">, </w:t>
      </w:r>
      <w:r w:rsidR="00CE51D3" w:rsidRPr="00F8786C">
        <w:t>the Australian and New Zealand Society of Neuroradiology (</w:t>
      </w:r>
      <w:r w:rsidRPr="00F8786C">
        <w:t>ANZSNR</w:t>
      </w:r>
      <w:r w:rsidR="00CE51D3" w:rsidRPr="00F8786C">
        <w:t>)</w:t>
      </w:r>
      <w:r w:rsidRPr="00F8786C">
        <w:t xml:space="preserve"> and the </w:t>
      </w:r>
      <w:r w:rsidR="00303A87" w:rsidRPr="00F8786C">
        <w:t>Australian and New Zealand Society of Vascular Surgery</w:t>
      </w:r>
      <w:r w:rsidR="009556E0" w:rsidRPr="00F8786C">
        <w:t xml:space="preserve"> (ANZSVS)</w:t>
      </w:r>
      <w:r w:rsidRPr="00F8786C">
        <w:t xml:space="preserve">. The additional input focused on </w:t>
      </w:r>
      <w:r w:rsidR="00303A87" w:rsidRPr="00F8786C">
        <w:t>2 </w:t>
      </w:r>
      <w:r w:rsidRPr="00F8786C">
        <w:t>of the Taskforce’s recommendations:</w:t>
      </w:r>
    </w:p>
    <w:p w14:paraId="5B1DC7FD" w14:textId="77777777" w:rsidR="007C12D5" w:rsidRPr="00832017" w:rsidRDefault="007C12D5" w:rsidP="00832017">
      <w:pPr>
        <w:pStyle w:val="ListBullet"/>
      </w:pPr>
      <w:r w:rsidRPr="00832017">
        <w:t>A single, low-fee diagnostic angiography-only item would not allow for variations in time and complexity and would therefore be unworkable in practice.</w:t>
      </w:r>
    </w:p>
    <w:p w14:paraId="77F9D5B9" w14:textId="013570D9" w:rsidR="00D80660" w:rsidRPr="00832017" w:rsidRDefault="00D80660" w:rsidP="00832017">
      <w:pPr>
        <w:pStyle w:val="ListBullet"/>
      </w:pPr>
      <w:r w:rsidRPr="00832017">
        <w:t>Noting the significant gap identified by the Taskforce regarding vascular-related IR procedures, RANZCR and ANZSNR proposed new and amended procedural and diagnostic IR and interventional neuroradiology (INR) items for procedures not currently listed on the MBS. </w:t>
      </w:r>
    </w:p>
    <w:p w14:paraId="579B4C99" w14:textId="778A8547" w:rsidR="00F0668E" w:rsidRPr="00E74D19" w:rsidRDefault="00F0668E" w:rsidP="00F0668E">
      <w:pPr>
        <w:pStyle w:val="Heading2"/>
      </w:pPr>
      <w:bookmarkStart w:id="56" w:name="_Toc208307079"/>
      <w:bookmarkStart w:id="57" w:name="_Toc227143238"/>
      <w:bookmarkStart w:id="58" w:name="_Toc227143295"/>
      <w:r w:rsidRPr="00E74D19">
        <w:t xml:space="preserve">Key recommendations from the </w:t>
      </w:r>
      <w:r>
        <w:t xml:space="preserve">MBS </w:t>
      </w:r>
      <w:r w:rsidR="00811AE5">
        <w:t xml:space="preserve">Review </w:t>
      </w:r>
      <w:r w:rsidRPr="00E74D19">
        <w:t>Taskforce</w:t>
      </w:r>
      <w:bookmarkEnd w:id="56"/>
      <w:bookmarkEnd w:id="57"/>
      <w:bookmarkEnd w:id="58"/>
    </w:p>
    <w:p w14:paraId="4B50B08D" w14:textId="7F9E030B" w:rsidR="008F77EA" w:rsidRPr="008F77EA" w:rsidRDefault="008F77EA" w:rsidP="00D659F1">
      <w:r>
        <w:t xml:space="preserve">The </w:t>
      </w:r>
      <w:r w:rsidR="00D659F1">
        <w:t xml:space="preserve">relevant </w:t>
      </w:r>
      <w:r>
        <w:t>recommendations from the Taskforce’s report</w:t>
      </w:r>
      <w:r w:rsidR="00670D4B">
        <w:t xml:space="preserve"> were</w:t>
      </w:r>
      <w:r w:rsidR="00CB0E04">
        <w:t xml:space="preserve"> as follows</w:t>
      </w:r>
      <w:r w:rsidR="00670D4B">
        <w:t>:</w:t>
      </w:r>
    </w:p>
    <w:p w14:paraId="4A023534" w14:textId="0CE16071" w:rsidR="00C87998" w:rsidRPr="00F8786C" w:rsidRDefault="00C87998" w:rsidP="00F8786C">
      <w:pPr>
        <w:pStyle w:val="ListNumber"/>
        <w:numPr>
          <w:ilvl w:val="0"/>
          <w:numId w:val="42"/>
        </w:numPr>
        <w:rPr>
          <w:b/>
          <w:bCs/>
        </w:rPr>
      </w:pPr>
      <w:bookmarkStart w:id="59" w:name="_Toc119068525"/>
      <w:bookmarkStart w:id="60" w:name="_Toc119920744"/>
      <w:bookmarkStart w:id="61" w:name="_Toc208307080"/>
      <w:r w:rsidRPr="0093129F">
        <w:t>Develop a distinct place for endovascular/</w:t>
      </w:r>
      <w:r w:rsidR="00AC7019">
        <w:t>IR</w:t>
      </w:r>
      <w:r w:rsidRPr="0093129F">
        <w:t xml:space="preserve"> items on the MBS.</w:t>
      </w:r>
      <w:r>
        <w:t xml:space="preserve"> Options for change are</w:t>
      </w:r>
    </w:p>
    <w:p w14:paraId="51BFEB6C" w14:textId="7D51F4DD" w:rsidR="00C87998" w:rsidRPr="00346D42" w:rsidRDefault="001F01F5" w:rsidP="008435AE">
      <w:pPr>
        <w:pStyle w:val="ListBullet2"/>
      </w:pPr>
      <w:r>
        <w:t>c</w:t>
      </w:r>
      <w:r w:rsidR="00C87998">
        <w:t>hange the name of t</w:t>
      </w:r>
      <w:r w:rsidR="00C87998" w:rsidRPr="00346D42">
        <w:t>he vascular T8 section to</w:t>
      </w:r>
      <w:r w:rsidR="00C87998">
        <w:t xml:space="preserve"> </w:t>
      </w:r>
      <w:r w:rsidR="00C87998" w:rsidRPr="00346D42">
        <w:t>‘Vascular, Endovascular and Interventional Radiology’</w:t>
      </w:r>
    </w:p>
    <w:p w14:paraId="4AB77EC7" w14:textId="2E2728B5" w:rsidR="00C87998" w:rsidRPr="00346D42" w:rsidRDefault="001F01F5" w:rsidP="008435AE">
      <w:pPr>
        <w:pStyle w:val="ListBullet2"/>
      </w:pPr>
      <w:r>
        <w:t>c</w:t>
      </w:r>
      <w:r w:rsidR="00C87998" w:rsidRPr="00346D42">
        <w:t>reate a new stand</w:t>
      </w:r>
      <w:r w:rsidR="00C87998">
        <w:t>alone</w:t>
      </w:r>
      <w:r w:rsidR="00C87998" w:rsidRPr="00346D42">
        <w:t xml:space="preserve"> INR section of the MBS</w:t>
      </w:r>
      <w:r w:rsidR="00C87998">
        <w:t xml:space="preserve"> to </w:t>
      </w:r>
      <w:r w:rsidR="00C87998" w:rsidRPr="00346D42">
        <w:t>reflect the growing number of interventional services provided, many of which are mainly performed by interventional radiologists</w:t>
      </w:r>
    </w:p>
    <w:p w14:paraId="7C876B63" w14:textId="2F516AF7" w:rsidR="00C87998" w:rsidRDefault="00A53316" w:rsidP="008435AE">
      <w:pPr>
        <w:pStyle w:val="ListBullet2"/>
      </w:pPr>
      <w:r>
        <w:t>a</w:t>
      </w:r>
      <w:r w:rsidR="00C87998">
        <w:t xml:space="preserve">lign </w:t>
      </w:r>
      <w:r w:rsidR="00C87998" w:rsidRPr="00346D42">
        <w:t xml:space="preserve">INR items with the neurosurgery section of the MBS. </w:t>
      </w:r>
    </w:p>
    <w:p w14:paraId="722F9FA9" w14:textId="39108152" w:rsidR="00C87998" w:rsidRDefault="00C87998" w:rsidP="00F8786C">
      <w:pPr>
        <w:pStyle w:val="ListNumber"/>
        <w:rPr>
          <w:b/>
          <w:bCs/>
        </w:rPr>
      </w:pPr>
      <w:r w:rsidRPr="00AE5648">
        <w:t>Where there is an endovascular approach equivalent to an existing open vascular surgical T8 item, amend the open approach item descriptor to allow the endovascular approach (when appropriate)</w:t>
      </w:r>
      <w:r>
        <w:t>.</w:t>
      </w:r>
    </w:p>
    <w:p w14:paraId="172ED418" w14:textId="5FB9123B" w:rsidR="00C87998" w:rsidRPr="001E7FC6" w:rsidRDefault="002C1CC8" w:rsidP="00F8786C">
      <w:r>
        <w:t>(</w:t>
      </w:r>
      <w:r w:rsidR="00C87998" w:rsidRPr="001E7FC6">
        <w:t xml:space="preserve">Noting </w:t>
      </w:r>
      <w:r w:rsidR="00C87998">
        <w:t xml:space="preserve">that </w:t>
      </w:r>
      <w:r w:rsidR="00C87998" w:rsidRPr="001E7FC6">
        <w:t xml:space="preserve">when there is a substantial difference in time and/or complexity of an endovascular procedure </w:t>
      </w:r>
      <w:r w:rsidR="00C87998">
        <w:t xml:space="preserve">compared with </w:t>
      </w:r>
      <w:r w:rsidR="00C87998" w:rsidRPr="001E7FC6">
        <w:t>the equivalent open procedure</w:t>
      </w:r>
      <w:r w:rsidR="00C87998">
        <w:t>,</w:t>
      </w:r>
      <w:r w:rsidR="00C87998" w:rsidRPr="001E7FC6">
        <w:t xml:space="preserve"> setting the same fee for both approaches may not be reflective of the competing inputs.</w:t>
      </w:r>
      <w:r w:rsidR="00D95B3C">
        <w:t>)</w:t>
      </w:r>
    </w:p>
    <w:p w14:paraId="7A8B531D" w14:textId="374057FD" w:rsidR="00C87998" w:rsidRPr="00AE5648" w:rsidRDefault="00C87998" w:rsidP="00F8786C">
      <w:pPr>
        <w:pStyle w:val="ListNumber"/>
        <w:rPr>
          <w:b/>
          <w:bCs/>
        </w:rPr>
      </w:pPr>
      <w:r>
        <w:t xml:space="preserve">Implement </w:t>
      </w:r>
      <w:r w:rsidRPr="00AE5648">
        <w:t xml:space="preserve">a single </w:t>
      </w:r>
      <w:r>
        <w:t xml:space="preserve">MBS </w:t>
      </w:r>
      <w:r w:rsidRPr="00AE5648">
        <w:t>diagnostic DSA item</w:t>
      </w:r>
      <w:r>
        <w:t>.</w:t>
      </w:r>
    </w:p>
    <w:p w14:paraId="0B3D7CFC" w14:textId="77777777" w:rsidR="008E0C78" w:rsidRPr="00E74D19" w:rsidRDefault="008E0C78" w:rsidP="008E0C78">
      <w:pPr>
        <w:pStyle w:val="Heading2"/>
      </w:pPr>
      <w:bookmarkStart w:id="62" w:name="_Toc227143239"/>
      <w:bookmarkStart w:id="63" w:name="_Toc227143296"/>
      <w:r w:rsidRPr="00E74D19">
        <w:t>Vascular Interventional Radiology Working Group</w:t>
      </w:r>
      <w:bookmarkEnd w:id="59"/>
      <w:bookmarkEnd w:id="60"/>
      <w:bookmarkEnd w:id="61"/>
      <w:bookmarkEnd w:id="62"/>
      <w:bookmarkEnd w:id="63"/>
    </w:p>
    <w:p w14:paraId="1BB77AAB" w14:textId="3009BC99" w:rsidR="00113F74" w:rsidRPr="00E74D19" w:rsidRDefault="00113F74" w:rsidP="00D659F1">
      <w:r w:rsidRPr="00E74D19">
        <w:t>In April 2022, the</w:t>
      </w:r>
      <w:r>
        <w:t xml:space="preserve"> </w:t>
      </w:r>
      <w:r w:rsidRPr="00E74D19">
        <w:t xml:space="preserve">then Department of Health and Aged Care requested </w:t>
      </w:r>
      <w:r w:rsidR="00314AE5">
        <w:t>that the MRAC</w:t>
      </w:r>
      <w:r w:rsidRPr="00E74D19">
        <w:t xml:space="preserve"> review VIR services. This work would review and expand on the Taskforce’s report.</w:t>
      </w:r>
    </w:p>
    <w:p w14:paraId="68E9C0B8" w14:textId="00950963" w:rsidR="00113F74" w:rsidRPr="00F8786C" w:rsidRDefault="00113F74" w:rsidP="00F8786C">
      <w:r w:rsidRPr="00F8786C">
        <w:t xml:space="preserve">The </w:t>
      </w:r>
      <w:r w:rsidR="0000172A" w:rsidRPr="00F8786C">
        <w:t xml:space="preserve">department </w:t>
      </w:r>
      <w:r w:rsidRPr="00F8786C">
        <w:t xml:space="preserve">sought </w:t>
      </w:r>
      <w:r w:rsidR="00B601A9" w:rsidRPr="00F8786C">
        <w:t xml:space="preserve">the </w:t>
      </w:r>
      <w:r w:rsidRPr="00F8786C">
        <w:t>MRAC’s advice on the following issues:</w:t>
      </w:r>
    </w:p>
    <w:p w14:paraId="3F2168FE" w14:textId="1C85B720" w:rsidR="00113F74" w:rsidRPr="00F8786C" w:rsidRDefault="00113F74" w:rsidP="00F8786C">
      <w:pPr>
        <w:pStyle w:val="ListNumber"/>
        <w:numPr>
          <w:ilvl w:val="0"/>
          <w:numId w:val="43"/>
        </w:numPr>
      </w:pPr>
      <w:r w:rsidRPr="00E74D19">
        <w:t>T</w:t>
      </w:r>
      <w:r w:rsidRPr="00F8786C">
        <w:t xml:space="preserve">he creation of a new standalone section of MBS </w:t>
      </w:r>
      <w:r w:rsidR="00E401D7" w:rsidRPr="00F8786C">
        <w:t>‘</w:t>
      </w:r>
      <w:r w:rsidRPr="00F8786C">
        <w:t xml:space="preserve">Category 3, </w:t>
      </w:r>
      <w:r w:rsidR="00F91CEC" w:rsidRPr="00F8786C">
        <w:t>Group</w:t>
      </w:r>
      <w:r w:rsidRPr="00F8786C">
        <w:t xml:space="preserve"> T8 – Surgical Operations</w:t>
      </w:r>
      <w:r w:rsidR="00E401D7" w:rsidRPr="00F8786C">
        <w:t>’</w:t>
      </w:r>
      <w:r w:rsidRPr="00F8786C">
        <w:t xml:space="preserve"> for vascular-related IR procedures</w:t>
      </w:r>
      <w:r w:rsidR="008F7340" w:rsidRPr="00F8786C">
        <w:t>,</w:t>
      </w:r>
      <w:r w:rsidRPr="00F8786C">
        <w:t xml:space="preserve"> or </w:t>
      </w:r>
      <w:r w:rsidR="00765CD2" w:rsidRPr="00F8786C">
        <w:t xml:space="preserve">the </w:t>
      </w:r>
      <w:r w:rsidRPr="00F8786C">
        <w:t xml:space="preserve">renaming of the </w:t>
      </w:r>
      <w:r w:rsidR="00AB0D49" w:rsidRPr="00F8786C">
        <w:t>‘</w:t>
      </w:r>
      <w:r w:rsidR="005A054D" w:rsidRPr="00F8786C">
        <w:t>V</w:t>
      </w:r>
      <w:r w:rsidRPr="00F8786C">
        <w:t>ascular</w:t>
      </w:r>
      <w:r w:rsidR="00AB0D49" w:rsidRPr="00F8786C">
        <w:t>’</w:t>
      </w:r>
      <w:r w:rsidRPr="00F8786C">
        <w:t xml:space="preserve"> </w:t>
      </w:r>
      <w:r w:rsidR="005A054D" w:rsidRPr="00F8786C">
        <w:t>subgroup</w:t>
      </w:r>
      <w:r w:rsidRPr="00F8786C">
        <w:t xml:space="preserve"> to ‘Vascular, Endovascular and Interventional Radiology’</w:t>
      </w:r>
      <w:r w:rsidR="009556E0" w:rsidRPr="00F8786C">
        <w:t>.</w:t>
      </w:r>
    </w:p>
    <w:p w14:paraId="7809DE6F" w14:textId="2BB4883E" w:rsidR="0063116A" w:rsidRPr="00F8786C" w:rsidRDefault="0063116A" w:rsidP="00F8786C">
      <w:pPr>
        <w:pStyle w:val="ListNumber"/>
      </w:pPr>
      <w:r w:rsidRPr="00F8786C">
        <w:t>The creation of new MBS items for IR/INR procedural and diagnostic services as proposed by RANZCR and ANZSNR, noting that, while RANZCR supported the range of INR procedures proposed by ANZSNR, it also provided a list of new MBS items distinct from ANZSNR’s set of proposed new and amended items.</w:t>
      </w:r>
    </w:p>
    <w:p w14:paraId="7FC59B2E" w14:textId="3CF362EE" w:rsidR="00113F74" w:rsidRPr="00F8786C" w:rsidRDefault="007E731B" w:rsidP="00F8786C">
      <w:pPr>
        <w:pStyle w:val="ListNumber"/>
      </w:pPr>
      <w:r w:rsidRPr="00F8786C">
        <w:t xml:space="preserve">Additionally, </w:t>
      </w:r>
      <w:r w:rsidR="009B2D1F" w:rsidRPr="00F8786C">
        <w:t>whether</w:t>
      </w:r>
      <w:r w:rsidR="00113F74" w:rsidRPr="00F8786C">
        <w:t xml:space="preserve"> the existing diagnostic angiography fees for specific anatomical sites (corresponding with the procedural site) </w:t>
      </w:r>
      <w:r w:rsidR="009B2D1F" w:rsidRPr="00F8786C">
        <w:t xml:space="preserve">should </w:t>
      </w:r>
      <w:r w:rsidR="00113F74" w:rsidRPr="00F8786C">
        <w:t>be included or considered an acceptable guide with respect to the proposed IR/INR bundled procedural items</w:t>
      </w:r>
      <w:r w:rsidR="009556E0" w:rsidRPr="00F8786C">
        <w:t>?</w:t>
      </w:r>
    </w:p>
    <w:p w14:paraId="5ADF3BC8" w14:textId="48E44487" w:rsidR="00113F74" w:rsidRPr="00F8786C" w:rsidRDefault="001E59D9" w:rsidP="00F8786C">
      <w:pPr>
        <w:pStyle w:val="ListNumber"/>
      </w:pPr>
      <w:r w:rsidRPr="00F8786C">
        <w:t>The</w:t>
      </w:r>
      <w:r w:rsidR="00113F74" w:rsidRPr="00F8786C">
        <w:t xml:space="preserve"> support for the Taskforce recommendation to align the proposed INR items with the neurosurgery items, noting that INR procedures are also undertaken by neurosurgeons and neurologists</w:t>
      </w:r>
      <w:r w:rsidR="009556E0" w:rsidRPr="00F8786C">
        <w:t>.</w:t>
      </w:r>
    </w:p>
    <w:p w14:paraId="41053C1A" w14:textId="31C7D37C" w:rsidR="00113F74" w:rsidRPr="00F8786C" w:rsidRDefault="00B163A1" w:rsidP="00F8786C">
      <w:pPr>
        <w:pStyle w:val="ListNumber"/>
      </w:pPr>
      <w:r w:rsidRPr="00F8786C">
        <w:t>The</w:t>
      </w:r>
      <w:r w:rsidR="00113F74" w:rsidRPr="00F8786C">
        <w:t xml:space="preserve"> amend</w:t>
      </w:r>
      <w:r w:rsidRPr="00F8786C">
        <w:t>ment (where possible) of</w:t>
      </w:r>
      <w:r w:rsidR="00113F74" w:rsidRPr="00F8786C">
        <w:t xml:space="preserve"> existing vascular open surgical approach items to include endovascular or hybrid repair (</w:t>
      </w:r>
      <w:r w:rsidR="002F107C" w:rsidRPr="00F8786C">
        <w:t>for example,</w:t>
      </w:r>
      <w:r w:rsidR="00113F74" w:rsidRPr="00F8786C">
        <w:t xml:space="preserve"> by any approach)</w:t>
      </w:r>
      <w:r w:rsidR="001E59D9" w:rsidRPr="00F8786C">
        <w:t>,</w:t>
      </w:r>
      <w:r w:rsidR="00113F74" w:rsidRPr="00F8786C">
        <w:t xml:space="preserve"> or </w:t>
      </w:r>
      <w:r w:rsidRPr="00F8786C">
        <w:t xml:space="preserve">the </w:t>
      </w:r>
      <w:r w:rsidR="00113F74" w:rsidRPr="00F8786C">
        <w:t>creat</w:t>
      </w:r>
      <w:r w:rsidR="001E59D9" w:rsidRPr="00F8786C">
        <w:t>ion</w:t>
      </w:r>
      <w:r w:rsidR="00113F74" w:rsidRPr="00F8786C">
        <w:t xml:space="preserve"> </w:t>
      </w:r>
      <w:r w:rsidR="003A0904" w:rsidRPr="00F8786C">
        <w:t>of</w:t>
      </w:r>
      <w:r w:rsidR="00113F74" w:rsidRPr="00F8786C">
        <w:t xml:space="preserve"> new items. </w:t>
      </w:r>
    </w:p>
    <w:p w14:paraId="1942F477" w14:textId="5F7C9937" w:rsidR="00113F74" w:rsidRPr="00F8786C" w:rsidRDefault="00113F74" w:rsidP="00F8786C">
      <w:r w:rsidRPr="00F8786C">
        <w:t>The VIR</w:t>
      </w:r>
      <w:r w:rsidR="003F563B" w:rsidRPr="00F8786C">
        <w:t xml:space="preserve"> </w:t>
      </w:r>
      <w:r w:rsidRPr="00F8786C">
        <w:t>W</w:t>
      </w:r>
      <w:r w:rsidR="003F563B" w:rsidRPr="00F8786C">
        <w:t xml:space="preserve">orking </w:t>
      </w:r>
      <w:r w:rsidRPr="00F8786C">
        <w:t>G</w:t>
      </w:r>
      <w:r w:rsidR="003F563B" w:rsidRPr="00F8786C">
        <w:t>roup (</w:t>
      </w:r>
      <w:r w:rsidRPr="00F8786C">
        <w:t>VIRWG</w:t>
      </w:r>
      <w:r w:rsidR="003F563B" w:rsidRPr="00F8786C">
        <w:t>)</w:t>
      </w:r>
      <w:r w:rsidRPr="00F8786C">
        <w:t xml:space="preserve"> was established to advise </w:t>
      </w:r>
      <w:r w:rsidR="00EE7385" w:rsidRPr="00F8786C">
        <w:t xml:space="preserve">the </w:t>
      </w:r>
      <w:r w:rsidRPr="00F8786C">
        <w:t xml:space="preserve">MRAC </w:t>
      </w:r>
      <w:r w:rsidR="0077165B" w:rsidRPr="00F8786C">
        <w:t>on th</w:t>
      </w:r>
      <w:r w:rsidR="00EE7385" w:rsidRPr="00F8786C">
        <w:t>is topic</w:t>
      </w:r>
      <w:r w:rsidR="001E3B1B" w:rsidRPr="00F8786C">
        <w:t>. It</w:t>
      </w:r>
      <w:r w:rsidRPr="00F8786C">
        <w:t xml:space="preserve"> comprises 4 MRAC members, including in the roles of Chair and consumer representative, as well as clinical experts nominated by the following peak bodies:</w:t>
      </w:r>
    </w:p>
    <w:p w14:paraId="2181CF30" w14:textId="77777777" w:rsidR="00650743" w:rsidRPr="00AA186E" w:rsidRDefault="00650743" w:rsidP="00F8786C">
      <w:pPr>
        <w:pStyle w:val="ListBullet"/>
      </w:pPr>
      <w:bookmarkStart w:id="64" w:name="_Hlk218669428"/>
      <w:r w:rsidRPr="00C73E73">
        <w:t>ANZSN</w:t>
      </w:r>
      <w:r>
        <w:t>R</w:t>
      </w:r>
    </w:p>
    <w:p w14:paraId="38A92C7C" w14:textId="77777777" w:rsidR="00113F74" w:rsidRPr="00FD5DF4" w:rsidRDefault="00113F74" w:rsidP="00F8786C">
      <w:pPr>
        <w:pStyle w:val="ListBullet"/>
      </w:pPr>
      <w:r w:rsidRPr="00FD5DF4">
        <w:t xml:space="preserve">Australian and New Zealand Association of Neurologists </w:t>
      </w:r>
    </w:p>
    <w:p w14:paraId="539B4680" w14:textId="77777777" w:rsidR="00113F74" w:rsidRDefault="00113F74" w:rsidP="00F8786C">
      <w:pPr>
        <w:pStyle w:val="ListBullet"/>
      </w:pPr>
      <w:r w:rsidRPr="00C73E73">
        <w:t>Australian and New Zealand Society of Vascular Surgery</w:t>
      </w:r>
    </w:p>
    <w:p w14:paraId="06EC80AF" w14:textId="77777777" w:rsidR="00113F74" w:rsidRPr="00AA186E" w:rsidRDefault="00113F74" w:rsidP="00F8786C">
      <w:pPr>
        <w:pStyle w:val="ListBullet"/>
      </w:pPr>
      <w:r w:rsidRPr="00C73E73">
        <w:t>Interventional Radiology Society of Australasia</w:t>
      </w:r>
    </w:p>
    <w:p w14:paraId="3A11676E" w14:textId="77777777" w:rsidR="00113F74" w:rsidRPr="00AA186E" w:rsidRDefault="00113F74" w:rsidP="00F8786C">
      <w:pPr>
        <w:pStyle w:val="ListBullet"/>
      </w:pPr>
      <w:r w:rsidRPr="00AA186E">
        <w:t xml:space="preserve">Neurosurgical Society of Australasia </w:t>
      </w:r>
    </w:p>
    <w:p w14:paraId="48B9C718" w14:textId="3FE1736E" w:rsidR="00113F74" w:rsidRPr="00292243" w:rsidRDefault="00231F1A" w:rsidP="00F8786C">
      <w:pPr>
        <w:pStyle w:val="ListBullet"/>
      </w:pPr>
      <w:r>
        <w:t>RANZCR</w:t>
      </w:r>
      <w:r w:rsidR="00113F74" w:rsidRPr="00292243">
        <w:t>.</w:t>
      </w:r>
    </w:p>
    <w:bookmarkEnd w:id="64"/>
    <w:p w14:paraId="49FED19C" w14:textId="437B9A5F" w:rsidR="00AE5A0B" w:rsidRPr="00BF2A5E" w:rsidRDefault="00113F74" w:rsidP="00AE5A0B">
      <w:r w:rsidRPr="007771EA">
        <w:t>T</w:t>
      </w:r>
      <w:r w:rsidRPr="00AF7870">
        <w:t>he VIRWG met via teleconference on 8 occasions: 21</w:t>
      </w:r>
      <w:r w:rsidR="00FF2D71">
        <w:t> </w:t>
      </w:r>
      <w:r w:rsidRPr="00AF7870">
        <w:t>March 2023, 2</w:t>
      </w:r>
      <w:r w:rsidR="00FF2D71">
        <w:t> </w:t>
      </w:r>
      <w:r w:rsidRPr="00AF7870">
        <w:t>May 2023, 8</w:t>
      </w:r>
      <w:r w:rsidR="00C01A31">
        <w:t> </w:t>
      </w:r>
      <w:r w:rsidRPr="00AF7870">
        <w:t>November 2023, 20</w:t>
      </w:r>
      <w:r w:rsidR="00FF2D71">
        <w:t> </w:t>
      </w:r>
      <w:r w:rsidRPr="00AF7870">
        <w:t>February 2024, 26</w:t>
      </w:r>
      <w:r w:rsidR="00FF2D71">
        <w:t> </w:t>
      </w:r>
      <w:r w:rsidRPr="00AF7870">
        <w:t>March 2024, 23</w:t>
      </w:r>
      <w:r w:rsidR="00FF2D71">
        <w:t> </w:t>
      </w:r>
      <w:r w:rsidRPr="00AF7870">
        <w:t>May 2024, 8 August 2024 and 1</w:t>
      </w:r>
      <w:r>
        <w:t>8</w:t>
      </w:r>
      <w:r w:rsidR="00C01A31">
        <w:t> </w:t>
      </w:r>
      <w:r w:rsidRPr="00AF7870">
        <w:t>November 2025</w:t>
      </w:r>
      <w:r w:rsidRPr="007771EA">
        <w:t>.</w:t>
      </w:r>
      <w:r>
        <w:t xml:space="preserve"> In addition,</w:t>
      </w:r>
      <w:r w:rsidRPr="00AF7870">
        <w:t xml:space="preserve"> a significant amount of work was </w:t>
      </w:r>
      <w:r>
        <w:t>progressed</w:t>
      </w:r>
      <w:r w:rsidRPr="00AF7870">
        <w:t xml:space="preserve"> out-of-session</w:t>
      </w:r>
      <w:r>
        <w:t>.</w:t>
      </w:r>
    </w:p>
    <w:p w14:paraId="2FE60366" w14:textId="50EE9A50" w:rsidR="0062343C" w:rsidRPr="00DD2E75" w:rsidRDefault="00C15092" w:rsidP="00953D7A">
      <w:pPr>
        <w:pStyle w:val="Heading1"/>
      </w:pPr>
      <w:bookmarkStart w:id="65" w:name="_Toc107920666"/>
      <w:bookmarkStart w:id="66" w:name="_Toc119068534"/>
      <w:bookmarkStart w:id="67" w:name="_Toc119920753"/>
      <w:bookmarkStart w:id="68" w:name="_Toc146194601"/>
      <w:bookmarkStart w:id="69" w:name="_Toc227143240"/>
      <w:bookmarkStart w:id="70" w:name="_Toc227143297"/>
      <w:bookmarkEnd w:id="53"/>
      <w:r>
        <w:t>PICO assessments</w:t>
      </w:r>
      <w:bookmarkEnd w:id="69"/>
      <w:bookmarkEnd w:id="70"/>
    </w:p>
    <w:p w14:paraId="4E48B875" w14:textId="4271FC07" w:rsidR="00335705" w:rsidRDefault="00335705" w:rsidP="00335705">
      <w:r w:rsidRPr="00DB76EF">
        <w:t xml:space="preserve">VIRWG </w:t>
      </w:r>
      <w:r>
        <w:t xml:space="preserve">members </w:t>
      </w:r>
      <w:r w:rsidR="00FE1F2A">
        <w:t xml:space="preserve">reviewed </w:t>
      </w:r>
      <w:r w:rsidR="00FD5186">
        <w:t xml:space="preserve">existing </w:t>
      </w:r>
      <w:r w:rsidR="00015C4A">
        <w:t xml:space="preserve">MBS items </w:t>
      </w:r>
      <w:r w:rsidR="00FD5186">
        <w:t xml:space="preserve">and </w:t>
      </w:r>
      <w:r w:rsidR="00AC234D">
        <w:t>proposed new</w:t>
      </w:r>
      <w:r w:rsidR="00FD5186">
        <w:t xml:space="preserve"> </w:t>
      </w:r>
      <w:r w:rsidR="00015C4A">
        <w:t>ones</w:t>
      </w:r>
      <w:r w:rsidR="00FD5186" w:rsidRPr="00DB76EF">
        <w:t xml:space="preserve"> </w:t>
      </w:r>
      <w:r w:rsidR="00FD5186">
        <w:t xml:space="preserve">for a range of </w:t>
      </w:r>
      <w:r w:rsidR="00015C4A">
        <w:t>V</w:t>
      </w:r>
      <w:r w:rsidR="003A25CE" w:rsidRPr="00DB76EF">
        <w:t>IR/INR and surgical services</w:t>
      </w:r>
      <w:r w:rsidR="00C10A4A">
        <w:t xml:space="preserve"> using the PICO (population, intervention, </w:t>
      </w:r>
      <w:r w:rsidR="00DF6DC0">
        <w:t>comparator, outcomes) approach</w:t>
      </w:r>
      <w:r w:rsidR="003A25CE">
        <w:t xml:space="preserve">. Members </w:t>
      </w:r>
      <w:r w:rsidRPr="00DB76EF">
        <w:t>contributed 75</w:t>
      </w:r>
      <w:r w:rsidR="009C49D0">
        <w:t> </w:t>
      </w:r>
      <w:r w:rsidRPr="00DB76EF">
        <w:t>PICOs</w:t>
      </w:r>
      <w:r w:rsidR="003A25CE">
        <w:t>, and a</w:t>
      </w:r>
      <w:r w:rsidRPr="00DB76EF">
        <w:t>n additional PICO was received in early 2025 as a referral from the Medicare Services Advisory Committee (MSAC) Secretariat.</w:t>
      </w:r>
      <w:r w:rsidR="00F0319C">
        <w:t xml:space="preserve"> </w:t>
      </w:r>
      <w:r w:rsidRPr="00DB76EF">
        <w:t>Of the 76</w:t>
      </w:r>
      <w:r w:rsidR="00BD535D">
        <w:t> </w:t>
      </w:r>
      <w:r w:rsidRPr="00DB76EF">
        <w:t>PICOs, 17 were incorporated into or replaced by other PICOs</w:t>
      </w:r>
      <w:r w:rsidR="00C34E56">
        <w:t>. O</w:t>
      </w:r>
      <w:r>
        <w:t xml:space="preserve">ne </w:t>
      </w:r>
      <w:r w:rsidRPr="00DB76EF">
        <w:t xml:space="preserve">was identified as better suited for </w:t>
      </w:r>
      <w:r w:rsidR="009409CC">
        <w:t xml:space="preserve">MSAC’s </w:t>
      </w:r>
      <w:r w:rsidRPr="00DB76EF">
        <w:t>consideration.</w:t>
      </w:r>
    </w:p>
    <w:p w14:paraId="5906488E" w14:textId="77777777" w:rsidR="00DD2E75" w:rsidRPr="00DB76EF" w:rsidRDefault="00DD2E75" w:rsidP="00DD2E75">
      <w:r w:rsidRPr="00DB76EF">
        <w:t xml:space="preserve">The VIRWG considered the </w:t>
      </w:r>
      <w:r>
        <w:t xml:space="preserve">PICOs </w:t>
      </w:r>
      <w:r w:rsidRPr="00DB76EF">
        <w:t>in line with the MBS Continuous Review Guiding Principles (</w:t>
      </w:r>
      <w:hyperlink w:anchor="_Appendix_1_Medicare" w:history="1">
        <w:r w:rsidRPr="00292243">
          <w:rPr>
            <w:rStyle w:val="Hyperlink"/>
          </w:rPr>
          <w:t>Appendix 1</w:t>
        </w:r>
      </w:hyperlink>
      <w:r w:rsidRPr="00DB76EF">
        <w:t>) and the assessment tool, which is based on the PICO framework (</w:t>
      </w:r>
      <w:hyperlink w:anchor="_Appendix_2_–" w:history="1">
        <w:r w:rsidRPr="00292243">
          <w:rPr>
            <w:rStyle w:val="Hyperlink"/>
          </w:rPr>
          <w:t>Appendix 2</w:t>
        </w:r>
      </w:hyperlink>
      <w:r w:rsidRPr="00DB76EF">
        <w:t xml:space="preserve">). The proposed MBS item descriptors were also assessed as per </w:t>
      </w:r>
      <w:hyperlink w:anchor="_Appendix_3_–" w:history="1">
        <w:r w:rsidRPr="00292243">
          <w:rPr>
            <w:rStyle w:val="Hyperlink"/>
          </w:rPr>
          <w:t>Appendix 3</w:t>
        </w:r>
      </w:hyperlink>
      <w:r w:rsidRPr="00DB76EF">
        <w:t>.</w:t>
      </w:r>
    </w:p>
    <w:p w14:paraId="30A0C297" w14:textId="005526B0" w:rsidR="00921002" w:rsidRPr="005407D9" w:rsidRDefault="006C4E6B" w:rsidP="00335705">
      <w:r>
        <w:t xml:space="preserve">The VIRWG recognised that it was not feasible for it to complete the development of the proposed new and amended MBS items, and that this should be undertaken by the </w:t>
      </w:r>
      <w:r w:rsidR="00763307">
        <w:t>d</w:t>
      </w:r>
      <w:r>
        <w:t xml:space="preserve">epartment </w:t>
      </w:r>
      <w:r w:rsidRPr="005407D9">
        <w:t>in consultation with</w:t>
      </w:r>
      <w:r>
        <w:t xml:space="preserve"> all</w:t>
      </w:r>
      <w:r w:rsidRPr="005407D9">
        <w:t xml:space="preserve"> relevant stakeholders. </w:t>
      </w:r>
      <w:r>
        <w:t xml:space="preserve">It therefore agreed </w:t>
      </w:r>
      <w:r w:rsidRPr="005407D9">
        <w:t xml:space="preserve">that the </w:t>
      </w:r>
      <w:r>
        <w:t xml:space="preserve">draft MBS </w:t>
      </w:r>
      <w:r w:rsidRPr="005407D9">
        <w:t xml:space="preserve">items </w:t>
      </w:r>
      <w:r>
        <w:t>w</w:t>
      </w:r>
      <w:r w:rsidRPr="005407D9">
        <w:t xml:space="preserve">ould not be included in </w:t>
      </w:r>
      <w:r>
        <w:t>th</w:t>
      </w:r>
      <w:r w:rsidR="006E3319">
        <w:t>is</w:t>
      </w:r>
      <w:r>
        <w:t xml:space="preserve"> r</w:t>
      </w:r>
      <w:r w:rsidRPr="005407D9">
        <w:t>eport</w:t>
      </w:r>
      <w:r>
        <w:t>.</w:t>
      </w:r>
    </w:p>
    <w:p w14:paraId="51B54C33" w14:textId="6F1DE572" w:rsidR="007E4760" w:rsidRDefault="007E4760" w:rsidP="007E4760">
      <w:pPr>
        <w:pStyle w:val="Heading1"/>
        <w:spacing w:after="240"/>
      </w:pPr>
      <w:bookmarkStart w:id="71" w:name="_Toc208307085"/>
      <w:bookmarkStart w:id="72" w:name="_Toc227143241"/>
      <w:bookmarkStart w:id="73" w:name="_Toc227143298"/>
      <w:r w:rsidRPr="00E74D19">
        <w:t>Recommendations</w:t>
      </w:r>
      <w:bookmarkEnd w:id="71"/>
      <w:r w:rsidR="00330B6C">
        <w:t xml:space="preserve"> and rationale</w:t>
      </w:r>
      <w:bookmarkEnd w:id="72"/>
      <w:bookmarkEnd w:id="73"/>
    </w:p>
    <w:p w14:paraId="43B1A668" w14:textId="0AD902AA" w:rsidR="00F72E9D" w:rsidRPr="00921002" w:rsidRDefault="007D2E54" w:rsidP="00F72E9D">
      <w:r>
        <w:t xml:space="preserve">The VIRWG agreed on 13 final recommendations. </w:t>
      </w:r>
      <w:r w:rsidR="00F72E9D" w:rsidRPr="00921002">
        <w:t xml:space="preserve">Only those recommendations that were supported by all </w:t>
      </w:r>
      <w:r w:rsidR="00D54DE0">
        <w:t>VIR members</w:t>
      </w:r>
      <w:r w:rsidR="00F72E9D" w:rsidRPr="00921002">
        <w:t xml:space="preserve"> </w:t>
      </w:r>
      <w:r w:rsidR="006206F7">
        <w:t>following the consultation process</w:t>
      </w:r>
      <w:r w:rsidR="006206F7" w:rsidRPr="00921002">
        <w:t xml:space="preserve"> </w:t>
      </w:r>
      <w:r w:rsidR="00F72E9D" w:rsidRPr="00921002">
        <w:t xml:space="preserve">were </w:t>
      </w:r>
      <w:r w:rsidR="00AC17CC">
        <w:t>progressed</w:t>
      </w:r>
      <w:r w:rsidR="00F72E9D" w:rsidRPr="00921002">
        <w:t xml:space="preserve"> as final recommendations</w:t>
      </w:r>
      <w:r w:rsidR="00F72E9D">
        <w:t xml:space="preserve"> (see </w:t>
      </w:r>
      <w:hyperlink w:anchor="_Consultation_and_feedback" w:history="1">
        <w:r w:rsidR="00F72E9D" w:rsidRPr="00F72E9D">
          <w:rPr>
            <w:rStyle w:val="Hyperlink"/>
          </w:rPr>
          <w:t>Consultation and feedback review process</w:t>
        </w:r>
      </w:hyperlink>
      <w:r w:rsidR="00F72E9D">
        <w:t>)</w:t>
      </w:r>
      <w:r w:rsidR="00F72E9D" w:rsidRPr="00921002">
        <w:t>.</w:t>
      </w:r>
    </w:p>
    <w:p w14:paraId="1149B023" w14:textId="2DA71A0F" w:rsidR="00F72E9D" w:rsidRDefault="00EC114F" w:rsidP="00F72E9D">
      <w:r>
        <w:t xml:space="preserve">The VIRWG did not reach consensus on </w:t>
      </w:r>
      <w:r w:rsidR="00D54147">
        <w:t xml:space="preserve">recommendations to address a </w:t>
      </w:r>
      <w:r w:rsidR="00F72E9D" w:rsidRPr="00921002">
        <w:t>small number of</w:t>
      </w:r>
      <w:r w:rsidR="00D54147">
        <w:t xml:space="preserve"> outstanding issues</w:t>
      </w:r>
      <w:r w:rsidR="00D54147" w:rsidRPr="00921002">
        <w:t xml:space="preserve"> (</w:t>
      </w:r>
      <w:r w:rsidR="00F72E9D">
        <w:t>see</w:t>
      </w:r>
      <w:r w:rsidR="00D54147">
        <w:t xml:space="preserve"> Outstanding Issues) and recommended that these undergo further consideration by the MRAC.</w:t>
      </w:r>
    </w:p>
    <w:p w14:paraId="00CA7CF5" w14:textId="06CCD5B8" w:rsidR="006E3319" w:rsidRPr="00921002" w:rsidRDefault="006E3319" w:rsidP="00F72E9D">
      <w:r>
        <w:t>The</w:t>
      </w:r>
      <w:r w:rsidR="00045511">
        <w:t xml:space="preserve"> MRAC considered the findings and endorsed the recommendations</w:t>
      </w:r>
      <w:r w:rsidR="00D54147">
        <w:t xml:space="preserve"> contained in this report, at</w:t>
      </w:r>
      <w:r w:rsidR="00045511">
        <w:t xml:space="preserve"> its 18</w:t>
      </w:r>
      <w:r w:rsidR="00045511" w:rsidRPr="00057368">
        <w:t>th</w:t>
      </w:r>
      <w:r w:rsidR="00045511">
        <w:t xml:space="preserve"> meeting on 3 March 2026.</w:t>
      </w:r>
      <w:r w:rsidR="00045511" w:rsidDel="00045511">
        <w:t xml:space="preserve"> </w:t>
      </w:r>
    </w:p>
    <w:p w14:paraId="30FD5CB7" w14:textId="2B651F9B" w:rsidR="00BA2ED5" w:rsidRPr="00921002" w:rsidRDefault="00936305" w:rsidP="00057368">
      <w:pPr>
        <w:pStyle w:val="Heading2"/>
      </w:pPr>
      <w:bookmarkStart w:id="74" w:name="_Toc227143242"/>
      <w:bookmarkStart w:id="75" w:name="_Toc227143299"/>
      <w:r>
        <w:t>Final</w:t>
      </w:r>
      <w:r w:rsidR="00BA2ED5">
        <w:t xml:space="preserve"> recommendations</w:t>
      </w:r>
      <w:bookmarkEnd w:id="74"/>
      <w:bookmarkEnd w:id="75"/>
    </w:p>
    <w:p w14:paraId="571D691C" w14:textId="7C0D86F8" w:rsidR="00B74EFE" w:rsidRDefault="00B74EFE" w:rsidP="00D659F1">
      <w:pPr>
        <w:pStyle w:val="Heading3"/>
      </w:pPr>
      <w:bookmarkStart w:id="76" w:name="_Toc227143243"/>
      <w:bookmarkStart w:id="77" w:name="_Toc227143300"/>
      <w:r>
        <w:t>D</w:t>
      </w:r>
      <w:r w:rsidRPr="000E5204">
        <w:t>iagnostic-only angiography services</w:t>
      </w:r>
      <w:bookmarkEnd w:id="76"/>
      <w:bookmarkEnd w:id="77"/>
    </w:p>
    <w:p w14:paraId="0B7EC926" w14:textId="312B144A" w:rsidR="00F36B22" w:rsidRPr="00F8786C" w:rsidRDefault="007E4760" w:rsidP="00F8786C">
      <w:r w:rsidRPr="00F8786C">
        <w:t xml:space="preserve">Currently, the angiography subgroup in </w:t>
      </w:r>
      <w:r w:rsidR="00AC17CC" w:rsidRPr="00F8786C">
        <w:t>MBS ‘</w:t>
      </w:r>
      <w:r w:rsidRPr="00F8786C">
        <w:t xml:space="preserve">Category 5 </w:t>
      </w:r>
      <w:r w:rsidR="00AC17CC" w:rsidRPr="00F8786C">
        <w:t>–</w:t>
      </w:r>
      <w:r w:rsidRPr="00F8786C">
        <w:t xml:space="preserve"> Diagnostic Imaging Services</w:t>
      </w:r>
      <w:r w:rsidR="00AC17CC" w:rsidRPr="00F8786C">
        <w:t>’</w:t>
      </w:r>
      <w:r w:rsidRPr="00F8786C">
        <w:t xml:space="preserve"> contains 28</w:t>
      </w:r>
      <w:r w:rsidR="00035E56" w:rsidRPr="00F8786C">
        <w:t> </w:t>
      </w:r>
      <w:r w:rsidRPr="00F8786C">
        <w:t>items. Most of the items are categorised by</w:t>
      </w:r>
      <w:r w:rsidR="00F36B22" w:rsidRPr="00F8786C">
        <w:t>:</w:t>
      </w:r>
    </w:p>
    <w:p w14:paraId="412FE5F1" w14:textId="5CB63A44" w:rsidR="00F36B22" w:rsidRPr="00832017" w:rsidRDefault="007E4760" w:rsidP="00832017">
      <w:pPr>
        <w:pStyle w:val="ListBullet"/>
      </w:pPr>
      <w:r w:rsidRPr="00832017">
        <w:t xml:space="preserve">location (head and neck, thorax, abdomen, upper limb[s], lower limb[s], aorta and lower limb[s]) </w:t>
      </w:r>
    </w:p>
    <w:p w14:paraId="613A2E4F" w14:textId="55E6254F" w:rsidR="00F36B22" w:rsidRPr="00832017" w:rsidRDefault="007E4760" w:rsidP="00832017">
      <w:pPr>
        <w:pStyle w:val="ListBullet"/>
      </w:pPr>
      <w:r w:rsidRPr="00832017">
        <w:t xml:space="preserve">the number of acquisition runs required (1–3, 4–6, 7–9 and 10 or more). </w:t>
      </w:r>
    </w:p>
    <w:p w14:paraId="73A7FDC6" w14:textId="682EA9EF" w:rsidR="007500B3" w:rsidRPr="000E5204" w:rsidDel="00A72A06" w:rsidRDefault="007500B3" w:rsidP="00F36B22">
      <w:r w:rsidRPr="000E5204" w:rsidDel="00A72A06">
        <w:t>MBS data showed that most diagnostic angiography services fell within 1–3 services and 10 or more services.</w:t>
      </w:r>
    </w:p>
    <w:p w14:paraId="09FFC253" w14:textId="106C8C01" w:rsidR="00A72A06" w:rsidRPr="00F8786C" w:rsidRDefault="007E4760" w:rsidP="00F8786C">
      <w:r w:rsidRPr="00F8786C">
        <w:t>The VIRWG propose</w:t>
      </w:r>
      <w:r w:rsidR="00F36B22" w:rsidRPr="00F8786C">
        <w:t>d</w:t>
      </w:r>
      <w:r w:rsidRPr="00F8786C">
        <w:t xml:space="preserve"> reducing the current set of items to </w:t>
      </w:r>
      <w:r w:rsidR="00A72A06" w:rsidRPr="00F8786C">
        <w:t>2 </w:t>
      </w:r>
      <w:r w:rsidRPr="00F8786C">
        <w:t>new items that are not location specific</w:t>
      </w:r>
      <w:r w:rsidR="001F36BA" w:rsidRPr="00F8786C">
        <w:t xml:space="preserve"> and only based on the number of acquisition runs</w:t>
      </w:r>
      <w:r w:rsidRPr="00F8786C">
        <w:t>:</w:t>
      </w:r>
    </w:p>
    <w:p w14:paraId="0DF9099D" w14:textId="2F43C07B" w:rsidR="00AC17CC" w:rsidRPr="00832017" w:rsidRDefault="007E4760" w:rsidP="00832017">
      <w:pPr>
        <w:pStyle w:val="ListBullet"/>
      </w:pPr>
      <w:r w:rsidRPr="00832017">
        <w:t>simple (based on a weighted average of the existing MBS items for lower acquisition runs)</w:t>
      </w:r>
    </w:p>
    <w:p w14:paraId="253CB325" w14:textId="78B5CA27" w:rsidR="00A72A06" w:rsidRDefault="00A72A06" w:rsidP="005F6FC7">
      <w:pPr>
        <w:pStyle w:val="NormalIndent0"/>
        <w:spacing w:after="120"/>
      </w:pPr>
      <w:r w:rsidRPr="000E5204">
        <w:t>and</w:t>
      </w:r>
    </w:p>
    <w:p w14:paraId="4D7EDE86" w14:textId="77777777" w:rsidR="00A72A06" w:rsidRPr="00832017" w:rsidRDefault="007E4760" w:rsidP="00832017">
      <w:pPr>
        <w:pStyle w:val="ListBullet"/>
      </w:pPr>
      <w:r w:rsidRPr="00832017">
        <w:t xml:space="preserve">complex (for 10 or more runs). </w:t>
      </w:r>
    </w:p>
    <w:p w14:paraId="7AA7151E" w14:textId="390D674B" w:rsidR="007E4760" w:rsidRPr="008D5443" w:rsidRDefault="007E4760" w:rsidP="00282AD0">
      <w:pPr>
        <w:rPr>
          <w:rStyle w:val="Emphasis"/>
          <w:i w:val="0"/>
          <w:iCs w:val="0"/>
        </w:rPr>
      </w:pPr>
      <w:r w:rsidRPr="000E5204">
        <w:t>Under the proposed changes, overall MBS expenditure on vascular diagnostic services would be better targeted.</w:t>
      </w:r>
      <w:r w:rsidR="001A7075">
        <w:rPr>
          <w:rStyle w:val="FootnoteReference"/>
        </w:rPr>
        <w:footnoteReference w:id="2"/>
      </w:r>
      <w:r w:rsidRPr="000E5204">
        <w:t xml:space="preserve"> </w:t>
      </w:r>
      <w:r w:rsidRPr="008D5443">
        <w:rPr>
          <w:rStyle w:val="Emphasis"/>
          <w:i w:val="0"/>
          <w:iCs w:val="0"/>
        </w:rPr>
        <w:t xml:space="preserve">It is expected that the new structure would retain </w:t>
      </w:r>
      <w:hyperlink r:id="rId13" w:history="1">
        <w:r w:rsidRPr="00C00549">
          <w:rPr>
            <w:rStyle w:val="Hyperlink"/>
          </w:rPr>
          <w:t>MBS item</w:t>
        </w:r>
        <w:r w:rsidR="00C00549" w:rsidRPr="00C00549">
          <w:rPr>
            <w:rStyle w:val="Hyperlink"/>
          </w:rPr>
          <w:t> </w:t>
        </w:r>
        <w:r w:rsidRPr="00C00549">
          <w:rPr>
            <w:rStyle w:val="Hyperlink"/>
          </w:rPr>
          <w:t>59970</w:t>
        </w:r>
      </w:hyperlink>
      <w:r w:rsidR="00F8312F">
        <w:rPr>
          <w:rStyle w:val="Emphasis"/>
          <w:i w:val="0"/>
          <w:iCs w:val="0"/>
        </w:rPr>
        <w:t>:</w:t>
      </w:r>
      <w:r w:rsidRPr="008D5443">
        <w:rPr>
          <w:rStyle w:val="Emphasis"/>
          <w:i w:val="0"/>
          <w:iCs w:val="0"/>
        </w:rPr>
        <w:t xml:space="preserve"> angiography or </w:t>
      </w:r>
      <w:r w:rsidR="00AD481A">
        <w:rPr>
          <w:rStyle w:val="Emphasis"/>
          <w:i w:val="0"/>
          <w:iCs w:val="0"/>
        </w:rPr>
        <w:t>DSA</w:t>
      </w:r>
      <w:r w:rsidRPr="008D5443">
        <w:rPr>
          <w:rStyle w:val="Emphasis"/>
          <w:i w:val="0"/>
          <w:iCs w:val="0"/>
        </w:rPr>
        <w:t>, or both, with fluoroscopy and image acquisition, using a mobile image intensifier.</w:t>
      </w:r>
    </w:p>
    <w:p w14:paraId="27FCD4B0" w14:textId="5FF9DCA3" w:rsidR="00175A52" w:rsidRDefault="007E4760" w:rsidP="00175A52">
      <w:r w:rsidRPr="000E5204">
        <w:t xml:space="preserve">The VIRWG also recognised the need for </w:t>
      </w:r>
      <w:r w:rsidR="00CD610F">
        <w:t xml:space="preserve">supporting </w:t>
      </w:r>
      <w:r w:rsidRPr="000E5204">
        <w:t>diagnostic imagi</w:t>
      </w:r>
      <w:r w:rsidR="00057368">
        <w:t>n</w:t>
      </w:r>
      <w:r w:rsidRPr="000E5204">
        <w:t xml:space="preserve">g </w:t>
      </w:r>
      <w:r w:rsidR="00CD610F">
        <w:t xml:space="preserve">for </w:t>
      </w:r>
      <w:r w:rsidRPr="000E5204">
        <w:t xml:space="preserve">procedural services other than vascular procedures. It </w:t>
      </w:r>
      <w:r w:rsidR="00494F02">
        <w:t>acknowledge</w:t>
      </w:r>
      <w:r w:rsidRPr="000E5204">
        <w:t xml:space="preserve">d that the proposal to introduce a new set of angiography items that include only 2 general items means that diagnostic angiography items that are specific to locations in the body will no longer be available for use in conjunction with non-vascular procedures. </w:t>
      </w:r>
      <w:r w:rsidR="00994907">
        <w:t>A</w:t>
      </w:r>
      <w:r w:rsidRPr="000E5204">
        <w:t xml:space="preserve"> solution for this was beyond the scope of the VIRWG, </w:t>
      </w:r>
      <w:r w:rsidR="00A44FB2">
        <w:t xml:space="preserve">so </w:t>
      </w:r>
      <w:r w:rsidR="001449F5">
        <w:t>members</w:t>
      </w:r>
      <w:r w:rsidR="001449F5" w:rsidRPr="000E5204">
        <w:t xml:space="preserve"> </w:t>
      </w:r>
      <w:r>
        <w:t>recommend</w:t>
      </w:r>
      <w:r w:rsidR="00CD610F">
        <w:t>ed that</w:t>
      </w:r>
      <w:r w:rsidRPr="000E5204">
        <w:t xml:space="preserve"> the </w:t>
      </w:r>
      <w:r w:rsidR="001E05F7">
        <w:t>d</w:t>
      </w:r>
      <w:r w:rsidRPr="000E5204">
        <w:t>epartment determine</w:t>
      </w:r>
      <w:r>
        <w:t>s</w:t>
      </w:r>
      <w:r w:rsidRPr="000E5204">
        <w:t xml:space="preserve"> the extent to which the diagnostic angiography items are used by medical practitioners who do not provide vascular services</w:t>
      </w:r>
      <w:r>
        <w:t>,</w:t>
      </w:r>
      <w:r w:rsidRPr="000E5204">
        <w:t xml:space="preserve"> and to take necessary steps to address any shortfalls in access to diagnostic services. </w:t>
      </w:r>
    </w:p>
    <w:p w14:paraId="17877724" w14:textId="0CE0D29F" w:rsidR="00175A52" w:rsidRPr="000E5204" w:rsidRDefault="00175A52" w:rsidP="00175A52">
      <w:pPr>
        <w:pStyle w:val="BoxTitle"/>
      </w:pPr>
      <w:r w:rsidRPr="000E5204">
        <w:t>Recommendation 1</w:t>
      </w:r>
    </w:p>
    <w:p w14:paraId="42F24E62" w14:textId="12748FFE" w:rsidR="00175A52" w:rsidRPr="000E5204" w:rsidRDefault="00175A52" w:rsidP="00A31B19">
      <w:pPr>
        <w:pStyle w:val="BoxText"/>
      </w:pPr>
      <w:r w:rsidRPr="000E5204">
        <w:t xml:space="preserve">Simplify and modernise diagnostic-only angiography services </w:t>
      </w:r>
      <w:r w:rsidR="00193E37">
        <w:t>by</w:t>
      </w:r>
      <w:r w:rsidR="00193E37" w:rsidRPr="000E5204">
        <w:t xml:space="preserve"> </w:t>
      </w:r>
      <w:r w:rsidRPr="000E5204">
        <w:t>reduc</w:t>
      </w:r>
      <w:r w:rsidR="00193E37">
        <w:t>ing</w:t>
      </w:r>
      <w:r w:rsidRPr="000E5204">
        <w:t xml:space="preserve"> the current set of items for diagnostic angiography to </w:t>
      </w:r>
      <w:r w:rsidR="00EE0159">
        <w:t>2 </w:t>
      </w:r>
      <w:r w:rsidRPr="000E5204">
        <w:t>items</w:t>
      </w:r>
      <w:r w:rsidR="009A2FBC">
        <w:t>.</w:t>
      </w:r>
      <w:r w:rsidRPr="000E5204">
        <w:t xml:space="preserve"> </w:t>
      </w:r>
      <w:r w:rsidR="009A2FBC">
        <w:t>E</w:t>
      </w:r>
      <w:r w:rsidRPr="000E5204">
        <w:t xml:space="preserve">nsure that procedures </w:t>
      </w:r>
      <w:r w:rsidR="00EC05DB">
        <w:t>sitting</w:t>
      </w:r>
      <w:r w:rsidRPr="000E5204">
        <w:t xml:space="preserve"> outside of the vascular/</w:t>
      </w:r>
      <w:r w:rsidR="00057368">
        <w:t>interventional radiology</w:t>
      </w:r>
      <w:r w:rsidRPr="000E5204">
        <w:t>/</w:t>
      </w:r>
      <w:r w:rsidR="00057368">
        <w:t>interventional neuroradiology</w:t>
      </w:r>
      <w:r w:rsidRPr="000E5204">
        <w:t xml:space="preserve"> section of the MBS do not lose access to angiography and fluoroscopy services that are clinically necessary.</w:t>
      </w:r>
    </w:p>
    <w:p w14:paraId="2FEFE536" w14:textId="3D4B4AA9" w:rsidR="00B74EFE" w:rsidRDefault="00B74EFE" w:rsidP="00D659F1">
      <w:pPr>
        <w:pStyle w:val="Heading3"/>
      </w:pPr>
      <w:bookmarkStart w:id="78" w:name="_Angiography_and_fluoroscopy"/>
      <w:bookmarkStart w:id="79" w:name="_Toc227143244"/>
      <w:bookmarkStart w:id="80" w:name="_Toc227143301"/>
      <w:bookmarkEnd w:id="78"/>
      <w:r>
        <w:t>A</w:t>
      </w:r>
      <w:r w:rsidRPr="008B445A">
        <w:t xml:space="preserve">ngiography and fluoroscopy </w:t>
      </w:r>
      <w:r>
        <w:t>in</w:t>
      </w:r>
      <w:r w:rsidRPr="008B445A">
        <w:t xml:space="preserve"> vascular procedures</w:t>
      </w:r>
      <w:bookmarkEnd w:id="79"/>
      <w:bookmarkEnd w:id="80"/>
      <w:r w:rsidRPr="008B445A">
        <w:t xml:space="preserve"> </w:t>
      </w:r>
    </w:p>
    <w:p w14:paraId="2B4C3D21" w14:textId="20BEB848" w:rsidR="007E4760" w:rsidRPr="00F8786C" w:rsidRDefault="00A60519" w:rsidP="00F8786C">
      <w:r w:rsidRPr="00F8786C">
        <w:t xml:space="preserve">The VIRWG proposed that, </w:t>
      </w:r>
      <w:r w:rsidR="000E7C26" w:rsidRPr="00F8786C">
        <w:t xml:space="preserve">for </w:t>
      </w:r>
      <w:r w:rsidR="009137A2" w:rsidRPr="00F8786C">
        <w:t>vascular procedural service</w:t>
      </w:r>
      <w:r w:rsidR="000E7C26" w:rsidRPr="00F8786C">
        <w:t>s</w:t>
      </w:r>
      <w:r w:rsidR="009137A2" w:rsidRPr="00F8786C">
        <w:t xml:space="preserve"> </w:t>
      </w:r>
      <w:r w:rsidR="000E7C26" w:rsidRPr="00F8786C">
        <w:t>for which</w:t>
      </w:r>
      <w:r w:rsidRPr="00F8786C">
        <w:t xml:space="preserve"> angiography and fluoroscopy are integral, the diagnostic and procedural elements </w:t>
      </w:r>
      <w:r w:rsidRPr="00F8786C" w:rsidDel="00EE0159">
        <w:t xml:space="preserve">should </w:t>
      </w:r>
      <w:r w:rsidRPr="00F8786C">
        <w:t>be bundled</w:t>
      </w:r>
      <w:r w:rsidR="00882EE1" w:rsidRPr="00F8786C">
        <w:t>. The</w:t>
      </w:r>
      <w:r w:rsidRPr="00F8786C">
        <w:t xml:space="preserve"> MBS fee </w:t>
      </w:r>
      <w:r w:rsidR="00882EE1" w:rsidRPr="00F8786C">
        <w:t xml:space="preserve">should also be </w:t>
      </w:r>
      <w:r w:rsidRPr="00F8786C">
        <w:t xml:space="preserve">increased to reflect the combined nature of the service. </w:t>
      </w:r>
      <w:r w:rsidR="0081380E" w:rsidRPr="00F8786C">
        <w:t>T</w:t>
      </w:r>
      <w:r w:rsidRPr="00F8786C">
        <w:t>he fee for the bundled service would be a combination of</w:t>
      </w:r>
      <w:r w:rsidR="009D59D7" w:rsidRPr="00F8786C">
        <w:t xml:space="preserve"> the</w:t>
      </w:r>
      <w:r w:rsidR="007E4760" w:rsidRPr="00F8786C">
        <w:t>:</w:t>
      </w:r>
      <w:r w:rsidR="001A7075" w:rsidRPr="00F8786C">
        <w:footnoteReference w:id="3"/>
      </w:r>
    </w:p>
    <w:p w14:paraId="08E535D4" w14:textId="7CDFAA03" w:rsidR="009D59D7" w:rsidRPr="00832017" w:rsidRDefault="007E4760" w:rsidP="00832017">
      <w:pPr>
        <w:pStyle w:val="ListBullet"/>
      </w:pPr>
      <w:r w:rsidRPr="00832017">
        <w:t>current MBS fee</w:t>
      </w:r>
      <w:r w:rsidR="009D59D7" w:rsidRPr="00832017">
        <w:t xml:space="preserve"> for the procedure</w:t>
      </w:r>
      <w:r w:rsidRPr="00832017">
        <w:t xml:space="preserve"> (or the proposed procedural fee of</w:t>
      </w:r>
      <w:r w:rsidR="00657980" w:rsidRPr="00832017">
        <w:t xml:space="preserve"> </w:t>
      </w:r>
      <w:r w:rsidRPr="00832017">
        <w:t>a new service)</w:t>
      </w:r>
    </w:p>
    <w:p w14:paraId="26D1E1CC" w14:textId="68BF2B18" w:rsidR="007E4760" w:rsidRPr="00832017" w:rsidRDefault="007E4760" w:rsidP="00832017">
      <w:r w:rsidRPr="00832017">
        <w:t>and</w:t>
      </w:r>
    </w:p>
    <w:p w14:paraId="06ABC0C4" w14:textId="2B8A1D2B" w:rsidR="0087680D" w:rsidRPr="00832017" w:rsidRDefault="007E4760" w:rsidP="00832017">
      <w:pPr>
        <w:pStyle w:val="ListBullet"/>
      </w:pPr>
      <w:r w:rsidRPr="00832017">
        <w:t xml:space="preserve">MBS fee for the proposed simple or complex diagnostic angiography item. </w:t>
      </w:r>
    </w:p>
    <w:p w14:paraId="3C1951A0" w14:textId="77777777" w:rsidR="00175A52" w:rsidRPr="008B445A" w:rsidRDefault="00175A52" w:rsidP="00175A52">
      <w:pPr>
        <w:pStyle w:val="BoxTitle"/>
      </w:pPr>
      <w:r w:rsidRPr="008B445A">
        <w:t>Recommendation 2</w:t>
      </w:r>
    </w:p>
    <w:p w14:paraId="325D4D1B" w14:textId="6C8DB9A2" w:rsidR="00175A52" w:rsidRDefault="00175A52" w:rsidP="00A31B19">
      <w:pPr>
        <w:pStyle w:val="BoxText"/>
      </w:pPr>
      <w:r w:rsidRPr="008B445A">
        <w:t>Whe</w:t>
      </w:r>
      <w:r w:rsidR="00A44A15">
        <w:t>n</w:t>
      </w:r>
      <w:r w:rsidRPr="008B445A">
        <w:t xml:space="preserve"> possible, </w:t>
      </w:r>
      <w:r>
        <w:t xml:space="preserve">include </w:t>
      </w:r>
      <w:r w:rsidRPr="008B445A">
        <w:t xml:space="preserve">angiography and fluoroscopy </w:t>
      </w:r>
      <w:r>
        <w:t>in</w:t>
      </w:r>
      <w:r w:rsidRPr="008B445A">
        <w:t xml:space="preserve"> vascular procedures.</w:t>
      </w:r>
    </w:p>
    <w:p w14:paraId="36BD3B19" w14:textId="141772D7" w:rsidR="007E4760" w:rsidRPr="00B74EFE" w:rsidRDefault="00B74EFE" w:rsidP="00D659F1">
      <w:pPr>
        <w:pStyle w:val="Heading3"/>
      </w:pPr>
      <w:bookmarkStart w:id="81" w:name="_Toc227143245"/>
      <w:bookmarkStart w:id="82" w:name="_Toc227143302"/>
      <w:r w:rsidRPr="00B74EFE">
        <w:t>Aftercare in procedural items</w:t>
      </w:r>
      <w:bookmarkEnd w:id="81"/>
      <w:bookmarkEnd w:id="82"/>
    </w:p>
    <w:p w14:paraId="758827CA" w14:textId="7B165CF1" w:rsidR="00574021" w:rsidRPr="00832017" w:rsidRDefault="00574021" w:rsidP="00832017">
      <w:r w:rsidRPr="00832017">
        <w:t xml:space="preserve">In the Medicare context, ‘aftercare’ refers to medical treatment that is provided to a patient after a procedure but </w:t>
      </w:r>
      <w:r w:rsidR="009D59D7" w:rsidRPr="00832017">
        <w:t xml:space="preserve">that </w:t>
      </w:r>
      <w:r w:rsidRPr="00832017">
        <w:t xml:space="preserve">is still part of the overall MBS cost of that procedure. For most specialities, it is generally accepted that the provider undertaking the initial procedure is the primary care provider for the patient’s hospital stay. The primary care provider is restricted from claiming MBS services during the aftercare period relevant to the procedure provided to the patient. </w:t>
      </w:r>
    </w:p>
    <w:p w14:paraId="036B5910" w14:textId="2B3C88F1" w:rsidR="00574021" w:rsidRDefault="00574021" w:rsidP="00574021">
      <w:pPr>
        <w:rPr>
          <w:rFonts w:cs="Arial"/>
        </w:rPr>
      </w:pPr>
      <w:r w:rsidRPr="001F0DA9">
        <w:rPr>
          <w:rFonts w:cs="Arial"/>
        </w:rPr>
        <w:t xml:space="preserve">The </w:t>
      </w:r>
      <w:r>
        <w:rPr>
          <w:rFonts w:cs="Arial"/>
        </w:rPr>
        <w:t xml:space="preserve">VIRWG noted that there are circumstances </w:t>
      </w:r>
      <w:r w:rsidR="00D419B6">
        <w:rPr>
          <w:rFonts w:cs="Arial"/>
        </w:rPr>
        <w:t xml:space="preserve">in which </w:t>
      </w:r>
      <w:r>
        <w:rPr>
          <w:rFonts w:cs="Arial"/>
        </w:rPr>
        <w:t xml:space="preserve">the responsibility for aftercare may be shared by multiple practitioners. </w:t>
      </w:r>
      <w:r w:rsidR="00C17549">
        <w:rPr>
          <w:rFonts w:cs="Arial"/>
        </w:rPr>
        <w:t>It considered that</w:t>
      </w:r>
      <w:r>
        <w:rPr>
          <w:rFonts w:cs="Arial"/>
        </w:rPr>
        <w:t xml:space="preserve"> removing </w:t>
      </w:r>
      <w:r w:rsidRPr="001F0DA9">
        <w:rPr>
          <w:rFonts w:cs="Arial"/>
        </w:rPr>
        <w:t xml:space="preserve">restrictions on MBS billing for aftercare for </w:t>
      </w:r>
      <w:r w:rsidR="00AD7EAA">
        <w:rPr>
          <w:rFonts w:cs="Arial"/>
        </w:rPr>
        <w:t xml:space="preserve">the </w:t>
      </w:r>
      <w:r w:rsidRPr="001F0DA9">
        <w:rPr>
          <w:rFonts w:cs="Arial"/>
        </w:rPr>
        <w:t xml:space="preserve">subsequent days </w:t>
      </w:r>
      <w:r w:rsidRPr="00DC73AA">
        <w:rPr>
          <w:rStyle w:val="Strong"/>
        </w:rPr>
        <w:t>after</w:t>
      </w:r>
      <w:r w:rsidRPr="001F0DA9">
        <w:rPr>
          <w:rFonts w:cs="Arial"/>
        </w:rPr>
        <w:t xml:space="preserve"> the day of a procedure</w:t>
      </w:r>
      <w:r>
        <w:rPr>
          <w:rFonts w:cs="Arial"/>
        </w:rPr>
        <w:t xml:space="preserve"> would promote more targeted and effective post-procedural care</w:t>
      </w:r>
      <w:r w:rsidRPr="001F0DA9">
        <w:rPr>
          <w:rFonts w:cs="Arial"/>
        </w:rPr>
        <w:t>.</w:t>
      </w:r>
      <w:r w:rsidR="00DC73AA">
        <w:rPr>
          <w:rStyle w:val="FootnoteReference"/>
          <w:rFonts w:cs="Arial"/>
        </w:rPr>
        <w:footnoteReference w:id="4"/>
      </w:r>
      <w:r>
        <w:rPr>
          <w:rFonts w:cs="Arial"/>
        </w:rPr>
        <w:t xml:space="preserve"> </w:t>
      </w:r>
    </w:p>
    <w:p w14:paraId="4FF9E857" w14:textId="77777777" w:rsidR="00175A52" w:rsidRPr="00271E62" w:rsidRDefault="00175A52" w:rsidP="00175A52">
      <w:pPr>
        <w:pStyle w:val="BoxTitle"/>
      </w:pPr>
      <w:r w:rsidRPr="008B445A">
        <w:t>Recommendation 3</w:t>
      </w:r>
    </w:p>
    <w:p w14:paraId="4153418C" w14:textId="01D90F60" w:rsidR="00175A52" w:rsidRDefault="00175A52" w:rsidP="00A31B19">
      <w:pPr>
        <w:pStyle w:val="BoxText"/>
      </w:pPr>
      <w:r w:rsidRPr="008B445A">
        <w:t xml:space="preserve">Remove the </w:t>
      </w:r>
      <w:r>
        <w:t>inclusion of aftercare in</w:t>
      </w:r>
      <w:r w:rsidRPr="008B445A">
        <w:t xml:space="preserve"> </w:t>
      </w:r>
      <w:r w:rsidR="00B1108D">
        <w:t xml:space="preserve">MBS </w:t>
      </w:r>
      <w:r>
        <w:t>items</w:t>
      </w:r>
      <w:r w:rsidR="00057368">
        <w:t xml:space="preserve"> for </w:t>
      </w:r>
      <w:r w:rsidR="00057368" w:rsidRPr="00057368">
        <w:t>vascular, interventional radiology and interventional neuroradiology procedures</w:t>
      </w:r>
      <w:r w:rsidRPr="008B445A">
        <w:t>.</w:t>
      </w:r>
    </w:p>
    <w:p w14:paraId="5F65FEB7" w14:textId="77777777" w:rsidR="00B74EFE" w:rsidRDefault="00B74EFE" w:rsidP="00D659F1">
      <w:pPr>
        <w:pStyle w:val="Heading3"/>
      </w:pPr>
      <w:bookmarkStart w:id="83" w:name="_Toc227143246"/>
      <w:bookmarkStart w:id="84" w:name="_Toc227143303"/>
      <w:r w:rsidRPr="004C6393">
        <w:t>Invasive diagnostic services</w:t>
      </w:r>
      <w:bookmarkEnd w:id="83"/>
      <w:bookmarkEnd w:id="84"/>
      <w:r w:rsidRPr="004C6393">
        <w:t xml:space="preserve"> </w:t>
      </w:r>
    </w:p>
    <w:p w14:paraId="7FE724A2" w14:textId="64209896" w:rsidR="00827D30" w:rsidRPr="004842B3" w:rsidRDefault="00827D30" w:rsidP="00827D30">
      <w:r w:rsidRPr="71F36931">
        <w:t>The intention to treat a patient must be the underlying principle guiding the use of invasive diagnostic imaging. The VIRWG acknowledge</w:t>
      </w:r>
      <w:r>
        <w:t>d</w:t>
      </w:r>
      <w:r w:rsidRPr="71F36931">
        <w:t xml:space="preserve"> that diagnostic investigation alone may sometimes be clinically necessary</w:t>
      </w:r>
      <w:r w:rsidR="00D82ED9">
        <w:t>,</w:t>
      </w:r>
      <w:r w:rsidRPr="71F36931">
        <w:t xml:space="preserve"> but </w:t>
      </w:r>
      <w:r w:rsidR="00B72DE1">
        <w:t xml:space="preserve">it </w:t>
      </w:r>
      <w:r w:rsidRPr="71F36931">
        <w:t xml:space="preserve">rejected the use of invasive diagnostic imaging for investigative purposes </w:t>
      </w:r>
      <w:r w:rsidR="00460576">
        <w:t>that w</w:t>
      </w:r>
      <w:r w:rsidR="00BA7E6F">
        <w:t>ere</w:t>
      </w:r>
      <w:r w:rsidR="00460576">
        <w:t xml:space="preserve"> not a part of</w:t>
      </w:r>
      <w:r w:rsidRPr="71F36931">
        <w:t xml:space="preserve"> any intention or expectation to provide a procedural treatment to the patient.</w:t>
      </w:r>
    </w:p>
    <w:p w14:paraId="4BB31F90" w14:textId="77777777" w:rsidR="00175A52" w:rsidRPr="008B445A" w:rsidRDefault="00175A52" w:rsidP="00175A52">
      <w:pPr>
        <w:pStyle w:val="BoxTitle"/>
      </w:pPr>
      <w:r w:rsidRPr="008B445A">
        <w:t>Recommendation 4</w:t>
      </w:r>
    </w:p>
    <w:p w14:paraId="31CEB101" w14:textId="481BF5FF" w:rsidR="00175A52" w:rsidRPr="00A31B19" w:rsidRDefault="00057368" w:rsidP="00A31B19">
      <w:pPr>
        <w:pStyle w:val="BoxText"/>
      </w:pPr>
      <w:r w:rsidRPr="00057368">
        <w:t xml:space="preserve">On the same occasion and following a non-invasive diagnosis, </w:t>
      </w:r>
      <w:r>
        <w:t>i</w:t>
      </w:r>
      <w:r w:rsidR="00175A52" w:rsidRPr="004C6393">
        <w:t xml:space="preserve">nvasive diagnostic </w:t>
      </w:r>
      <w:r>
        <w:t xml:space="preserve">vascular </w:t>
      </w:r>
      <w:r w:rsidR="00175A52" w:rsidRPr="004C6393">
        <w:t xml:space="preserve">services should </w:t>
      </w:r>
      <w:r>
        <w:t>usually</w:t>
      </w:r>
      <w:r w:rsidRPr="004C6393">
        <w:t xml:space="preserve"> </w:t>
      </w:r>
      <w:r w:rsidR="00175A52" w:rsidRPr="004C6393">
        <w:t xml:space="preserve">be provided as preparation for some form of intervention, </w:t>
      </w:r>
      <w:r>
        <w:t xml:space="preserve">where and </w:t>
      </w:r>
      <w:r w:rsidR="00175A52" w:rsidRPr="004C6393">
        <w:t>whe</w:t>
      </w:r>
      <w:r w:rsidR="00A44A15">
        <w:t>n</w:t>
      </w:r>
      <w:r w:rsidR="00175A52" w:rsidRPr="004C6393">
        <w:t xml:space="preserve"> clinically appropriate</w:t>
      </w:r>
      <w:r w:rsidR="00175A52" w:rsidRPr="008B445A">
        <w:t>.</w:t>
      </w:r>
    </w:p>
    <w:p w14:paraId="2DA637CE" w14:textId="0A93282E" w:rsidR="00C41257" w:rsidRDefault="00C41257" w:rsidP="00D659F1">
      <w:pPr>
        <w:pStyle w:val="Heading3"/>
      </w:pPr>
      <w:bookmarkStart w:id="85" w:name="_Toc227143247"/>
      <w:bookmarkStart w:id="86" w:name="_Toc227143304"/>
      <w:r>
        <w:t>O</w:t>
      </w:r>
      <w:r w:rsidRPr="004A54A6">
        <w:t>pen and endovascular/hybrid approaches</w:t>
      </w:r>
      <w:bookmarkEnd w:id="85"/>
      <w:bookmarkEnd w:id="86"/>
      <w:r w:rsidRPr="008B445A">
        <w:t xml:space="preserve"> </w:t>
      </w:r>
    </w:p>
    <w:p w14:paraId="47206726" w14:textId="12075EFC" w:rsidR="00A2431B" w:rsidRPr="004A54A6" w:rsidRDefault="00A2431B" w:rsidP="00A2431B">
      <w:r w:rsidRPr="004A54A6">
        <w:t xml:space="preserve">The VIRWG </w:t>
      </w:r>
      <w:r>
        <w:t xml:space="preserve">found that, </w:t>
      </w:r>
      <w:r w:rsidRPr="004A54A6">
        <w:t xml:space="preserve">in some cases, the distinction between open and endovascular/hybrid approaches in terms of complexity and technical difficulty has been </w:t>
      </w:r>
      <w:r>
        <w:t xml:space="preserve">impacted </w:t>
      </w:r>
      <w:r w:rsidRPr="004A54A6">
        <w:t xml:space="preserve">by improvements in the technologies and clinical modalities that are used to deliver vascular services. </w:t>
      </w:r>
      <w:r>
        <w:t xml:space="preserve">The VIRWG </w:t>
      </w:r>
      <w:r w:rsidRPr="004A54A6">
        <w:t>support</w:t>
      </w:r>
      <w:r>
        <w:t>ed</w:t>
      </w:r>
      <w:r w:rsidRPr="004A54A6">
        <w:t xml:space="preserve"> the addition of endovascular/hybrid approaches to open vascular procedures whe</w:t>
      </w:r>
      <w:r w:rsidR="00A44A15">
        <w:t>n</w:t>
      </w:r>
      <w:r w:rsidR="00F12FDC">
        <w:t xml:space="preserve"> it</w:t>
      </w:r>
      <w:r w:rsidRPr="004A54A6">
        <w:t xml:space="preserve"> is clinically appropriate and supported by evidence</w:t>
      </w:r>
      <w:r w:rsidR="00460576">
        <w:t>,</w:t>
      </w:r>
      <w:r w:rsidRPr="004A54A6">
        <w:t xml:space="preserve"> and </w:t>
      </w:r>
      <w:r w:rsidR="00460576">
        <w:t xml:space="preserve">the </w:t>
      </w:r>
      <w:r w:rsidRPr="004A54A6">
        <w:t xml:space="preserve">amendment of relevant MBS items.  </w:t>
      </w:r>
    </w:p>
    <w:p w14:paraId="08F8E149" w14:textId="77777777" w:rsidR="00175A52" w:rsidRPr="008B445A" w:rsidRDefault="00175A52" w:rsidP="00175A52">
      <w:pPr>
        <w:pStyle w:val="BoxTitle"/>
      </w:pPr>
      <w:r w:rsidRPr="008B445A">
        <w:t>Recommendation 5</w:t>
      </w:r>
    </w:p>
    <w:p w14:paraId="4EE753F5" w14:textId="06E4D578" w:rsidR="00175A52" w:rsidRDefault="005F6FC7" w:rsidP="00A31B19">
      <w:pPr>
        <w:pStyle w:val="BoxText"/>
      </w:pPr>
      <w:r>
        <w:t>The approach for e</w:t>
      </w:r>
      <w:r w:rsidR="00175A52" w:rsidRPr="00593A02">
        <w:t xml:space="preserve">xisting </w:t>
      </w:r>
      <w:r w:rsidR="00175A52" w:rsidRPr="00A31B19">
        <w:t>MBS</w:t>
      </w:r>
      <w:r w:rsidR="00175A52" w:rsidRPr="00593A02">
        <w:t xml:space="preserve"> items for vascular procedures should be agnostic (</w:t>
      </w:r>
      <w:r w:rsidR="00EC711F">
        <w:t xml:space="preserve">that is, </w:t>
      </w:r>
      <w:r w:rsidR="00175A52" w:rsidRPr="00593A02">
        <w:t>open, endovascular or hybrid) where</w:t>
      </w:r>
      <w:r w:rsidR="00057368">
        <w:t xml:space="preserve"> and when</w:t>
      </w:r>
      <w:r w:rsidR="00175A52" w:rsidRPr="00593A02">
        <w:t xml:space="preserve"> it is clinically appropriate</w:t>
      </w:r>
      <w:r w:rsidR="00175A52" w:rsidRPr="008B445A">
        <w:t xml:space="preserve">. </w:t>
      </w:r>
    </w:p>
    <w:p w14:paraId="74902E9D" w14:textId="34BF131F" w:rsidR="00C41257" w:rsidRDefault="00A43DAA" w:rsidP="00E52E54">
      <w:pPr>
        <w:pStyle w:val="Heading3"/>
      </w:pPr>
      <w:bookmarkStart w:id="87" w:name="_Toc227143248"/>
      <w:bookmarkStart w:id="88" w:name="_Toc227143305"/>
      <w:r>
        <w:t>Consistency of MBS fees</w:t>
      </w:r>
      <w:bookmarkEnd w:id="87"/>
      <w:bookmarkEnd w:id="88"/>
      <w:r>
        <w:t xml:space="preserve"> </w:t>
      </w:r>
    </w:p>
    <w:p w14:paraId="1E043050" w14:textId="644AC137" w:rsidR="0053774B" w:rsidRDefault="0053774B" w:rsidP="0053774B">
      <w:r w:rsidRPr="00942A83">
        <w:t xml:space="preserve">In keeping with </w:t>
      </w:r>
      <w:r>
        <w:t>R</w:t>
      </w:r>
      <w:r w:rsidRPr="00942A83">
        <w:t xml:space="preserve">ecommendation </w:t>
      </w:r>
      <w:r>
        <w:t>5</w:t>
      </w:r>
      <w:r w:rsidRPr="00942A83">
        <w:t>, the VIRWG recommend</w:t>
      </w:r>
      <w:r>
        <w:t>ed</w:t>
      </w:r>
      <w:r w:rsidRPr="00942A83">
        <w:t xml:space="preserve"> that the MBS fees for open vascular services that have recognised endovascular/hybrid equivalents be </w:t>
      </w:r>
      <w:r w:rsidR="00E33566">
        <w:t>standardised</w:t>
      </w:r>
      <w:r w:rsidR="00E33566" w:rsidRPr="00942A83">
        <w:t xml:space="preserve"> </w:t>
      </w:r>
      <w:r w:rsidRPr="00942A83">
        <w:t xml:space="preserve">to ensure that </w:t>
      </w:r>
      <w:r w:rsidR="00E04B4D">
        <w:t xml:space="preserve">patients receiving </w:t>
      </w:r>
      <w:r w:rsidRPr="00942A83">
        <w:t xml:space="preserve">these services receive the same </w:t>
      </w:r>
      <w:r w:rsidR="00D16695">
        <w:t xml:space="preserve">Medicare </w:t>
      </w:r>
      <w:r w:rsidR="00B17A51">
        <w:t>benefits</w:t>
      </w:r>
      <w:r w:rsidR="00B17A51" w:rsidRPr="00942A83">
        <w:t xml:space="preserve"> </w:t>
      </w:r>
      <w:r w:rsidRPr="00942A83">
        <w:t xml:space="preserve">regardless of treatment modality. </w:t>
      </w:r>
      <w:r w:rsidR="000217F9">
        <w:br/>
      </w:r>
      <w:r w:rsidR="000217F9">
        <w:br/>
      </w:r>
      <w:r w:rsidRPr="00942A83">
        <w:t>The VIRWG recognise</w:t>
      </w:r>
      <w:r>
        <w:t>d</w:t>
      </w:r>
      <w:r w:rsidRPr="00942A83">
        <w:t xml:space="preserve"> that this may not be possible in every case and should only apply whe</w:t>
      </w:r>
      <w:r w:rsidR="00941139">
        <w:t>n</w:t>
      </w:r>
      <w:r w:rsidRPr="00942A83">
        <w:t xml:space="preserve"> there is evidence supporting the clinical equivalence of the open, endovascular and hybrid approaches. </w:t>
      </w:r>
    </w:p>
    <w:p w14:paraId="21BE2F9A" w14:textId="41319276" w:rsidR="0053774B" w:rsidRPr="00942A83" w:rsidRDefault="0053774B" w:rsidP="0053774B">
      <w:r w:rsidRPr="005F6FC7">
        <w:t>C</w:t>
      </w:r>
      <w:r>
        <w:t xml:space="preserve">omplexity modifiers are considered in </w:t>
      </w:r>
      <w:hyperlink w:anchor="_Complexity_modifiers" w:history="1">
        <w:r w:rsidRPr="0053774B">
          <w:rPr>
            <w:rStyle w:val="Hyperlink"/>
          </w:rPr>
          <w:t>Recommendation 8</w:t>
        </w:r>
      </w:hyperlink>
      <w:r>
        <w:t>.</w:t>
      </w:r>
    </w:p>
    <w:p w14:paraId="4688E8C7" w14:textId="77777777" w:rsidR="00175A52" w:rsidRPr="008B445A" w:rsidRDefault="00175A52" w:rsidP="00175A52">
      <w:pPr>
        <w:pStyle w:val="BoxTitle"/>
      </w:pPr>
      <w:r w:rsidRPr="008B445A">
        <w:t>Recommendation 6</w:t>
      </w:r>
    </w:p>
    <w:p w14:paraId="0D56FB07" w14:textId="15F277CE" w:rsidR="00175A52" w:rsidRDefault="00175A52" w:rsidP="00A31B19">
      <w:pPr>
        <w:pStyle w:val="BoxText"/>
      </w:pPr>
      <w:r w:rsidRPr="008B445A">
        <w:t xml:space="preserve">Ensure that the </w:t>
      </w:r>
      <w:r w:rsidRPr="00E52E54">
        <w:t xml:space="preserve">MBS fees are </w:t>
      </w:r>
      <w:r w:rsidR="00EC711F" w:rsidRPr="00E52E54">
        <w:t>consistent</w:t>
      </w:r>
      <w:r w:rsidR="00EC711F">
        <w:t xml:space="preserve"> </w:t>
      </w:r>
      <w:r w:rsidRPr="008B445A">
        <w:t xml:space="preserve">for open surgical, hybrid and endovascular treatment approaches, </w:t>
      </w:r>
      <w:r w:rsidR="002349A9" w:rsidRPr="008B445A">
        <w:t>whe</w:t>
      </w:r>
      <w:r w:rsidR="002349A9">
        <w:t>n</w:t>
      </w:r>
      <w:r w:rsidR="002349A9" w:rsidRPr="008B445A">
        <w:t xml:space="preserve"> </w:t>
      </w:r>
      <w:r w:rsidRPr="008B445A">
        <w:t xml:space="preserve">this is appropriate and reasonable. </w:t>
      </w:r>
      <w:r>
        <w:t>A c</w:t>
      </w:r>
      <w:r w:rsidRPr="008B445A">
        <w:t xml:space="preserve">omplexity modifier will be used to adjust the </w:t>
      </w:r>
      <w:r w:rsidR="00C52591">
        <w:t xml:space="preserve">MBS </w:t>
      </w:r>
      <w:r w:rsidRPr="008B445A">
        <w:t>fee for a service based on the complexity of the procedure whe</w:t>
      </w:r>
      <w:r w:rsidR="00287C60">
        <w:t>n</w:t>
      </w:r>
      <w:r w:rsidRPr="008B445A">
        <w:t xml:space="preserve"> appropriate. </w:t>
      </w:r>
    </w:p>
    <w:p w14:paraId="0098B964" w14:textId="2491F854" w:rsidR="00A43DAA" w:rsidRDefault="00703506" w:rsidP="00E52E54">
      <w:pPr>
        <w:pStyle w:val="Heading3"/>
      </w:pPr>
      <w:bookmarkStart w:id="89" w:name="_Toc227143249"/>
      <w:bookmarkStart w:id="90" w:name="_Toc227143306"/>
      <w:r>
        <w:t>Endovascular equivalents</w:t>
      </w:r>
      <w:bookmarkEnd w:id="89"/>
      <w:bookmarkEnd w:id="90"/>
    </w:p>
    <w:p w14:paraId="672542A1" w14:textId="10FEFFB8" w:rsidR="007E4760" w:rsidRPr="00942A83" w:rsidRDefault="007E4760" w:rsidP="007E4760">
      <w:r w:rsidRPr="00942A83">
        <w:t>The VIRWG note</w:t>
      </w:r>
      <w:r>
        <w:t>d</w:t>
      </w:r>
      <w:r w:rsidRPr="00942A83">
        <w:t xml:space="preserve"> that the changes proposed in </w:t>
      </w:r>
      <w:r>
        <w:t>r</w:t>
      </w:r>
      <w:r w:rsidRPr="00942A83">
        <w:t xml:space="preserve">ecommendations </w:t>
      </w:r>
      <w:r>
        <w:t>5 and 6</w:t>
      </w:r>
      <w:r w:rsidRPr="00942A83">
        <w:t xml:space="preserve"> </w:t>
      </w:r>
      <w:r>
        <w:t xml:space="preserve">would </w:t>
      </w:r>
      <w:r w:rsidRPr="00942A83">
        <w:t xml:space="preserve">only apply </w:t>
      </w:r>
      <w:r w:rsidR="00E84B80" w:rsidRPr="00942A83">
        <w:t>whe</w:t>
      </w:r>
      <w:r w:rsidR="00E84B80">
        <w:t>n</w:t>
      </w:r>
      <w:r w:rsidR="00E84B80" w:rsidRPr="00942A83">
        <w:t xml:space="preserve"> </w:t>
      </w:r>
      <w:r w:rsidRPr="00942A83">
        <w:t xml:space="preserve">there </w:t>
      </w:r>
      <w:r>
        <w:t xml:space="preserve">was </w:t>
      </w:r>
      <w:r w:rsidRPr="00942A83">
        <w:t>a recognised endovascular or hybrid equivalent to an open surgical procedure</w:t>
      </w:r>
      <w:r>
        <w:t>.</w:t>
      </w:r>
      <w:r w:rsidRPr="00942A83">
        <w:t xml:space="preserve"> </w:t>
      </w:r>
      <w:r w:rsidR="00201F81" w:rsidRPr="00942A83">
        <w:t>Whe</w:t>
      </w:r>
      <w:r w:rsidR="00201F81">
        <w:t>n</w:t>
      </w:r>
      <w:r w:rsidRPr="00942A83">
        <w:t xml:space="preserve"> this </w:t>
      </w:r>
      <w:r w:rsidR="00201F81">
        <w:t>is</w:t>
      </w:r>
      <w:r w:rsidR="00201F81" w:rsidRPr="00942A83">
        <w:t xml:space="preserve"> </w:t>
      </w:r>
      <w:r w:rsidRPr="00942A83">
        <w:t xml:space="preserve">not the case, the current MBS items for open vascular procedures </w:t>
      </w:r>
      <w:r w:rsidR="008A30AE">
        <w:t xml:space="preserve">should </w:t>
      </w:r>
      <w:r w:rsidRPr="00942A83">
        <w:t xml:space="preserve">continue to apply without change.  </w:t>
      </w:r>
    </w:p>
    <w:p w14:paraId="08563FC6" w14:textId="77777777" w:rsidR="00175A52" w:rsidRPr="008B445A" w:rsidRDefault="00175A52" w:rsidP="00175A52">
      <w:pPr>
        <w:pStyle w:val="BoxTitle"/>
      </w:pPr>
      <w:r w:rsidRPr="008B445A">
        <w:t>Recommendation 7</w:t>
      </w:r>
    </w:p>
    <w:p w14:paraId="6FD95416" w14:textId="50D6A698" w:rsidR="00175A52" w:rsidRDefault="008A30AE" w:rsidP="00A31B19">
      <w:pPr>
        <w:pStyle w:val="BoxText"/>
      </w:pPr>
      <w:r w:rsidRPr="008B445A">
        <w:t>Whe</w:t>
      </w:r>
      <w:r>
        <w:t>n</w:t>
      </w:r>
      <w:r w:rsidR="00175A52" w:rsidRPr="008B445A">
        <w:t xml:space="preserve"> an endovascular </w:t>
      </w:r>
      <w:r w:rsidR="00175A52" w:rsidRPr="00A31B19">
        <w:t>equivalent</w:t>
      </w:r>
      <w:r w:rsidR="00175A52" w:rsidRPr="008B445A">
        <w:t xml:space="preserve"> to an open surgical procedure does not exist, there will be no change to the </w:t>
      </w:r>
      <w:r w:rsidR="00C52591">
        <w:t xml:space="preserve">MBS </w:t>
      </w:r>
      <w:r w:rsidR="00175A52" w:rsidRPr="008B445A">
        <w:t>item descriptor.</w:t>
      </w:r>
    </w:p>
    <w:p w14:paraId="11D2872E" w14:textId="678291A9" w:rsidR="00703506" w:rsidRDefault="00703506" w:rsidP="00045511">
      <w:pPr>
        <w:pStyle w:val="Heading3"/>
      </w:pPr>
      <w:bookmarkStart w:id="91" w:name="_Complexity_modifiers"/>
      <w:bookmarkStart w:id="92" w:name="_Toc227143250"/>
      <w:bookmarkStart w:id="93" w:name="_Toc227143307"/>
      <w:bookmarkEnd w:id="91"/>
      <w:r>
        <w:t>Complexity modifiers</w:t>
      </w:r>
      <w:bookmarkEnd w:id="92"/>
      <w:bookmarkEnd w:id="93"/>
    </w:p>
    <w:p w14:paraId="00A42D2B" w14:textId="044A5D08" w:rsidR="00AD47FC" w:rsidRPr="00832017" w:rsidRDefault="00AD47FC" w:rsidP="00832017">
      <w:r w:rsidRPr="00942A83">
        <w:t>The VIRWG propose</w:t>
      </w:r>
      <w:r>
        <w:t>d</w:t>
      </w:r>
      <w:r w:rsidRPr="00942A83">
        <w:t xml:space="preserve"> that MBS modifier items be developed to better reflect the complexity of vascular services. </w:t>
      </w:r>
      <w:r w:rsidR="006558C5">
        <w:t xml:space="preserve">The VIRWG </w:t>
      </w:r>
      <w:r w:rsidR="00C6165D">
        <w:t>suggest</w:t>
      </w:r>
      <w:r w:rsidR="006558C5">
        <w:t xml:space="preserve">ed </w:t>
      </w:r>
      <w:r w:rsidR="00C6165D">
        <w:t>introducing</w:t>
      </w:r>
      <w:r w:rsidR="006558C5">
        <w:t xml:space="preserve"> </w:t>
      </w:r>
      <w:r w:rsidRPr="00942A83">
        <w:t xml:space="preserve">special purpose items that enable a percentage increase in the MBS fee for a </w:t>
      </w:r>
      <w:r>
        <w:t xml:space="preserve">vascular </w:t>
      </w:r>
      <w:r w:rsidRPr="00942A83">
        <w:t xml:space="preserve">service based on its relative complexity compared to other </w:t>
      </w:r>
      <w:r>
        <w:t xml:space="preserve">equivalent </w:t>
      </w:r>
      <w:r w:rsidRPr="00942A83">
        <w:t xml:space="preserve">services. </w:t>
      </w:r>
      <w:r w:rsidR="00E90707">
        <w:t>Members considered t</w:t>
      </w:r>
      <w:r w:rsidR="006558C5" w:rsidRPr="00942A83">
        <w:t>h</w:t>
      </w:r>
      <w:r w:rsidR="006558C5">
        <w:t>is</w:t>
      </w:r>
      <w:r w:rsidR="006558C5" w:rsidRPr="00942A83">
        <w:t xml:space="preserve"> </w:t>
      </w:r>
      <w:r w:rsidR="006558C5">
        <w:t>approach to be the least likely to a</w:t>
      </w:r>
      <w:r w:rsidR="006558C5" w:rsidRPr="00942A83">
        <w:t>dd an unsustainable number of new items to the MBS</w:t>
      </w:r>
      <w:r w:rsidR="006558C5">
        <w:t xml:space="preserve">. </w:t>
      </w:r>
      <w:r w:rsidRPr="00942A83">
        <w:t xml:space="preserve">Examples of modifier items already exist on the MBS and have proven to be an effective method of compensating </w:t>
      </w:r>
      <w:r w:rsidR="00512031">
        <w:t>patients</w:t>
      </w:r>
      <w:r w:rsidR="00512031" w:rsidRPr="00942A83">
        <w:t xml:space="preserve"> </w:t>
      </w:r>
      <w:r w:rsidRPr="00832017">
        <w:t xml:space="preserve">for services </w:t>
      </w:r>
      <w:r w:rsidR="00A700FA" w:rsidRPr="00832017">
        <w:t xml:space="preserve">that incur </w:t>
      </w:r>
      <w:r w:rsidRPr="00832017">
        <w:t>higher costs in specific circumstances</w:t>
      </w:r>
      <w:r w:rsidR="00BC4EAF" w:rsidRPr="00832017">
        <w:t>.</w:t>
      </w:r>
      <w:r w:rsidRPr="00832017">
        <w:t xml:space="preserve"> </w:t>
      </w:r>
    </w:p>
    <w:p w14:paraId="35657C39" w14:textId="7242E3B1" w:rsidR="00AD47FC" w:rsidRPr="00942A83" w:rsidRDefault="00AD47FC" w:rsidP="00832017">
      <w:r w:rsidRPr="00832017">
        <w:t>A complexity modifier would be an administra</w:t>
      </w:r>
      <w:r w:rsidRPr="00942A83">
        <w:t xml:space="preserve">tive item </w:t>
      </w:r>
      <w:r>
        <w:t xml:space="preserve">rather than </w:t>
      </w:r>
      <w:r w:rsidRPr="00942A83">
        <w:t xml:space="preserve">a clinical </w:t>
      </w:r>
      <w:r w:rsidR="008D4E66">
        <w:t>one</w:t>
      </w:r>
      <w:r>
        <w:t xml:space="preserve">, the purpose of which would be </w:t>
      </w:r>
      <w:r w:rsidRPr="00942A83">
        <w:t xml:space="preserve">to modify the fee of another MBS item. </w:t>
      </w:r>
      <w:r>
        <w:t>Th</w:t>
      </w:r>
      <w:r w:rsidRPr="00942A83">
        <w:t xml:space="preserve">is distinction, and </w:t>
      </w:r>
      <w:r w:rsidR="00FA3936">
        <w:t xml:space="preserve">the exemption of </w:t>
      </w:r>
      <w:r>
        <w:t>m</w:t>
      </w:r>
      <w:r w:rsidRPr="00942A83">
        <w:t xml:space="preserve">odifier items from the Multiple Operation Rule, </w:t>
      </w:r>
      <w:r>
        <w:t xml:space="preserve">would need to be </w:t>
      </w:r>
      <w:r w:rsidRPr="00942A83">
        <w:t xml:space="preserve">clearly expressed in </w:t>
      </w:r>
      <w:r w:rsidR="006E0670">
        <w:t xml:space="preserve">MBS </w:t>
      </w:r>
      <w:r w:rsidRPr="00942A83">
        <w:t>legislation and rules.</w:t>
      </w:r>
    </w:p>
    <w:p w14:paraId="2C757D0C" w14:textId="77777777" w:rsidR="00175A52" w:rsidRPr="008B445A" w:rsidRDefault="00175A52" w:rsidP="00175A52">
      <w:pPr>
        <w:pStyle w:val="BoxTitle"/>
      </w:pPr>
      <w:r w:rsidRPr="008B445A">
        <w:t xml:space="preserve">Recommendation 8 </w:t>
      </w:r>
    </w:p>
    <w:p w14:paraId="324AF6FF" w14:textId="7111CBBF" w:rsidR="00175A52" w:rsidRDefault="00175A52" w:rsidP="00A31B19">
      <w:pPr>
        <w:pStyle w:val="BoxText"/>
      </w:pPr>
      <w:r w:rsidRPr="008B445A">
        <w:t xml:space="preserve">Develop complexity modifiers for procedures </w:t>
      </w:r>
      <w:r w:rsidRPr="00A31B19">
        <w:t>with</w:t>
      </w:r>
      <w:r w:rsidRPr="008B445A">
        <w:t xml:space="preserve"> additional clinical components compared to what is expected of a standard procedure.</w:t>
      </w:r>
    </w:p>
    <w:p w14:paraId="1C524FF7" w14:textId="1796EF90" w:rsidR="00703506" w:rsidRDefault="006F0FAC" w:rsidP="00E52E54">
      <w:pPr>
        <w:pStyle w:val="Heading3"/>
      </w:pPr>
      <w:bookmarkStart w:id="94" w:name="_Toc227143251"/>
      <w:bookmarkStart w:id="95" w:name="_Toc227143308"/>
      <w:r>
        <w:t xml:space="preserve">Subheadings for </w:t>
      </w:r>
      <w:r w:rsidRPr="008B445A">
        <w:t>interventional radiology items</w:t>
      </w:r>
      <w:bookmarkEnd w:id="94"/>
      <w:bookmarkEnd w:id="95"/>
    </w:p>
    <w:p w14:paraId="651AB7E9" w14:textId="7E22DA77" w:rsidR="007E4760" w:rsidRDefault="007E4760" w:rsidP="00832017">
      <w:pPr>
        <w:rPr>
          <w:rFonts w:cs="Arial"/>
        </w:rPr>
      </w:pPr>
      <w:r w:rsidRPr="00942A83">
        <w:t xml:space="preserve">The VIRWG flagged that the MBS’s lack of specificity regarding IR/INR services leads to misunderstandings on the part of IR/INR </w:t>
      </w:r>
      <w:r>
        <w:t>practitioners</w:t>
      </w:r>
      <w:r w:rsidRPr="00942A83">
        <w:t>. The VIRWG recognised that the most significant impact may relate to private health insurers</w:t>
      </w:r>
      <w:r w:rsidR="00265A05">
        <w:t>.</w:t>
      </w:r>
      <w:r w:rsidRPr="00942A83">
        <w:t xml:space="preserve"> </w:t>
      </w:r>
      <w:r w:rsidR="00265A05">
        <w:t>T</w:t>
      </w:r>
      <w:r w:rsidRPr="00942A83">
        <w:t xml:space="preserve">he current placement of IR items on the MBS </w:t>
      </w:r>
      <w:r w:rsidR="001649F0">
        <w:t>may result in</w:t>
      </w:r>
      <w:r w:rsidRPr="00942A83">
        <w:t xml:space="preserve"> patients without ‘vascular’ coverage not be</w:t>
      </w:r>
      <w:r w:rsidR="001649F0">
        <w:t>ing</w:t>
      </w:r>
      <w:r w:rsidRPr="00942A83">
        <w:t xml:space="preserve"> reimbursed for a range of IR procedures due to the procedures being </w:t>
      </w:r>
      <w:r w:rsidR="00CF2A4D">
        <w:t xml:space="preserve">identified as </w:t>
      </w:r>
      <w:r w:rsidRPr="00942A83">
        <w:t>vascular-only services.</w:t>
      </w:r>
      <w:r w:rsidR="001A7075">
        <w:rPr>
          <w:rStyle w:val="FootnoteReference"/>
        </w:rPr>
        <w:footnoteReference w:id="5"/>
      </w:r>
    </w:p>
    <w:p w14:paraId="4AD40ED1" w14:textId="77777777" w:rsidR="00175A52" w:rsidRPr="008B445A" w:rsidRDefault="00175A52" w:rsidP="00175A52">
      <w:pPr>
        <w:pStyle w:val="BoxTitle"/>
      </w:pPr>
      <w:r w:rsidRPr="008B445A">
        <w:t xml:space="preserve">Recommendation 9 </w:t>
      </w:r>
    </w:p>
    <w:p w14:paraId="44493F84" w14:textId="70D6F5F5" w:rsidR="00175A52" w:rsidRDefault="00057368" w:rsidP="00A31B19">
      <w:pPr>
        <w:pStyle w:val="BoxText"/>
      </w:pPr>
      <w:r w:rsidRPr="00057368">
        <w:rPr>
          <w:lang w:val="en-US"/>
        </w:rPr>
        <w:t xml:space="preserve">MRAC endorses the following and requests that the Department consider retaining </w:t>
      </w:r>
      <w:r w:rsidR="00175A52" w:rsidRPr="008B445A">
        <w:t xml:space="preserve">the title of </w:t>
      </w:r>
      <w:r w:rsidR="00175A52" w:rsidRPr="00A31B19">
        <w:t>MBS</w:t>
      </w:r>
      <w:r w:rsidR="00175A52" w:rsidRPr="008B445A">
        <w:t xml:space="preserve"> </w:t>
      </w:r>
      <w:r w:rsidR="006E0670">
        <w:t>‘</w:t>
      </w:r>
      <w:r w:rsidR="00175A52" w:rsidRPr="008B445A">
        <w:t xml:space="preserve">Group T8, Subgroup 3 </w:t>
      </w:r>
      <w:r w:rsidR="006E0670">
        <w:t>–</w:t>
      </w:r>
      <w:r w:rsidR="00175A52" w:rsidRPr="008B445A">
        <w:t xml:space="preserve"> Vascular</w:t>
      </w:r>
      <w:r w:rsidR="006E0670">
        <w:t>’</w:t>
      </w:r>
      <w:r w:rsidR="00175A52" w:rsidRPr="008B445A">
        <w:t xml:space="preserve"> and create a new subheading for interventional radiology items</w:t>
      </w:r>
      <w:r>
        <w:t xml:space="preserve"> and including</w:t>
      </w:r>
      <w:r w:rsidR="00175A52" w:rsidRPr="008B445A">
        <w:t xml:space="preserve"> the proposed neurointervention</w:t>
      </w:r>
      <w:r>
        <w:t>al</w:t>
      </w:r>
      <w:r w:rsidR="00175A52" w:rsidRPr="008B445A">
        <w:t xml:space="preserve"> items in MBS </w:t>
      </w:r>
      <w:r w:rsidR="006E0670">
        <w:t>‘</w:t>
      </w:r>
      <w:r w:rsidR="00175A52" w:rsidRPr="008B445A">
        <w:t>Group T8</w:t>
      </w:r>
      <w:r w:rsidR="0071014E">
        <w:t>,</w:t>
      </w:r>
      <w:r w:rsidR="00175A52" w:rsidRPr="008B445A">
        <w:t xml:space="preserve"> Subgroup 7</w:t>
      </w:r>
      <w:r w:rsidR="006E0670">
        <w:t>’</w:t>
      </w:r>
      <w:r w:rsidR="00175A52" w:rsidRPr="008B445A">
        <w:t xml:space="preserve"> </w:t>
      </w:r>
      <w:r w:rsidR="007A2EBA">
        <w:t>and amend</w:t>
      </w:r>
      <w:r w:rsidR="007A2EBA" w:rsidRPr="008B445A">
        <w:t xml:space="preserve"> </w:t>
      </w:r>
      <w:r w:rsidR="00175A52" w:rsidRPr="008B445A">
        <w:t xml:space="preserve">its title </w:t>
      </w:r>
      <w:r w:rsidR="00E74AE7">
        <w:t xml:space="preserve">from ‘Neurosurgical’ </w:t>
      </w:r>
      <w:r w:rsidR="00175A52" w:rsidRPr="008B445A">
        <w:t xml:space="preserve">to </w:t>
      </w:r>
      <w:r w:rsidR="007A2EBA">
        <w:t>‘</w:t>
      </w:r>
      <w:r w:rsidR="00175A52" w:rsidRPr="00E52E54">
        <w:rPr>
          <w:rFonts w:cstheme="minorBidi"/>
          <w:szCs w:val="22"/>
        </w:rPr>
        <w:t>Neurosurgical and Neurointervention</w:t>
      </w:r>
      <w:r>
        <w:rPr>
          <w:rFonts w:cstheme="minorBidi"/>
          <w:szCs w:val="22"/>
        </w:rPr>
        <w:t>al</w:t>
      </w:r>
      <w:r w:rsidR="007A2EBA">
        <w:t>’</w:t>
      </w:r>
      <w:r w:rsidR="00175A52" w:rsidRPr="008B445A">
        <w:t>.</w:t>
      </w:r>
    </w:p>
    <w:p w14:paraId="4D0E409B" w14:textId="4D0A9B0C" w:rsidR="007E4760" w:rsidRPr="006F0FAC" w:rsidRDefault="006F0FAC" w:rsidP="00E52E54">
      <w:pPr>
        <w:pStyle w:val="Heading3"/>
      </w:pPr>
      <w:bookmarkStart w:id="96" w:name="_Toc227143252"/>
      <w:bookmarkStart w:id="97" w:name="_Toc227143309"/>
      <w:r w:rsidRPr="006F0FAC">
        <w:t>Consistency in terms in MBS items</w:t>
      </w:r>
      <w:bookmarkEnd w:id="96"/>
      <w:bookmarkEnd w:id="97"/>
    </w:p>
    <w:p w14:paraId="756DA577" w14:textId="1D306862" w:rsidR="007E4760" w:rsidRDefault="007E4760" w:rsidP="00832017">
      <w:pPr>
        <w:rPr>
          <w:rFonts w:cs="Arial"/>
        </w:rPr>
      </w:pPr>
      <w:r w:rsidRPr="00942A83">
        <w:t>The VIRWG note</w:t>
      </w:r>
      <w:r>
        <w:t>d</w:t>
      </w:r>
      <w:r w:rsidRPr="00942A83">
        <w:t xml:space="preserve"> </w:t>
      </w:r>
      <w:r w:rsidR="001F242A">
        <w:t>that the way</w:t>
      </w:r>
      <w:r w:rsidRPr="00942A83">
        <w:t xml:space="preserve"> medical services are described in the MBS</w:t>
      </w:r>
      <w:r w:rsidR="00F86C3B">
        <w:t xml:space="preserve"> </w:t>
      </w:r>
      <w:r w:rsidR="001F242A">
        <w:t>is not always consistent with</w:t>
      </w:r>
      <w:r w:rsidRPr="00942A83">
        <w:t xml:space="preserve"> accepted </w:t>
      </w:r>
      <w:r w:rsidR="004357FB">
        <w:t>clinical</w:t>
      </w:r>
      <w:r w:rsidR="004357FB" w:rsidRPr="00942A83">
        <w:t xml:space="preserve"> </w:t>
      </w:r>
      <w:r w:rsidRPr="00942A83">
        <w:t>usage</w:t>
      </w:r>
      <w:r w:rsidR="0016267B">
        <w:t>. Members recommended</w:t>
      </w:r>
      <w:r w:rsidRPr="00942A83">
        <w:t xml:space="preserve"> that</w:t>
      </w:r>
      <w:r>
        <w:t xml:space="preserve"> </w:t>
      </w:r>
      <w:r w:rsidRPr="00942A83">
        <w:t>relevant item descriptors and explanatory notes</w:t>
      </w:r>
      <w:r>
        <w:t xml:space="preserve"> be reviewed</w:t>
      </w:r>
      <w:r w:rsidRPr="00942A83">
        <w:t xml:space="preserve"> to ensure </w:t>
      </w:r>
      <w:r w:rsidR="0016267B">
        <w:t>consistency and</w:t>
      </w:r>
      <w:r w:rsidRPr="00942A83">
        <w:t xml:space="preserve"> clarity.</w:t>
      </w:r>
    </w:p>
    <w:p w14:paraId="230B9FA4" w14:textId="77777777" w:rsidR="00175A52" w:rsidRPr="008B445A" w:rsidRDefault="00175A52" w:rsidP="00175A52">
      <w:pPr>
        <w:pStyle w:val="BoxTitle"/>
      </w:pPr>
      <w:r w:rsidRPr="008B445A">
        <w:t>Recommendation 10</w:t>
      </w:r>
    </w:p>
    <w:p w14:paraId="0FF80C15" w14:textId="0EE4E2FA" w:rsidR="00175A52" w:rsidRDefault="00175A52" w:rsidP="00A31B19">
      <w:pPr>
        <w:pStyle w:val="BoxText"/>
      </w:pPr>
      <w:r w:rsidRPr="008B445A">
        <w:t xml:space="preserve">Ensure that MBS item </w:t>
      </w:r>
      <w:r w:rsidRPr="00A31B19">
        <w:t>descriptors</w:t>
      </w:r>
      <w:r w:rsidRPr="008B445A">
        <w:t xml:space="preserve"> and explanatory notes</w:t>
      </w:r>
      <w:r w:rsidR="00A33BEE">
        <w:t xml:space="preserve"> </w:t>
      </w:r>
      <w:r w:rsidRPr="008B445A">
        <w:t xml:space="preserve">describe clinical procedures </w:t>
      </w:r>
      <w:r w:rsidR="00A33BEE">
        <w:t xml:space="preserve">using wording that is </w:t>
      </w:r>
      <w:r w:rsidR="0016267B">
        <w:t xml:space="preserve">consistent with </w:t>
      </w:r>
      <w:r w:rsidRPr="008B445A">
        <w:t>the term</w:t>
      </w:r>
      <w:r w:rsidR="0016267B">
        <w:t>inology</w:t>
      </w:r>
      <w:r w:rsidRPr="008B445A">
        <w:t xml:space="preserve"> used in </w:t>
      </w:r>
      <w:r w:rsidR="004357FB">
        <w:t>clinical</w:t>
      </w:r>
      <w:r w:rsidR="004357FB" w:rsidRPr="008B445A">
        <w:t xml:space="preserve"> </w:t>
      </w:r>
      <w:r w:rsidRPr="008B445A">
        <w:t xml:space="preserve">practice. </w:t>
      </w:r>
    </w:p>
    <w:p w14:paraId="05C04011" w14:textId="27D84845" w:rsidR="00BE432F" w:rsidRDefault="00BE432F" w:rsidP="00E52E54">
      <w:pPr>
        <w:pStyle w:val="Heading3"/>
      </w:pPr>
      <w:bookmarkStart w:id="98" w:name="_Toc227143253"/>
      <w:bookmarkStart w:id="99" w:name="_Toc227143310"/>
      <w:r>
        <w:t>Private patient costs</w:t>
      </w:r>
      <w:bookmarkEnd w:id="98"/>
      <w:bookmarkEnd w:id="99"/>
    </w:p>
    <w:p w14:paraId="11A0A84C" w14:textId="29B3B427" w:rsidR="007E4760" w:rsidRPr="00832017" w:rsidRDefault="007E4760" w:rsidP="007E4760">
      <w:r w:rsidRPr="00053BAD">
        <w:t xml:space="preserve">The VIRWG </w:t>
      </w:r>
      <w:r>
        <w:t>was</w:t>
      </w:r>
      <w:r w:rsidRPr="00053BAD">
        <w:t xml:space="preserve"> mindful that changing the location of vascular services on the MBS </w:t>
      </w:r>
      <w:r w:rsidR="00DA7783" w:rsidRPr="00832017">
        <w:t>c</w:t>
      </w:r>
      <w:r w:rsidRPr="00832017">
        <w:t xml:space="preserve">ould </w:t>
      </w:r>
      <w:r w:rsidR="00503A19" w:rsidRPr="00832017">
        <w:t xml:space="preserve">result in </w:t>
      </w:r>
      <w:r w:rsidRPr="00832017">
        <w:t xml:space="preserve">current membership rules </w:t>
      </w:r>
      <w:r w:rsidR="00772E69" w:rsidRPr="00832017">
        <w:t xml:space="preserve">being </w:t>
      </w:r>
      <w:r w:rsidRPr="00832017">
        <w:t>misinterpreted and poorly implemented by insurers and private hospitals</w:t>
      </w:r>
      <w:r w:rsidR="00772E69" w:rsidRPr="00832017">
        <w:t xml:space="preserve">. This could </w:t>
      </w:r>
      <w:r w:rsidRPr="00832017">
        <w:t>lead to higher patient costs and hav</w:t>
      </w:r>
      <w:r w:rsidR="00DA7783" w:rsidRPr="00832017">
        <w:t>e</w:t>
      </w:r>
      <w:r w:rsidRPr="00832017">
        <w:t xml:space="preserve"> a negative impact on service access. </w:t>
      </w:r>
    </w:p>
    <w:p w14:paraId="1E4D5444" w14:textId="77777777" w:rsidR="00175A52" w:rsidRPr="008B445A" w:rsidRDefault="00175A52" w:rsidP="00175A52">
      <w:pPr>
        <w:pStyle w:val="BoxTitle"/>
      </w:pPr>
      <w:r w:rsidRPr="008B445A">
        <w:t>Recommendation 11</w:t>
      </w:r>
    </w:p>
    <w:p w14:paraId="17A684F4" w14:textId="55131D15" w:rsidR="00175A52" w:rsidRDefault="00911CA2" w:rsidP="00A31B19">
      <w:pPr>
        <w:pStyle w:val="BoxText"/>
      </w:pPr>
      <w:r>
        <w:t>T</w:t>
      </w:r>
      <w:r w:rsidR="00057368" w:rsidRPr="00057368">
        <w:t xml:space="preserve">hat the Department review current private health insurance membership rules with a view to extending eligibility for vascular, endovascular, interventional radiology and interventional neuroradiology services </w:t>
      </w:r>
      <w:r w:rsidR="00175A52" w:rsidRPr="008B445A">
        <w:t xml:space="preserve">to </w:t>
      </w:r>
      <w:proofErr w:type="gramStart"/>
      <w:r w:rsidR="00175A52" w:rsidRPr="008B445A">
        <w:t>Bronze</w:t>
      </w:r>
      <w:proofErr w:type="gramEnd"/>
      <w:r w:rsidR="00175A52" w:rsidRPr="008B445A">
        <w:t xml:space="preserve"> </w:t>
      </w:r>
      <w:r w:rsidR="00CC0AFF">
        <w:t>t</w:t>
      </w:r>
      <w:r w:rsidR="00175A52">
        <w:t>ier policies</w:t>
      </w:r>
      <w:r w:rsidR="00175A52" w:rsidRPr="008B445A">
        <w:t>.</w:t>
      </w:r>
    </w:p>
    <w:p w14:paraId="1D396578" w14:textId="3BDF6FE5" w:rsidR="00BE432F" w:rsidRDefault="00175A52" w:rsidP="00E52E54">
      <w:pPr>
        <w:pStyle w:val="Heading3"/>
      </w:pPr>
      <w:bookmarkStart w:id="100" w:name="_Toc227143254"/>
      <w:bookmarkStart w:id="101" w:name="_Toc227143311"/>
      <w:r>
        <w:t>Prescribed List process</w:t>
      </w:r>
      <w:bookmarkEnd w:id="100"/>
      <w:bookmarkEnd w:id="101"/>
    </w:p>
    <w:p w14:paraId="162D2DCD" w14:textId="47C273A3" w:rsidR="00272E68" w:rsidRPr="00832017" w:rsidRDefault="00272E68" w:rsidP="00832017">
      <w:r w:rsidRPr="00832017">
        <w:t xml:space="preserve">The VIRWG identified </w:t>
      </w:r>
      <w:r w:rsidR="00AE71F7" w:rsidRPr="00832017">
        <w:t xml:space="preserve">that </w:t>
      </w:r>
      <w:r w:rsidR="00304C6C" w:rsidRPr="00832017">
        <w:t>the requirements of</w:t>
      </w:r>
      <w:r w:rsidRPr="00832017">
        <w:t xml:space="preserve"> the Prescribed List of Medical Devices and Human Tissue Products (PL) </w:t>
      </w:r>
      <w:r w:rsidR="00AE71F7" w:rsidRPr="00832017">
        <w:t>w</w:t>
      </w:r>
      <w:r w:rsidR="00304C6C" w:rsidRPr="00832017">
        <w:t>ere</w:t>
      </w:r>
      <w:r w:rsidRPr="00832017">
        <w:t xml:space="preserve"> a key barrier to </w:t>
      </w:r>
      <w:r w:rsidR="00EA6B12" w:rsidRPr="00832017">
        <w:t xml:space="preserve">patients </w:t>
      </w:r>
      <w:r w:rsidRPr="00832017">
        <w:t xml:space="preserve">accessing cost-effective and affordable vascular services that require an implantable device that does not remain in the body. Despite the often-high cost of these devices, they are unlikely to meet the requirements </w:t>
      </w:r>
      <w:r w:rsidR="00306A0F" w:rsidRPr="00832017">
        <w:t xml:space="preserve">of </w:t>
      </w:r>
      <w:r w:rsidRPr="00832017">
        <w:t>Part A (surgically implanted medical devices) or Part C (devices that do</w:t>
      </w:r>
      <w:r w:rsidR="00306A0F" w:rsidRPr="00832017">
        <w:t xml:space="preserve"> </w:t>
      </w:r>
      <w:r w:rsidRPr="00832017">
        <w:t>n</w:t>
      </w:r>
      <w:r w:rsidR="00306A0F" w:rsidRPr="00832017">
        <w:t>o</w:t>
      </w:r>
      <w:r w:rsidRPr="00832017">
        <w:t xml:space="preserve">t meet the criteria for Part A) of the PL. </w:t>
      </w:r>
    </w:p>
    <w:p w14:paraId="5E42DF79" w14:textId="01AFF6C3" w:rsidR="00272E68" w:rsidRPr="00832017" w:rsidRDefault="00272E68" w:rsidP="00832017">
      <w:r w:rsidRPr="00832017">
        <w:t xml:space="preserve">The VIRWG noted that some clinicians – including vascular surgeons – have used workarounds to ensure services can be provided to patients, such as purchasing a device for private resale to a patient. In addition, private hospitals are increasingly unable to pay for the devices that are required </w:t>
      </w:r>
      <w:r w:rsidR="004E5B6B" w:rsidRPr="00832017">
        <w:t xml:space="preserve">for </w:t>
      </w:r>
      <w:r w:rsidRPr="00832017">
        <w:t xml:space="preserve">a vascular procedure, and private health insurers are unwilling to bear the cost of devices not on the PL. The VIRWG recognised that </w:t>
      </w:r>
      <w:r w:rsidR="003024EE" w:rsidRPr="00832017">
        <w:t>G</w:t>
      </w:r>
      <w:r w:rsidRPr="00832017">
        <w:t xml:space="preserve">overnment policy limits MBS </w:t>
      </w:r>
      <w:r w:rsidR="00C47756" w:rsidRPr="00832017">
        <w:t xml:space="preserve">benefits </w:t>
      </w:r>
      <w:r w:rsidRPr="00832017">
        <w:t xml:space="preserve">to </w:t>
      </w:r>
      <w:r w:rsidR="002C35F7" w:rsidRPr="00832017">
        <w:t>clinician</w:t>
      </w:r>
      <w:r w:rsidRPr="00832017">
        <w:t>s</w:t>
      </w:r>
      <w:r w:rsidR="00C47756" w:rsidRPr="00832017">
        <w:t>’</w:t>
      </w:r>
      <w:r w:rsidRPr="00832017">
        <w:t xml:space="preserve"> professional service</w:t>
      </w:r>
      <w:r w:rsidR="00C47756" w:rsidRPr="00832017">
        <w:t>s</w:t>
      </w:r>
      <w:r w:rsidRPr="00832017">
        <w:t xml:space="preserve"> and does not include the cost of devices and consumables. It recommended </w:t>
      </w:r>
      <w:r w:rsidR="001E60D6" w:rsidRPr="00832017">
        <w:t xml:space="preserve">a review of </w:t>
      </w:r>
      <w:r w:rsidRPr="00832017">
        <w:t xml:space="preserve">the processes for listing new devices on the PL, with the aim of improving service affordability and patient access. </w:t>
      </w:r>
    </w:p>
    <w:p w14:paraId="306390DF" w14:textId="77777777" w:rsidR="00175A52" w:rsidRPr="008B445A" w:rsidRDefault="00175A52" w:rsidP="00175A52">
      <w:pPr>
        <w:pStyle w:val="BoxTitle"/>
      </w:pPr>
      <w:r w:rsidRPr="008B445A">
        <w:t>Recommendation 12</w:t>
      </w:r>
    </w:p>
    <w:p w14:paraId="72479FFA" w14:textId="463E5DA1" w:rsidR="00057368" w:rsidRDefault="000E68C8" w:rsidP="004C1612">
      <w:pPr>
        <w:pStyle w:val="BoxText"/>
      </w:pPr>
      <w:r>
        <w:t>T</w:t>
      </w:r>
      <w:r w:rsidR="00057368" w:rsidRPr="00057368">
        <w:t xml:space="preserve">hat the Department review the inclusion or removal </w:t>
      </w:r>
      <w:r w:rsidR="004C1612">
        <w:t xml:space="preserve">of </w:t>
      </w:r>
      <w:r w:rsidR="00057368" w:rsidRPr="00057368">
        <w:t>new devices to the Prescribed List of Medical Devices and Human Tissue Products,</w:t>
      </w:r>
      <w:r w:rsidR="004C1612">
        <w:t xml:space="preserve"> considering both the funding of non</w:t>
      </w:r>
      <w:r w:rsidR="00057368" w:rsidRPr="00057368">
        <w:t xml:space="preserve">-implantable devices required during </w:t>
      </w:r>
      <w:r w:rsidR="004C1612">
        <w:t xml:space="preserve">vascular </w:t>
      </w:r>
      <w:r w:rsidR="00057368" w:rsidRPr="00057368">
        <w:t>procedures and</w:t>
      </w:r>
      <w:r w:rsidR="004C1612">
        <w:t xml:space="preserve"> the</w:t>
      </w:r>
      <w:r w:rsidR="00057368" w:rsidRPr="00057368">
        <w:t xml:space="preserve"> funding of consumables not otherwise covered by private health insurance.</w:t>
      </w:r>
    </w:p>
    <w:p w14:paraId="2F31F3EA" w14:textId="63F96940" w:rsidR="00175A52" w:rsidRDefault="00175A52" w:rsidP="005E24FB">
      <w:pPr>
        <w:pStyle w:val="Heading3"/>
      </w:pPr>
      <w:bookmarkStart w:id="102" w:name="_Toc227143255"/>
      <w:bookmarkStart w:id="103" w:name="_Toc227143312"/>
      <w:r>
        <w:t>Pre-surgery MBS items</w:t>
      </w:r>
      <w:bookmarkEnd w:id="102"/>
      <w:bookmarkEnd w:id="103"/>
    </w:p>
    <w:p w14:paraId="1FEA6492" w14:textId="44A9617B" w:rsidR="00BA5B33" w:rsidRPr="00832017" w:rsidRDefault="00912772" w:rsidP="00832017">
      <w:r w:rsidRPr="00832017">
        <w:t>The VIRWG stressed the importance of pre-surgery exercises for patients undergoing vascular procedures</w:t>
      </w:r>
      <w:r w:rsidR="007F3ACF" w:rsidRPr="00832017">
        <w:t xml:space="preserve">. </w:t>
      </w:r>
      <w:proofErr w:type="gramStart"/>
      <w:r w:rsidR="007F3ACF" w:rsidRPr="00832017">
        <w:t>In particular</w:t>
      </w:r>
      <w:r w:rsidRPr="00832017">
        <w:t>, supervised</w:t>
      </w:r>
      <w:proofErr w:type="gramEnd"/>
      <w:r w:rsidRPr="00832017">
        <w:t xml:space="preserve"> exercise programs should be the primary intervention in patients with claudication</w:t>
      </w:r>
      <w:r w:rsidR="000C2C64" w:rsidRPr="00832017">
        <w:t>, which is supported by evidence. Patient outcomes of vascular interventions may also be improved when adjuvant exercise programs are offered.</w:t>
      </w:r>
    </w:p>
    <w:p w14:paraId="6DA54371" w14:textId="75CB4465" w:rsidR="00912772" w:rsidRPr="00832017" w:rsidRDefault="00193C43" w:rsidP="00832017">
      <w:r w:rsidRPr="00832017">
        <w:t>Pre-surgery</w:t>
      </w:r>
      <w:r w:rsidR="00B31EA6" w:rsidRPr="00832017">
        <w:t xml:space="preserve"> </w:t>
      </w:r>
      <w:r w:rsidR="006943D6" w:rsidRPr="00832017">
        <w:t xml:space="preserve">exercise </w:t>
      </w:r>
      <w:r w:rsidR="00B31EA6" w:rsidRPr="00832017">
        <w:t>programs typically comprise 12 weeks of multiple visits per week</w:t>
      </w:r>
      <w:r w:rsidR="005E6A55" w:rsidRPr="00832017">
        <w:t xml:space="preserve">. </w:t>
      </w:r>
      <w:r w:rsidR="00FE367C" w:rsidRPr="00832017">
        <w:t xml:space="preserve">Some teaching hospitals may offer the </w:t>
      </w:r>
      <w:r w:rsidR="00F56A66" w:rsidRPr="00832017">
        <w:t>program</w:t>
      </w:r>
      <w:r w:rsidR="00FE367C" w:rsidRPr="00832017">
        <w:t xml:space="preserve"> to patients </w:t>
      </w:r>
      <w:r w:rsidR="00AF7256" w:rsidRPr="00832017">
        <w:t>at no cost</w:t>
      </w:r>
      <w:r w:rsidR="00E5572C" w:rsidRPr="00832017">
        <w:t>, but most vascular patients are currently required to fund th</w:t>
      </w:r>
      <w:r w:rsidR="00F56A66" w:rsidRPr="00832017">
        <w:t>e program</w:t>
      </w:r>
      <w:r w:rsidR="00E5572C" w:rsidRPr="00832017">
        <w:t xml:space="preserve"> themselves</w:t>
      </w:r>
      <w:r w:rsidR="00AF7256" w:rsidRPr="00832017">
        <w:t xml:space="preserve">. </w:t>
      </w:r>
      <w:r w:rsidR="005E6A55" w:rsidRPr="00832017">
        <w:t xml:space="preserve">The </w:t>
      </w:r>
      <w:r w:rsidR="005C66E2" w:rsidRPr="00832017">
        <w:t>5</w:t>
      </w:r>
      <w:r w:rsidR="00B31EA6" w:rsidRPr="00832017">
        <w:t> </w:t>
      </w:r>
      <w:r w:rsidR="00F74B80" w:rsidRPr="00832017">
        <w:t>Medicare-subsidised allied health service</w:t>
      </w:r>
      <w:r w:rsidR="005C66E2" w:rsidRPr="00832017">
        <w:t xml:space="preserve"> visits as part of a </w:t>
      </w:r>
      <w:r w:rsidR="00186710" w:rsidRPr="00832017">
        <w:t xml:space="preserve">GP Chronic Condition Management Plan </w:t>
      </w:r>
      <w:r w:rsidR="00FE4E1E" w:rsidRPr="00832017">
        <w:t>for eligible patient</w:t>
      </w:r>
      <w:r w:rsidR="005E24FB" w:rsidRPr="00832017">
        <w:t xml:space="preserve">s </w:t>
      </w:r>
      <w:r w:rsidR="00912772" w:rsidRPr="00832017">
        <w:t xml:space="preserve">are </w:t>
      </w:r>
      <w:r w:rsidR="00B31EA6" w:rsidRPr="00832017">
        <w:t>not sufficient to cover the full program</w:t>
      </w:r>
      <w:r w:rsidR="00912772" w:rsidRPr="00832017">
        <w:t xml:space="preserve">. The VIRWG therefore supported the development and implementation of an MBS item </w:t>
      </w:r>
      <w:r w:rsidR="00995825" w:rsidRPr="00832017">
        <w:t xml:space="preserve">to </w:t>
      </w:r>
      <w:r w:rsidR="00B412A5" w:rsidRPr="00832017">
        <w:t>assist</w:t>
      </w:r>
      <w:r w:rsidR="00995825" w:rsidRPr="00832017">
        <w:t xml:space="preserve"> patients</w:t>
      </w:r>
      <w:r w:rsidR="00B412A5" w:rsidRPr="00832017">
        <w:t xml:space="preserve"> in this area</w:t>
      </w:r>
      <w:r w:rsidR="00B50054" w:rsidRPr="00832017">
        <w:t>.</w:t>
      </w:r>
      <w:r w:rsidR="00912772" w:rsidRPr="00832017">
        <w:t xml:space="preserve"> </w:t>
      </w:r>
      <w:r w:rsidR="00B50054" w:rsidRPr="00832017">
        <w:t>The VIRWG also</w:t>
      </w:r>
      <w:r w:rsidR="00912772" w:rsidRPr="00832017">
        <w:t xml:space="preserve"> recommended </w:t>
      </w:r>
      <w:r w:rsidR="00B50054" w:rsidRPr="00832017">
        <w:t xml:space="preserve">exploring </w:t>
      </w:r>
      <w:r w:rsidR="00912772" w:rsidRPr="00832017">
        <w:t xml:space="preserve">options for facilitating pre-surgery exercises for eligible patients. </w:t>
      </w:r>
    </w:p>
    <w:p w14:paraId="78192C06" w14:textId="56732B15" w:rsidR="00912772" w:rsidRDefault="00912772" w:rsidP="00912772">
      <w:r w:rsidRPr="2C820A5E">
        <w:t>The VIRWG recognise</w:t>
      </w:r>
      <w:r>
        <w:t>d</w:t>
      </w:r>
      <w:r w:rsidRPr="2C820A5E">
        <w:t xml:space="preserve"> that the MBS may not be the most suitable mechanism for this purpose and </w:t>
      </w:r>
      <w:r>
        <w:t xml:space="preserve">that </w:t>
      </w:r>
      <w:r w:rsidRPr="2C820A5E">
        <w:t>a non-MBS solution</w:t>
      </w:r>
      <w:r>
        <w:t xml:space="preserve"> may need consider</w:t>
      </w:r>
      <w:r w:rsidR="00075461">
        <w:t>ation</w:t>
      </w:r>
      <w:r w:rsidRPr="2C820A5E">
        <w:t xml:space="preserve">. </w:t>
      </w:r>
    </w:p>
    <w:p w14:paraId="5C399008" w14:textId="0520EB77" w:rsidR="00175A52" w:rsidRPr="008B445A" w:rsidRDefault="00175A52" w:rsidP="00175A52">
      <w:pPr>
        <w:pStyle w:val="BoxTitle"/>
      </w:pPr>
      <w:r w:rsidRPr="008B445A">
        <w:t>Recommendation 13</w:t>
      </w:r>
    </w:p>
    <w:p w14:paraId="3C24AEAD" w14:textId="5DE27532" w:rsidR="00D80530" w:rsidRPr="00D80530" w:rsidRDefault="00057368" w:rsidP="00D80530">
      <w:pPr>
        <w:pStyle w:val="BoxText"/>
      </w:pPr>
      <w:r w:rsidRPr="00057368">
        <w:t>MRAC notes the potential benefits of pre-surgery exercises</w:t>
      </w:r>
      <w:r w:rsidR="00DA0E72">
        <w:t xml:space="preserve"> / </w:t>
      </w:r>
      <w:r w:rsidRPr="00057368">
        <w:t>pre-operative optimisation</w:t>
      </w:r>
      <w:r w:rsidR="00911CA2">
        <w:t xml:space="preserve"> strategies and</w:t>
      </w:r>
      <w:r w:rsidRPr="00057368">
        <w:t xml:space="preserve"> refers </w:t>
      </w:r>
      <w:r w:rsidRPr="00911CA2">
        <w:t xml:space="preserve">this matter to </w:t>
      </w:r>
      <w:r w:rsidR="00DA0E72" w:rsidRPr="00911CA2">
        <w:rPr>
          <w:sz w:val="22"/>
          <w:szCs w:val="20"/>
        </w:rPr>
        <w:t xml:space="preserve">MRAC’s </w:t>
      </w:r>
      <w:r w:rsidR="00911CA2" w:rsidRPr="00911CA2">
        <w:rPr>
          <w:sz w:val="22"/>
          <w:szCs w:val="20"/>
        </w:rPr>
        <w:t>Chronic Conditions Management</w:t>
      </w:r>
      <w:r w:rsidR="00911CA2">
        <w:rPr>
          <w:sz w:val="22"/>
          <w:szCs w:val="20"/>
        </w:rPr>
        <w:t xml:space="preserve"> </w:t>
      </w:r>
      <w:r w:rsidRPr="00911CA2">
        <w:t>Review for consideration</w:t>
      </w:r>
      <w:r w:rsidR="00D80530" w:rsidRPr="00911CA2">
        <w:t>.</w:t>
      </w:r>
      <w:r w:rsidRPr="00057368">
        <w:t xml:space="preserve"> </w:t>
      </w:r>
    </w:p>
    <w:p w14:paraId="2E37146D" w14:textId="30CC39EF" w:rsidR="00A92720" w:rsidRDefault="00685147" w:rsidP="00A92720">
      <w:pPr>
        <w:pStyle w:val="Heading2"/>
      </w:pPr>
      <w:bookmarkStart w:id="104" w:name="_Unsupported_draft_recommendations_1"/>
      <w:bookmarkStart w:id="105" w:name="_Toc227143256"/>
      <w:bookmarkStart w:id="106" w:name="_Toc227143313"/>
      <w:bookmarkEnd w:id="104"/>
      <w:r>
        <w:t>Outstanding Issues</w:t>
      </w:r>
      <w:bookmarkEnd w:id="105"/>
      <w:bookmarkEnd w:id="106"/>
    </w:p>
    <w:p w14:paraId="69EE6981" w14:textId="77777777" w:rsidR="007A4B45" w:rsidRPr="00832017" w:rsidRDefault="007A4B45" w:rsidP="00832017">
      <w:r w:rsidRPr="007A4B45">
        <w:rPr>
          <w:rFonts w:cs="Arial"/>
        </w:rPr>
        <w:t>The Vascular Interventional Radiology Working Group did not reach consensus on the following issues:</w:t>
      </w:r>
    </w:p>
    <w:p w14:paraId="0EE84983" w14:textId="1B3CE925" w:rsidR="00615E45" w:rsidRPr="00832017" w:rsidRDefault="007A4B45" w:rsidP="00832017">
      <w:pPr>
        <w:pStyle w:val="ListNumber"/>
        <w:numPr>
          <w:ilvl w:val="0"/>
          <w:numId w:val="44"/>
        </w:numPr>
      </w:pPr>
      <w:r w:rsidRPr="00832017">
        <w:t>Maintaining a separation between the MBS items for diagnostic-only services provided by Interventional Radiologists and Interventional Neuroradiologists (for services for the head, neck, and spine).  Interventional Neuroradiology to have a parallel set of MBS diagnostic items that are identical to, but separate from, the revised structure for diagnostic-only items proposed in this report.</w:t>
      </w:r>
    </w:p>
    <w:p w14:paraId="002B38C2" w14:textId="4CDAD7D4" w:rsidR="00615E45" w:rsidRPr="00832017" w:rsidRDefault="007A4B45" w:rsidP="00832017">
      <w:pPr>
        <w:pStyle w:val="ListNumber"/>
      </w:pPr>
      <w:r w:rsidRPr="00832017">
        <w:t>Amending the arrangements applying to MBS items 104 and 105</w:t>
      </w:r>
      <w:r w:rsidRPr="00832017">
        <w:footnoteReference w:id="6"/>
      </w:r>
      <w:r w:rsidRPr="00832017">
        <w:t xml:space="preserve"> for initial and subsequent specialist consultations, to remove any administrative barriers to the use of these items by </w:t>
      </w:r>
      <w:r w:rsidR="00DA0E72" w:rsidRPr="00832017">
        <w:t>i</w:t>
      </w:r>
      <w:r w:rsidRPr="00832017">
        <w:t xml:space="preserve">nterventional </w:t>
      </w:r>
      <w:r w:rsidR="00DA0E72" w:rsidRPr="00832017">
        <w:t>r</w:t>
      </w:r>
      <w:r w:rsidRPr="00832017">
        <w:t xml:space="preserve">adiologists and </w:t>
      </w:r>
      <w:r w:rsidR="00DA0E72" w:rsidRPr="00832017">
        <w:t>i</w:t>
      </w:r>
      <w:r w:rsidRPr="00832017">
        <w:t xml:space="preserve">nterventional </w:t>
      </w:r>
      <w:r w:rsidR="00DA0E72" w:rsidRPr="00832017">
        <w:t>n</w:t>
      </w:r>
      <w:r w:rsidRPr="00832017">
        <w:t>euroradiologists.</w:t>
      </w:r>
    </w:p>
    <w:p w14:paraId="5D61B517" w14:textId="55169943" w:rsidR="00615E45" w:rsidRPr="00832017" w:rsidRDefault="007A4B45" w:rsidP="00832017">
      <w:pPr>
        <w:pStyle w:val="ListNumber"/>
      </w:pPr>
      <w:r w:rsidRPr="00832017">
        <w:t xml:space="preserve">Removing restrictions that prevent </w:t>
      </w:r>
      <w:r w:rsidR="00DA0E72" w:rsidRPr="00832017">
        <w:t>i</w:t>
      </w:r>
      <w:r w:rsidRPr="00832017">
        <w:t xml:space="preserve">nterventional </w:t>
      </w:r>
      <w:r w:rsidR="00DA0E72" w:rsidRPr="00832017">
        <w:t>r</w:t>
      </w:r>
      <w:r w:rsidRPr="00832017">
        <w:t xml:space="preserve">adiologists and </w:t>
      </w:r>
      <w:r w:rsidR="00DA0E72" w:rsidRPr="00832017">
        <w:t>i</w:t>
      </w:r>
      <w:r w:rsidRPr="00832017">
        <w:t xml:space="preserve">nterventional </w:t>
      </w:r>
      <w:r w:rsidR="00DA0E72" w:rsidRPr="00832017">
        <w:t>n</w:t>
      </w:r>
      <w:r w:rsidRPr="00832017">
        <w:t>euroradiologists from self-determining the need for diagnostic tests.</w:t>
      </w:r>
    </w:p>
    <w:p w14:paraId="1FA5152C" w14:textId="46A71E17" w:rsidR="00615E45" w:rsidRPr="00832017" w:rsidRDefault="007A4B45" w:rsidP="00832017">
      <w:pPr>
        <w:pStyle w:val="ListNumber"/>
      </w:pPr>
      <w:r w:rsidRPr="00832017">
        <w:t xml:space="preserve">Introducing appropriate theatre banding levels for </w:t>
      </w:r>
      <w:r w:rsidR="00DA0E72" w:rsidRPr="00832017">
        <w:t>i</w:t>
      </w:r>
      <w:r w:rsidRPr="00832017">
        <w:t xml:space="preserve">nterventional </w:t>
      </w:r>
      <w:r w:rsidR="00DA0E72" w:rsidRPr="00832017">
        <w:t>r</w:t>
      </w:r>
      <w:r w:rsidRPr="00832017">
        <w:t xml:space="preserve">adiology and </w:t>
      </w:r>
      <w:r w:rsidR="00DA0E72" w:rsidRPr="00832017">
        <w:t>i</w:t>
      </w:r>
      <w:r w:rsidRPr="00832017">
        <w:t xml:space="preserve">nterventional </w:t>
      </w:r>
      <w:r w:rsidR="00DA0E72" w:rsidRPr="00832017">
        <w:t>n</w:t>
      </w:r>
      <w:r w:rsidRPr="00832017">
        <w:t>euroradiology procedures.</w:t>
      </w:r>
    </w:p>
    <w:p w14:paraId="2E3A9675" w14:textId="77777777" w:rsidR="007A4B45" w:rsidRDefault="007A4B45" w:rsidP="00832017">
      <w:r w:rsidRPr="00D121FE">
        <w:t>MRAC recommends that these issues be considered as part of any relevant future review or reform processes by the Department, in consultation with relevant stakeholders.</w:t>
      </w:r>
    </w:p>
    <w:p w14:paraId="13CA5AE7" w14:textId="09F17370" w:rsidR="00451BCA" w:rsidRDefault="00EB2D32" w:rsidP="00451BCA">
      <w:pPr>
        <w:pStyle w:val="Heading1"/>
        <w:spacing w:after="240"/>
      </w:pPr>
      <w:bookmarkStart w:id="107" w:name="_Issues"/>
      <w:bookmarkStart w:id="108" w:name="_Hlk219796032"/>
      <w:bookmarkStart w:id="109" w:name="_Toc227143257"/>
      <w:bookmarkStart w:id="110" w:name="_Toc227143314"/>
      <w:bookmarkEnd w:id="65"/>
      <w:bookmarkEnd w:id="66"/>
      <w:bookmarkEnd w:id="67"/>
      <w:bookmarkEnd w:id="68"/>
      <w:bookmarkEnd w:id="107"/>
      <w:r>
        <w:t>Considerations for implementation</w:t>
      </w:r>
      <w:bookmarkEnd w:id="109"/>
      <w:bookmarkEnd w:id="110"/>
    </w:p>
    <w:bookmarkEnd w:id="108"/>
    <w:p w14:paraId="6F26D36A" w14:textId="60EB006F" w:rsidR="002015A5" w:rsidRPr="00F8786C" w:rsidRDefault="00655F34" w:rsidP="00F8786C">
      <w:pPr>
        <w:rPr>
          <w:highlight w:val="green"/>
        </w:rPr>
      </w:pPr>
      <w:r w:rsidRPr="00F8786C">
        <w:t>The VIRWG noted several issues that may affect implementation</w:t>
      </w:r>
      <w:r w:rsidR="002015A5" w:rsidRPr="00F8786C">
        <w:t>:</w:t>
      </w:r>
    </w:p>
    <w:p w14:paraId="0CB16E2F" w14:textId="5E4D824A" w:rsidR="002015A5" w:rsidRPr="007D1F8D" w:rsidRDefault="003239C0" w:rsidP="00832017">
      <w:pPr>
        <w:pStyle w:val="ListBullet"/>
      </w:pPr>
      <w:r>
        <w:t xml:space="preserve">the </w:t>
      </w:r>
      <w:r w:rsidRPr="007D1F8D">
        <w:t xml:space="preserve">rapidly evolving clinical and technological landscape </w:t>
      </w:r>
      <w:r w:rsidR="003B7C9A">
        <w:t xml:space="preserve">in which </w:t>
      </w:r>
      <w:r w:rsidR="002015A5" w:rsidRPr="007D1F8D">
        <w:t>vascular surgery and IR/INR exist</w:t>
      </w:r>
    </w:p>
    <w:p w14:paraId="0DDCCBEE" w14:textId="258A6DC3" w:rsidR="002015A5" w:rsidRPr="007D1F8D" w:rsidRDefault="007D1F8D" w:rsidP="00832017">
      <w:pPr>
        <w:pStyle w:val="ListBullet"/>
      </w:pPr>
      <w:r>
        <w:t xml:space="preserve">MBS </w:t>
      </w:r>
      <w:r w:rsidR="002015A5" w:rsidRPr="007D1F8D">
        <w:t>item fees</w:t>
      </w:r>
      <w:r w:rsidR="0093668E">
        <w:t xml:space="preserve"> and budget</w:t>
      </w:r>
    </w:p>
    <w:p w14:paraId="056E7679" w14:textId="2277B9A8" w:rsidR="002015A5" w:rsidRPr="007D1F8D" w:rsidRDefault="005547E0" w:rsidP="00832017">
      <w:pPr>
        <w:pStyle w:val="ListBullet"/>
      </w:pPr>
      <w:r>
        <w:t>t</w:t>
      </w:r>
      <w:r w:rsidR="002E026A">
        <w:t xml:space="preserve">he </w:t>
      </w:r>
      <w:r w:rsidR="002015A5" w:rsidRPr="007D1F8D">
        <w:t>potential for reform</w:t>
      </w:r>
      <w:r w:rsidR="00C752F4">
        <w:t>ing</w:t>
      </w:r>
      <w:r w:rsidR="002015A5" w:rsidRPr="007D1F8D">
        <w:t xml:space="preserve"> MBS items for diagnostic angiography, including diagnostic-only angiography and bundling with procedural services.</w:t>
      </w:r>
    </w:p>
    <w:p w14:paraId="4BBEDEB8" w14:textId="4D9E0CB3" w:rsidR="001D0EB0" w:rsidRPr="00B52CB6" w:rsidRDefault="001D0EB0" w:rsidP="005E24FB">
      <w:pPr>
        <w:pStyle w:val="Heading2"/>
      </w:pPr>
      <w:bookmarkStart w:id="111" w:name="_Unsupported_draft_recommendations"/>
      <w:bookmarkStart w:id="112" w:name="_Toc227143258"/>
      <w:bookmarkStart w:id="113" w:name="_Toc227143315"/>
      <w:bookmarkEnd w:id="111"/>
      <w:r w:rsidRPr="00B52CB6">
        <w:t xml:space="preserve">The </w:t>
      </w:r>
      <w:r w:rsidR="00BA3C02" w:rsidRPr="00B52CB6">
        <w:t>rapidly evolving</w:t>
      </w:r>
      <w:r w:rsidRPr="00B52CB6">
        <w:t xml:space="preserve"> clinical and technological landscape</w:t>
      </w:r>
      <w:bookmarkEnd w:id="112"/>
      <w:bookmarkEnd w:id="113"/>
    </w:p>
    <w:p w14:paraId="3C1341E4" w14:textId="6E6C7154" w:rsidR="00F422DB" w:rsidRPr="00D22A16" w:rsidRDefault="00F422DB" w:rsidP="00F422DB">
      <w:r w:rsidRPr="00D22A16">
        <w:t xml:space="preserve">The VIRWG </w:t>
      </w:r>
      <w:r>
        <w:t>acknowledged t</w:t>
      </w:r>
      <w:r w:rsidRPr="00D22A16">
        <w:t xml:space="preserve">he rapidly evolving clinical landscape in which </w:t>
      </w:r>
      <w:r>
        <w:t xml:space="preserve">vascular surgery and IR/INR </w:t>
      </w:r>
      <w:r w:rsidRPr="00D22A16">
        <w:t xml:space="preserve">operate, due in part to technological advancements. These changes </w:t>
      </w:r>
      <w:r>
        <w:t>are resulting</w:t>
      </w:r>
      <w:r w:rsidRPr="00D22A16">
        <w:t xml:space="preserve"> in improved technologies and clinical modalities used to deliver vascular and IR/INR services</w:t>
      </w:r>
      <w:r>
        <w:t>,</w:t>
      </w:r>
      <w:r w:rsidRPr="00D22A16">
        <w:t xml:space="preserve"> </w:t>
      </w:r>
      <w:r>
        <w:t xml:space="preserve">both </w:t>
      </w:r>
      <w:r w:rsidRPr="00D22A16">
        <w:t>in Australia</w:t>
      </w:r>
      <w:r>
        <w:t xml:space="preserve"> and internationally</w:t>
      </w:r>
      <w:r w:rsidRPr="00D22A16">
        <w:t>. Clinical practice in vascular medicine continues to change, with the understanding of vascular diseases growing constantly and new therapeutic procedures being developed. Many factors drive the evolution of vascular medicine, including the ongoing advance</w:t>
      </w:r>
      <w:r w:rsidR="008E7E6A">
        <w:t>ment</w:t>
      </w:r>
      <w:r w:rsidRPr="00D22A16">
        <w:t xml:space="preserve"> of evidence-based practice</w:t>
      </w:r>
      <w:r w:rsidR="0037681E">
        <w:t>,</w:t>
      </w:r>
      <w:r w:rsidRPr="00D22A16">
        <w:t xml:space="preserve"> innovations in minimally invasive techniques, and technologies that have extended such interventions beyond what may be considered traditional vascular treatment. There has been a </w:t>
      </w:r>
      <w:r>
        <w:t xml:space="preserve">perceptible </w:t>
      </w:r>
      <w:r w:rsidR="00B32D38">
        <w:t xml:space="preserve">clinical </w:t>
      </w:r>
      <w:r w:rsidRPr="00D22A16">
        <w:t>shift toward</w:t>
      </w:r>
      <w:r>
        <w:t>s</w:t>
      </w:r>
      <w:r w:rsidRPr="00D22A16">
        <w:t xml:space="preserve"> more endovascular services and less open surgery, particularly </w:t>
      </w:r>
      <w:r w:rsidR="00BA7352">
        <w:t>for</w:t>
      </w:r>
      <w:r w:rsidR="00BA7352" w:rsidRPr="00D22A16">
        <w:t xml:space="preserve"> </w:t>
      </w:r>
      <w:r w:rsidRPr="00D22A16">
        <w:t>arterial diseases.</w:t>
      </w:r>
    </w:p>
    <w:p w14:paraId="49D3A4BD" w14:textId="77777777" w:rsidR="00F422DB" w:rsidRDefault="00F422DB" w:rsidP="00F422DB">
      <w:r>
        <w:t xml:space="preserve">In the future, the integration </w:t>
      </w:r>
      <w:r w:rsidRPr="00D22A16">
        <w:t xml:space="preserve">of genetic factors, use of artificial intelligence (AI) and robot-assisted procedures </w:t>
      </w:r>
      <w:r>
        <w:t xml:space="preserve">are expected </w:t>
      </w:r>
      <w:r w:rsidRPr="00D22A16">
        <w:t>to play a vital role in improving technical success across many settings</w:t>
      </w:r>
      <w:r>
        <w:t xml:space="preserve">, potentially having a profound influence on </w:t>
      </w:r>
      <w:r w:rsidRPr="00D22A16">
        <w:t xml:space="preserve">how vascular medicine is conducted. </w:t>
      </w:r>
    </w:p>
    <w:p w14:paraId="12462FF8" w14:textId="0287BF1A" w:rsidR="001D0EB0" w:rsidRPr="00B52CB6" w:rsidRDefault="001D0EB0" w:rsidP="005E24FB">
      <w:pPr>
        <w:pStyle w:val="Heading2"/>
      </w:pPr>
      <w:bookmarkStart w:id="114" w:name="_Toc227143259"/>
      <w:bookmarkStart w:id="115" w:name="_Toc227143316"/>
      <w:r w:rsidRPr="00B52CB6">
        <w:t>MBS fees</w:t>
      </w:r>
      <w:r w:rsidR="0093668E">
        <w:t xml:space="preserve"> and budget</w:t>
      </w:r>
      <w:bookmarkEnd w:id="114"/>
      <w:bookmarkEnd w:id="115"/>
    </w:p>
    <w:p w14:paraId="36AD5676" w14:textId="7C6EE5D5" w:rsidR="00D2700F" w:rsidRDefault="00D2700F" w:rsidP="00D2700F">
      <w:r>
        <w:t>M</w:t>
      </w:r>
      <w:r w:rsidRPr="00D22A16">
        <w:t xml:space="preserve">any </w:t>
      </w:r>
      <w:r w:rsidR="00E74A0D">
        <w:t>MBS</w:t>
      </w:r>
      <w:r w:rsidRPr="00D22A16">
        <w:t xml:space="preserve"> </w:t>
      </w:r>
      <w:r>
        <w:t>claims</w:t>
      </w:r>
      <w:r w:rsidRPr="00D22A16">
        <w:t xml:space="preserve"> for vascular </w:t>
      </w:r>
      <w:r>
        <w:t xml:space="preserve">surgery </w:t>
      </w:r>
      <w:r w:rsidRPr="00D22A16">
        <w:t xml:space="preserve">and IR/INR are currently </w:t>
      </w:r>
      <w:r>
        <w:t>made</w:t>
      </w:r>
      <w:r w:rsidRPr="00D22A16">
        <w:t xml:space="preserve"> against existing MBS items that are not specific to the procedure</w:t>
      </w:r>
      <w:r w:rsidR="00D92989">
        <w:t>s</w:t>
      </w:r>
      <w:r w:rsidRPr="00D22A16">
        <w:t xml:space="preserve"> provided</w:t>
      </w:r>
      <w:r>
        <w:t xml:space="preserve"> </w:t>
      </w:r>
      <w:r w:rsidR="00AF4E28">
        <w:t>and whose</w:t>
      </w:r>
      <w:r w:rsidR="001B45A3">
        <w:t xml:space="preserve"> </w:t>
      </w:r>
      <w:r>
        <w:t>fee</w:t>
      </w:r>
      <w:r w:rsidR="00495AC6">
        <w:t>s</w:t>
      </w:r>
      <w:r>
        <w:t xml:space="preserve"> do not </w:t>
      </w:r>
      <w:r w:rsidRPr="00D22A16">
        <w:t xml:space="preserve">reflect the complexity </w:t>
      </w:r>
      <w:r w:rsidR="00AF4E28">
        <w:t xml:space="preserve">or time requirement </w:t>
      </w:r>
      <w:r w:rsidRPr="00D22A16">
        <w:t xml:space="preserve">of the service. </w:t>
      </w:r>
    </w:p>
    <w:p w14:paraId="32DABDDE" w14:textId="31321A78" w:rsidR="00D2700F" w:rsidRDefault="00D2700F" w:rsidP="00D2700F">
      <w:r>
        <w:t>T</w:t>
      </w:r>
      <w:r w:rsidRPr="00D22A16">
        <w:t xml:space="preserve">he VIRWG </w:t>
      </w:r>
      <w:r>
        <w:t xml:space="preserve">understood that its recommendations would likely affect </w:t>
      </w:r>
      <w:r w:rsidRPr="00D22A16">
        <w:t xml:space="preserve">Medicare expenditure and </w:t>
      </w:r>
      <w:r>
        <w:t xml:space="preserve">that </w:t>
      </w:r>
      <w:r w:rsidR="00064A79">
        <w:t xml:space="preserve">the </w:t>
      </w:r>
      <w:r w:rsidR="00C8554E">
        <w:t>d</w:t>
      </w:r>
      <w:r w:rsidR="00064A79">
        <w:t xml:space="preserve">epartment must consider the budget impact of </w:t>
      </w:r>
      <w:r>
        <w:t xml:space="preserve">any </w:t>
      </w:r>
      <w:r w:rsidR="00C8746D">
        <w:t xml:space="preserve">proposed </w:t>
      </w:r>
      <w:r>
        <w:t xml:space="preserve">MBS changes. </w:t>
      </w:r>
      <w:r w:rsidR="00682114">
        <w:t xml:space="preserve">Members </w:t>
      </w:r>
      <w:r w:rsidR="00F14094">
        <w:t>supported</w:t>
      </w:r>
      <w:r w:rsidR="000353BF">
        <w:t xml:space="preserve"> </w:t>
      </w:r>
      <w:r w:rsidR="00E908B3" w:rsidRPr="004842B3">
        <w:t>reinvest</w:t>
      </w:r>
      <w:r w:rsidR="00E908B3">
        <w:t>ing</w:t>
      </w:r>
      <w:r w:rsidR="00E908B3" w:rsidRPr="004842B3">
        <w:t xml:space="preserve"> </w:t>
      </w:r>
      <w:r>
        <w:t xml:space="preserve">any </w:t>
      </w:r>
      <w:r w:rsidRPr="004842B3">
        <w:t xml:space="preserve">Medicare </w:t>
      </w:r>
      <w:r w:rsidR="001929E0">
        <w:t>cost</w:t>
      </w:r>
      <w:r w:rsidR="001D47D4">
        <w:t xml:space="preserve"> </w:t>
      </w:r>
      <w:r w:rsidRPr="004842B3">
        <w:t xml:space="preserve">savings achieved </w:t>
      </w:r>
      <w:r w:rsidR="003C54D0">
        <w:t>from</w:t>
      </w:r>
      <w:r w:rsidRPr="004842B3">
        <w:t xml:space="preserve"> </w:t>
      </w:r>
      <w:r w:rsidR="00682114">
        <w:t>their</w:t>
      </w:r>
      <w:r w:rsidR="00682114" w:rsidRPr="004842B3">
        <w:t xml:space="preserve"> </w:t>
      </w:r>
      <w:r w:rsidRPr="004842B3">
        <w:t>recommendations</w:t>
      </w:r>
      <w:r>
        <w:t xml:space="preserve"> </w:t>
      </w:r>
      <w:r w:rsidRPr="004842B3">
        <w:t>in</w:t>
      </w:r>
      <w:r w:rsidR="001D47D4">
        <w:t>to</w:t>
      </w:r>
      <w:r w:rsidRPr="004842B3">
        <w:t xml:space="preserve"> </w:t>
      </w:r>
      <w:r>
        <w:t xml:space="preserve">the </w:t>
      </w:r>
      <w:r w:rsidRPr="004842B3">
        <w:t>vascular</w:t>
      </w:r>
      <w:r>
        <w:t>/</w:t>
      </w:r>
      <w:r w:rsidRPr="004842B3">
        <w:t>IR</w:t>
      </w:r>
      <w:r>
        <w:t>/</w:t>
      </w:r>
      <w:r w:rsidRPr="004842B3">
        <w:t>INR se</w:t>
      </w:r>
      <w:r>
        <w:t>ctor</w:t>
      </w:r>
      <w:r w:rsidR="003C54D0">
        <w:t>,</w:t>
      </w:r>
      <w:r>
        <w:t xml:space="preserve"> to promote service sustainability and improve patient access.</w:t>
      </w:r>
    </w:p>
    <w:p w14:paraId="38A50D3C" w14:textId="77777777" w:rsidR="001D0EB0" w:rsidRPr="00B52CB6" w:rsidRDefault="001D0EB0" w:rsidP="005E24FB">
      <w:pPr>
        <w:pStyle w:val="Heading2"/>
      </w:pPr>
      <w:bookmarkStart w:id="116" w:name="_Toc227143260"/>
      <w:bookmarkStart w:id="117" w:name="_Toc227143317"/>
      <w:r w:rsidRPr="00B52CB6">
        <w:t>Potential for reform</w:t>
      </w:r>
      <w:bookmarkEnd w:id="116"/>
      <w:bookmarkEnd w:id="117"/>
      <w:r w:rsidRPr="00B52CB6">
        <w:t xml:space="preserve"> </w:t>
      </w:r>
    </w:p>
    <w:p w14:paraId="13A7CBD9" w14:textId="71EA7385" w:rsidR="00A92720" w:rsidRPr="004842B3" w:rsidRDefault="00A92720" w:rsidP="00A92720">
      <w:r>
        <w:t>S</w:t>
      </w:r>
      <w:r w:rsidRPr="004842B3">
        <w:t xml:space="preserve">ignificant improvements in service effectiveness </w:t>
      </w:r>
      <w:r>
        <w:t xml:space="preserve">may be </w:t>
      </w:r>
      <w:r w:rsidRPr="004842B3">
        <w:t xml:space="preserve">achieved by reforming the current set of diagnostic angiography items and bundling diagnostic angiography and fluoroscopy with a range of procedural services. </w:t>
      </w:r>
    </w:p>
    <w:p w14:paraId="274407A5" w14:textId="2CBB7D3B" w:rsidR="00A92720" w:rsidRDefault="00A92720" w:rsidP="00A92720">
      <w:r>
        <w:t xml:space="preserve">Currently, most of the angiography </w:t>
      </w:r>
      <w:r w:rsidR="00D6427B">
        <w:t xml:space="preserve">MBS </w:t>
      </w:r>
      <w:r>
        <w:t xml:space="preserve">items in </w:t>
      </w:r>
      <w:r w:rsidR="00F643FA">
        <w:t>‘</w:t>
      </w:r>
      <w:r>
        <w:t xml:space="preserve">Category 5: Diagnostic </w:t>
      </w:r>
      <w:r w:rsidR="00F643FA">
        <w:t>i</w:t>
      </w:r>
      <w:r>
        <w:t xml:space="preserve">maging </w:t>
      </w:r>
      <w:r w:rsidR="00F643FA">
        <w:t>s</w:t>
      </w:r>
      <w:r>
        <w:t>ervices</w:t>
      </w:r>
      <w:r w:rsidR="00F643FA">
        <w:t>’</w:t>
      </w:r>
      <w:r>
        <w:t xml:space="preserve"> are categorised by </w:t>
      </w:r>
      <w:r w:rsidR="005560E3">
        <w:t xml:space="preserve">both </w:t>
      </w:r>
      <w:r>
        <w:t xml:space="preserve">location in the body and the number of required acquisition runs. The VIRWG recommended </w:t>
      </w:r>
      <w:r w:rsidR="005560E3">
        <w:t>introducing</w:t>
      </w:r>
      <w:r>
        <w:t xml:space="preserve"> new general diagnostic items that would </w:t>
      </w:r>
      <w:r w:rsidR="00B32A5D">
        <w:t xml:space="preserve">only </w:t>
      </w:r>
      <w:r>
        <w:t xml:space="preserve">include angiography and fluoroscopy </w:t>
      </w:r>
      <w:r w:rsidR="00F643FA">
        <w:t xml:space="preserve">(see </w:t>
      </w:r>
      <w:hyperlink w:anchor="_Angiography_and_fluoroscopy" w:history="1">
        <w:r w:rsidR="00F643FA" w:rsidRPr="00073E1C">
          <w:rPr>
            <w:rStyle w:val="Hyperlink"/>
          </w:rPr>
          <w:t>Recommendation 2</w:t>
        </w:r>
      </w:hyperlink>
      <w:r w:rsidR="00F643FA">
        <w:t>)</w:t>
      </w:r>
      <w:r>
        <w:t xml:space="preserve">. Other </w:t>
      </w:r>
      <w:r w:rsidR="0041225E">
        <w:t>clinically necessary</w:t>
      </w:r>
      <w:r>
        <w:t xml:space="preserve"> diagnostic modalities, such as ultrasound </w:t>
      </w:r>
      <w:r w:rsidR="00EA26EE">
        <w:t xml:space="preserve">and </w:t>
      </w:r>
      <w:r>
        <w:t>computed tomography, would continue to attract Medicare rebates in line with current practice.</w:t>
      </w:r>
    </w:p>
    <w:p w14:paraId="0EE08A5E" w14:textId="6E85732B" w:rsidR="00446E45" w:rsidRPr="00446E45" w:rsidRDefault="00A92720" w:rsidP="00446E45">
      <w:r w:rsidRPr="004842B3">
        <w:t xml:space="preserve">The VIRWG </w:t>
      </w:r>
      <w:r>
        <w:t xml:space="preserve">also </w:t>
      </w:r>
      <w:r w:rsidRPr="004842B3">
        <w:t>propose</w:t>
      </w:r>
      <w:r>
        <w:t>d</w:t>
      </w:r>
      <w:r w:rsidRPr="004842B3">
        <w:t xml:space="preserve"> that diagnostic angiography and fluoroscopy be acknowledged as an essential component of many vascular services.</w:t>
      </w:r>
      <w:r w:rsidR="000C4780">
        <w:t xml:space="preserve"> </w:t>
      </w:r>
      <w:r w:rsidRPr="004842B3">
        <w:t>Th</w:t>
      </w:r>
      <w:r>
        <w:t>ese p</w:t>
      </w:r>
      <w:r w:rsidRPr="004842B3">
        <w:t>roposed reform</w:t>
      </w:r>
      <w:r>
        <w:t>s</w:t>
      </w:r>
      <w:r w:rsidRPr="004842B3">
        <w:t xml:space="preserve"> </w:t>
      </w:r>
      <w:r>
        <w:t xml:space="preserve">are </w:t>
      </w:r>
      <w:r w:rsidRPr="004842B3">
        <w:t>in line with recommendations 6 and</w:t>
      </w:r>
      <w:r>
        <w:t> </w:t>
      </w:r>
      <w:r w:rsidRPr="004842B3">
        <w:t>7</w:t>
      </w:r>
      <w:r>
        <w:t xml:space="preserve"> of the </w:t>
      </w:r>
      <w:hyperlink r:id="rId14" w:history="1">
        <w:r w:rsidRPr="005B26BD">
          <w:rPr>
            <w:rStyle w:val="Hyperlink"/>
          </w:rPr>
          <w:t xml:space="preserve">MBS </w:t>
        </w:r>
        <w:r w:rsidR="00EE287E" w:rsidRPr="005B26BD">
          <w:rPr>
            <w:rStyle w:val="Hyperlink"/>
          </w:rPr>
          <w:t xml:space="preserve">Review </w:t>
        </w:r>
        <w:r w:rsidRPr="005B26BD">
          <w:rPr>
            <w:rStyle w:val="Hyperlink"/>
          </w:rPr>
          <w:t>Taskforce report</w:t>
        </w:r>
      </w:hyperlink>
      <w:r w:rsidRPr="004842B3">
        <w:t>.</w:t>
      </w:r>
    </w:p>
    <w:p w14:paraId="5728FE48" w14:textId="77777777" w:rsidR="00821270" w:rsidRDefault="00821270" w:rsidP="00821270">
      <w:r>
        <w:br w:type="page"/>
      </w:r>
    </w:p>
    <w:p w14:paraId="5AAFEA98" w14:textId="77777777" w:rsidR="00821270" w:rsidRPr="0011171D" w:rsidRDefault="00821270" w:rsidP="00821270">
      <w:pPr>
        <w:pStyle w:val="Heading1"/>
      </w:pPr>
      <w:bookmarkStart w:id="118" w:name="_Consultation_and_feedback"/>
      <w:bookmarkStart w:id="119" w:name="_Toc119068547"/>
      <w:bookmarkStart w:id="120" w:name="_Toc119920766"/>
      <w:bookmarkStart w:id="121" w:name="_Toc227143261"/>
      <w:bookmarkStart w:id="122" w:name="_Toc227143318"/>
      <w:bookmarkEnd w:id="118"/>
      <w:r w:rsidRPr="0011171D">
        <w:t>Consultation and feedback review process</w:t>
      </w:r>
      <w:bookmarkEnd w:id="119"/>
      <w:bookmarkEnd w:id="120"/>
      <w:bookmarkEnd w:id="121"/>
      <w:bookmarkEnd w:id="122"/>
    </w:p>
    <w:p w14:paraId="29C7AC47" w14:textId="12EC0DB1" w:rsidR="00821270" w:rsidRPr="00FF77E4" w:rsidRDefault="00821270" w:rsidP="00C76E38">
      <w:r w:rsidRPr="00FF77E4">
        <w:t xml:space="preserve">Consultation with relevant and interested organisations, peak bodies and consumers is considered essential in the formulation of advice to </w:t>
      </w:r>
      <w:r w:rsidR="003024EE">
        <w:t>G</w:t>
      </w:r>
      <w:r w:rsidRPr="00FF77E4">
        <w:t>overnment on recommended changes to MBS items. The MRAC and its working groups seek feedback on their understanding of the existing model of care and issues of consideration, with particular emphasis on any (yet) unidentified consequences that may result from proposed changes.</w:t>
      </w:r>
    </w:p>
    <w:p w14:paraId="6C28D836" w14:textId="77777777" w:rsidR="00821270" w:rsidRPr="00FF77E4" w:rsidRDefault="00821270" w:rsidP="00C76E38">
      <w:r w:rsidRPr="00FF77E4">
        <w:t>All feedback provided through consultation processes is considered.</w:t>
      </w:r>
    </w:p>
    <w:p w14:paraId="1C04DA48" w14:textId="0263D857" w:rsidR="00C76E38" w:rsidRPr="005E715D" w:rsidRDefault="00C76E38" w:rsidP="005E715D">
      <w:pPr>
        <w:pStyle w:val="Heading2"/>
      </w:pPr>
      <w:bookmarkStart w:id="123" w:name="_Toc107920681"/>
      <w:bookmarkStart w:id="124" w:name="_Toc119068548"/>
      <w:bookmarkStart w:id="125" w:name="_Toc119920767"/>
      <w:bookmarkStart w:id="126" w:name="_Toc227143262"/>
      <w:bookmarkStart w:id="127" w:name="_Toc227143319"/>
      <w:r w:rsidRPr="00BB76E7">
        <w:t>Consultation</w:t>
      </w:r>
      <w:r w:rsidR="008F75B7">
        <w:t xml:space="preserve"> and</w:t>
      </w:r>
      <w:r w:rsidRPr="00BB76E7">
        <w:t xml:space="preserve"> outcomes</w:t>
      </w:r>
      <w:bookmarkEnd w:id="126"/>
      <w:bookmarkEnd w:id="127"/>
    </w:p>
    <w:p w14:paraId="0136AA17" w14:textId="4FF44F7E" w:rsidR="00C76E38" w:rsidRPr="00AF7870" w:rsidRDefault="00C76E38" w:rsidP="00C76E38">
      <w:r w:rsidRPr="00AF7870">
        <w:t xml:space="preserve">The VIRWG </w:t>
      </w:r>
      <w:r w:rsidR="001B127A">
        <w:t xml:space="preserve">draft report </w:t>
      </w:r>
      <w:r w:rsidRPr="00AF7870">
        <w:t>was</w:t>
      </w:r>
      <w:r w:rsidR="001B2C58">
        <w:t xml:space="preserve"> </w:t>
      </w:r>
      <w:r w:rsidRPr="00AF7870">
        <w:t>uploaded to</w:t>
      </w:r>
      <w:r w:rsidR="001B2C58">
        <w:t xml:space="preserve"> </w:t>
      </w:r>
      <w:r w:rsidRPr="00AF7870">
        <w:t xml:space="preserve">the </w:t>
      </w:r>
      <w:r w:rsidR="003D3FA8">
        <w:t>department’s</w:t>
      </w:r>
      <w:r w:rsidRPr="00AF7870">
        <w:t xml:space="preserve"> Consultation Hub, with </w:t>
      </w:r>
      <w:r w:rsidR="00FC2458">
        <w:t xml:space="preserve">public </w:t>
      </w:r>
      <w:r w:rsidRPr="00AF7870">
        <w:t>consultation opening</w:t>
      </w:r>
      <w:r w:rsidR="001B2C58">
        <w:t xml:space="preserve"> </w:t>
      </w:r>
      <w:r w:rsidRPr="00AF7870">
        <w:t>on</w:t>
      </w:r>
      <w:r w:rsidR="001B2C58">
        <w:t xml:space="preserve"> </w:t>
      </w:r>
      <w:r w:rsidRPr="00AF7870">
        <w:t>10</w:t>
      </w:r>
      <w:r w:rsidR="001B2C58">
        <w:t> </w:t>
      </w:r>
      <w:r w:rsidRPr="00AF7870">
        <w:t>September</w:t>
      </w:r>
      <w:r w:rsidR="001B2C58">
        <w:t xml:space="preserve"> </w:t>
      </w:r>
      <w:r w:rsidRPr="00AF7870">
        <w:t>2025</w:t>
      </w:r>
      <w:r w:rsidR="001B2C58">
        <w:t xml:space="preserve"> </w:t>
      </w:r>
      <w:r w:rsidRPr="00AF7870">
        <w:t>and closing</w:t>
      </w:r>
      <w:r w:rsidR="001B2C58">
        <w:t xml:space="preserve"> </w:t>
      </w:r>
      <w:r w:rsidRPr="00AF7870">
        <w:t>on 22</w:t>
      </w:r>
      <w:r w:rsidR="001B2C58">
        <w:t> </w:t>
      </w:r>
      <w:r w:rsidRPr="00AF7870">
        <w:t>October</w:t>
      </w:r>
      <w:r w:rsidR="001B2C58">
        <w:t xml:space="preserve"> </w:t>
      </w:r>
      <w:r w:rsidRPr="00AF7870">
        <w:t>2025.</w:t>
      </w:r>
      <w:r w:rsidR="001B2C58">
        <w:t xml:space="preserve"> </w:t>
      </w:r>
      <w:r>
        <w:t>Some o</w:t>
      </w:r>
      <w:r w:rsidRPr="00AF7870">
        <w:t>rganisations requested and were granted extensions until</w:t>
      </w:r>
      <w:r w:rsidR="001B2C58">
        <w:t xml:space="preserve"> </w:t>
      </w:r>
      <w:r w:rsidRPr="00AF7870">
        <w:t>31</w:t>
      </w:r>
      <w:r w:rsidR="001B2C58">
        <w:t> </w:t>
      </w:r>
      <w:r w:rsidRPr="00AF7870">
        <w:t>October</w:t>
      </w:r>
      <w:r w:rsidR="001B2C58">
        <w:t xml:space="preserve"> </w:t>
      </w:r>
      <w:r w:rsidRPr="00AF7870">
        <w:t>2025.</w:t>
      </w:r>
    </w:p>
    <w:p w14:paraId="3258E33E" w14:textId="70B9A02F" w:rsidR="00F26D22" w:rsidRDefault="00C76E38" w:rsidP="000F54B7">
      <w:r w:rsidRPr="00AF7870">
        <w:t>A total of 148 submissions were received.</w:t>
      </w:r>
      <w:r w:rsidR="00F26D22">
        <w:t xml:space="preserve"> </w:t>
      </w:r>
      <w:r w:rsidRPr="00AF7870">
        <w:t>All organisations with</w:t>
      </w:r>
      <w:r w:rsidR="00F26D22">
        <w:t xml:space="preserve"> </w:t>
      </w:r>
      <w:r w:rsidRPr="00AF7870">
        <w:t xml:space="preserve">members on the </w:t>
      </w:r>
      <w:r w:rsidR="00FC2458">
        <w:t>VIRWG</w:t>
      </w:r>
      <w:r w:rsidRPr="00AF7870">
        <w:t xml:space="preserve"> </w:t>
      </w:r>
      <w:r w:rsidR="00A10D19">
        <w:t>provided</w:t>
      </w:r>
      <w:r w:rsidR="00A10D19" w:rsidRPr="00AF7870">
        <w:t xml:space="preserve"> </w:t>
      </w:r>
      <w:r w:rsidRPr="00AF7870">
        <w:t>written submissions. A further 13</w:t>
      </w:r>
      <w:r w:rsidR="00672B71">
        <w:t> </w:t>
      </w:r>
      <w:r w:rsidRPr="00AF7870">
        <w:t xml:space="preserve">organisations </w:t>
      </w:r>
      <w:r w:rsidR="00041BAA">
        <w:t xml:space="preserve">not involved with the VIRWG </w:t>
      </w:r>
      <w:r w:rsidR="00A10D19">
        <w:t>submitted feedback</w:t>
      </w:r>
      <w:r w:rsidR="004C4A54">
        <w:t>. T</w:t>
      </w:r>
      <w:r w:rsidRPr="00AF7870">
        <w:t>he</w:t>
      </w:r>
      <w:r w:rsidR="00672B71">
        <w:t xml:space="preserve"> remaining</w:t>
      </w:r>
      <w:r w:rsidRPr="00AF7870">
        <w:t xml:space="preserve"> submissions were from individuals</w:t>
      </w:r>
      <w:r w:rsidR="00672B71">
        <w:t xml:space="preserve"> </w:t>
      </w:r>
      <w:r w:rsidRPr="00AF7870">
        <w:t>or groups of individuals.</w:t>
      </w:r>
    </w:p>
    <w:p w14:paraId="7CF27128" w14:textId="4DBCE289" w:rsidR="00C76E38" w:rsidRPr="00AF7870" w:rsidRDefault="00C76E38" w:rsidP="00F26D22">
      <w:r w:rsidRPr="00AF7870">
        <w:t>IR/INR</w:t>
      </w:r>
      <w:r w:rsidR="007D5987">
        <w:t xml:space="preserve"> </w:t>
      </w:r>
      <w:r>
        <w:t xml:space="preserve">practitioners </w:t>
      </w:r>
      <w:r w:rsidRPr="00AF7870">
        <w:t>and vascular surgeons</w:t>
      </w:r>
      <w:r w:rsidR="007D5987">
        <w:t xml:space="preserve"> disagreed significantly </w:t>
      </w:r>
      <w:r w:rsidR="00256A54">
        <w:t xml:space="preserve">on </w:t>
      </w:r>
      <w:r w:rsidR="003D1D6B">
        <w:t>several</w:t>
      </w:r>
      <w:r w:rsidRPr="00AF7870">
        <w:t xml:space="preserve"> issues</w:t>
      </w:r>
      <w:r w:rsidR="003D1D6B">
        <w:t>.</w:t>
      </w:r>
      <w:r>
        <w:t xml:space="preserve"> </w:t>
      </w:r>
      <w:r w:rsidR="003D1D6B">
        <w:t xml:space="preserve">Specifically, </w:t>
      </w:r>
      <w:r w:rsidRPr="00AF7870">
        <w:t xml:space="preserve">IR/INR </w:t>
      </w:r>
      <w:r w:rsidR="00256A54">
        <w:t>practitioner</w:t>
      </w:r>
      <w:r w:rsidRPr="00AF7870">
        <w:t xml:space="preserve"> submissions </w:t>
      </w:r>
      <w:proofErr w:type="gramStart"/>
      <w:r w:rsidRPr="005F6FC7">
        <w:rPr>
          <w:rStyle w:val="Strong"/>
        </w:rPr>
        <w:t>support</w:t>
      </w:r>
      <w:r w:rsidR="003D1D6B">
        <w:rPr>
          <w:rStyle w:val="Strong"/>
        </w:rPr>
        <w:t>ed</w:t>
      </w:r>
      <w:proofErr w:type="gramEnd"/>
      <w:r w:rsidRPr="00AF7870">
        <w:t xml:space="preserve"> and vascular surgeon</w:t>
      </w:r>
      <w:r w:rsidR="00041BAA">
        <w:t xml:space="preserve"> submission</w:t>
      </w:r>
      <w:r>
        <w:t>s</w:t>
      </w:r>
      <w:r w:rsidRPr="00AF7870">
        <w:t xml:space="preserve"> </w:t>
      </w:r>
      <w:r w:rsidRPr="005F6FC7">
        <w:rPr>
          <w:rStyle w:val="Strong"/>
        </w:rPr>
        <w:t>reject</w:t>
      </w:r>
      <w:r w:rsidR="003D1D6B">
        <w:rPr>
          <w:rStyle w:val="Strong"/>
        </w:rPr>
        <w:t>ed</w:t>
      </w:r>
      <w:r w:rsidR="00041BAA">
        <w:t xml:space="preserve"> </w:t>
      </w:r>
      <w:r w:rsidRPr="00AF7870">
        <w:t>recommendations</w:t>
      </w:r>
      <w:r>
        <w:t xml:space="preserve"> relating to</w:t>
      </w:r>
      <w:r w:rsidRPr="00AF7870">
        <w:t>:</w:t>
      </w:r>
    </w:p>
    <w:p w14:paraId="7BEC1642" w14:textId="0686CDB1" w:rsidR="00C76E38" w:rsidRPr="00AF7870" w:rsidRDefault="00DD6734" w:rsidP="00832017">
      <w:pPr>
        <w:pStyle w:val="ListBullet"/>
      </w:pPr>
      <w:r>
        <w:t xml:space="preserve">the </w:t>
      </w:r>
      <w:r w:rsidR="00C76E38">
        <w:t>r</w:t>
      </w:r>
      <w:r w:rsidR="00C76E38" w:rsidRPr="00AF7870">
        <w:t>emoval of aftercare restrictions</w:t>
      </w:r>
    </w:p>
    <w:p w14:paraId="2B1EDAD6" w14:textId="611C2477" w:rsidR="00C76E38" w:rsidRDefault="00C76E38" w:rsidP="00832017">
      <w:pPr>
        <w:pStyle w:val="ListBullet"/>
      </w:pPr>
      <w:r>
        <w:t>f</w:t>
      </w:r>
      <w:r w:rsidRPr="00AF7870">
        <w:t>ee parity for</w:t>
      </w:r>
      <w:r w:rsidR="00CE094D">
        <w:t xml:space="preserve"> </w:t>
      </w:r>
      <w:r w:rsidRPr="00AF7870">
        <w:t>equivalent</w:t>
      </w:r>
      <w:r w:rsidR="00CE094D">
        <w:t xml:space="preserve"> </w:t>
      </w:r>
      <w:r w:rsidRPr="00AF7870">
        <w:t>open surgical and endovascular</w:t>
      </w:r>
      <w:r w:rsidR="00CE094D">
        <w:t xml:space="preserve"> </w:t>
      </w:r>
      <w:r w:rsidRPr="00AF7870">
        <w:t>approaches to treatment</w:t>
      </w:r>
    </w:p>
    <w:p w14:paraId="59BE1D21" w14:textId="68C3AE34" w:rsidR="00C76E38" w:rsidRDefault="00C76E38" w:rsidP="00832017">
      <w:pPr>
        <w:pStyle w:val="ListBullet"/>
      </w:pPr>
      <w:r>
        <w:t>reduc</w:t>
      </w:r>
      <w:r w:rsidR="00BB40C8">
        <w:t>ed</w:t>
      </w:r>
      <w:r>
        <w:t xml:space="preserve"> barriers to the use of MBS items 104 and 105 by IR/INR practitioners</w:t>
      </w:r>
    </w:p>
    <w:p w14:paraId="6D706F93" w14:textId="10952185" w:rsidR="00C76E38" w:rsidRPr="00AF7870" w:rsidRDefault="00DD6734" w:rsidP="00832017">
      <w:pPr>
        <w:pStyle w:val="ListBullet"/>
      </w:pPr>
      <w:r>
        <w:t xml:space="preserve">the </w:t>
      </w:r>
      <w:r w:rsidR="00C76E38">
        <w:t>r</w:t>
      </w:r>
      <w:r w:rsidR="00C76E38" w:rsidRPr="00AF7870">
        <w:t>emov</w:t>
      </w:r>
      <w:r w:rsidR="00DB61C7">
        <w:t xml:space="preserve">al of </w:t>
      </w:r>
      <w:r w:rsidR="00C76E38" w:rsidRPr="00AF7870">
        <w:t>restrictions</w:t>
      </w:r>
      <w:r w:rsidR="00DB61C7">
        <w:t xml:space="preserve"> </w:t>
      </w:r>
      <w:r w:rsidR="00C76E38" w:rsidRPr="00AF7870">
        <w:t>preventing IR</w:t>
      </w:r>
      <w:r w:rsidR="00C76E38">
        <w:t>/</w:t>
      </w:r>
      <w:r w:rsidR="00C76E38" w:rsidRPr="00AF7870">
        <w:t xml:space="preserve">INR </w:t>
      </w:r>
      <w:r w:rsidR="00C76E38">
        <w:t xml:space="preserve">practitioners </w:t>
      </w:r>
      <w:r w:rsidR="00C76E38" w:rsidRPr="00AF7870">
        <w:t>from self-determining the need for diagnostic tests.</w:t>
      </w:r>
    </w:p>
    <w:p w14:paraId="7F9E323F" w14:textId="030AEAC2" w:rsidR="00A63D3C" w:rsidRDefault="00D806E5" w:rsidP="00C76E38">
      <w:r>
        <w:t>M</w:t>
      </w:r>
      <w:r w:rsidR="006B50B7">
        <w:t>any of the vascular surgeon</w:t>
      </w:r>
      <w:r w:rsidR="0066468E">
        <w:t xml:space="preserve"> submission</w:t>
      </w:r>
      <w:r w:rsidR="006B50B7">
        <w:t xml:space="preserve">s </w:t>
      </w:r>
      <w:r>
        <w:t xml:space="preserve">also </w:t>
      </w:r>
      <w:r w:rsidR="00064E30">
        <w:t>express</w:t>
      </w:r>
      <w:r w:rsidR="006B50B7">
        <w:t xml:space="preserve">ed </w:t>
      </w:r>
      <w:r w:rsidR="00C76E38">
        <w:t>strong concern that any additional allocation of MBS funding to IR/INR services would be at the expense of funding for vascular services.</w:t>
      </w:r>
    </w:p>
    <w:p w14:paraId="0F92F169" w14:textId="0FB587D0" w:rsidR="00C77576" w:rsidRPr="00F213E5" w:rsidRDefault="00C77576" w:rsidP="009674A0">
      <w:pPr>
        <w:pStyle w:val="Heading1"/>
      </w:pPr>
      <w:bookmarkStart w:id="128" w:name="_Appendix_1_Medicare"/>
      <w:bookmarkStart w:id="129" w:name="_Toc119068520"/>
      <w:bookmarkStart w:id="130" w:name="_Toc119920739"/>
      <w:bookmarkStart w:id="131" w:name="_Toc227143263"/>
      <w:bookmarkStart w:id="132" w:name="_Toc227143320"/>
      <w:bookmarkEnd w:id="123"/>
      <w:bookmarkEnd w:id="124"/>
      <w:bookmarkEnd w:id="125"/>
      <w:bookmarkEnd w:id="128"/>
      <w:r>
        <w:t>Appendix</w:t>
      </w:r>
      <w:bookmarkStart w:id="133" w:name="_Toc107835767"/>
      <w:bookmarkStart w:id="134" w:name="_Toc107835834"/>
      <w:bookmarkStart w:id="135" w:name="_Toc107911558"/>
      <w:bookmarkStart w:id="136" w:name="_Toc107920653"/>
      <w:bookmarkStart w:id="137" w:name="_Toc111552634"/>
      <w:bookmarkStart w:id="138" w:name="_Toc111558643"/>
      <w:bookmarkStart w:id="139" w:name="_Toc111561067"/>
      <w:bookmarkStart w:id="140" w:name="_Toc119068521"/>
      <w:bookmarkStart w:id="141" w:name="_Toc119920740"/>
      <w:bookmarkEnd w:id="129"/>
      <w:bookmarkEnd w:id="130"/>
      <w:r w:rsidR="00165193">
        <w:t xml:space="preserve"> </w:t>
      </w:r>
      <w:r w:rsidR="009674A0">
        <w:t>1</w:t>
      </w:r>
      <w:r w:rsidR="009674A0">
        <w:tab/>
      </w:r>
      <w:r w:rsidR="00165193">
        <w:t xml:space="preserve"> </w:t>
      </w:r>
      <w:r w:rsidRPr="00F213E5">
        <w:t>Medicare Benefits Schedule Continuous Review</w:t>
      </w:r>
      <w:bookmarkEnd w:id="131"/>
      <w:bookmarkEnd w:id="132"/>
      <w:bookmarkEnd w:id="133"/>
      <w:bookmarkEnd w:id="134"/>
      <w:bookmarkEnd w:id="135"/>
      <w:bookmarkEnd w:id="136"/>
      <w:bookmarkEnd w:id="137"/>
      <w:bookmarkEnd w:id="138"/>
      <w:bookmarkEnd w:id="139"/>
      <w:bookmarkEnd w:id="140"/>
      <w:bookmarkEnd w:id="141"/>
    </w:p>
    <w:p w14:paraId="1343F342" w14:textId="6CEBABEA" w:rsidR="00C77576" w:rsidRPr="00641C75" w:rsidRDefault="00C77576" w:rsidP="00C77576">
      <w:r w:rsidRPr="00641C75">
        <w:t xml:space="preserve">The </w:t>
      </w:r>
      <w:r>
        <w:t>Medicare Benefits Schedule (</w:t>
      </w:r>
      <w:r w:rsidRPr="00641C75">
        <w:t>MBS</w:t>
      </w:r>
      <w:r>
        <w:t>)</w:t>
      </w:r>
      <w:r w:rsidRPr="00641C75">
        <w:t xml:space="preserve"> is a list of health professional services (items) </w:t>
      </w:r>
      <w:r>
        <w:t>subsidised by</w:t>
      </w:r>
      <w:r w:rsidRPr="00641C75">
        <w:t xml:space="preserve"> the Australian Government</w:t>
      </w:r>
      <w:r>
        <w:t xml:space="preserve"> for health consumers</w:t>
      </w:r>
      <w:r w:rsidRPr="00641C75">
        <w:t>. MBS items provide patient benefits for a wide range of health services including consultations, diagnostic tests</w:t>
      </w:r>
      <w:r>
        <w:t>, therapies</w:t>
      </w:r>
      <w:r w:rsidRPr="00641C75">
        <w:t xml:space="preserve"> and operations.</w:t>
      </w:r>
    </w:p>
    <w:p w14:paraId="30D7E19A" w14:textId="77777777" w:rsidR="00C77576" w:rsidRPr="00641C75" w:rsidRDefault="00C77576" w:rsidP="00C77576">
      <w:r w:rsidRPr="00641C75">
        <w:t>The MBS Continuous Review builds on the work of the MBS Review Taskforce</w:t>
      </w:r>
      <w:r>
        <w:t xml:space="preserve"> (the Taskforce).</w:t>
      </w:r>
      <w:r w:rsidRPr="00641C75">
        <w:t xml:space="preserve"> </w:t>
      </w:r>
      <w:r>
        <w:t>F</w:t>
      </w:r>
      <w:r w:rsidRPr="00641C75">
        <w:t>rom 2015 to 2020</w:t>
      </w:r>
      <w:r>
        <w:t>, the Taskforce</w:t>
      </w:r>
      <w:r w:rsidRPr="00641C75">
        <w:t xml:space="preserve"> provided the first extensive, line</w:t>
      </w:r>
      <w:r>
        <w:t>-</w:t>
      </w:r>
      <w:r w:rsidRPr="00641C75">
        <w:t>by</w:t>
      </w:r>
      <w:r>
        <w:t>-</w:t>
      </w:r>
      <w:r w:rsidRPr="00641C75">
        <w:t>line review of the MBS since its inception in 1984.</w:t>
      </w:r>
    </w:p>
    <w:p w14:paraId="64F69461" w14:textId="77777777" w:rsidR="00C77576" w:rsidRPr="00641C75" w:rsidRDefault="00C77576" w:rsidP="00C77576">
      <w:r w:rsidRPr="00641C75">
        <w:t>In October 2020, the Australian Government committed to establishing a continuous review framework for the MBS, consistent with recommendations from the Taskforce Final Report.</w:t>
      </w:r>
    </w:p>
    <w:p w14:paraId="62A7395C" w14:textId="77777777" w:rsidR="00C77576" w:rsidRPr="00641C75" w:rsidRDefault="00C77576" w:rsidP="00C77576">
      <w:r>
        <w:t>Established in 2021, the MBS Continuous Review allows for ongoing rigorous and comprehensive reviews of Medicare items and services by experts, on a continuous basis, to ensure that the MBS works for patients and supports health professionals to provide high-quality care.</w:t>
      </w:r>
    </w:p>
    <w:p w14:paraId="44505C62" w14:textId="77777777" w:rsidR="00C77576" w:rsidRPr="00816F3E" w:rsidRDefault="00C77576" w:rsidP="00832017">
      <w:pPr>
        <w:pStyle w:val="Heading2"/>
      </w:pPr>
      <w:bookmarkStart w:id="142" w:name="_Toc107835768"/>
      <w:bookmarkStart w:id="143" w:name="_Toc107835835"/>
      <w:bookmarkStart w:id="144" w:name="_Toc107911559"/>
      <w:bookmarkStart w:id="145" w:name="_Toc107920654"/>
      <w:bookmarkStart w:id="146" w:name="_Toc111552635"/>
      <w:bookmarkStart w:id="147" w:name="_Toc111558644"/>
      <w:bookmarkStart w:id="148" w:name="_Toc111561068"/>
      <w:bookmarkStart w:id="149" w:name="_Toc119068522"/>
      <w:bookmarkStart w:id="150" w:name="_Toc119920741"/>
      <w:bookmarkStart w:id="151" w:name="_Toc227143264"/>
      <w:bookmarkStart w:id="152" w:name="_Toc227143321"/>
      <w:r w:rsidRPr="00816F3E">
        <w:t>Medicare Benefits Schedule Review Advisory Committee</w:t>
      </w:r>
      <w:bookmarkEnd w:id="142"/>
      <w:bookmarkEnd w:id="143"/>
      <w:bookmarkEnd w:id="144"/>
      <w:bookmarkEnd w:id="145"/>
      <w:bookmarkEnd w:id="146"/>
      <w:bookmarkEnd w:id="147"/>
      <w:bookmarkEnd w:id="148"/>
      <w:bookmarkEnd w:id="149"/>
      <w:bookmarkEnd w:id="150"/>
      <w:bookmarkEnd w:id="151"/>
      <w:bookmarkEnd w:id="152"/>
    </w:p>
    <w:p w14:paraId="59F4ECE6" w14:textId="77777777" w:rsidR="00C77576" w:rsidRPr="00F8786C" w:rsidRDefault="00C77576" w:rsidP="00F8786C">
      <w:r w:rsidRPr="00F8786C">
        <w:t>The MBS Continuous Review is supported by the MBS Review Advisory Committee (MRAC). The Committee’s role is to provide independent clinical, professional and consumer advice to Government on:</w:t>
      </w:r>
    </w:p>
    <w:p w14:paraId="24311078" w14:textId="77777777" w:rsidR="00C77576" w:rsidRPr="00F8786C" w:rsidRDefault="00C77576" w:rsidP="00F8786C">
      <w:pPr>
        <w:pStyle w:val="ListNumber"/>
      </w:pPr>
      <w:r w:rsidRPr="00F8786C">
        <w:t>opportunities to improve patient outcomes in instances where a health technology assessment by the Medical Services Advisory Committee (MSAC) is not appropriate</w:t>
      </w:r>
    </w:p>
    <w:p w14:paraId="09518811" w14:textId="77777777" w:rsidR="00C77576" w:rsidRPr="00F8786C" w:rsidRDefault="00C77576" w:rsidP="00F8786C">
      <w:pPr>
        <w:pStyle w:val="ListNumber"/>
      </w:pPr>
      <w:r w:rsidRPr="00F8786C">
        <w:t>the safety and efficacy of existing MBS items</w:t>
      </w:r>
    </w:p>
    <w:p w14:paraId="17DD97B2" w14:textId="77777777" w:rsidR="00C77576" w:rsidRPr="00F8786C" w:rsidRDefault="00C77576" w:rsidP="00F8786C">
      <w:pPr>
        <w:pStyle w:val="ListNumber"/>
      </w:pPr>
      <w:r w:rsidRPr="00F8786C">
        <w:t>implemented changes to the MBS, to monitor benefits and address unintended consequences.</w:t>
      </w:r>
    </w:p>
    <w:p w14:paraId="2B113EE3" w14:textId="5F0E754A" w:rsidR="00C77576" w:rsidRDefault="00C77576" w:rsidP="00282AD0">
      <w:bookmarkStart w:id="153" w:name="_Toc107835769"/>
      <w:bookmarkStart w:id="154" w:name="_Toc107835836"/>
      <w:bookmarkStart w:id="155" w:name="_Toc107911560"/>
      <w:bookmarkStart w:id="156" w:name="_Toc107920655"/>
      <w:bookmarkStart w:id="157" w:name="_Toc111552636"/>
      <w:bookmarkStart w:id="158" w:name="_Toc111558645"/>
      <w:bookmarkStart w:id="159" w:name="_Toc111561069"/>
      <w:bookmarkStart w:id="160" w:name="_Toc119068523"/>
      <w:bookmarkStart w:id="161" w:name="_Toc119920742"/>
      <w:bookmarkStart w:id="162" w:name="_Hlk119420236"/>
      <w:r>
        <w:t xml:space="preserve">The </w:t>
      </w:r>
      <w:r w:rsidRPr="00641C75">
        <w:t>MRAC comprise</w:t>
      </w:r>
      <w:r>
        <w:t>s</w:t>
      </w:r>
      <w:r w:rsidRPr="00641C75">
        <w:t xml:space="preserve"> </w:t>
      </w:r>
      <w:r>
        <w:t>practising clinicians</w:t>
      </w:r>
      <w:r w:rsidRPr="00065C67">
        <w:t>,</w:t>
      </w:r>
      <w:r>
        <w:t xml:space="preserve"> academics,</w:t>
      </w:r>
      <w:r w:rsidRPr="00065C67">
        <w:t xml:space="preserve"> health system experts</w:t>
      </w:r>
      <w:r>
        <w:t xml:space="preserve"> </w:t>
      </w:r>
      <w:r w:rsidRPr="00065C67">
        <w:t xml:space="preserve">and consumer </w:t>
      </w:r>
      <w:r>
        <w:t>representatives. The current MRAC membership is available on the Department of Health</w:t>
      </w:r>
      <w:r w:rsidR="002A4269">
        <w:t>, Disability</w:t>
      </w:r>
      <w:r>
        <w:t xml:space="preserve"> and Age</w:t>
      </w:r>
      <w:r w:rsidR="002A4269">
        <w:t>ing</w:t>
      </w:r>
      <w:r>
        <w:t xml:space="preserve">’s </w:t>
      </w:r>
      <w:hyperlink r:id="rId15" w:history="1">
        <w:r w:rsidRPr="007F7628">
          <w:rPr>
            <w:rStyle w:val="Hyperlink"/>
          </w:rPr>
          <w:t>MRAC webpage</w:t>
        </w:r>
      </w:hyperlink>
      <w:r>
        <w:t>.</w:t>
      </w:r>
    </w:p>
    <w:p w14:paraId="4FA65F48" w14:textId="77777777" w:rsidR="00C77576" w:rsidRPr="0011171D" w:rsidRDefault="00C77576" w:rsidP="00832017">
      <w:pPr>
        <w:pStyle w:val="Heading2"/>
      </w:pPr>
      <w:bookmarkStart w:id="163" w:name="_Toc227143265"/>
      <w:bookmarkStart w:id="164" w:name="_Toc227143322"/>
      <w:r w:rsidRPr="0011171D">
        <w:t>MBS Continuous Review Guiding Principles</w:t>
      </w:r>
      <w:bookmarkEnd w:id="153"/>
      <w:bookmarkEnd w:id="154"/>
      <w:bookmarkEnd w:id="155"/>
      <w:bookmarkEnd w:id="156"/>
      <w:bookmarkEnd w:id="157"/>
      <w:bookmarkEnd w:id="158"/>
      <w:bookmarkEnd w:id="159"/>
      <w:bookmarkEnd w:id="160"/>
      <w:bookmarkEnd w:id="161"/>
      <w:bookmarkEnd w:id="163"/>
      <w:bookmarkEnd w:id="164"/>
    </w:p>
    <w:p w14:paraId="3CA23EAC" w14:textId="77777777" w:rsidR="00C77576" w:rsidRPr="00F8786C" w:rsidRDefault="00C77576" w:rsidP="00F8786C">
      <w:r w:rsidRPr="00F8786C">
        <w:t>The following principles guide the deliberations and recommendations of the MBS Continuous Review:</w:t>
      </w:r>
    </w:p>
    <w:p w14:paraId="374B2D71" w14:textId="77777777" w:rsidR="00C77576" w:rsidRPr="00641C75" w:rsidRDefault="00C77576" w:rsidP="00F8786C">
      <w:pPr>
        <w:pStyle w:val="ListNumber2"/>
      </w:pPr>
      <w:r w:rsidRPr="00641C75">
        <w:t>The MBS:</w:t>
      </w:r>
    </w:p>
    <w:p w14:paraId="5A1B2389" w14:textId="77777777" w:rsidR="00C77576" w:rsidRPr="00641C75" w:rsidRDefault="00C77576" w:rsidP="00F8786C">
      <w:pPr>
        <w:pStyle w:val="ListBullet"/>
      </w:pPr>
      <w:r>
        <w:t>i</w:t>
      </w:r>
      <w:r w:rsidRPr="00641C75">
        <w:t>s structured to support coordinated care through the health system by</w:t>
      </w:r>
    </w:p>
    <w:p w14:paraId="5E2F36A7" w14:textId="77777777" w:rsidR="00C77576" w:rsidRPr="00641C75" w:rsidRDefault="00C77576" w:rsidP="00832017">
      <w:pPr>
        <w:pStyle w:val="ListBullet2"/>
      </w:pPr>
      <w:r w:rsidRPr="00641C75">
        <w:t>recognising the central role of General Practice in coordinating care</w:t>
      </w:r>
    </w:p>
    <w:p w14:paraId="5450967C" w14:textId="77777777" w:rsidR="00C77576" w:rsidRPr="00641C75" w:rsidRDefault="00C77576" w:rsidP="00F8786C">
      <w:pPr>
        <w:pStyle w:val="ListBullet2"/>
      </w:pPr>
      <w:r w:rsidRPr="00641C75">
        <w:t>facilitating communication through General Practice to enable holistic coordinated care</w:t>
      </w:r>
    </w:p>
    <w:p w14:paraId="32A9E984" w14:textId="77777777" w:rsidR="00C77576" w:rsidRPr="00641C75" w:rsidRDefault="00C77576" w:rsidP="00832017">
      <w:pPr>
        <w:pStyle w:val="ListBullet"/>
      </w:pPr>
      <w:r>
        <w:t>i</w:t>
      </w:r>
      <w:r w:rsidRPr="00641C75">
        <w:t>s designed to provide sustainable, high</w:t>
      </w:r>
      <w:r>
        <w:t>-</w:t>
      </w:r>
      <w:r w:rsidRPr="00641C75">
        <w:t>value, evidence-based and appropriate care to the Australian community</w:t>
      </w:r>
    </w:p>
    <w:p w14:paraId="3B7037F5" w14:textId="48B6867A" w:rsidR="00C77576" w:rsidRPr="00641C75" w:rsidRDefault="00C77576" w:rsidP="00F8786C">
      <w:pPr>
        <w:pStyle w:val="ListBullet2"/>
      </w:pPr>
      <w:r>
        <w:t>i</w:t>
      </w:r>
      <w:r w:rsidRPr="00641C75">
        <w:t>tem descriptors and explanatory notes are designed to ensure clarity, consistency and appropriate use by health professionals</w:t>
      </w:r>
    </w:p>
    <w:p w14:paraId="5B1F8506" w14:textId="77777777" w:rsidR="00C77576" w:rsidRPr="00641C75" w:rsidRDefault="00C77576" w:rsidP="00F8786C">
      <w:pPr>
        <w:pStyle w:val="ListBullet"/>
      </w:pPr>
      <w:r>
        <w:t>p</w:t>
      </w:r>
      <w:r w:rsidRPr="00641C75">
        <w:t>romotes equity according to patient need</w:t>
      </w:r>
    </w:p>
    <w:p w14:paraId="633F1AE8" w14:textId="77777777" w:rsidR="00C77576" w:rsidRPr="00641C75" w:rsidRDefault="00C77576" w:rsidP="00F8786C">
      <w:pPr>
        <w:pStyle w:val="ListBullet"/>
      </w:pPr>
      <w:r>
        <w:t>e</w:t>
      </w:r>
      <w:r w:rsidRPr="00641C75">
        <w:t>nsures accountability to the patient and to the Australian community (taxpayer)</w:t>
      </w:r>
    </w:p>
    <w:p w14:paraId="06F82D6C" w14:textId="77777777" w:rsidR="00C77576" w:rsidRPr="00641C75" w:rsidRDefault="00C77576" w:rsidP="00F8786C">
      <w:pPr>
        <w:pStyle w:val="ListBullet"/>
      </w:pPr>
      <w:r>
        <w:t>i</w:t>
      </w:r>
      <w:r w:rsidRPr="00641C75">
        <w:t>s continuously evaluated and revised to provide high</w:t>
      </w:r>
      <w:r>
        <w:t>-</w:t>
      </w:r>
      <w:r w:rsidRPr="00641C75">
        <w:t>value health care to the Australian community.</w:t>
      </w:r>
    </w:p>
    <w:p w14:paraId="79F3345D" w14:textId="77777777" w:rsidR="00C77576" w:rsidRPr="00641C75" w:rsidRDefault="00C77576" w:rsidP="00F8786C">
      <w:pPr>
        <w:pStyle w:val="ListNumber2"/>
      </w:pPr>
      <w:r w:rsidRPr="00641C75">
        <w:t>Service providers of the MBS:</w:t>
      </w:r>
    </w:p>
    <w:p w14:paraId="022CD378" w14:textId="77777777" w:rsidR="00C77576" w:rsidRPr="00641C75" w:rsidRDefault="00C77576" w:rsidP="00F8786C">
      <w:pPr>
        <w:pStyle w:val="ListBullet"/>
      </w:pPr>
      <w:r>
        <w:t>u</w:t>
      </w:r>
      <w:r w:rsidRPr="00641C75">
        <w:t>nderstand the purpose and requirements of the MBS</w:t>
      </w:r>
    </w:p>
    <w:p w14:paraId="0CB9437E" w14:textId="77777777" w:rsidR="00C77576" w:rsidRPr="00641C75" w:rsidRDefault="00C77576" w:rsidP="00F8786C">
      <w:pPr>
        <w:pStyle w:val="ListBullet"/>
      </w:pPr>
      <w:r>
        <w:t>u</w:t>
      </w:r>
      <w:r w:rsidRPr="00641C75">
        <w:t>tilise the MBS for evidence-based car</w:t>
      </w:r>
      <w:r>
        <w:t>e</w:t>
      </w:r>
    </w:p>
    <w:p w14:paraId="3A5EE249" w14:textId="77777777" w:rsidR="00C77576" w:rsidRPr="00641C75" w:rsidRDefault="00C77576" w:rsidP="00F8786C">
      <w:pPr>
        <w:pStyle w:val="ListBullet"/>
      </w:pPr>
      <w:r>
        <w:t>e</w:t>
      </w:r>
      <w:r w:rsidRPr="00641C75">
        <w:t>nsure patients are informed of the benefits, risks and harms of services</w:t>
      </w:r>
      <w:r>
        <w:t>,</w:t>
      </w:r>
      <w:r w:rsidRPr="00641C75">
        <w:t xml:space="preserve"> and are engaged through shared decision making</w:t>
      </w:r>
    </w:p>
    <w:p w14:paraId="651BED1D" w14:textId="77777777" w:rsidR="00C77576" w:rsidRPr="00641C75" w:rsidRDefault="00C77576" w:rsidP="00F8786C">
      <w:pPr>
        <w:pStyle w:val="ListBullet"/>
      </w:pPr>
      <w:r>
        <w:t>u</w:t>
      </w:r>
      <w:r w:rsidRPr="00641C75">
        <w:t>tilise decision support tools, Patient Reported Outcome and Experience Measures where available and appropriate.</w:t>
      </w:r>
    </w:p>
    <w:p w14:paraId="7B6463F3" w14:textId="77777777" w:rsidR="00C77576" w:rsidRPr="00641C75" w:rsidRDefault="00C77576" w:rsidP="00F8786C">
      <w:pPr>
        <w:pStyle w:val="ListNumber2"/>
      </w:pPr>
      <w:r w:rsidRPr="00641C75">
        <w:t>Consumers of the MBS:</w:t>
      </w:r>
    </w:p>
    <w:p w14:paraId="555B4921" w14:textId="77777777" w:rsidR="00C77576" w:rsidRPr="00641C75" w:rsidRDefault="00C77576" w:rsidP="00F8786C">
      <w:pPr>
        <w:pStyle w:val="ListBullet"/>
      </w:pPr>
      <w:r>
        <w:t>a</w:t>
      </w:r>
      <w:r w:rsidRPr="00641C75">
        <w:t>re encouraged to become partners in their own care to the extent they choose</w:t>
      </w:r>
    </w:p>
    <w:p w14:paraId="2A114763" w14:textId="77777777" w:rsidR="00C77576" w:rsidRDefault="00C77576" w:rsidP="00F8786C">
      <w:pPr>
        <w:pStyle w:val="ListBullet"/>
      </w:pPr>
      <w:r>
        <w:t>a</w:t>
      </w:r>
      <w:r w:rsidRPr="00641C75">
        <w:t>re encouraged to participate in MBS reviews so patient healthcare needs can be prioritised in design and implementation of MBS items.</w:t>
      </w:r>
    </w:p>
    <w:p w14:paraId="73EC76FB" w14:textId="77777777" w:rsidR="00C77576" w:rsidRDefault="00C77576" w:rsidP="00C77576">
      <w:pPr>
        <w:spacing w:after="120"/>
      </w:pPr>
      <w:bookmarkStart w:id="165" w:name="_Hlk119420156"/>
      <w:r>
        <w:t xml:space="preserve">The MRAC and its working groups recognise that General Practice general practitioners are </w:t>
      </w:r>
      <w:proofErr w:type="gramStart"/>
      <w:r>
        <w:t>specialists in their own right</w:t>
      </w:r>
      <w:proofErr w:type="gramEnd"/>
      <w:r>
        <w:t>. Usage of the term ‘General Practice’, both within this report and in the MBS itself, does not imply that general practitioners are not specialists.</w:t>
      </w:r>
    </w:p>
    <w:p w14:paraId="519D691A" w14:textId="77777777" w:rsidR="00C77576" w:rsidRPr="00641C75" w:rsidRDefault="00C77576" w:rsidP="00C77576">
      <w:pPr>
        <w:spacing w:after="120"/>
      </w:pPr>
      <w:r>
        <w:t>The MRAC</w:t>
      </w:r>
      <w:r w:rsidRPr="004C2A47">
        <w:t xml:space="preserve"> note</w:t>
      </w:r>
      <w:r>
        <w:t>s</w:t>
      </w:r>
      <w:r w:rsidRPr="004C2A47">
        <w:t xml:space="preserve"> that the MBS </w:t>
      </w:r>
      <w:r>
        <w:t>i</w:t>
      </w:r>
      <w:r w:rsidRPr="004C2A47">
        <w:t>s one of several available approaches to fund</w:t>
      </w:r>
      <w:r>
        <w:t>ing health</w:t>
      </w:r>
      <w:r w:rsidRPr="004C2A47">
        <w:t xml:space="preserve"> services</w:t>
      </w:r>
      <w:r>
        <w:t>. The MRAC and its working groups apply a whole-of-healthcare-system approach to its reviews.</w:t>
      </w:r>
    </w:p>
    <w:p w14:paraId="1ED5F645" w14:textId="77777777" w:rsidR="00C77576" w:rsidRPr="0011171D" w:rsidRDefault="00C77576" w:rsidP="00832017">
      <w:pPr>
        <w:pStyle w:val="Heading2"/>
      </w:pPr>
      <w:bookmarkStart w:id="166" w:name="_Toc107835770"/>
      <w:bookmarkStart w:id="167" w:name="_Toc107835837"/>
      <w:bookmarkStart w:id="168" w:name="_Toc107911561"/>
      <w:bookmarkStart w:id="169" w:name="_Toc107920656"/>
      <w:bookmarkStart w:id="170" w:name="_Toc111552637"/>
      <w:bookmarkStart w:id="171" w:name="_Toc111558646"/>
      <w:bookmarkStart w:id="172" w:name="_Toc111561070"/>
      <w:bookmarkStart w:id="173" w:name="_Toc119068524"/>
      <w:bookmarkStart w:id="174" w:name="_Toc119920743"/>
      <w:bookmarkStart w:id="175" w:name="_Toc227143266"/>
      <w:bookmarkStart w:id="176" w:name="_Toc227143323"/>
      <w:bookmarkEnd w:id="162"/>
      <w:bookmarkEnd w:id="165"/>
      <w:r w:rsidRPr="0011171D">
        <w:t>Government consideration</w:t>
      </w:r>
      <w:bookmarkEnd w:id="166"/>
      <w:bookmarkEnd w:id="167"/>
      <w:bookmarkEnd w:id="168"/>
      <w:bookmarkEnd w:id="169"/>
      <w:bookmarkEnd w:id="170"/>
      <w:bookmarkEnd w:id="171"/>
      <w:bookmarkEnd w:id="172"/>
      <w:bookmarkEnd w:id="173"/>
      <w:bookmarkEnd w:id="174"/>
      <w:bookmarkEnd w:id="175"/>
      <w:bookmarkEnd w:id="176"/>
    </w:p>
    <w:p w14:paraId="11557728" w14:textId="77777777" w:rsidR="00C77576" w:rsidRPr="00641C75" w:rsidRDefault="00C77576" w:rsidP="00C77576">
      <w:r w:rsidRPr="00641C75">
        <w:t xml:space="preserve">If the Australian Government agrees to the implementation of recommendations, </w:t>
      </w:r>
      <w:r>
        <w:t>it</w:t>
      </w:r>
      <w:r w:rsidRPr="00641C75">
        <w:t xml:space="preserve"> will be communicated through Government</w:t>
      </w:r>
      <w:r>
        <w:t xml:space="preserve"> announcement</w:t>
      </w:r>
      <w:r w:rsidRPr="00641C75">
        <w:t>.</w:t>
      </w:r>
    </w:p>
    <w:p w14:paraId="16C8F4F4" w14:textId="53D871A9" w:rsidR="00C77576" w:rsidRDefault="00C77576" w:rsidP="00C77576">
      <w:r w:rsidRPr="00641C75">
        <w:t xml:space="preserve">Information will also be made available on </w:t>
      </w:r>
      <w:hyperlink r:id="rId16" w:history="1">
        <w:r w:rsidR="002A4269">
          <w:rPr>
            <w:rStyle w:val="Hyperlink"/>
          </w:rPr>
          <w:t>Department of Health, Disability and Ageing websites</w:t>
        </w:r>
      </w:hyperlink>
      <w:r w:rsidRPr="00641C75">
        <w:t xml:space="preserve">, including </w:t>
      </w:r>
      <w:hyperlink r:id="rId17" w:history="1">
        <w:r w:rsidRPr="004434CD">
          <w:rPr>
            <w:rStyle w:val="Hyperlink"/>
          </w:rPr>
          <w:t>MBS Online</w:t>
        </w:r>
      </w:hyperlink>
      <w:r>
        <w:t>,</w:t>
      </w:r>
      <w:r w:rsidRPr="00641C75">
        <w:t xml:space="preserve"> and departmental newsletters.</w:t>
      </w:r>
    </w:p>
    <w:p w14:paraId="45912D06" w14:textId="78C2EBB0" w:rsidR="00BC4EC0" w:rsidRPr="00E74D19" w:rsidRDefault="00BC4EC0" w:rsidP="00BC4EC0">
      <w:pPr>
        <w:pStyle w:val="Heading1"/>
        <w:spacing w:after="240"/>
      </w:pPr>
      <w:bookmarkStart w:id="177" w:name="_Toc208307111"/>
      <w:bookmarkStart w:id="178" w:name="_Toc227143267"/>
      <w:bookmarkStart w:id="179" w:name="_Toc227143324"/>
      <w:r w:rsidRPr="00E74D19">
        <w:t>Appendix 2</w:t>
      </w:r>
      <w:r w:rsidR="00DD7378">
        <w:tab/>
      </w:r>
      <w:r w:rsidR="00B04EE8">
        <w:t xml:space="preserve"> </w:t>
      </w:r>
      <w:r w:rsidRPr="00E74D19">
        <w:t>Additional guidance for PICO assessment</w:t>
      </w:r>
      <w:bookmarkEnd w:id="177"/>
      <w:r w:rsidR="008C6DA9">
        <w:t>s</w:t>
      </w:r>
      <w:bookmarkEnd w:id="178"/>
      <w:bookmarkEnd w:id="179"/>
    </w:p>
    <w:tbl>
      <w:tblPr>
        <w:tblStyle w:val="TableGridLight"/>
        <w:tblW w:w="7938" w:type="dxa"/>
        <w:tblLook w:val="04A0" w:firstRow="1" w:lastRow="0" w:firstColumn="1" w:lastColumn="0" w:noHBand="0" w:noVBand="1"/>
      </w:tblPr>
      <w:tblGrid>
        <w:gridCol w:w="1915"/>
        <w:gridCol w:w="6023"/>
      </w:tblGrid>
      <w:tr w:rsidR="00BC4EC0" w:rsidRPr="00BA0A52" w14:paraId="2C116C16" w14:textId="77777777" w:rsidTr="00F8786C">
        <w:trPr>
          <w:cnfStyle w:val="100000000000" w:firstRow="1" w:lastRow="0" w:firstColumn="0" w:lastColumn="0" w:oddVBand="0" w:evenVBand="0" w:oddHBand="0" w:evenHBand="0" w:firstRowFirstColumn="0" w:firstRowLastColumn="0" w:lastRowFirstColumn="0" w:lastRowLastColumn="0"/>
          <w:tblHeader/>
        </w:trPr>
        <w:tc>
          <w:tcPr>
            <w:tcW w:w="1915" w:type="dxa"/>
            <w:hideMark/>
          </w:tcPr>
          <w:p w14:paraId="6D79205C" w14:textId="77777777" w:rsidR="00BC4EC0" w:rsidRPr="00F8786C" w:rsidRDefault="00BC4EC0" w:rsidP="00F8786C">
            <w:r w:rsidRPr="00F8786C">
              <w:t>PICO</w:t>
            </w:r>
          </w:p>
        </w:tc>
        <w:tc>
          <w:tcPr>
            <w:tcW w:w="6023" w:type="dxa"/>
            <w:hideMark/>
          </w:tcPr>
          <w:p w14:paraId="5ADB59D0" w14:textId="77777777" w:rsidR="00BC4EC0" w:rsidRPr="00F8786C" w:rsidRDefault="00BC4EC0" w:rsidP="00F8786C">
            <w:r w:rsidRPr="00F8786C">
              <w:t>Additional guidance to be incorporated if relevant to the review question(s)</w:t>
            </w:r>
          </w:p>
        </w:tc>
      </w:tr>
      <w:tr w:rsidR="00BC4EC0" w:rsidRPr="00BA0A52" w14:paraId="159CB0C2" w14:textId="77777777" w:rsidTr="00F8786C">
        <w:tc>
          <w:tcPr>
            <w:tcW w:w="1915" w:type="dxa"/>
            <w:vMerge w:val="restart"/>
            <w:hideMark/>
          </w:tcPr>
          <w:p w14:paraId="5A8518DF" w14:textId="6157B835" w:rsidR="00BC4EC0" w:rsidRPr="00DB76EF" w:rsidRDefault="00BC4EC0" w:rsidP="0081536D">
            <w:pPr>
              <w:pStyle w:val="TableText"/>
              <w:rPr>
                <w:lang w:eastAsia="en-AU"/>
              </w:rPr>
            </w:pPr>
            <w:r w:rsidRPr="00DB76EF">
              <w:rPr>
                <w:lang w:eastAsia="en-AU"/>
              </w:rPr>
              <w:t>Patient (who is your patient/population)</w:t>
            </w:r>
          </w:p>
        </w:tc>
        <w:tc>
          <w:tcPr>
            <w:tcW w:w="6023" w:type="dxa"/>
            <w:hideMark/>
          </w:tcPr>
          <w:p w14:paraId="3F17F848" w14:textId="77777777" w:rsidR="00BC4EC0" w:rsidRPr="00DB76EF" w:rsidRDefault="00BC4EC0" w:rsidP="0081536D">
            <w:pPr>
              <w:pStyle w:val="TableText"/>
              <w:rPr>
                <w:lang w:eastAsia="en-AU"/>
              </w:rPr>
            </w:pPr>
            <w:r w:rsidRPr="00DB76EF">
              <w:rPr>
                <w:lang w:eastAsia="en-AU"/>
              </w:rPr>
              <w:t xml:space="preserve">Will there be a change to the patient </w:t>
            </w:r>
            <w:r w:rsidRPr="00DB76EF">
              <w:rPr>
                <w:b/>
                <w:bCs/>
                <w:lang w:eastAsia="en-AU"/>
              </w:rPr>
              <w:t>population</w:t>
            </w:r>
            <w:r w:rsidRPr="00DB76EF">
              <w:rPr>
                <w:lang w:eastAsia="en-AU"/>
              </w:rPr>
              <w:t xml:space="preserve">? For example, will new </w:t>
            </w:r>
            <w:r w:rsidRPr="00DB76EF">
              <w:rPr>
                <w:b/>
                <w:bCs/>
                <w:lang w:eastAsia="en-AU"/>
              </w:rPr>
              <w:t>populations</w:t>
            </w:r>
            <w:r w:rsidRPr="00DB76EF">
              <w:rPr>
                <w:lang w:eastAsia="en-AU"/>
              </w:rPr>
              <w:t xml:space="preserve"> under the care of different health professionals access the service?</w:t>
            </w:r>
          </w:p>
        </w:tc>
      </w:tr>
      <w:tr w:rsidR="00BC4EC0" w:rsidRPr="00BA0A52" w14:paraId="2D92212B" w14:textId="77777777" w:rsidTr="00F8786C">
        <w:tc>
          <w:tcPr>
            <w:tcW w:w="1915" w:type="dxa"/>
            <w:vMerge/>
            <w:hideMark/>
          </w:tcPr>
          <w:p w14:paraId="3735CAB5" w14:textId="77777777" w:rsidR="00BC4EC0" w:rsidRPr="00DB76EF" w:rsidRDefault="00BC4EC0" w:rsidP="0081536D">
            <w:pPr>
              <w:pStyle w:val="TableText"/>
              <w:rPr>
                <w:rFonts w:ascii="Times New Roman" w:hAnsi="Times New Roman"/>
                <w:lang w:eastAsia="en-AU"/>
              </w:rPr>
            </w:pPr>
          </w:p>
        </w:tc>
        <w:tc>
          <w:tcPr>
            <w:tcW w:w="6023" w:type="dxa"/>
            <w:hideMark/>
          </w:tcPr>
          <w:p w14:paraId="25AE5F7E" w14:textId="77777777" w:rsidR="00BC4EC0" w:rsidRPr="00DB76EF" w:rsidRDefault="00BC4EC0" w:rsidP="0081536D">
            <w:pPr>
              <w:pStyle w:val="TableText"/>
              <w:rPr>
                <w:lang w:eastAsia="en-AU"/>
              </w:rPr>
            </w:pPr>
            <w:r w:rsidRPr="00DB76EF">
              <w:rPr>
                <w:lang w:eastAsia="en-AU"/>
              </w:rPr>
              <w:t xml:space="preserve">Will the clinical management of the </w:t>
            </w:r>
            <w:r w:rsidRPr="00DB76EF">
              <w:rPr>
                <w:b/>
                <w:bCs/>
                <w:lang w:eastAsia="en-AU"/>
              </w:rPr>
              <w:t>population</w:t>
            </w:r>
            <w:r w:rsidRPr="00DB76EF">
              <w:rPr>
                <w:lang w:eastAsia="en-AU"/>
              </w:rPr>
              <w:t xml:space="preserve"> change? Are there flow-on effects to other areas of the health system?</w:t>
            </w:r>
          </w:p>
        </w:tc>
      </w:tr>
      <w:tr w:rsidR="00BC4EC0" w:rsidRPr="00BA0A52" w14:paraId="6232FCFA" w14:textId="77777777" w:rsidTr="00F8786C">
        <w:tc>
          <w:tcPr>
            <w:tcW w:w="1915" w:type="dxa"/>
            <w:vMerge/>
            <w:hideMark/>
          </w:tcPr>
          <w:p w14:paraId="5A0F3188" w14:textId="77777777" w:rsidR="00BC4EC0" w:rsidRPr="00DB76EF" w:rsidRDefault="00BC4EC0" w:rsidP="0081536D">
            <w:pPr>
              <w:pStyle w:val="TableText"/>
              <w:rPr>
                <w:rFonts w:ascii="Times New Roman" w:hAnsi="Times New Roman"/>
                <w:lang w:eastAsia="en-AU"/>
              </w:rPr>
            </w:pPr>
          </w:p>
        </w:tc>
        <w:tc>
          <w:tcPr>
            <w:tcW w:w="6023" w:type="dxa"/>
            <w:hideMark/>
          </w:tcPr>
          <w:p w14:paraId="13EC101E" w14:textId="77777777" w:rsidR="00BC4EC0" w:rsidRPr="00DB76EF" w:rsidRDefault="00BC4EC0" w:rsidP="0081536D">
            <w:pPr>
              <w:pStyle w:val="TableText"/>
              <w:rPr>
                <w:lang w:eastAsia="en-AU"/>
              </w:rPr>
            </w:pPr>
            <w:r w:rsidRPr="00DB76EF">
              <w:rPr>
                <w:lang w:eastAsia="en-AU"/>
              </w:rPr>
              <w:t xml:space="preserve">How will the clinical management of the </w:t>
            </w:r>
            <w:r w:rsidRPr="00DB76EF">
              <w:rPr>
                <w:b/>
                <w:bCs/>
                <w:lang w:eastAsia="en-AU"/>
              </w:rPr>
              <w:t>population</w:t>
            </w:r>
            <w:r w:rsidRPr="00DB76EF">
              <w:rPr>
                <w:lang w:eastAsia="en-AU"/>
              </w:rPr>
              <w:t xml:space="preserve"> change, including changes in health resource utilisation, or assignation to therapy? </w:t>
            </w:r>
          </w:p>
        </w:tc>
      </w:tr>
      <w:tr w:rsidR="00BC4EC0" w:rsidRPr="00BA0A52" w14:paraId="22B0B8E1" w14:textId="77777777" w:rsidTr="00F8786C">
        <w:tc>
          <w:tcPr>
            <w:tcW w:w="1915" w:type="dxa"/>
            <w:vMerge/>
            <w:hideMark/>
          </w:tcPr>
          <w:p w14:paraId="591FF7DB" w14:textId="77777777" w:rsidR="00BC4EC0" w:rsidRPr="00DB76EF" w:rsidRDefault="00BC4EC0" w:rsidP="0081536D">
            <w:pPr>
              <w:pStyle w:val="TableText"/>
              <w:rPr>
                <w:rFonts w:ascii="Times New Roman" w:hAnsi="Times New Roman"/>
                <w:lang w:eastAsia="en-AU"/>
              </w:rPr>
            </w:pPr>
          </w:p>
        </w:tc>
        <w:tc>
          <w:tcPr>
            <w:tcW w:w="6023" w:type="dxa"/>
            <w:hideMark/>
          </w:tcPr>
          <w:p w14:paraId="3A74821F" w14:textId="77777777" w:rsidR="00BC4EC0" w:rsidRPr="00DB76EF" w:rsidRDefault="00BC4EC0" w:rsidP="0081536D">
            <w:pPr>
              <w:pStyle w:val="TableText"/>
              <w:rPr>
                <w:lang w:eastAsia="en-AU"/>
              </w:rPr>
            </w:pPr>
            <w:r w:rsidRPr="00DB76EF">
              <w:rPr>
                <w:lang w:eastAsia="en-AU"/>
              </w:rPr>
              <w:t xml:space="preserve">Will the process be </w:t>
            </w:r>
            <w:proofErr w:type="gramStart"/>
            <w:r w:rsidRPr="00DB76EF">
              <w:rPr>
                <w:lang w:eastAsia="en-AU"/>
              </w:rPr>
              <w:t>more or less complex</w:t>
            </w:r>
            <w:proofErr w:type="gramEnd"/>
            <w:r w:rsidRPr="00DB76EF">
              <w:rPr>
                <w:lang w:eastAsia="en-AU"/>
              </w:rPr>
              <w:t xml:space="preserve"> for the </w:t>
            </w:r>
            <w:r w:rsidRPr="00DB76EF">
              <w:rPr>
                <w:b/>
                <w:bCs/>
                <w:lang w:eastAsia="en-AU"/>
              </w:rPr>
              <w:t>patient</w:t>
            </w:r>
            <w:r w:rsidRPr="00DB76EF">
              <w:rPr>
                <w:lang w:eastAsia="en-AU"/>
              </w:rPr>
              <w:t>?</w:t>
            </w:r>
          </w:p>
        </w:tc>
      </w:tr>
      <w:tr w:rsidR="00BC4EC0" w:rsidRPr="00BA0A52" w14:paraId="1D569BBB" w14:textId="77777777" w:rsidTr="00F8786C">
        <w:tc>
          <w:tcPr>
            <w:tcW w:w="1915" w:type="dxa"/>
            <w:vMerge w:val="restart"/>
          </w:tcPr>
          <w:p w14:paraId="70B14C81" w14:textId="77777777" w:rsidR="00BC4EC0" w:rsidRPr="00DB76EF" w:rsidRDefault="00BC4EC0" w:rsidP="0081536D">
            <w:pPr>
              <w:pStyle w:val="TableText"/>
              <w:rPr>
                <w:lang w:eastAsia="en-AU"/>
              </w:rPr>
            </w:pPr>
            <w:r w:rsidRPr="00DB76EF">
              <w:rPr>
                <w:lang w:eastAsia="en-AU"/>
              </w:rPr>
              <w:t>Intervention (what do you plan on doing for the patient?)</w:t>
            </w:r>
          </w:p>
        </w:tc>
        <w:tc>
          <w:tcPr>
            <w:tcW w:w="6023" w:type="dxa"/>
          </w:tcPr>
          <w:p w14:paraId="5CD0D69D" w14:textId="77777777" w:rsidR="00BC4EC0" w:rsidRPr="00DB76EF" w:rsidRDefault="00BC4EC0" w:rsidP="0081536D">
            <w:pPr>
              <w:pStyle w:val="TableText"/>
              <w:rPr>
                <w:lang w:eastAsia="en-AU"/>
              </w:rPr>
            </w:pPr>
            <w:r w:rsidRPr="00DB76EF">
              <w:rPr>
                <w:lang w:eastAsia="en-AU"/>
              </w:rPr>
              <w:t xml:space="preserve">For proposed new providers, is there evidence to show they have sufficient training to </w:t>
            </w:r>
            <w:r w:rsidRPr="00DB76EF">
              <w:rPr>
                <w:b/>
                <w:bCs/>
                <w:lang w:eastAsia="en-AU"/>
              </w:rPr>
              <w:t>provide the service</w:t>
            </w:r>
            <w:r w:rsidRPr="00DB76EF">
              <w:rPr>
                <w:lang w:eastAsia="en-AU"/>
              </w:rPr>
              <w:t xml:space="preserve">, and/or is it within their recognised scope of practice? </w:t>
            </w:r>
          </w:p>
          <w:p w14:paraId="52C638A6" w14:textId="77777777" w:rsidR="00BC4EC0" w:rsidRPr="00DB76EF" w:rsidRDefault="00BC4EC0" w:rsidP="0081536D">
            <w:pPr>
              <w:pStyle w:val="TableText"/>
              <w:rPr>
                <w:lang w:eastAsia="en-AU"/>
              </w:rPr>
            </w:pPr>
            <w:r w:rsidRPr="00DB76EF">
              <w:rPr>
                <w:lang w:eastAsia="en-AU"/>
              </w:rPr>
              <w:t>If not, consider:</w:t>
            </w:r>
          </w:p>
          <w:p w14:paraId="19781C90" w14:textId="77777777" w:rsidR="00BC4EC0" w:rsidRPr="00282AD0" w:rsidRDefault="00BC4EC0" w:rsidP="008435AE">
            <w:pPr>
              <w:pStyle w:val="ListBullet"/>
            </w:pPr>
            <w:r w:rsidRPr="00282AD0">
              <w:t xml:space="preserve">What training or qualifications would be required to perform the service? </w:t>
            </w:r>
          </w:p>
          <w:p w14:paraId="2FEC7523" w14:textId="77777777" w:rsidR="00BC4EC0" w:rsidRPr="00DB76EF" w:rsidRDefault="00BC4EC0" w:rsidP="008435AE">
            <w:pPr>
              <w:pStyle w:val="ListBullet"/>
              <w:rPr>
                <w:lang w:eastAsia="en-AU"/>
              </w:rPr>
            </w:pPr>
            <w:r w:rsidRPr="00282AD0">
              <w:t>Can these be provided through an accredited training body?</w:t>
            </w:r>
          </w:p>
        </w:tc>
      </w:tr>
      <w:tr w:rsidR="00BC4EC0" w:rsidRPr="00BA0A52" w14:paraId="28844141" w14:textId="77777777" w:rsidTr="00F8786C">
        <w:tc>
          <w:tcPr>
            <w:tcW w:w="1915" w:type="dxa"/>
            <w:vMerge/>
          </w:tcPr>
          <w:p w14:paraId="1EA10A82" w14:textId="77777777" w:rsidR="00BC4EC0" w:rsidRPr="00DB76EF" w:rsidRDefault="00BC4EC0" w:rsidP="0081536D">
            <w:pPr>
              <w:pStyle w:val="TableText"/>
              <w:rPr>
                <w:rFonts w:ascii="Times New Roman" w:hAnsi="Times New Roman"/>
                <w:lang w:eastAsia="en-AU"/>
              </w:rPr>
            </w:pPr>
          </w:p>
        </w:tc>
        <w:tc>
          <w:tcPr>
            <w:tcW w:w="6023" w:type="dxa"/>
          </w:tcPr>
          <w:p w14:paraId="231CF233" w14:textId="77777777" w:rsidR="00BC4EC0" w:rsidRPr="00DB76EF" w:rsidRDefault="00BC4EC0" w:rsidP="0081536D">
            <w:pPr>
              <w:pStyle w:val="TableText"/>
              <w:rPr>
                <w:lang w:eastAsia="en-AU"/>
              </w:rPr>
            </w:pPr>
            <w:r w:rsidRPr="00DB76EF">
              <w:rPr>
                <w:lang w:eastAsia="en-AU"/>
              </w:rPr>
              <w:t xml:space="preserve">Are the existing and proposed </w:t>
            </w:r>
            <w:r w:rsidRPr="00DB76EF">
              <w:rPr>
                <w:b/>
                <w:bCs/>
                <w:lang w:eastAsia="en-AU"/>
              </w:rPr>
              <w:t>provider groups</w:t>
            </w:r>
            <w:r w:rsidRPr="00DB76EF">
              <w:rPr>
                <w:lang w:eastAsia="en-AU"/>
              </w:rPr>
              <w:t xml:space="preserve"> considered comparable from their registration and training?</w:t>
            </w:r>
          </w:p>
        </w:tc>
      </w:tr>
      <w:tr w:rsidR="00BC4EC0" w:rsidRPr="00BA0A52" w14:paraId="462B2BAB" w14:textId="77777777" w:rsidTr="00F8786C">
        <w:tc>
          <w:tcPr>
            <w:tcW w:w="1915" w:type="dxa"/>
            <w:vMerge/>
          </w:tcPr>
          <w:p w14:paraId="74C83353" w14:textId="77777777" w:rsidR="00BC4EC0" w:rsidRPr="00DB76EF" w:rsidRDefault="00BC4EC0" w:rsidP="0081536D">
            <w:pPr>
              <w:pStyle w:val="TableText"/>
              <w:rPr>
                <w:rFonts w:ascii="Times New Roman" w:hAnsi="Times New Roman"/>
                <w:lang w:eastAsia="en-AU"/>
              </w:rPr>
            </w:pPr>
          </w:p>
        </w:tc>
        <w:tc>
          <w:tcPr>
            <w:tcW w:w="6023" w:type="dxa"/>
          </w:tcPr>
          <w:p w14:paraId="3F65F9C1" w14:textId="77777777" w:rsidR="00BC4EC0" w:rsidRPr="00DB76EF" w:rsidRDefault="00BC4EC0" w:rsidP="0081536D">
            <w:pPr>
              <w:pStyle w:val="TableText"/>
              <w:rPr>
                <w:lang w:eastAsia="en-AU"/>
              </w:rPr>
            </w:pPr>
            <w:r w:rsidRPr="00DB76EF">
              <w:rPr>
                <w:lang w:eastAsia="en-AU"/>
              </w:rPr>
              <w:t xml:space="preserve">For the proposed </w:t>
            </w:r>
            <w:r w:rsidRPr="00DB76EF">
              <w:rPr>
                <w:b/>
                <w:bCs/>
                <w:lang w:eastAsia="en-AU"/>
              </w:rPr>
              <w:t>new providers</w:t>
            </w:r>
            <w:r w:rsidRPr="00DB76EF">
              <w:rPr>
                <w:lang w:eastAsia="en-AU"/>
              </w:rPr>
              <w:t xml:space="preserve">, what MBS item/s are they requesting access to and how many new </w:t>
            </w:r>
            <w:r w:rsidRPr="00DB76EF">
              <w:rPr>
                <w:b/>
                <w:bCs/>
                <w:lang w:eastAsia="en-AU"/>
              </w:rPr>
              <w:t>providers</w:t>
            </w:r>
            <w:r w:rsidRPr="00DB76EF">
              <w:rPr>
                <w:lang w:eastAsia="en-AU"/>
              </w:rPr>
              <w:t xml:space="preserve"> (approximately) are requesting access? Would the proposed </w:t>
            </w:r>
            <w:r w:rsidRPr="00DB76EF">
              <w:rPr>
                <w:b/>
                <w:bCs/>
                <w:lang w:eastAsia="en-AU"/>
              </w:rPr>
              <w:t>provider group</w:t>
            </w:r>
            <w:r w:rsidRPr="00DB76EF">
              <w:rPr>
                <w:lang w:eastAsia="en-AU"/>
              </w:rPr>
              <w:t xml:space="preserve"> have access to the appropriate provider number to access Medicare benefits?</w:t>
            </w:r>
          </w:p>
        </w:tc>
      </w:tr>
      <w:tr w:rsidR="00BC4EC0" w:rsidRPr="00BA0A52" w14:paraId="3EAC0817" w14:textId="77777777" w:rsidTr="00F8786C">
        <w:tc>
          <w:tcPr>
            <w:tcW w:w="1915" w:type="dxa"/>
            <w:vMerge/>
          </w:tcPr>
          <w:p w14:paraId="01370EB3" w14:textId="77777777" w:rsidR="00BC4EC0" w:rsidRPr="00DB76EF" w:rsidRDefault="00BC4EC0" w:rsidP="0081536D">
            <w:pPr>
              <w:pStyle w:val="TableText"/>
              <w:rPr>
                <w:rFonts w:ascii="Times New Roman" w:hAnsi="Times New Roman"/>
                <w:lang w:eastAsia="en-AU"/>
              </w:rPr>
            </w:pPr>
          </w:p>
        </w:tc>
        <w:tc>
          <w:tcPr>
            <w:tcW w:w="6023" w:type="dxa"/>
          </w:tcPr>
          <w:p w14:paraId="383B98C2" w14:textId="77777777" w:rsidR="00BC4EC0" w:rsidRPr="00DB76EF" w:rsidRDefault="00BC4EC0" w:rsidP="0081536D">
            <w:pPr>
              <w:pStyle w:val="TableText"/>
              <w:rPr>
                <w:lang w:eastAsia="en-AU"/>
              </w:rPr>
            </w:pPr>
            <w:r w:rsidRPr="00DB76EF">
              <w:rPr>
                <w:lang w:eastAsia="en-AU"/>
              </w:rPr>
              <w:t xml:space="preserve">Will the fee for service be the same for the new </w:t>
            </w:r>
            <w:r w:rsidRPr="00DB76EF">
              <w:rPr>
                <w:b/>
                <w:bCs/>
                <w:lang w:eastAsia="en-AU"/>
              </w:rPr>
              <w:t>provider group</w:t>
            </w:r>
            <w:r w:rsidRPr="00DB76EF">
              <w:rPr>
                <w:lang w:eastAsia="en-AU"/>
              </w:rPr>
              <w:t xml:space="preserve">? </w:t>
            </w:r>
          </w:p>
          <w:p w14:paraId="61601900" w14:textId="77777777" w:rsidR="00BC4EC0" w:rsidRPr="00DB76EF" w:rsidRDefault="00BC4EC0" w:rsidP="0081536D">
            <w:pPr>
              <w:pStyle w:val="TableText"/>
              <w:rPr>
                <w:lang w:eastAsia="en-AU"/>
              </w:rPr>
            </w:pPr>
            <w:r w:rsidRPr="00DB76EF">
              <w:rPr>
                <w:lang w:eastAsia="en-AU"/>
              </w:rPr>
              <w:t>Justify why the same if they have a lower level of skill, or there is a change in time to perform the service.</w:t>
            </w:r>
          </w:p>
        </w:tc>
      </w:tr>
      <w:tr w:rsidR="00BC4EC0" w:rsidRPr="00BA0A52" w14:paraId="28CB7222" w14:textId="77777777" w:rsidTr="00F8786C">
        <w:tc>
          <w:tcPr>
            <w:tcW w:w="1915" w:type="dxa"/>
            <w:vMerge/>
          </w:tcPr>
          <w:p w14:paraId="68BF3431" w14:textId="77777777" w:rsidR="00BC4EC0" w:rsidRPr="00DB76EF" w:rsidRDefault="00BC4EC0" w:rsidP="0081536D">
            <w:pPr>
              <w:pStyle w:val="TableText"/>
              <w:rPr>
                <w:rFonts w:ascii="Times New Roman" w:hAnsi="Times New Roman"/>
                <w:lang w:eastAsia="en-AU"/>
              </w:rPr>
            </w:pPr>
          </w:p>
        </w:tc>
        <w:tc>
          <w:tcPr>
            <w:tcW w:w="6023" w:type="dxa"/>
          </w:tcPr>
          <w:p w14:paraId="0A4233D7" w14:textId="77777777" w:rsidR="00BC4EC0" w:rsidRPr="00DB76EF" w:rsidRDefault="00BC4EC0" w:rsidP="0081536D">
            <w:pPr>
              <w:pStyle w:val="TableText"/>
              <w:rPr>
                <w:lang w:eastAsia="en-AU"/>
              </w:rPr>
            </w:pPr>
            <w:r w:rsidRPr="00DB76EF">
              <w:rPr>
                <w:lang w:eastAsia="en-AU"/>
              </w:rPr>
              <w:t xml:space="preserve">Will there be any changes in how the </w:t>
            </w:r>
            <w:r w:rsidRPr="00DB76EF">
              <w:rPr>
                <w:b/>
                <w:bCs/>
                <w:lang w:eastAsia="en-AU"/>
              </w:rPr>
              <w:t>service is provided</w:t>
            </w:r>
            <w:r w:rsidRPr="00DB76EF">
              <w:rPr>
                <w:lang w:eastAsia="en-AU"/>
              </w:rPr>
              <w:t xml:space="preserve">, such as preparation for the </w:t>
            </w:r>
            <w:r w:rsidRPr="00DB76EF">
              <w:rPr>
                <w:b/>
                <w:bCs/>
                <w:lang w:eastAsia="en-AU"/>
              </w:rPr>
              <w:t>service</w:t>
            </w:r>
            <w:r w:rsidRPr="00DB76EF">
              <w:rPr>
                <w:lang w:eastAsia="en-AU"/>
              </w:rPr>
              <w:t xml:space="preserve">, time taken to provide the </w:t>
            </w:r>
            <w:r w:rsidRPr="00DB76EF">
              <w:rPr>
                <w:b/>
                <w:bCs/>
                <w:lang w:eastAsia="en-AU"/>
              </w:rPr>
              <w:t>service</w:t>
            </w:r>
            <w:r w:rsidRPr="00DB76EF">
              <w:rPr>
                <w:lang w:eastAsia="en-AU"/>
              </w:rPr>
              <w:t>, etc.?</w:t>
            </w:r>
          </w:p>
        </w:tc>
      </w:tr>
      <w:tr w:rsidR="00BC4EC0" w:rsidRPr="00BA0A52" w14:paraId="6CAFFF4B" w14:textId="77777777" w:rsidTr="00F8786C">
        <w:tc>
          <w:tcPr>
            <w:tcW w:w="1915" w:type="dxa"/>
            <w:vMerge/>
          </w:tcPr>
          <w:p w14:paraId="1FE65094" w14:textId="77777777" w:rsidR="00BC4EC0" w:rsidRPr="00DB76EF" w:rsidRDefault="00BC4EC0" w:rsidP="0081536D">
            <w:pPr>
              <w:pStyle w:val="TableText"/>
              <w:rPr>
                <w:rFonts w:ascii="Times New Roman" w:hAnsi="Times New Roman"/>
                <w:lang w:eastAsia="en-AU"/>
              </w:rPr>
            </w:pPr>
          </w:p>
        </w:tc>
        <w:tc>
          <w:tcPr>
            <w:tcW w:w="6023" w:type="dxa"/>
          </w:tcPr>
          <w:p w14:paraId="61AE0984" w14:textId="77777777" w:rsidR="00BC4EC0" w:rsidRPr="00DB76EF" w:rsidRDefault="00BC4EC0" w:rsidP="0081536D">
            <w:pPr>
              <w:pStyle w:val="TableText"/>
              <w:rPr>
                <w:lang w:eastAsia="en-AU"/>
              </w:rPr>
            </w:pPr>
            <w:r w:rsidRPr="00DB76EF">
              <w:rPr>
                <w:lang w:eastAsia="en-AU"/>
              </w:rPr>
              <w:t xml:space="preserve">For </w:t>
            </w:r>
            <w:r w:rsidRPr="00DB76EF">
              <w:rPr>
                <w:b/>
                <w:bCs/>
                <w:lang w:eastAsia="en-AU"/>
              </w:rPr>
              <w:t>diagnostic services</w:t>
            </w:r>
            <w:r w:rsidRPr="00DB76EF">
              <w:rPr>
                <w:lang w:eastAsia="en-AU"/>
              </w:rPr>
              <w:t xml:space="preserve">, how do the </w:t>
            </w:r>
            <w:r w:rsidRPr="00DB76EF">
              <w:rPr>
                <w:b/>
                <w:bCs/>
                <w:lang w:eastAsia="en-AU"/>
              </w:rPr>
              <w:t>requestors (providers)</w:t>
            </w:r>
            <w:r w:rsidRPr="00DB76EF">
              <w:rPr>
                <w:lang w:eastAsia="en-AU"/>
              </w:rPr>
              <w:t xml:space="preserve"> use the information provided by the service in their practice?</w:t>
            </w:r>
          </w:p>
        </w:tc>
      </w:tr>
      <w:tr w:rsidR="00BC4EC0" w:rsidRPr="00BA0A52" w14:paraId="55B9A7BD" w14:textId="77777777" w:rsidTr="00F8786C">
        <w:tc>
          <w:tcPr>
            <w:tcW w:w="1915" w:type="dxa"/>
            <w:vMerge/>
          </w:tcPr>
          <w:p w14:paraId="36E1C121" w14:textId="77777777" w:rsidR="00BC4EC0" w:rsidRPr="00DB76EF" w:rsidRDefault="00BC4EC0" w:rsidP="0081536D">
            <w:pPr>
              <w:pStyle w:val="TableText"/>
              <w:rPr>
                <w:rFonts w:ascii="Times New Roman" w:hAnsi="Times New Roman"/>
                <w:lang w:eastAsia="en-AU"/>
              </w:rPr>
            </w:pPr>
          </w:p>
        </w:tc>
        <w:tc>
          <w:tcPr>
            <w:tcW w:w="6023" w:type="dxa"/>
          </w:tcPr>
          <w:p w14:paraId="0DBAE396" w14:textId="77777777" w:rsidR="00BC4EC0" w:rsidRPr="00DB76EF" w:rsidRDefault="00BC4EC0" w:rsidP="0081536D">
            <w:pPr>
              <w:pStyle w:val="TableText"/>
              <w:rPr>
                <w:lang w:eastAsia="en-AU"/>
              </w:rPr>
            </w:pPr>
            <w:r w:rsidRPr="00DB76EF">
              <w:rPr>
                <w:lang w:eastAsia="en-AU"/>
              </w:rPr>
              <w:t xml:space="preserve">Which </w:t>
            </w:r>
            <w:r w:rsidRPr="00DB76EF">
              <w:rPr>
                <w:b/>
                <w:bCs/>
                <w:lang w:eastAsia="en-AU"/>
              </w:rPr>
              <w:t>providers</w:t>
            </w:r>
            <w:r w:rsidRPr="00DB76EF">
              <w:rPr>
                <w:lang w:eastAsia="en-AU"/>
              </w:rPr>
              <w:t xml:space="preserve"> can currently request / refer the service? What training or qualifications do they possess, and would these be required for new requester/referrers?</w:t>
            </w:r>
          </w:p>
        </w:tc>
      </w:tr>
      <w:tr w:rsidR="00BC4EC0" w:rsidRPr="00BA0A52" w14:paraId="1E1ECBF3" w14:textId="77777777" w:rsidTr="00F8786C">
        <w:tc>
          <w:tcPr>
            <w:tcW w:w="1915" w:type="dxa"/>
            <w:vMerge/>
          </w:tcPr>
          <w:p w14:paraId="4E64EAFB" w14:textId="77777777" w:rsidR="00BC4EC0" w:rsidRPr="00C73E73" w:rsidRDefault="00BC4EC0" w:rsidP="0081536D">
            <w:pPr>
              <w:pStyle w:val="TableText"/>
              <w:rPr>
                <w:rFonts w:ascii="Times New Roman" w:hAnsi="Times New Roman"/>
                <w:lang w:eastAsia="en-AU"/>
              </w:rPr>
            </w:pPr>
          </w:p>
        </w:tc>
        <w:tc>
          <w:tcPr>
            <w:tcW w:w="6023" w:type="dxa"/>
          </w:tcPr>
          <w:p w14:paraId="1097798D" w14:textId="77777777" w:rsidR="00BC4EC0" w:rsidRPr="00C73E73" w:rsidRDefault="00BC4EC0" w:rsidP="0081536D">
            <w:pPr>
              <w:pStyle w:val="TableText"/>
              <w:rPr>
                <w:lang w:eastAsia="en-AU"/>
              </w:rPr>
            </w:pPr>
            <w:r w:rsidRPr="00C73E73">
              <w:rPr>
                <w:lang w:eastAsia="en-AU"/>
              </w:rPr>
              <w:t xml:space="preserve">Is this change supported by current </w:t>
            </w:r>
            <w:r w:rsidRPr="00C73E73">
              <w:rPr>
                <w:b/>
                <w:bCs/>
                <w:lang w:eastAsia="en-AU"/>
              </w:rPr>
              <w:t>providers</w:t>
            </w:r>
            <w:r w:rsidRPr="00C73E73">
              <w:rPr>
                <w:lang w:eastAsia="en-AU"/>
              </w:rPr>
              <w:t>, the professional body and relevant stakeholders (e.g. relevant peak bodies and consumer groups)?</w:t>
            </w:r>
          </w:p>
        </w:tc>
      </w:tr>
      <w:tr w:rsidR="00BC4EC0" w:rsidRPr="00BA0A52" w14:paraId="7FD56A2D" w14:textId="77777777" w:rsidTr="00F8786C">
        <w:tc>
          <w:tcPr>
            <w:tcW w:w="1915" w:type="dxa"/>
            <w:vMerge w:val="restart"/>
          </w:tcPr>
          <w:p w14:paraId="1E82E5D2" w14:textId="77777777" w:rsidR="00BC4EC0" w:rsidRPr="008435AE" w:rsidRDefault="00BC4EC0" w:rsidP="008435AE">
            <w:pPr>
              <w:pStyle w:val="TableText"/>
            </w:pPr>
            <w:r w:rsidRPr="008435AE">
              <w:t>Comparator (what alternatives are you considering?)</w:t>
            </w:r>
          </w:p>
        </w:tc>
        <w:tc>
          <w:tcPr>
            <w:tcW w:w="6023" w:type="dxa"/>
          </w:tcPr>
          <w:p w14:paraId="1EB77A24" w14:textId="77777777" w:rsidR="00BC4EC0" w:rsidRPr="00C73E73" w:rsidRDefault="00BC4EC0" w:rsidP="0081536D">
            <w:pPr>
              <w:pStyle w:val="TableText"/>
              <w:rPr>
                <w:lang w:eastAsia="en-AU"/>
              </w:rPr>
            </w:pPr>
            <w:r w:rsidRPr="00C73E73">
              <w:rPr>
                <w:lang w:eastAsia="en-AU"/>
              </w:rPr>
              <w:t xml:space="preserve">What is the </w:t>
            </w:r>
            <w:r w:rsidRPr="00C73E73">
              <w:rPr>
                <w:b/>
                <w:bCs/>
                <w:lang w:eastAsia="en-AU"/>
              </w:rPr>
              <w:t>comparator</w:t>
            </w:r>
            <w:r w:rsidRPr="00C73E73">
              <w:rPr>
                <w:lang w:eastAsia="en-AU"/>
              </w:rPr>
              <w:t xml:space="preserve">? Is the </w:t>
            </w:r>
            <w:r w:rsidRPr="00C73E73">
              <w:rPr>
                <w:b/>
                <w:bCs/>
                <w:lang w:eastAsia="en-AU"/>
              </w:rPr>
              <w:t>comparator</w:t>
            </w:r>
            <w:r w:rsidRPr="00C73E73">
              <w:rPr>
                <w:lang w:eastAsia="en-AU"/>
              </w:rPr>
              <w:t xml:space="preserve"> the MBS service currently provided by a different profession or is it the same/similar service provided by the proposed new provider via a non-MBS mechanism or something else?</w:t>
            </w:r>
          </w:p>
        </w:tc>
      </w:tr>
      <w:tr w:rsidR="00BC4EC0" w:rsidRPr="00BA0A52" w14:paraId="7B268F3A" w14:textId="77777777" w:rsidTr="00F8786C">
        <w:tc>
          <w:tcPr>
            <w:tcW w:w="1915" w:type="dxa"/>
            <w:vMerge/>
          </w:tcPr>
          <w:p w14:paraId="39573BE8" w14:textId="77777777" w:rsidR="00BC4EC0" w:rsidRPr="008435AE" w:rsidRDefault="00BC4EC0" w:rsidP="008435AE">
            <w:pPr>
              <w:pStyle w:val="TableText"/>
            </w:pPr>
          </w:p>
        </w:tc>
        <w:tc>
          <w:tcPr>
            <w:tcW w:w="6023" w:type="dxa"/>
          </w:tcPr>
          <w:p w14:paraId="62A1FAFC" w14:textId="77777777" w:rsidR="00BC4EC0" w:rsidRPr="00C73E73" w:rsidRDefault="00BC4EC0" w:rsidP="0081536D">
            <w:pPr>
              <w:pStyle w:val="TableText"/>
              <w:rPr>
                <w:lang w:eastAsia="en-AU"/>
              </w:rPr>
            </w:pPr>
            <w:r w:rsidRPr="00C73E73">
              <w:rPr>
                <w:lang w:eastAsia="en-AU"/>
              </w:rPr>
              <w:t xml:space="preserve">How does the health care resource use and costs for the proposed service </w:t>
            </w:r>
            <w:r w:rsidRPr="00C73E73">
              <w:rPr>
                <w:b/>
                <w:bCs/>
                <w:lang w:eastAsia="en-AU"/>
              </w:rPr>
              <w:t>compare</w:t>
            </w:r>
            <w:r w:rsidRPr="00C73E73">
              <w:rPr>
                <w:lang w:eastAsia="en-AU"/>
              </w:rPr>
              <w:t xml:space="preserve"> with the </w:t>
            </w:r>
            <w:r w:rsidRPr="00C73E73">
              <w:rPr>
                <w:b/>
                <w:bCs/>
                <w:lang w:eastAsia="en-AU"/>
              </w:rPr>
              <w:t>comparator</w:t>
            </w:r>
            <w:r w:rsidRPr="00C73E73">
              <w:rPr>
                <w:lang w:eastAsia="en-AU"/>
              </w:rPr>
              <w:t>?</w:t>
            </w:r>
          </w:p>
        </w:tc>
      </w:tr>
      <w:tr w:rsidR="00BC4EC0" w:rsidRPr="00BA0A52" w14:paraId="313FC695" w14:textId="77777777" w:rsidTr="00F8786C">
        <w:tc>
          <w:tcPr>
            <w:tcW w:w="1915" w:type="dxa"/>
            <w:vMerge w:val="restart"/>
          </w:tcPr>
          <w:p w14:paraId="1151A3AD" w14:textId="77777777" w:rsidR="00BC4EC0" w:rsidRPr="008435AE" w:rsidRDefault="00BC4EC0" w:rsidP="008435AE">
            <w:pPr>
              <w:pStyle w:val="TableText"/>
            </w:pPr>
            <w:r w:rsidRPr="008435AE">
              <w:t>Outcome (what do you wish to accomplish?)</w:t>
            </w:r>
          </w:p>
        </w:tc>
        <w:tc>
          <w:tcPr>
            <w:tcW w:w="6023" w:type="dxa"/>
          </w:tcPr>
          <w:p w14:paraId="0400E437" w14:textId="77777777" w:rsidR="00BC4EC0" w:rsidRPr="00C73E73" w:rsidRDefault="00BC4EC0" w:rsidP="008435AE">
            <w:pPr>
              <w:pStyle w:val="TableText"/>
              <w:rPr>
                <w:lang w:eastAsia="en-AU"/>
              </w:rPr>
            </w:pPr>
            <w:r w:rsidRPr="00C73E73">
              <w:rPr>
                <w:lang w:eastAsia="en-AU"/>
              </w:rPr>
              <w:t xml:space="preserve">Will there be an impact on patient </w:t>
            </w:r>
            <w:r w:rsidRPr="00C73E73">
              <w:rPr>
                <w:b/>
                <w:bCs/>
                <w:lang w:eastAsia="en-AU"/>
              </w:rPr>
              <w:t>outcomes</w:t>
            </w:r>
            <w:r w:rsidRPr="00C73E73">
              <w:rPr>
                <w:lang w:eastAsia="en-AU"/>
              </w:rPr>
              <w:t xml:space="preserve"> in terms of clinical effectiveness, safety or the quality of the service being provided? Can this be quantified?</w:t>
            </w:r>
          </w:p>
        </w:tc>
      </w:tr>
      <w:tr w:rsidR="00BC4EC0" w:rsidRPr="00BA0A52" w14:paraId="0B9731EE" w14:textId="77777777" w:rsidTr="00F8786C">
        <w:tc>
          <w:tcPr>
            <w:tcW w:w="1915" w:type="dxa"/>
            <w:vMerge/>
          </w:tcPr>
          <w:p w14:paraId="76B2093C" w14:textId="77777777" w:rsidR="00BC4EC0" w:rsidRPr="00C73E73" w:rsidRDefault="00BC4EC0" w:rsidP="0081536D">
            <w:pPr>
              <w:pStyle w:val="TableText"/>
              <w:rPr>
                <w:rFonts w:ascii="Times New Roman" w:hAnsi="Times New Roman"/>
                <w:lang w:eastAsia="en-AU"/>
              </w:rPr>
            </w:pPr>
          </w:p>
        </w:tc>
        <w:tc>
          <w:tcPr>
            <w:tcW w:w="6023" w:type="dxa"/>
          </w:tcPr>
          <w:p w14:paraId="27192B19" w14:textId="77777777" w:rsidR="00BC4EC0" w:rsidRPr="00C73E73" w:rsidRDefault="00BC4EC0" w:rsidP="0081536D">
            <w:pPr>
              <w:pStyle w:val="TableText"/>
              <w:rPr>
                <w:lang w:eastAsia="en-AU"/>
              </w:rPr>
            </w:pPr>
            <w:r w:rsidRPr="00C73E73">
              <w:rPr>
                <w:lang w:eastAsia="en-AU"/>
              </w:rPr>
              <w:t xml:space="preserve">Is there a risk of adverse </w:t>
            </w:r>
            <w:r w:rsidRPr="00C73E73">
              <w:rPr>
                <w:b/>
                <w:bCs/>
                <w:lang w:eastAsia="en-AU"/>
              </w:rPr>
              <w:t>outcomes</w:t>
            </w:r>
            <w:r w:rsidRPr="00C73E73">
              <w:rPr>
                <w:lang w:eastAsia="en-AU"/>
              </w:rPr>
              <w:t>?</w:t>
            </w:r>
          </w:p>
        </w:tc>
      </w:tr>
      <w:tr w:rsidR="00BC4EC0" w:rsidRPr="00BA0A52" w14:paraId="537CA2FD" w14:textId="77777777" w:rsidTr="00F8786C">
        <w:tc>
          <w:tcPr>
            <w:tcW w:w="1915" w:type="dxa"/>
            <w:vMerge/>
          </w:tcPr>
          <w:p w14:paraId="426334C1" w14:textId="77777777" w:rsidR="00BC4EC0" w:rsidRPr="00C73E73" w:rsidRDefault="00BC4EC0" w:rsidP="0081536D">
            <w:pPr>
              <w:pStyle w:val="TableText"/>
              <w:rPr>
                <w:rFonts w:ascii="Times New Roman" w:hAnsi="Times New Roman"/>
                <w:lang w:eastAsia="en-AU"/>
              </w:rPr>
            </w:pPr>
          </w:p>
        </w:tc>
        <w:tc>
          <w:tcPr>
            <w:tcW w:w="6023" w:type="dxa"/>
          </w:tcPr>
          <w:p w14:paraId="72EB99EA" w14:textId="77777777" w:rsidR="00BC4EC0" w:rsidRPr="00C73E73" w:rsidRDefault="00BC4EC0" w:rsidP="0081536D">
            <w:pPr>
              <w:pStyle w:val="TableText"/>
              <w:rPr>
                <w:lang w:eastAsia="en-AU"/>
              </w:rPr>
            </w:pPr>
            <w:r w:rsidRPr="00C73E73">
              <w:rPr>
                <w:lang w:eastAsia="en-AU"/>
              </w:rPr>
              <w:t xml:space="preserve">What </w:t>
            </w:r>
            <w:proofErr w:type="gramStart"/>
            <w:r w:rsidRPr="00C73E73">
              <w:rPr>
                <w:lang w:eastAsia="en-AU"/>
              </w:rPr>
              <w:t>are</w:t>
            </w:r>
            <w:proofErr w:type="gramEnd"/>
            <w:r w:rsidRPr="00C73E73">
              <w:rPr>
                <w:lang w:eastAsia="en-AU"/>
              </w:rPr>
              <w:t xml:space="preserve"> the flow-on effects of the</w:t>
            </w:r>
            <w:r w:rsidRPr="00C73E73">
              <w:rPr>
                <w:b/>
                <w:bCs/>
                <w:lang w:eastAsia="en-AU"/>
              </w:rPr>
              <w:t xml:space="preserve"> change</w:t>
            </w:r>
            <w:r w:rsidRPr="00C73E73">
              <w:rPr>
                <w:lang w:eastAsia="en-AU"/>
              </w:rPr>
              <w:t xml:space="preserve"> including costs/offsets?</w:t>
            </w:r>
          </w:p>
        </w:tc>
      </w:tr>
      <w:tr w:rsidR="00BC4EC0" w:rsidRPr="00BA0A52" w14:paraId="60606D15" w14:textId="77777777" w:rsidTr="00F8786C">
        <w:tc>
          <w:tcPr>
            <w:tcW w:w="1915" w:type="dxa"/>
            <w:vMerge/>
          </w:tcPr>
          <w:p w14:paraId="6F859CD9" w14:textId="77777777" w:rsidR="00BC4EC0" w:rsidRPr="00C73E73" w:rsidRDefault="00BC4EC0" w:rsidP="0081536D">
            <w:pPr>
              <w:pStyle w:val="TableText"/>
              <w:rPr>
                <w:rFonts w:ascii="Times New Roman" w:hAnsi="Times New Roman"/>
                <w:lang w:eastAsia="en-AU"/>
              </w:rPr>
            </w:pPr>
          </w:p>
        </w:tc>
        <w:tc>
          <w:tcPr>
            <w:tcW w:w="6023" w:type="dxa"/>
          </w:tcPr>
          <w:p w14:paraId="73DF21F9" w14:textId="77777777" w:rsidR="00BC4EC0" w:rsidRPr="00C73E73" w:rsidRDefault="00BC4EC0" w:rsidP="0081536D">
            <w:pPr>
              <w:pStyle w:val="TableText"/>
              <w:rPr>
                <w:lang w:eastAsia="en-AU"/>
              </w:rPr>
            </w:pPr>
            <w:r w:rsidRPr="00C73E73">
              <w:rPr>
                <w:lang w:eastAsia="en-AU"/>
              </w:rPr>
              <w:t xml:space="preserve">Will there be a </w:t>
            </w:r>
            <w:r w:rsidRPr="00C73E73">
              <w:rPr>
                <w:b/>
                <w:bCs/>
                <w:lang w:eastAsia="en-AU"/>
              </w:rPr>
              <w:t>change</w:t>
            </w:r>
            <w:r w:rsidRPr="00C73E73">
              <w:rPr>
                <w:lang w:eastAsia="en-AU"/>
              </w:rPr>
              <w:t xml:space="preserve"> in service utilisation? Consider:</w:t>
            </w:r>
          </w:p>
          <w:p w14:paraId="52273216" w14:textId="77777777" w:rsidR="00BC4EC0" w:rsidRPr="00C80EBB" w:rsidRDefault="00BC4EC0" w:rsidP="008435AE">
            <w:pPr>
              <w:pStyle w:val="ListBullet"/>
            </w:pPr>
            <w:r w:rsidRPr="00C80EBB">
              <w:t xml:space="preserve">Estimated number of services which would likely be provided by the proposed new provider or item number </w:t>
            </w:r>
          </w:p>
          <w:p w14:paraId="44B94DBC" w14:textId="77777777" w:rsidR="00BC4EC0" w:rsidRPr="004E6A69" w:rsidRDefault="00BC4EC0" w:rsidP="008435AE">
            <w:pPr>
              <w:pStyle w:val="ListBullet"/>
            </w:pPr>
            <w:r w:rsidRPr="004E6A69">
              <w:t>Whether there would be increase in uptake of existing services, or a shift in services previously provided by a different provider</w:t>
            </w:r>
          </w:p>
          <w:p w14:paraId="13E7F3AD" w14:textId="77777777" w:rsidR="00BC4EC0" w:rsidRPr="004E6A69" w:rsidRDefault="00BC4EC0" w:rsidP="008435AE">
            <w:pPr>
              <w:pStyle w:val="ListBullet"/>
            </w:pPr>
            <w:r w:rsidRPr="004E6A69">
              <w:t>Whether there would be an increase or a reduction in total services, and can these changes be quantified.</w:t>
            </w:r>
          </w:p>
          <w:p w14:paraId="447BE72C" w14:textId="77777777" w:rsidR="00BC4EC0" w:rsidRPr="00C73E73" w:rsidRDefault="00BC4EC0" w:rsidP="008435AE">
            <w:pPr>
              <w:pStyle w:val="ListBullet"/>
              <w:rPr>
                <w:lang w:eastAsia="en-AU"/>
              </w:rPr>
            </w:pPr>
            <w:r w:rsidRPr="004E6A69">
              <w:t>Can utilisation be broken down by state, territory and rurality?</w:t>
            </w:r>
          </w:p>
        </w:tc>
      </w:tr>
    </w:tbl>
    <w:p w14:paraId="6E45A042" w14:textId="77777777" w:rsidR="00BC4EC0" w:rsidRPr="00C73E73" w:rsidRDefault="00BC4EC0" w:rsidP="00BC4EC0"/>
    <w:p w14:paraId="0021F7D2" w14:textId="65E89B0C" w:rsidR="00BC4EC0" w:rsidRPr="00E74D19" w:rsidRDefault="00BC4EC0" w:rsidP="00BC4EC0">
      <w:pPr>
        <w:pStyle w:val="Heading1"/>
        <w:spacing w:after="240"/>
      </w:pPr>
      <w:bookmarkStart w:id="180" w:name="_Appendix_3_–"/>
      <w:bookmarkStart w:id="181" w:name="_Toc208307112"/>
      <w:bookmarkStart w:id="182" w:name="_Toc227143268"/>
      <w:bookmarkStart w:id="183" w:name="_Toc227143325"/>
      <w:bookmarkEnd w:id="180"/>
      <w:r w:rsidRPr="00E74D19">
        <w:t>Appendix 3</w:t>
      </w:r>
      <w:r w:rsidR="00DD7378">
        <w:tab/>
      </w:r>
      <w:r w:rsidR="00B04EE8">
        <w:t xml:space="preserve"> </w:t>
      </w:r>
      <w:r w:rsidRPr="00E74D19">
        <w:t>Assessment of the proposed MBS item descriptor</w:t>
      </w:r>
      <w:bookmarkEnd w:id="181"/>
      <w:bookmarkEnd w:id="182"/>
      <w:bookmarkEnd w:id="183"/>
    </w:p>
    <w:p w14:paraId="322CDFDF" w14:textId="00B6CF55" w:rsidR="00BC4EC0" w:rsidRPr="00F8786C" w:rsidRDefault="00BC4EC0" w:rsidP="00F8786C">
      <w:r w:rsidRPr="00F8786C">
        <w:t xml:space="preserve">When considering a proposed new or amended MBS item descriptor, members </w:t>
      </w:r>
      <w:r w:rsidRPr="00F8786C" w:rsidDel="00DD7378">
        <w:t>a</w:t>
      </w:r>
      <w:r w:rsidRPr="00F8786C">
        <w:t xml:space="preserve">re encouraged to consider whether the item descriptor: </w:t>
      </w:r>
    </w:p>
    <w:p w14:paraId="7E954AC5" w14:textId="77777777" w:rsidR="00BC4EC0" w:rsidRPr="00832017" w:rsidRDefault="00BC4EC0" w:rsidP="00832017">
      <w:pPr>
        <w:pStyle w:val="ListBullet"/>
      </w:pPr>
      <w:r w:rsidRPr="00832017">
        <w:t>addresses a deficiency, or deficiencies, in the current model of care</w:t>
      </w:r>
    </w:p>
    <w:p w14:paraId="40627136" w14:textId="77777777" w:rsidR="00BC4EC0" w:rsidRPr="00832017" w:rsidRDefault="00BC4EC0" w:rsidP="00832017">
      <w:pPr>
        <w:pStyle w:val="ListBullet"/>
      </w:pPr>
      <w:r w:rsidRPr="00832017">
        <w:t xml:space="preserve">improves patient outcomes compared with the current model of care </w:t>
      </w:r>
    </w:p>
    <w:p w14:paraId="1B9DF205" w14:textId="3A1A0DC1" w:rsidR="00BC4EC0" w:rsidRPr="00832017" w:rsidRDefault="00BC4EC0" w:rsidP="00832017">
      <w:pPr>
        <w:pStyle w:val="ListBullet"/>
      </w:pPr>
      <w:r w:rsidRPr="00832017">
        <w:t>reflects a high-quality</w:t>
      </w:r>
      <w:r w:rsidR="001C0C38" w:rsidRPr="00832017">
        <w:t>,</w:t>
      </w:r>
      <w:r w:rsidRPr="00832017">
        <w:t xml:space="preserve"> evidence-based intervention with acceptable risk to benefit ratio </w:t>
      </w:r>
    </w:p>
    <w:p w14:paraId="155A75A6" w14:textId="0AFB4767" w:rsidR="00BC4EC0" w:rsidRPr="00832017" w:rsidRDefault="00BC4EC0" w:rsidP="00832017">
      <w:pPr>
        <w:pStyle w:val="ListBullet"/>
      </w:pPr>
      <w:r w:rsidRPr="00832017">
        <w:t>addresses a discrete/well</w:t>
      </w:r>
      <w:r w:rsidR="001C0C38" w:rsidRPr="00832017">
        <w:t>-</w:t>
      </w:r>
      <w:r w:rsidRPr="00832017">
        <w:t xml:space="preserve">defined target population </w:t>
      </w:r>
    </w:p>
    <w:p w14:paraId="4A600DE3" w14:textId="77777777" w:rsidR="00BC4EC0" w:rsidRPr="00832017" w:rsidRDefault="00BC4EC0" w:rsidP="00832017">
      <w:pPr>
        <w:pStyle w:val="ListBullet"/>
      </w:pPr>
      <w:r w:rsidRPr="00832017">
        <w:t xml:space="preserve">is applicable to a defined workforce/expertise </w:t>
      </w:r>
    </w:p>
    <w:p w14:paraId="62019A39" w14:textId="77777777" w:rsidR="00BC4EC0" w:rsidRPr="00832017" w:rsidRDefault="00BC4EC0" w:rsidP="00832017">
      <w:pPr>
        <w:pStyle w:val="ListBullet"/>
      </w:pPr>
      <w:r w:rsidRPr="00832017">
        <w:t>promotes subsidiarity</w:t>
      </w:r>
    </w:p>
    <w:p w14:paraId="728677F6" w14:textId="77777777" w:rsidR="00BC4EC0" w:rsidRPr="00832017" w:rsidRDefault="00BC4EC0" w:rsidP="00832017">
      <w:pPr>
        <w:pStyle w:val="ListBullet"/>
      </w:pPr>
      <w:r w:rsidRPr="00832017">
        <w:t>promotes triage according to need</w:t>
      </w:r>
    </w:p>
    <w:p w14:paraId="2BB510DA" w14:textId="3D3A7B16" w:rsidR="00BC4EC0" w:rsidRPr="00832017" w:rsidRDefault="00BC4EC0" w:rsidP="00832017">
      <w:pPr>
        <w:pStyle w:val="ListBullet"/>
      </w:pPr>
      <w:r w:rsidRPr="00832017">
        <w:t xml:space="preserve">integrates with a </w:t>
      </w:r>
      <w:r w:rsidR="0057451D" w:rsidRPr="00832017">
        <w:t>general practitioner</w:t>
      </w:r>
      <w:r w:rsidR="00997CC5" w:rsidRPr="00832017">
        <w:t>–</w:t>
      </w:r>
      <w:r w:rsidRPr="00832017">
        <w:t xml:space="preserve">coordinated model of care </w:t>
      </w:r>
    </w:p>
    <w:p w14:paraId="5C545808" w14:textId="77777777" w:rsidR="00BC4EC0" w:rsidRPr="00832017" w:rsidRDefault="00BC4EC0" w:rsidP="00832017">
      <w:pPr>
        <w:pStyle w:val="ListBullet"/>
      </w:pPr>
      <w:r w:rsidRPr="00832017">
        <w:t>does not promote perverse incentives</w:t>
      </w:r>
    </w:p>
    <w:p w14:paraId="2AC206C5" w14:textId="77777777" w:rsidR="00BC4EC0" w:rsidRPr="00832017" w:rsidRDefault="00BC4EC0" w:rsidP="00832017">
      <w:pPr>
        <w:pStyle w:val="ListBullet"/>
      </w:pPr>
      <w:r w:rsidRPr="00832017">
        <w:t>has a low potential for unintended consequences</w:t>
      </w:r>
    </w:p>
    <w:p w14:paraId="708A8190" w14:textId="77777777" w:rsidR="00BC4EC0" w:rsidRPr="00832017" w:rsidRDefault="00BC4EC0" w:rsidP="00832017">
      <w:pPr>
        <w:pStyle w:val="ListBullet"/>
      </w:pPr>
      <w:r w:rsidRPr="00832017">
        <w:t xml:space="preserve">describes a complete service </w:t>
      </w:r>
    </w:p>
    <w:p w14:paraId="0C9974E4" w14:textId="77777777" w:rsidR="00BC4EC0" w:rsidRPr="00832017" w:rsidRDefault="00BC4EC0" w:rsidP="00832017">
      <w:pPr>
        <w:pStyle w:val="ListBullet"/>
      </w:pPr>
      <w:r w:rsidRPr="00832017">
        <w:t xml:space="preserve">has measurable outcomes </w:t>
      </w:r>
    </w:p>
    <w:p w14:paraId="762600CD" w14:textId="77777777" w:rsidR="00BC4EC0" w:rsidRPr="00832017" w:rsidRDefault="00BC4EC0" w:rsidP="00832017">
      <w:pPr>
        <w:pStyle w:val="ListBullet"/>
      </w:pPr>
      <w:r w:rsidRPr="00832017">
        <w:t xml:space="preserve">does not duplicate an existing item </w:t>
      </w:r>
    </w:p>
    <w:p w14:paraId="2AF9BE99" w14:textId="77777777" w:rsidR="00BC4EC0" w:rsidRPr="00832017" w:rsidRDefault="00BC4EC0" w:rsidP="00832017">
      <w:pPr>
        <w:pStyle w:val="ListBullet"/>
      </w:pPr>
      <w:r w:rsidRPr="00832017">
        <w:t>where relevant, triggers a review of any relevant MBS item(s)</w:t>
      </w:r>
    </w:p>
    <w:p w14:paraId="4A11AC74" w14:textId="77777777" w:rsidR="00BC4EC0" w:rsidRPr="00832017" w:rsidRDefault="00BC4EC0" w:rsidP="00832017">
      <w:pPr>
        <w:pStyle w:val="ListBullet"/>
      </w:pPr>
      <w:r w:rsidRPr="00832017">
        <w:t>does not encourage cost shifting</w:t>
      </w:r>
    </w:p>
    <w:p w14:paraId="2311B2D0" w14:textId="77777777" w:rsidR="00BC4EC0" w:rsidRPr="00832017" w:rsidRDefault="00BC4EC0" w:rsidP="00832017">
      <w:pPr>
        <w:pStyle w:val="ListBullet"/>
      </w:pPr>
      <w:r w:rsidRPr="00832017">
        <w:t>is easy to interpret and implement</w:t>
      </w:r>
    </w:p>
    <w:p w14:paraId="790592C7" w14:textId="77777777" w:rsidR="00BC4EC0" w:rsidRPr="00832017" w:rsidRDefault="00BC4EC0" w:rsidP="00832017">
      <w:pPr>
        <w:pStyle w:val="ListBullet"/>
      </w:pPr>
      <w:r w:rsidRPr="00832017">
        <w:t>does not impose a large bureaucratic burden.</w:t>
      </w:r>
    </w:p>
    <w:sectPr w:rsidR="00BC4EC0" w:rsidRPr="00832017" w:rsidSect="00165193">
      <w:headerReference w:type="even" r:id="rId18"/>
      <w:footerReference w:type="even" r:id="rId19"/>
      <w:footerReference w:type="default" r:id="rId20"/>
      <w:headerReference w:type="first" r:id="rId21"/>
      <w:footerReference w:type="first" r:id="rId22"/>
      <w:pgSz w:w="11906" w:h="16838"/>
      <w:pgMar w:top="1440" w:right="1700" w:bottom="1440" w:left="20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FD01" w14:textId="77777777" w:rsidR="00577D2D" w:rsidRDefault="00577D2D">
      <w:r>
        <w:separator/>
      </w:r>
    </w:p>
  </w:endnote>
  <w:endnote w:type="continuationSeparator" w:id="0">
    <w:p w14:paraId="6F2AE744" w14:textId="77777777" w:rsidR="00577D2D" w:rsidRDefault="00577D2D">
      <w:r>
        <w:continuationSeparator/>
      </w:r>
    </w:p>
  </w:endnote>
  <w:endnote w:type="continuationNotice" w:id="1">
    <w:p w14:paraId="31528C7A" w14:textId="77777777" w:rsidR="00577D2D" w:rsidRDefault="00577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5A0A" w14:textId="0D2D5D3C" w:rsidR="003573E1" w:rsidRDefault="003573E1">
    <w:pPr>
      <w:pStyle w:val="Footer"/>
    </w:pPr>
    <w:r>
      <w:rPr>
        <w:noProof/>
      </w:rPr>
      <mc:AlternateContent>
        <mc:Choice Requires="wps">
          <w:drawing>
            <wp:anchor distT="0" distB="0" distL="0" distR="0" simplePos="0" relativeHeight="251662336" behindDoc="0" locked="0" layoutInCell="1" allowOverlap="1" wp14:anchorId="205E85F7" wp14:editId="584E2081">
              <wp:simplePos x="635" y="635"/>
              <wp:positionH relativeFrom="page">
                <wp:align>center</wp:align>
              </wp:positionH>
              <wp:positionV relativeFrom="page">
                <wp:align>bottom</wp:align>
              </wp:positionV>
              <wp:extent cx="622300" cy="391160"/>
              <wp:effectExtent l="0" t="0" r="6350" b="0"/>
              <wp:wrapNone/>
              <wp:docPr id="8722143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9BF2E99" w14:textId="166B896A" w:rsidR="003573E1" w:rsidRPr="003573E1" w:rsidRDefault="003573E1" w:rsidP="003573E1">
                          <w:pPr>
                            <w:spacing w:after="0"/>
                            <w:rPr>
                              <w:rFonts w:ascii="Aptos" w:eastAsia="Aptos" w:hAnsi="Aptos" w:cs="Aptos"/>
                              <w:noProof/>
                              <w:color w:val="FF0000"/>
                              <w:sz w:val="24"/>
                            </w:rPr>
                          </w:pPr>
                          <w:r w:rsidRPr="003573E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5E85F7" id="_x0000_t202" coordsize="21600,21600" o:spt="202" path="m,l,21600r21600,l21600,xe">
              <v:stroke joinstyle="miter"/>
              <v:path gradientshapeok="t" o:connecttype="rect"/>
            </v:shapetype>
            <v:shape id="Text Box 5" o:spid="_x0000_s1031"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59BF2E99" w14:textId="166B896A" w:rsidR="003573E1" w:rsidRPr="003573E1" w:rsidRDefault="003573E1" w:rsidP="003573E1">
                    <w:pPr>
                      <w:spacing w:after="0"/>
                      <w:rPr>
                        <w:rFonts w:ascii="Aptos" w:eastAsia="Aptos" w:hAnsi="Aptos" w:cs="Aptos"/>
                        <w:noProof/>
                        <w:color w:val="FF0000"/>
                        <w:sz w:val="24"/>
                      </w:rPr>
                    </w:pPr>
                    <w:r w:rsidRPr="003573E1">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D518" w14:textId="221644DF" w:rsidR="00AC3100" w:rsidRPr="00D80DA1" w:rsidRDefault="003573E1" w:rsidP="00D80DA1">
    <w:pPr>
      <w:pStyle w:val="Footer"/>
      <w:framePr w:wrap="none" w:vAnchor="text" w:hAnchor="page" w:x="9667" w:y="24"/>
      <w:rPr>
        <w:rStyle w:val="PageNumber"/>
        <w:rFonts w:ascii="Open Sans" w:hAnsi="Open Sans" w:cs="Open Sans"/>
        <w:b w:val="0"/>
        <w:bCs/>
      </w:rPr>
    </w:pPr>
    <w:r>
      <w:rPr>
        <w:rFonts w:ascii="Open Sans" w:hAnsi="Open Sans" w:cs="Open Sans"/>
        <w:b/>
        <w:noProof/>
      </w:rPr>
      <mc:AlternateContent>
        <mc:Choice Requires="wps">
          <w:drawing>
            <wp:anchor distT="0" distB="0" distL="0" distR="0" simplePos="0" relativeHeight="251663360" behindDoc="0" locked="0" layoutInCell="1" allowOverlap="1" wp14:anchorId="4B5CE85E" wp14:editId="35B20FCF">
              <wp:simplePos x="6134100" y="9782175"/>
              <wp:positionH relativeFrom="page">
                <wp:align>center</wp:align>
              </wp:positionH>
              <wp:positionV relativeFrom="page">
                <wp:align>bottom</wp:align>
              </wp:positionV>
              <wp:extent cx="622300" cy="391160"/>
              <wp:effectExtent l="0" t="0" r="6350" b="0"/>
              <wp:wrapNone/>
              <wp:docPr id="20593453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F817B3F" w14:textId="5562197F" w:rsidR="003573E1" w:rsidRPr="003573E1" w:rsidRDefault="003573E1" w:rsidP="003573E1">
                          <w:pPr>
                            <w:spacing w:after="0"/>
                            <w:rPr>
                              <w:rFonts w:ascii="Aptos" w:eastAsia="Aptos" w:hAnsi="Aptos" w:cs="Aptos"/>
                              <w:noProof/>
                              <w:color w:val="FF0000"/>
                              <w:sz w:val="24"/>
                            </w:rPr>
                          </w:pPr>
                          <w:r w:rsidRPr="003573E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CE85E" id="_x0000_t202" coordsize="21600,21600" o:spt="202" path="m,l,21600r21600,l21600,xe">
              <v:stroke joinstyle="miter"/>
              <v:path gradientshapeok="t" o:connecttype="rect"/>
            </v:shapetype>
            <v:shape id="Text Box 6" o:spid="_x0000_s1032" type="#_x0000_t202" alt="OFFICIAL" style="position:absolute;margin-left:0;margin-top:0;width:49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6F817B3F" w14:textId="5562197F" w:rsidR="003573E1" w:rsidRPr="003573E1" w:rsidRDefault="003573E1" w:rsidP="003573E1">
                    <w:pPr>
                      <w:spacing w:after="0"/>
                      <w:rPr>
                        <w:rFonts w:ascii="Aptos" w:eastAsia="Aptos" w:hAnsi="Aptos" w:cs="Aptos"/>
                        <w:noProof/>
                        <w:color w:val="FF0000"/>
                        <w:sz w:val="24"/>
                      </w:rPr>
                    </w:pPr>
                    <w:r w:rsidRPr="003573E1">
                      <w:rPr>
                        <w:rFonts w:ascii="Aptos" w:eastAsia="Aptos" w:hAnsi="Aptos" w:cs="Aptos"/>
                        <w:noProof/>
                        <w:color w:val="FF0000"/>
                        <w:sz w:val="24"/>
                      </w:rPr>
                      <w:t>OFFICIAL</w:t>
                    </w:r>
                  </w:p>
                </w:txbxContent>
              </v:textbox>
              <w10:wrap anchorx="page" anchory="page"/>
            </v:shape>
          </w:pict>
        </mc:Fallback>
      </mc:AlternateContent>
    </w:r>
    <w:sdt>
      <w:sdtPr>
        <w:rPr>
          <w:rStyle w:val="PageNumber"/>
          <w:rFonts w:ascii="Open Sans" w:hAnsi="Open Sans" w:cs="Open Sans"/>
        </w:rPr>
        <w:id w:val="-732998565"/>
        <w:docPartObj>
          <w:docPartGallery w:val="Page Numbers (Bottom of Page)"/>
          <w:docPartUnique/>
        </w:docPartObj>
      </w:sdtPr>
      <w:sdtEndPr>
        <w:rPr>
          <w:rStyle w:val="PageNumber"/>
          <w:b w:val="0"/>
          <w:bCs/>
        </w:rPr>
      </w:sdtEndPr>
      <w:sdtContent>
        <w:r w:rsidR="00AC3100" w:rsidRPr="00D80DA1">
          <w:rPr>
            <w:rStyle w:val="PageNumber"/>
            <w:rFonts w:ascii="Open Sans" w:hAnsi="Open Sans" w:cs="Open Sans"/>
            <w:b w:val="0"/>
            <w:bCs/>
          </w:rPr>
          <w:fldChar w:fldCharType="begin"/>
        </w:r>
        <w:r w:rsidR="00AC3100" w:rsidRPr="00D80DA1">
          <w:rPr>
            <w:rStyle w:val="PageNumber"/>
            <w:rFonts w:ascii="Open Sans" w:hAnsi="Open Sans" w:cs="Open Sans"/>
            <w:b w:val="0"/>
            <w:bCs/>
          </w:rPr>
          <w:instrText xml:space="preserve"> PAGE </w:instrText>
        </w:r>
        <w:r w:rsidR="00AC3100" w:rsidRPr="00D80DA1">
          <w:rPr>
            <w:rStyle w:val="PageNumber"/>
            <w:rFonts w:ascii="Open Sans" w:hAnsi="Open Sans" w:cs="Open Sans"/>
            <w:b w:val="0"/>
            <w:bCs/>
          </w:rPr>
          <w:fldChar w:fldCharType="separate"/>
        </w:r>
        <w:r w:rsidR="00AC3100" w:rsidRPr="00D80DA1">
          <w:rPr>
            <w:rStyle w:val="PageNumber"/>
            <w:rFonts w:ascii="Open Sans" w:hAnsi="Open Sans" w:cs="Open Sans"/>
            <w:b w:val="0"/>
            <w:bCs/>
            <w:noProof/>
          </w:rPr>
          <w:t>2</w:t>
        </w:r>
        <w:r w:rsidR="00AC3100" w:rsidRPr="00D80DA1">
          <w:rPr>
            <w:rStyle w:val="PageNumber"/>
            <w:rFonts w:ascii="Open Sans" w:hAnsi="Open Sans" w:cs="Open Sans"/>
            <w:b w:val="0"/>
            <w:bCs/>
          </w:rPr>
          <w:fldChar w:fldCharType="end"/>
        </w:r>
      </w:sdtContent>
    </w:sdt>
  </w:p>
  <w:p w14:paraId="34ACD941" w14:textId="4C6CBDC8" w:rsidR="00AC3100" w:rsidRPr="00141B5C" w:rsidRDefault="00141B5C" w:rsidP="00832017">
    <w:pPr>
      <w:pStyle w:val="Footer"/>
    </w:pPr>
    <w:r w:rsidRPr="00282AD0">
      <w:t>VIRWG</w:t>
    </w:r>
    <w:r w:rsidR="00AC3100" w:rsidRPr="00141B5C">
      <w:t xml:space="preserve">: </w:t>
    </w:r>
    <w:r w:rsidRPr="00141B5C">
      <w:t xml:space="preserve">Final </w:t>
    </w:r>
    <w:r w:rsidR="00AC3100" w:rsidRPr="00141B5C">
      <w:t>Report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AAD8" w14:textId="22C55E94" w:rsidR="00AC3100" w:rsidRPr="00D80DA1" w:rsidRDefault="003573E1" w:rsidP="00FF29AD">
    <w:pPr>
      <w:pStyle w:val="Footer"/>
      <w:framePr w:wrap="none" w:vAnchor="text" w:hAnchor="margin" w:xAlign="right" w:y="1"/>
      <w:rPr>
        <w:rStyle w:val="PageNumber"/>
        <w:b w:val="0"/>
        <w:bCs/>
      </w:rPr>
    </w:pPr>
    <w:r>
      <w:rPr>
        <w:rFonts w:ascii="Times New Roman" w:hAnsi="Times New Roman"/>
        <w:bCs/>
        <w:noProof/>
      </w:rPr>
      <mc:AlternateContent>
        <mc:Choice Requires="wps">
          <w:drawing>
            <wp:anchor distT="0" distB="0" distL="0" distR="0" simplePos="0" relativeHeight="251661312" behindDoc="0" locked="0" layoutInCell="1" allowOverlap="1" wp14:anchorId="08CA1B53" wp14:editId="64F14B0F">
              <wp:simplePos x="635" y="635"/>
              <wp:positionH relativeFrom="page">
                <wp:align>center</wp:align>
              </wp:positionH>
              <wp:positionV relativeFrom="page">
                <wp:align>bottom</wp:align>
              </wp:positionV>
              <wp:extent cx="622300" cy="391160"/>
              <wp:effectExtent l="0" t="0" r="6350" b="0"/>
              <wp:wrapNone/>
              <wp:docPr id="6921123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BC5C627" w14:textId="5D4FA134" w:rsidR="003573E1" w:rsidRPr="003573E1" w:rsidRDefault="003573E1" w:rsidP="003573E1">
                          <w:pPr>
                            <w:spacing w:after="0"/>
                            <w:rPr>
                              <w:rFonts w:ascii="Aptos" w:eastAsia="Aptos" w:hAnsi="Aptos" w:cs="Aptos"/>
                              <w:noProof/>
                              <w:color w:val="FF0000"/>
                              <w:sz w:val="24"/>
                            </w:rPr>
                          </w:pPr>
                          <w:r w:rsidRPr="003573E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CA1B53" id="_x0000_t202" coordsize="21600,21600" o:spt="202" path="m,l,21600r21600,l21600,xe">
              <v:stroke joinstyle="miter"/>
              <v:path gradientshapeok="t" o:connecttype="rect"/>
            </v:shapetype>
            <v:shape id="Text Box 4" o:spid="_x0000_s1034"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filled="f" stroked="f">
              <v:textbox style="mso-fit-shape-to-text:t" inset="0,0,0,15pt">
                <w:txbxContent>
                  <w:p w14:paraId="2BC5C627" w14:textId="5D4FA134" w:rsidR="003573E1" w:rsidRPr="003573E1" w:rsidRDefault="003573E1" w:rsidP="003573E1">
                    <w:pPr>
                      <w:spacing w:after="0"/>
                      <w:rPr>
                        <w:rFonts w:ascii="Aptos" w:eastAsia="Aptos" w:hAnsi="Aptos" w:cs="Aptos"/>
                        <w:noProof/>
                        <w:color w:val="FF0000"/>
                        <w:sz w:val="24"/>
                      </w:rPr>
                    </w:pPr>
                    <w:r w:rsidRPr="003573E1">
                      <w:rPr>
                        <w:rFonts w:ascii="Aptos" w:eastAsia="Aptos" w:hAnsi="Aptos" w:cs="Aptos"/>
                        <w:noProof/>
                        <w:color w:val="FF0000"/>
                        <w:sz w:val="24"/>
                      </w:rPr>
                      <w:t>OFFICIAL</w:t>
                    </w:r>
                  </w:p>
                </w:txbxContent>
              </v:textbox>
              <w10:wrap anchorx="page" anchory="page"/>
            </v:shape>
          </w:pict>
        </mc:Fallback>
      </mc:AlternateContent>
    </w:r>
    <w:sdt>
      <w:sdtPr>
        <w:rPr>
          <w:rStyle w:val="PageNumber"/>
          <w:b w:val="0"/>
          <w:bCs/>
        </w:rPr>
        <w:id w:val="413367297"/>
        <w:docPartObj>
          <w:docPartGallery w:val="Page Numbers (Bottom of Page)"/>
          <w:docPartUnique/>
        </w:docPartObj>
      </w:sdtPr>
      <w:sdtContent>
        <w:r w:rsidR="00AC3100" w:rsidRPr="00D80DA1">
          <w:rPr>
            <w:rStyle w:val="PageNumber"/>
            <w:rFonts w:ascii="Open Sans" w:hAnsi="Open Sans" w:cs="Open Sans"/>
            <w:b w:val="0"/>
            <w:bCs/>
          </w:rPr>
          <w:fldChar w:fldCharType="begin"/>
        </w:r>
        <w:r w:rsidR="00AC3100" w:rsidRPr="00D80DA1">
          <w:rPr>
            <w:rStyle w:val="PageNumber"/>
            <w:rFonts w:ascii="Open Sans" w:hAnsi="Open Sans" w:cs="Open Sans"/>
            <w:b w:val="0"/>
            <w:bCs/>
          </w:rPr>
          <w:instrText xml:space="preserve"> PAGE </w:instrText>
        </w:r>
        <w:r w:rsidR="00AC3100" w:rsidRPr="00D80DA1">
          <w:rPr>
            <w:rStyle w:val="PageNumber"/>
            <w:rFonts w:ascii="Open Sans" w:hAnsi="Open Sans" w:cs="Open Sans"/>
            <w:b w:val="0"/>
            <w:bCs/>
          </w:rPr>
          <w:fldChar w:fldCharType="separate"/>
        </w:r>
        <w:r w:rsidR="00AC3100" w:rsidRPr="00D80DA1">
          <w:rPr>
            <w:rStyle w:val="PageNumber"/>
            <w:rFonts w:ascii="Open Sans" w:hAnsi="Open Sans" w:cs="Open Sans"/>
            <w:b w:val="0"/>
            <w:bCs/>
            <w:noProof/>
          </w:rPr>
          <w:t>29</w:t>
        </w:r>
        <w:r w:rsidR="00AC3100" w:rsidRPr="00D80DA1">
          <w:rPr>
            <w:rStyle w:val="PageNumber"/>
            <w:rFonts w:ascii="Open Sans" w:hAnsi="Open Sans" w:cs="Open Sans"/>
            <w:b w:val="0"/>
            <w:bCs/>
          </w:rPr>
          <w:fldChar w:fldCharType="end"/>
        </w:r>
      </w:sdtContent>
    </w:sdt>
  </w:p>
  <w:p w14:paraId="7059E4CD" w14:textId="77777777" w:rsidR="00AC3100" w:rsidRPr="00FB2650" w:rsidRDefault="00AC3100" w:rsidP="00DE1F4A">
    <w:pPr>
      <w:pStyle w:val="Footer"/>
      <w:ind w:right="360"/>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3875" w14:textId="77777777" w:rsidR="00577D2D" w:rsidRDefault="00577D2D">
      <w:r>
        <w:separator/>
      </w:r>
    </w:p>
  </w:footnote>
  <w:footnote w:type="continuationSeparator" w:id="0">
    <w:p w14:paraId="2C8F9EE9" w14:textId="77777777" w:rsidR="00577D2D" w:rsidRDefault="00577D2D">
      <w:r>
        <w:continuationSeparator/>
      </w:r>
    </w:p>
  </w:footnote>
  <w:footnote w:type="continuationNotice" w:id="1">
    <w:p w14:paraId="7626494E" w14:textId="77777777" w:rsidR="00577D2D" w:rsidRDefault="00577D2D"/>
  </w:footnote>
  <w:footnote w:id="2">
    <w:p w14:paraId="07B65A30" w14:textId="59752677" w:rsidR="001A7075" w:rsidRDefault="001A7075">
      <w:pPr>
        <w:pStyle w:val="FootnoteText"/>
      </w:pPr>
      <w:r>
        <w:rPr>
          <w:rStyle w:val="FootnoteReference"/>
        </w:rPr>
        <w:footnoteRef/>
      </w:r>
      <w:r>
        <w:tab/>
      </w:r>
      <w:r w:rsidRPr="001A7075">
        <w:t xml:space="preserve">Recommendation 6 in the Taskforce’s </w:t>
      </w:r>
      <w:hyperlink r:id="rId1" w:history="1">
        <w:r w:rsidRPr="001F0870">
          <w:rPr>
            <w:rStyle w:val="Hyperlink"/>
          </w:rPr>
          <w:t>report</w:t>
        </w:r>
      </w:hyperlink>
      <w:r w:rsidRPr="001A7075">
        <w:t xml:space="preserve"> (p</w:t>
      </w:r>
      <w:r>
        <w:t> </w:t>
      </w:r>
      <w:r w:rsidRPr="001A7075">
        <w:t>34) proposed the removal of current run-based tiering and anatomical classifications of DSA.</w:t>
      </w:r>
    </w:p>
  </w:footnote>
  <w:footnote w:id="3">
    <w:p w14:paraId="0DEC4149" w14:textId="38047F6D" w:rsidR="001A7075" w:rsidRDefault="001A7075">
      <w:pPr>
        <w:pStyle w:val="FootnoteText"/>
      </w:pPr>
      <w:r>
        <w:rPr>
          <w:rStyle w:val="FootnoteReference"/>
        </w:rPr>
        <w:footnoteRef/>
      </w:r>
      <w:r w:rsidR="00A72A06">
        <w:tab/>
      </w:r>
      <w:r w:rsidRPr="00C73E73">
        <w:t xml:space="preserve">Recommendation 7 in the Taskforce’s </w:t>
      </w:r>
      <w:hyperlink r:id="rId2" w:history="1">
        <w:r w:rsidRPr="000E68C8">
          <w:rPr>
            <w:rStyle w:val="Hyperlink"/>
            <w:i/>
            <w:iCs/>
          </w:rPr>
          <w:t>report</w:t>
        </w:r>
      </w:hyperlink>
      <w:r w:rsidRPr="00C73E73">
        <w:t xml:space="preserve"> </w:t>
      </w:r>
      <w:r>
        <w:t xml:space="preserve">(p 35) </w:t>
      </w:r>
      <w:r w:rsidRPr="00C73E73">
        <w:t>propose</w:t>
      </w:r>
      <w:r>
        <w:t>d</w:t>
      </w:r>
      <w:r w:rsidRPr="00C73E73">
        <w:t xml:space="preserve"> the bundling of procedural items with relevant angiographic items where appropriate.</w:t>
      </w:r>
    </w:p>
  </w:footnote>
  <w:footnote w:id="4">
    <w:p w14:paraId="6C380178" w14:textId="49C96ABE" w:rsidR="00DC73AA" w:rsidRDefault="00DC73AA">
      <w:pPr>
        <w:pStyle w:val="FootnoteText"/>
      </w:pPr>
      <w:r>
        <w:rPr>
          <w:rStyle w:val="FootnoteReference"/>
        </w:rPr>
        <w:footnoteRef/>
      </w:r>
      <w:r>
        <w:tab/>
      </w:r>
      <w:r>
        <w:rPr>
          <w:rFonts w:cs="Arial"/>
        </w:rPr>
        <w:t xml:space="preserve">The regulations </w:t>
      </w:r>
      <w:r w:rsidRPr="00393B41">
        <w:rPr>
          <w:rFonts w:cs="Arial"/>
        </w:rPr>
        <w:t>prohibit</w:t>
      </w:r>
      <w:r>
        <w:rPr>
          <w:rFonts w:cs="Arial"/>
        </w:rPr>
        <w:t>ing</w:t>
      </w:r>
      <w:r w:rsidRPr="00393B41">
        <w:rPr>
          <w:rFonts w:cs="Arial"/>
        </w:rPr>
        <w:t xml:space="preserve"> </w:t>
      </w:r>
      <w:r>
        <w:rPr>
          <w:rFonts w:cs="Arial"/>
        </w:rPr>
        <w:t>p</w:t>
      </w:r>
      <w:r w:rsidRPr="00393B41">
        <w:rPr>
          <w:rFonts w:cs="Arial"/>
        </w:rPr>
        <w:t>ayment of Medicare benefits for subsequent attendance</w:t>
      </w:r>
      <w:r>
        <w:rPr>
          <w:rFonts w:cs="Arial"/>
        </w:rPr>
        <w:t xml:space="preserve">s on the same day following a surgical procedure </w:t>
      </w:r>
      <w:r w:rsidRPr="00393B41">
        <w:rPr>
          <w:rFonts w:cs="Arial"/>
        </w:rPr>
        <w:t xml:space="preserve">with a schedule fee of equal to or greater than $349.95 </w:t>
      </w:r>
      <w:r>
        <w:rPr>
          <w:rFonts w:cs="Arial"/>
        </w:rPr>
        <w:t>would not be affected by this change.</w:t>
      </w:r>
    </w:p>
  </w:footnote>
  <w:footnote w:id="5">
    <w:p w14:paraId="3CEA0D42" w14:textId="32B22581" w:rsidR="001A7075" w:rsidRDefault="001A7075">
      <w:pPr>
        <w:pStyle w:val="FootnoteText"/>
      </w:pPr>
      <w:r>
        <w:rPr>
          <w:rStyle w:val="FootnoteReference"/>
        </w:rPr>
        <w:footnoteRef/>
      </w:r>
      <w:r>
        <w:tab/>
      </w:r>
      <w:r w:rsidRPr="007169C4">
        <w:rPr>
          <w:rStyle w:val="Emphasis"/>
          <w:i w:val="0"/>
          <w:iCs w:val="0"/>
        </w:rPr>
        <w:t xml:space="preserve">Recommendation 39 </w:t>
      </w:r>
      <w:r>
        <w:rPr>
          <w:rStyle w:val="Emphasis"/>
          <w:i w:val="0"/>
          <w:iCs w:val="0"/>
        </w:rPr>
        <w:t xml:space="preserve">in </w:t>
      </w:r>
      <w:r w:rsidRPr="007169C4">
        <w:rPr>
          <w:rStyle w:val="Emphasis"/>
          <w:i w:val="0"/>
          <w:iCs w:val="0"/>
        </w:rPr>
        <w:t xml:space="preserve">the Taskforce’s </w:t>
      </w:r>
      <w:hyperlink r:id="rId3" w:history="1">
        <w:r w:rsidRPr="000E68C8">
          <w:rPr>
            <w:rStyle w:val="Hyperlink"/>
            <w:i/>
            <w:iCs/>
          </w:rPr>
          <w:t>report</w:t>
        </w:r>
      </w:hyperlink>
      <w:r w:rsidRPr="007169C4">
        <w:rPr>
          <w:rStyle w:val="Emphasis"/>
          <w:i w:val="0"/>
          <w:iCs w:val="0"/>
        </w:rPr>
        <w:t xml:space="preserve"> </w:t>
      </w:r>
      <w:r>
        <w:rPr>
          <w:rStyle w:val="Emphasis"/>
          <w:i w:val="0"/>
          <w:iCs w:val="0"/>
        </w:rPr>
        <w:t xml:space="preserve">(p 74) </w:t>
      </w:r>
      <w:r w:rsidRPr="007169C4">
        <w:rPr>
          <w:rStyle w:val="Emphasis"/>
          <w:i w:val="0"/>
          <w:iCs w:val="0"/>
        </w:rPr>
        <w:t>propose</w:t>
      </w:r>
      <w:r>
        <w:rPr>
          <w:rStyle w:val="Emphasis"/>
          <w:i w:val="0"/>
          <w:iCs w:val="0"/>
        </w:rPr>
        <w:t>d</w:t>
      </w:r>
      <w:r w:rsidRPr="007169C4">
        <w:rPr>
          <w:rStyle w:val="Emphasis"/>
          <w:i w:val="0"/>
          <w:iCs w:val="0"/>
        </w:rPr>
        <w:t xml:space="preserve"> changing the title of Subgroup</w:t>
      </w:r>
      <w:r w:rsidR="00CC1970">
        <w:rPr>
          <w:rStyle w:val="Emphasis"/>
          <w:i w:val="0"/>
          <w:iCs w:val="0"/>
        </w:rPr>
        <w:t> </w:t>
      </w:r>
      <w:r w:rsidRPr="007169C4">
        <w:rPr>
          <w:rStyle w:val="Emphasis"/>
          <w:i w:val="0"/>
          <w:iCs w:val="0"/>
        </w:rPr>
        <w:t xml:space="preserve">3 ‘Vascular’ in </w:t>
      </w:r>
      <w:r w:rsidR="00103EEC">
        <w:rPr>
          <w:rStyle w:val="Emphasis"/>
          <w:i w:val="0"/>
          <w:iCs w:val="0"/>
        </w:rPr>
        <w:t>‘Group</w:t>
      </w:r>
      <w:r w:rsidRPr="007169C4">
        <w:rPr>
          <w:rStyle w:val="Emphasis"/>
          <w:i w:val="0"/>
          <w:iCs w:val="0"/>
        </w:rPr>
        <w:t xml:space="preserve"> T8 – Surgical </w:t>
      </w:r>
      <w:r w:rsidR="00103EEC">
        <w:rPr>
          <w:rStyle w:val="Emphasis"/>
          <w:i w:val="0"/>
          <w:iCs w:val="0"/>
        </w:rPr>
        <w:t>Operations’</w:t>
      </w:r>
      <w:r w:rsidRPr="007169C4">
        <w:rPr>
          <w:rStyle w:val="Emphasis"/>
          <w:i w:val="0"/>
          <w:iCs w:val="0"/>
        </w:rPr>
        <w:t xml:space="preserve"> to ‘Vascular, Endovascular and Interventional Radiology’.</w:t>
      </w:r>
    </w:p>
  </w:footnote>
  <w:footnote w:id="6">
    <w:p w14:paraId="353E8DC1" w14:textId="77777777" w:rsidR="007A4B45" w:rsidRPr="005E24FB" w:rsidRDefault="007A4B45" w:rsidP="007A4B45">
      <w:pPr>
        <w:pStyle w:val="FootnoteText"/>
        <w:ind w:left="0" w:firstLine="0"/>
        <w:rPr>
          <w:lang w:val="en-US"/>
        </w:rPr>
      </w:pPr>
      <w:r>
        <w:rPr>
          <w:rStyle w:val="FootnoteReference"/>
        </w:rPr>
        <w:footnoteRef/>
      </w:r>
      <w:r>
        <w:t xml:space="preserve"> </w:t>
      </w:r>
      <w:r>
        <w:rPr>
          <w:lang w:val="en-US"/>
        </w:rPr>
        <w:t>MBS item 104 is for a specialist’s initial attendance at a consulting room or hospital in a single course of treatment for a referred patient.</w:t>
      </w:r>
      <w:r>
        <w:rPr>
          <w:lang w:val="en-US"/>
        </w:rPr>
        <w:br/>
        <w:t>MBS item 105 is for a specialist’s subsequent attendance at a consulting room or hospital (following the initial attendance) in a single course of treatment for a referred patient.</w:t>
      </w:r>
    </w:p>
    <w:p w14:paraId="4CD34835" w14:textId="3BD0E793" w:rsidR="007A4B45" w:rsidRDefault="007A4B4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FF2E" w14:textId="09DE985A" w:rsidR="003573E1" w:rsidRDefault="003573E1">
    <w:pPr>
      <w:pStyle w:val="Header"/>
    </w:pPr>
    <w:r>
      <w:rPr>
        <w:noProof/>
      </w:rPr>
      <mc:AlternateContent>
        <mc:Choice Requires="wps">
          <w:drawing>
            <wp:anchor distT="0" distB="0" distL="0" distR="0" simplePos="0" relativeHeight="251659264" behindDoc="0" locked="0" layoutInCell="1" allowOverlap="1" wp14:anchorId="3B8763D3" wp14:editId="0DE00902">
              <wp:simplePos x="635" y="635"/>
              <wp:positionH relativeFrom="page">
                <wp:align>center</wp:align>
              </wp:positionH>
              <wp:positionV relativeFrom="page">
                <wp:align>top</wp:align>
              </wp:positionV>
              <wp:extent cx="622300" cy="391160"/>
              <wp:effectExtent l="0" t="0" r="6350" b="8890"/>
              <wp:wrapNone/>
              <wp:docPr id="10773394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62E78B2" w14:textId="6FD94337" w:rsidR="003573E1" w:rsidRPr="003573E1" w:rsidRDefault="003573E1" w:rsidP="003573E1">
                          <w:pPr>
                            <w:spacing w:after="0"/>
                            <w:rPr>
                              <w:rFonts w:ascii="Aptos" w:eastAsia="Aptos" w:hAnsi="Aptos" w:cs="Aptos"/>
                              <w:noProof/>
                              <w:color w:val="FF0000"/>
                              <w:sz w:val="24"/>
                            </w:rPr>
                          </w:pPr>
                          <w:r w:rsidRPr="003573E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8763D3" id="_x0000_t202" coordsize="21600,21600" o:spt="202" path="m,l,21600r21600,l21600,xe">
              <v:stroke joinstyle="miter"/>
              <v:path gradientshapeok="t" o:connecttype="rect"/>
            </v:shapetype>
            <v:shape id="Text Box 2" o:spid="_x0000_s1030"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762E78B2" w14:textId="6FD94337" w:rsidR="003573E1" w:rsidRPr="003573E1" w:rsidRDefault="003573E1" w:rsidP="003573E1">
                    <w:pPr>
                      <w:spacing w:after="0"/>
                      <w:rPr>
                        <w:rFonts w:ascii="Aptos" w:eastAsia="Aptos" w:hAnsi="Aptos" w:cs="Aptos"/>
                        <w:noProof/>
                        <w:color w:val="FF0000"/>
                        <w:sz w:val="24"/>
                      </w:rPr>
                    </w:pPr>
                    <w:r w:rsidRPr="003573E1">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3958" w14:textId="5A954448" w:rsidR="003573E1" w:rsidRDefault="003573E1">
    <w:pPr>
      <w:pStyle w:val="Header"/>
    </w:pPr>
    <w:r>
      <w:rPr>
        <w:noProof/>
      </w:rPr>
      <mc:AlternateContent>
        <mc:Choice Requires="wps">
          <w:drawing>
            <wp:anchor distT="0" distB="0" distL="0" distR="0" simplePos="0" relativeHeight="251658240" behindDoc="0" locked="0" layoutInCell="1" allowOverlap="1" wp14:anchorId="2B696C3A" wp14:editId="525591FE">
              <wp:simplePos x="635" y="635"/>
              <wp:positionH relativeFrom="page">
                <wp:align>center</wp:align>
              </wp:positionH>
              <wp:positionV relativeFrom="page">
                <wp:align>top</wp:align>
              </wp:positionV>
              <wp:extent cx="622300" cy="391160"/>
              <wp:effectExtent l="0" t="0" r="6350" b="8890"/>
              <wp:wrapNone/>
              <wp:docPr id="10063585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1A4C253" w14:textId="226D7049" w:rsidR="003573E1" w:rsidRPr="003573E1" w:rsidRDefault="003573E1" w:rsidP="003573E1">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696C3A" id="_x0000_t202" coordsize="21600,21600" o:spt="202" path="m,l,21600r21600,l21600,xe">
              <v:stroke joinstyle="miter"/>
              <v:path gradientshapeok="t" o:connecttype="rect"/>
            </v:shapetype>
            <v:shape id="Text Box 1" o:spid="_x0000_s1033"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Ta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T83H6LdRHWsrDie/g5Kql1msR8Fl4IpimJdHi&#10;Ex3aQF9xOFucNeB//s0f8wl3inLWk2AqbknRnJnvlviI2kpGcZt/jmD40b0dDbvv7oFkWNCLcDKZ&#10;MQ/NaGoP3SvJeRkbUUhYSe0qjqN5jyfl0nOQarlMSSQjJ3BtN07G0hGuiOXL8Cq8OwOOxNQjjGoS&#10;5TvcT7nxZnDLPRL6iZQI7QnIM+IkwcTV+blEjb/9T1nXR734BQ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El0FNoMAgAAHAQAAA4A&#10;AAAAAAAAAAAAAAAALgIAAGRycy9lMm9Eb2MueG1sUEsBAi0AFAAGAAgAAAAhAGGiSGjYAAAAAwEA&#10;AA8AAAAAAAAAAAAAAAAAZgQAAGRycy9kb3ducmV2LnhtbFBLBQYAAAAABAAEAPMAAABrBQAAAAA=&#10;" filled="f" stroked="f">
              <v:textbox style="mso-fit-shape-to-text:t" inset="0,15pt,0,0">
                <w:txbxContent>
                  <w:p w14:paraId="71A4C253" w14:textId="226D7049" w:rsidR="003573E1" w:rsidRPr="003573E1" w:rsidRDefault="003573E1" w:rsidP="003573E1">
                    <w:pPr>
                      <w:spacing w:after="0"/>
                      <w:rPr>
                        <w:rFonts w:ascii="Aptos" w:eastAsia="Aptos" w:hAnsi="Aptos" w:cs="Aptos"/>
                        <w:noProof/>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F96605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BD40C94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A857F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E20533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59719B"/>
    <w:multiLevelType w:val="multilevel"/>
    <w:tmpl w:val="3AD205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6105138"/>
    <w:multiLevelType w:val="hybridMultilevel"/>
    <w:tmpl w:val="1ADCAE56"/>
    <w:lvl w:ilvl="0" w:tplc="9F087C50">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7F3842"/>
    <w:multiLevelType w:val="hybridMultilevel"/>
    <w:tmpl w:val="0A2EE1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5D16E9"/>
    <w:multiLevelType w:val="hybridMultilevel"/>
    <w:tmpl w:val="060A0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233C8"/>
    <w:multiLevelType w:val="hybridMultilevel"/>
    <w:tmpl w:val="3084862C"/>
    <w:lvl w:ilvl="0" w:tplc="65225598">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A7C2500"/>
    <w:multiLevelType w:val="hybridMultilevel"/>
    <w:tmpl w:val="0860A85C"/>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B925A7"/>
    <w:multiLevelType w:val="multilevel"/>
    <w:tmpl w:val="706EA75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ADC7920"/>
    <w:multiLevelType w:val="hybridMultilevel"/>
    <w:tmpl w:val="3C585E38"/>
    <w:lvl w:ilvl="0" w:tplc="03F8B9E2">
      <w:start w:val="1"/>
      <w:numFmt w:val="decimal"/>
      <w:pStyle w:val="ListNumber"/>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03216"/>
    <w:multiLevelType w:val="hybridMultilevel"/>
    <w:tmpl w:val="1AD24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546768"/>
    <w:multiLevelType w:val="hybridMultilevel"/>
    <w:tmpl w:val="E612FD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9630BD"/>
    <w:multiLevelType w:val="hybridMultilevel"/>
    <w:tmpl w:val="EBD8755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CC05605"/>
    <w:multiLevelType w:val="hybridMultilevel"/>
    <w:tmpl w:val="67024DDE"/>
    <w:lvl w:ilvl="0" w:tplc="3CA04758">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087D42"/>
    <w:multiLevelType w:val="hybridMultilevel"/>
    <w:tmpl w:val="48C87A36"/>
    <w:lvl w:ilvl="0" w:tplc="E1F647D4">
      <w:start w:val="1"/>
      <w:numFmt w:val="decimal"/>
      <w:pStyle w:val="Table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FD0C48"/>
    <w:multiLevelType w:val="hybridMultilevel"/>
    <w:tmpl w:val="D66C7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7281FC5"/>
    <w:multiLevelType w:val="hybridMultilevel"/>
    <w:tmpl w:val="DF020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73003B"/>
    <w:multiLevelType w:val="hybridMultilevel"/>
    <w:tmpl w:val="AE5A4E6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AB3058B"/>
    <w:multiLevelType w:val="hybridMultilevel"/>
    <w:tmpl w:val="B2FABA18"/>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F65B7D"/>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0593852"/>
    <w:multiLevelType w:val="hybridMultilevel"/>
    <w:tmpl w:val="0284CCE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0A1D19"/>
    <w:multiLevelType w:val="hybridMultilevel"/>
    <w:tmpl w:val="0AE688C6"/>
    <w:lvl w:ilvl="0" w:tplc="76D67A78">
      <w:start w:val="1"/>
      <w:numFmt w:val="decimal"/>
      <w:lvlText w:val="%1."/>
      <w:lvlJc w:val="left"/>
      <w:pPr>
        <w:ind w:left="1020" w:hanging="360"/>
      </w:pPr>
    </w:lvl>
    <w:lvl w:ilvl="1" w:tplc="D07CA082">
      <w:start w:val="1"/>
      <w:numFmt w:val="decimal"/>
      <w:lvlText w:val="%2."/>
      <w:lvlJc w:val="left"/>
      <w:pPr>
        <w:ind w:left="1020" w:hanging="360"/>
      </w:pPr>
    </w:lvl>
    <w:lvl w:ilvl="2" w:tplc="140A1E3A">
      <w:start w:val="1"/>
      <w:numFmt w:val="decimal"/>
      <w:lvlText w:val="%3."/>
      <w:lvlJc w:val="left"/>
      <w:pPr>
        <w:ind w:left="1020" w:hanging="360"/>
      </w:pPr>
    </w:lvl>
    <w:lvl w:ilvl="3" w:tplc="11AC4BF0">
      <w:start w:val="1"/>
      <w:numFmt w:val="decimal"/>
      <w:lvlText w:val="%4."/>
      <w:lvlJc w:val="left"/>
      <w:pPr>
        <w:ind w:left="1020" w:hanging="360"/>
      </w:pPr>
    </w:lvl>
    <w:lvl w:ilvl="4" w:tplc="8DE62C1C">
      <w:start w:val="1"/>
      <w:numFmt w:val="decimal"/>
      <w:lvlText w:val="%5."/>
      <w:lvlJc w:val="left"/>
      <w:pPr>
        <w:ind w:left="1020" w:hanging="360"/>
      </w:pPr>
    </w:lvl>
    <w:lvl w:ilvl="5" w:tplc="997A7880">
      <w:start w:val="1"/>
      <w:numFmt w:val="decimal"/>
      <w:lvlText w:val="%6."/>
      <w:lvlJc w:val="left"/>
      <w:pPr>
        <w:ind w:left="1020" w:hanging="360"/>
      </w:pPr>
    </w:lvl>
    <w:lvl w:ilvl="6" w:tplc="44667216">
      <w:start w:val="1"/>
      <w:numFmt w:val="decimal"/>
      <w:lvlText w:val="%7."/>
      <w:lvlJc w:val="left"/>
      <w:pPr>
        <w:ind w:left="1020" w:hanging="360"/>
      </w:pPr>
    </w:lvl>
    <w:lvl w:ilvl="7" w:tplc="1FE4F4E2">
      <w:start w:val="1"/>
      <w:numFmt w:val="decimal"/>
      <w:lvlText w:val="%8."/>
      <w:lvlJc w:val="left"/>
      <w:pPr>
        <w:ind w:left="1020" w:hanging="360"/>
      </w:pPr>
    </w:lvl>
    <w:lvl w:ilvl="8" w:tplc="307A0CA2">
      <w:start w:val="1"/>
      <w:numFmt w:val="decimal"/>
      <w:lvlText w:val="%9."/>
      <w:lvlJc w:val="left"/>
      <w:pPr>
        <w:ind w:left="1020" w:hanging="360"/>
      </w:pPr>
    </w:lvl>
  </w:abstractNum>
  <w:abstractNum w:abstractNumId="28" w15:restartNumberingAfterBreak="0">
    <w:nsid w:val="528460A7"/>
    <w:multiLevelType w:val="hybridMultilevel"/>
    <w:tmpl w:val="6EECE7B4"/>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3D96D4B"/>
    <w:multiLevelType w:val="multilevel"/>
    <w:tmpl w:val="3AB817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551C4BA3"/>
    <w:multiLevelType w:val="hybridMultilevel"/>
    <w:tmpl w:val="42D204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59B6B1C"/>
    <w:multiLevelType w:val="hybridMultilevel"/>
    <w:tmpl w:val="E67A93AE"/>
    <w:lvl w:ilvl="0" w:tplc="7FDEEFF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296745"/>
    <w:multiLevelType w:val="hybridMultilevel"/>
    <w:tmpl w:val="ACB410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4264B5"/>
    <w:multiLevelType w:val="hybridMultilevel"/>
    <w:tmpl w:val="C1A689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B3710A8"/>
    <w:multiLevelType w:val="multilevel"/>
    <w:tmpl w:val="8230ED46"/>
    <w:styleLink w:val="CurrentList1"/>
    <w:lvl w:ilvl="0">
      <w:start w:val="1"/>
      <w:numFmt w:val="bullet"/>
      <w:lvlText w:val="•"/>
      <w:lvlJc w:val="left"/>
      <w:pPr>
        <w:tabs>
          <w:tab w:val="num" w:pos="360"/>
        </w:tabs>
        <w:ind w:left="360" w:hanging="360"/>
      </w:pPr>
      <w:rPr>
        <w:rFonts w:ascii="Verdana" w:hAnsi="Verdana"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A5BB2"/>
    <w:multiLevelType w:val="hybridMultilevel"/>
    <w:tmpl w:val="0A2EC3E2"/>
    <w:lvl w:ilvl="0" w:tplc="DF183732">
      <w:start w:val="1"/>
      <w:numFmt w:val="bulle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4E7B47"/>
    <w:multiLevelType w:val="hybridMultilevel"/>
    <w:tmpl w:val="3EA6D4A6"/>
    <w:lvl w:ilvl="0" w:tplc="6996F6C4">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A213EBB"/>
    <w:multiLevelType w:val="hybridMultilevel"/>
    <w:tmpl w:val="B69C3714"/>
    <w:lvl w:ilvl="0" w:tplc="8752F6BC">
      <w:start w:val="1"/>
      <w:numFmt w:val="lowerLetter"/>
      <w:pStyle w:val="ListNumber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820437F"/>
    <w:multiLevelType w:val="hybridMultilevel"/>
    <w:tmpl w:val="27C4088A"/>
    <w:lvl w:ilvl="0" w:tplc="2BF858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45754006">
    <w:abstractNumId w:val="20"/>
  </w:num>
  <w:num w:numId="2" w16cid:durableId="1649237372">
    <w:abstractNumId w:val="35"/>
  </w:num>
  <w:num w:numId="3" w16cid:durableId="1577594479">
    <w:abstractNumId w:val="40"/>
  </w:num>
  <w:num w:numId="4" w16cid:durableId="867835794">
    <w:abstractNumId w:val="6"/>
  </w:num>
  <w:num w:numId="5" w16cid:durableId="388960005">
    <w:abstractNumId w:val="4"/>
  </w:num>
  <w:num w:numId="6" w16cid:durableId="1449083786">
    <w:abstractNumId w:val="36"/>
  </w:num>
  <w:num w:numId="7" w16cid:durableId="1863670293">
    <w:abstractNumId w:val="11"/>
  </w:num>
  <w:num w:numId="8" w16cid:durableId="1270551377">
    <w:abstractNumId w:val="9"/>
  </w:num>
  <w:num w:numId="9" w16cid:durableId="341711299">
    <w:abstractNumId w:val="19"/>
  </w:num>
  <w:num w:numId="10" w16cid:durableId="1665861900">
    <w:abstractNumId w:val="38"/>
  </w:num>
  <w:num w:numId="11" w16cid:durableId="524683400">
    <w:abstractNumId w:val="34"/>
  </w:num>
  <w:num w:numId="12" w16cid:durableId="990674590">
    <w:abstractNumId w:val="25"/>
  </w:num>
  <w:num w:numId="13" w16cid:durableId="352150456">
    <w:abstractNumId w:val="14"/>
  </w:num>
  <w:num w:numId="14" w16cid:durableId="1428966356">
    <w:abstractNumId w:val="22"/>
  </w:num>
  <w:num w:numId="15" w16cid:durableId="950823961">
    <w:abstractNumId w:val="32"/>
  </w:num>
  <w:num w:numId="16" w16cid:durableId="1962027730">
    <w:abstractNumId w:val="17"/>
  </w:num>
  <w:num w:numId="17" w16cid:durableId="1380007803">
    <w:abstractNumId w:val="26"/>
  </w:num>
  <w:num w:numId="18" w16cid:durableId="1822967180">
    <w:abstractNumId w:val="33"/>
  </w:num>
  <w:num w:numId="19" w16cid:durableId="647323591">
    <w:abstractNumId w:val="15"/>
  </w:num>
  <w:num w:numId="20" w16cid:durableId="1736079404">
    <w:abstractNumId w:val="13"/>
  </w:num>
  <w:num w:numId="21" w16cid:durableId="908688900">
    <w:abstractNumId w:val="5"/>
  </w:num>
  <w:num w:numId="22" w16cid:durableId="89468381">
    <w:abstractNumId w:val="29"/>
  </w:num>
  <w:num w:numId="23" w16cid:durableId="615330636">
    <w:abstractNumId w:val="16"/>
  </w:num>
  <w:num w:numId="24" w16cid:durableId="1810049979">
    <w:abstractNumId w:val="30"/>
  </w:num>
  <w:num w:numId="25" w16cid:durableId="542210248">
    <w:abstractNumId w:val="31"/>
  </w:num>
  <w:num w:numId="26" w16cid:durableId="1778330875">
    <w:abstractNumId w:val="21"/>
  </w:num>
  <w:num w:numId="27" w16cid:durableId="1197547916">
    <w:abstractNumId w:val="18"/>
  </w:num>
  <w:num w:numId="28" w16cid:durableId="957495022">
    <w:abstractNumId w:val="8"/>
  </w:num>
  <w:num w:numId="29" w16cid:durableId="1047989244">
    <w:abstractNumId w:val="37"/>
  </w:num>
  <w:num w:numId="30" w16cid:durableId="2083025055">
    <w:abstractNumId w:val="24"/>
  </w:num>
  <w:num w:numId="31" w16cid:durableId="264654787">
    <w:abstractNumId w:val="10"/>
  </w:num>
  <w:num w:numId="32" w16cid:durableId="1465344263">
    <w:abstractNumId w:val="12"/>
  </w:num>
  <w:num w:numId="33" w16cid:durableId="1890914588">
    <w:abstractNumId w:val="27"/>
  </w:num>
  <w:num w:numId="34" w16cid:durableId="144326018">
    <w:abstractNumId w:val="23"/>
  </w:num>
  <w:num w:numId="35" w16cid:durableId="1190334241">
    <w:abstractNumId w:val="7"/>
  </w:num>
  <w:num w:numId="36" w16cid:durableId="1656763498">
    <w:abstractNumId w:val="28"/>
  </w:num>
  <w:num w:numId="37" w16cid:durableId="29763860">
    <w:abstractNumId w:val="39"/>
  </w:num>
  <w:num w:numId="38" w16cid:durableId="1951083636">
    <w:abstractNumId w:val="2"/>
  </w:num>
  <w:num w:numId="39" w16cid:durableId="1973052684">
    <w:abstractNumId w:val="0"/>
  </w:num>
  <w:num w:numId="40" w16cid:durableId="519241971">
    <w:abstractNumId w:val="3"/>
  </w:num>
  <w:num w:numId="41" w16cid:durableId="1940941676">
    <w:abstractNumId w:val="1"/>
  </w:num>
  <w:num w:numId="42" w16cid:durableId="42339824">
    <w:abstractNumId w:val="14"/>
    <w:lvlOverride w:ilvl="0">
      <w:startOverride w:val="1"/>
    </w:lvlOverride>
  </w:num>
  <w:num w:numId="43" w16cid:durableId="343365802">
    <w:abstractNumId w:val="14"/>
    <w:lvlOverride w:ilvl="0">
      <w:startOverride w:val="1"/>
    </w:lvlOverride>
  </w:num>
  <w:num w:numId="44" w16cid:durableId="1944268476">
    <w:abstractNumId w:val="14"/>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E4"/>
    <w:rsid w:val="00000946"/>
    <w:rsid w:val="00000C00"/>
    <w:rsid w:val="0000172A"/>
    <w:rsid w:val="0000311A"/>
    <w:rsid w:val="00003F10"/>
    <w:rsid w:val="00007D0A"/>
    <w:rsid w:val="00015C4A"/>
    <w:rsid w:val="00016AA9"/>
    <w:rsid w:val="00017A2A"/>
    <w:rsid w:val="00017DB7"/>
    <w:rsid w:val="00020167"/>
    <w:rsid w:val="00020365"/>
    <w:rsid w:val="00020678"/>
    <w:rsid w:val="000217F9"/>
    <w:rsid w:val="00023682"/>
    <w:rsid w:val="0002371E"/>
    <w:rsid w:val="00024EDF"/>
    <w:rsid w:val="00024F05"/>
    <w:rsid w:val="00026D27"/>
    <w:rsid w:val="0003107F"/>
    <w:rsid w:val="00031BD0"/>
    <w:rsid w:val="00031C79"/>
    <w:rsid w:val="00031CC3"/>
    <w:rsid w:val="00032737"/>
    <w:rsid w:val="00032F24"/>
    <w:rsid w:val="000334CC"/>
    <w:rsid w:val="0003436B"/>
    <w:rsid w:val="000349C5"/>
    <w:rsid w:val="00034CBC"/>
    <w:rsid w:val="00035305"/>
    <w:rsid w:val="000353BF"/>
    <w:rsid w:val="00035700"/>
    <w:rsid w:val="00035E56"/>
    <w:rsid w:val="0003664E"/>
    <w:rsid w:val="000367F9"/>
    <w:rsid w:val="000371D8"/>
    <w:rsid w:val="00041BAA"/>
    <w:rsid w:val="00042327"/>
    <w:rsid w:val="00042C97"/>
    <w:rsid w:val="00043E11"/>
    <w:rsid w:val="00044345"/>
    <w:rsid w:val="00045511"/>
    <w:rsid w:val="00046985"/>
    <w:rsid w:val="00051569"/>
    <w:rsid w:val="0005276D"/>
    <w:rsid w:val="00053613"/>
    <w:rsid w:val="00056D9B"/>
    <w:rsid w:val="00057368"/>
    <w:rsid w:val="00060693"/>
    <w:rsid w:val="00060FAB"/>
    <w:rsid w:val="0006222C"/>
    <w:rsid w:val="00063087"/>
    <w:rsid w:val="00064A79"/>
    <w:rsid w:val="00064E30"/>
    <w:rsid w:val="00065393"/>
    <w:rsid w:val="00065473"/>
    <w:rsid w:val="000659F3"/>
    <w:rsid w:val="00065A0A"/>
    <w:rsid w:val="00065A64"/>
    <w:rsid w:val="00065C9A"/>
    <w:rsid w:val="0006615B"/>
    <w:rsid w:val="0006734D"/>
    <w:rsid w:val="00067900"/>
    <w:rsid w:val="00073E1C"/>
    <w:rsid w:val="000741AC"/>
    <w:rsid w:val="00074B9A"/>
    <w:rsid w:val="00075461"/>
    <w:rsid w:val="000771BC"/>
    <w:rsid w:val="00081620"/>
    <w:rsid w:val="000831C5"/>
    <w:rsid w:val="000838C0"/>
    <w:rsid w:val="00083F15"/>
    <w:rsid w:val="00084759"/>
    <w:rsid w:val="00084A7A"/>
    <w:rsid w:val="00090B52"/>
    <w:rsid w:val="000916C5"/>
    <w:rsid w:val="0009174B"/>
    <w:rsid w:val="0009414B"/>
    <w:rsid w:val="00095634"/>
    <w:rsid w:val="00096EC1"/>
    <w:rsid w:val="00096F8A"/>
    <w:rsid w:val="00097A25"/>
    <w:rsid w:val="000A0044"/>
    <w:rsid w:val="000A012E"/>
    <w:rsid w:val="000A041E"/>
    <w:rsid w:val="000A0642"/>
    <w:rsid w:val="000A0BB6"/>
    <w:rsid w:val="000A0C75"/>
    <w:rsid w:val="000A19C8"/>
    <w:rsid w:val="000A3BF9"/>
    <w:rsid w:val="000A3E2A"/>
    <w:rsid w:val="000A45E9"/>
    <w:rsid w:val="000A5E5B"/>
    <w:rsid w:val="000A7A17"/>
    <w:rsid w:val="000B04D6"/>
    <w:rsid w:val="000B0856"/>
    <w:rsid w:val="000B08DA"/>
    <w:rsid w:val="000B0C05"/>
    <w:rsid w:val="000B118A"/>
    <w:rsid w:val="000B1DD8"/>
    <w:rsid w:val="000B249A"/>
    <w:rsid w:val="000B536A"/>
    <w:rsid w:val="000C0827"/>
    <w:rsid w:val="000C2C64"/>
    <w:rsid w:val="000C4780"/>
    <w:rsid w:val="000C60B7"/>
    <w:rsid w:val="000C71D4"/>
    <w:rsid w:val="000D0F8F"/>
    <w:rsid w:val="000D151C"/>
    <w:rsid w:val="000D4330"/>
    <w:rsid w:val="000D610B"/>
    <w:rsid w:val="000D7235"/>
    <w:rsid w:val="000D7DF0"/>
    <w:rsid w:val="000E143D"/>
    <w:rsid w:val="000E220E"/>
    <w:rsid w:val="000E32AD"/>
    <w:rsid w:val="000E38E7"/>
    <w:rsid w:val="000E3A07"/>
    <w:rsid w:val="000E4449"/>
    <w:rsid w:val="000E4FB8"/>
    <w:rsid w:val="000E61B4"/>
    <w:rsid w:val="000E68C8"/>
    <w:rsid w:val="000E7C26"/>
    <w:rsid w:val="000F1A6E"/>
    <w:rsid w:val="000F2B73"/>
    <w:rsid w:val="000F2C87"/>
    <w:rsid w:val="000F308C"/>
    <w:rsid w:val="000F37CB"/>
    <w:rsid w:val="000F4519"/>
    <w:rsid w:val="000F45DA"/>
    <w:rsid w:val="000F4B9E"/>
    <w:rsid w:val="000F54B7"/>
    <w:rsid w:val="000F6196"/>
    <w:rsid w:val="000F6D66"/>
    <w:rsid w:val="000F6FAB"/>
    <w:rsid w:val="000F761C"/>
    <w:rsid w:val="001003D1"/>
    <w:rsid w:val="001003DD"/>
    <w:rsid w:val="001007C7"/>
    <w:rsid w:val="001021A7"/>
    <w:rsid w:val="00103725"/>
    <w:rsid w:val="00103EEC"/>
    <w:rsid w:val="0010417A"/>
    <w:rsid w:val="00104632"/>
    <w:rsid w:val="00105E89"/>
    <w:rsid w:val="00107BA2"/>
    <w:rsid w:val="001101CC"/>
    <w:rsid w:val="0011171D"/>
    <w:rsid w:val="0011397D"/>
    <w:rsid w:val="00113F74"/>
    <w:rsid w:val="00114065"/>
    <w:rsid w:val="001141C1"/>
    <w:rsid w:val="001146C6"/>
    <w:rsid w:val="00114841"/>
    <w:rsid w:val="001150B8"/>
    <w:rsid w:val="00115A60"/>
    <w:rsid w:val="00116366"/>
    <w:rsid w:val="00116536"/>
    <w:rsid w:val="00120984"/>
    <w:rsid w:val="001221D7"/>
    <w:rsid w:val="001229F7"/>
    <w:rsid w:val="00123799"/>
    <w:rsid w:val="00126722"/>
    <w:rsid w:val="00130B80"/>
    <w:rsid w:val="001311B0"/>
    <w:rsid w:val="00133E54"/>
    <w:rsid w:val="0013408A"/>
    <w:rsid w:val="00134454"/>
    <w:rsid w:val="001352AC"/>
    <w:rsid w:val="0013648E"/>
    <w:rsid w:val="00136529"/>
    <w:rsid w:val="00136855"/>
    <w:rsid w:val="00140634"/>
    <w:rsid w:val="00141B5C"/>
    <w:rsid w:val="0014300A"/>
    <w:rsid w:val="001449F5"/>
    <w:rsid w:val="00146456"/>
    <w:rsid w:val="00147FEE"/>
    <w:rsid w:val="00150745"/>
    <w:rsid w:val="0015195D"/>
    <w:rsid w:val="00151A4C"/>
    <w:rsid w:val="00154106"/>
    <w:rsid w:val="00154FD1"/>
    <w:rsid w:val="001556A6"/>
    <w:rsid w:val="00156B29"/>
    <w:rsid w:val="00156ED4"/>
    <w:rsid w:val="0015792C"/>
    <w:rsid w:val="00160FF0"/>
    <w:rsid w:val="00161B58"/>
    <w:rsid w:val="001621F0"/>
    <w:rsid w:val="0016267B"/>
    <w:rsid w:val="001628EA"/>
    <w:rsid w:val="00163865"/>
    <w:rsid w:val="001649F0"/>
    <w:rsid w:val="00165082"/>
    <w:rsid w:val="00165193"/>
    <w:rsid w:val="001666D0"/>
    <w:rsid w:val="00166BCE"/>
    <w:rsid w:val="00170CF6"/>
    <w:rsid w:val="00172907"/>
    <w:rsid w:val="00172F49"/>
    <w:rsid w:val="0017564F"/>
    <w:rsid w:val="00175A52"/>
    <w:rsid w:val="001760A0"/>
    <w:rsid w:val="001762E3"/>
    <w:rsid w:val="0017647E"/>
    <w:rsid w:val="00176AA6"/>
    <w:rsid w:val="00177E3E"/>
    <w:rsid w:val="001810F0"/>
    <w:rsid w:val="001834C6"/>
    <w:rsid w:val="0018444E"/>
    <w:rsid w:val="00184F47"/>
    <w:rsid w:val="001865EA"/>
    <w:rsid w:val="00186710"/>
    <w:rsid w:val="00186B47"/>
    <w:rsid w:val="00187347"/>
    <w:rsid w:val="00187767"/>
    <w:rsid w:val="001929E0"/>
    <w:rsid w:val="00193C43"/>
    <w:rsid w:val="00193E37"/>
    <w:rsid w:val="00194EC1"/>
    <w:rsid w:val="00195AA9"/>
    <w:rsid w:val="00196CF4"/>
    <w:rsid w:val="001A05A0"/>
    <w:rsid w:val="001A1183"/>
    <w:rsid w:val="001A2259"/>
    <w:rsid w:val="001A2D87"/>
    <w:rsid w:val="001A616B"/>
    <w:rsid w:val="001A7075"/>
    <w:rsid w:val="001A758A"/>
    <w:rsid w:val="001A7A3A"/>
    <w:rsid w:val="001B0E35"/>
    <w:rsid w:val="001B127A"/>
    <w:rsid w:val="001B17AF"/>
    <w:rsid w:val="001B1FBE"/>
    <w:rsid w:val="001B2C58"/>
    <w:rsid w:val="001B45A3"/>
    <w:rsid w:val="001B4FA0"/>
    <w:rsid w:val="001C0C38"/>
    <w:rsid w:val="001C1FA0"/>
    <w:rsid w:val="001C2271"/>
    <w:rsid w:val="001C3B12"/>
    <w:rsid w:val="001C54A8"/>
    <w:rsid w:val="001C5986"/>
    <w:rsid w:val="001C61E0"/>
    <w:rsid w:val="001C7898"/>
    <w:rsid w:val="001D0EB0"/>
    <w:rsid w:val="001D13DE"/>
    <w:rsid w:val="001D19B4"/>
    <w:rsid w:val="001D4551"/>
    <w:rsid w:val="001D47D4"/>
    <w:rsid w:val="001D7710"/>
    <w:rsid w:val="001D796C"/>
    <w:rsid w:val="001E05F7"/>
    <w:rsid w:val="001E187C"/>
    <w:rsid w:val="001E35C3"/>
    <w:rsid w:val="001E368F"/>
    <w:rsid w:val="001E3AE1"/>
    <w:rsid w:val="001E3B1B"/>
    <w:rsid w:val="001E3BAF"/>
    <w:rsid w:val="001E4C52"/>
    <w:rsid w:val="001E54DE"/>
    <w:rsid w:val="001E59D9"/>
    <w:rsid w:val="001E5E7A"/>
    <w:rsid w:val="001E60D6"/>
    <w:rsid w:val="001E6D7C"/>
    <w:rsid w:val="001E6F03"/>
    <w:rsid w:val="001F01F5"/>
    <w:rsid w:val="001F0870"/>
    <w:rsid w:val="001F242A"/>
    <w:rsid w:val="001F36BA"/>
    <w:rsid w:val="001F5940"/>
    <w:rsid w:val="001F5FD8"/>
    <w:rsid w:val="001F6C49"/>
    <w:rsid w:val="001F6D17"/>
    <w:rsid w:val="001F7407"/>
    <w:rsid w:val="001F761B"/>
    <w:rsid w:val="002015A5"/>
    <w:rsid w:val="00201F81"/>
    <w:rsid w:val="0020200C"/>
    <w:rsid w:val="00202534"/>
    <w:rsid w:val="002030BA"/>
    <w:rsid w:val="00205027"/>
    <w:rsid w:val="0020788A"/>
    <w:rsid w:val="00211DC8"/>
    <w:rsid w:val="00213A48"/>
    <w:rsid w:val="00213C77"/>
    <w:rsid w:val="002151F2"/>
    <w:rsid w:val="002155E1"/>
    <w:rsid w:val="002159A1"/>
    <w:rsid w:val="0021629C"/>
    <w:rsid w:val="00220AA5"/>
    <w:rsid w:val="00220E84"/>
    <w:rsid w:val="00223B1C"/>
    <w:rsid w:val="00224845"/>
    <w:rsid w:val="0022484D"/>
    <w:rsid w:val="00224D73"/>
    <w:rsid w:val="00225EEE"/>
    <w:rsid w:val="00227A18"/>
    <w:rsid w:val="0023098B"/>
    <w:rsid w:val="00231935"/>
    <w:rsid w:val="00231E56"/>
    <w:rsid w:val="00231F1A"/>
    <w:rsid w:val="00233964"/>
    <w:rsid w:val="00233B42"/>
    <w:rsid w:val="00233F88"/>
    <w:rsid w:val="002349A9"/>
    <w:rsid w:val="00236E6D"/>
    <w:rsid w:val="002407F0"/>
    <w:rsid w:val="00242735"/>
    <w:rsid w:val="00242906"/>
    <w:rsid w:val="00242C98"/>
    <w:rsid w:val="002435D1"/>
    <w:rsid w:val="00244113"/>
    <w:rsid w:val="00246B60"/>
    <w:rsid w:val="002503AC"/>
    <w:rsid w:val="002529A5"/>
    <w:rsid w:val="002533B9"/>
    <w:rsid w:val="00253406"/>
    <w:rsid w:val="002546F3"/>
    <w:rsid w:val="00254A16"/>
    <w:rsid w:val="00254F23"/>
    <w:rsid w:val="00256A54"/>
    <w:rsid w:val="00257AAB"/>
    <w:rsid w:val="002603C5"/>
    <w:rsid w:val="00261225"/>
    <w:rsid w:val="002622A5"/>
    <w:rsid w:val="002641F3"/>
    <w:rsid w:val="0026466F"/>
    <w:rsid w:val="00264F9F"/>
    <w:rsid w:val="00265A05"/>
    <w:rsid w:val="00266AF9"/>
    <w:rsid w:val="0026705E"/>
    <w:rsid w:val="00267452"/>
    <w:rsid w:val="00271E62"/>
    <w:rsid w:val="00272AD1"/>
    <w:rsid w:val="00272E68"/>
    <w:rsid w:val="00273F54"/>
    <w:rsid w:val="0027530D"/>
    <w:rsid w:val="00275B73"/>
    <w:rsid w:val="00276215"/>
    <w:rsid w:val="00277D63"/>
    <w:rsid w:val="002801F5"/>
    <w:rsid w:val="00280808"/>
    <w:rsid w:val="00281640"/>
    <w:rsid w:val="00282AD0"/>
    <w:rsid w:val="002854FF"/>
    <w:rsid w:val="00285C1A"/>
    <w:rsid w:val="00287C60"/>
    <w:rsid w:val="00290F85"/>
    <w:rsid w:val="0029263E"/>
    <w:rsid w:val="00292DA5"/>
    <w:rsid w:val="00293443"/>
    <w:rsid w:val="002948C5"/>
    <w:rsid w:val="00295D56"/>
    <w:rsid w:val="0029607A"/>
    <w:rsid w:val="002A4269"/>
    <w:rsid w:val="002A427B"/>
    <w:rsid w:val="002A5B37"/>
    <w:rsid w:val="002B1708"/>
    <w:rsid w:val="002B1F85"/>
    <w:rsid w:val="002B2789"/>
    <w:rsid w:val="002B6170"/>
    <w:rsid w:val="002B6A89"/>
    <w:rsid w:val="002C06F2"/>
    <w:rsid w:val="002C0BAF"/>
    <w:rsid w:val="002C1BFE"/>
    <w:rsid w:val="002C1CC8"/>
    <w:rsid w:val="002C2CC0"/>
    <w:rsid w:val="002C2F24"/>
    <w:rsid w:val="002C35F7"/>
    <w:rsid w:val="002C4FC7"/>
    <w:rsid w:val="002C7058"/>
    <w:rsid w:val="002C7AE6"/>
    <w:rsid w:val="002D13FF"/>
    <w:rsid w:val="002D29F5"/>
    <w:rsid w:val="002D62B9"/>
    <w:rsid w:val="002D6F7E"/>
    <w:rsid w:val="002E026A"/>
    <w:rsid w:val="002E3F82"/>
    <w:rsid w:val="002E616D"/>
    <w:rsid w:val="002E70D5"/>
    <w:rsid w:val="002E7379"/>
    <w:rsid w:val="002E7C23"/>
    <w:rsid w:val="002F107C"/>
    <w:rsid w:val="002F1307"/>
    <w:rsid w:val="002F21C7"/>
    <w:rsid w:val="002F2CED"/>
    <w:rsid w:val="002F50C9"/>
    <w:rsid w:val="002F5415"/>
    <w:rsid w:val="002F5598"/>
    <w:rsid w:val="002F58A9"/>
    <w:rsid w:val="002F59CC"/>
    <w:rsid w:val="002F6F04"/>
    <w:rsid w:val="002F7800"/>
    <w:rsid w:val="002F7E20"/>
    <w:rsid w:val="00300685"/>
    <w:rsid w:val="003024EE"/>
    <w:rsid w:val="00303A87"/>
    <w:rsid w:val="00303EB1"/>
    <w:rsid w:val="0030417B"/>
    <w:rsid w:val="00304C6C"/>
    <w:rsid w:val="003050E6"/>
    <w:rsid w:val="00305C93"/>
    <w:rsid w:val="00306A0F"/>
    <w:rsid w:val="00306C09"/>
    <w:rsid w:val="003104C4"/>
    <w:rsid w:val="00310E1F"/>
    <w:rsid w:val="003127E5"/>
    <w:rsid w:val="00314AE5"/>
    <w:rsid w:val="00314F64"/>
    <w:rsid w:val="003169A4"/>
    <w:rsid w:val="003172D3"/>
    <w:rsid w:val="00317630"/>
    <w:rsid w:val="00317F5D"/>
    <w:rsid w:val="00320E44"/>
    <w:rsid w:val="00323116"/>
    <w:rsid w:val="003239C0"/>
    <w:rsid w:val="00324172"/>
    <w:rsid w:val="003247D7"/>
    <w:rsid w:val="00327B92"/>
    <w:rsid w:val="00330B6C"/>
    <w:rsid w:val="00333618"/>
    <w:rsid w:val="003343F4"/>
    <w:rsid w:val="003345A2"/>
    <w:rsid w:val="00334BF5"/>
    <w:rsid w:val="0033538B"/>
    <w:rsid w:val="003355E5"/>
    <w:rsid w:val="00335705"/>
    <w:rsid w:val="00337D78"/>
    <w:rsid w:val="003421CD"/>
    <w:rsid w:val="00342E8C"/>
    <w:rsid w:val="003465DA"/>
    <w:rsid w:val="00351878"/>
    <w:rsid w:val="00352B5E"/>
    <w:rsid w:val="00355BD2"/>
    <w:rsid w:val="00355C03"/>
    <w:rsid w:val="003573E1"/>
    <w:rsid w:val="00357490"/>
    <w:rsid w:val="003574EF"/>
    <w:rsid w:val="00357F88"/>
    <w:rsid w:val="00362251"/>
    <w:rsid w:val="003634F1"/>
    <w:rsid w:val="0036377E"/>
    <w:rsid w:val="00364C42"/>
    <w:rsid w:val="0037025B"/>
    <w:rsid w:val="00370516"/>
    <w:rsid w:val="00373635"/>
    <w:rsid w:val="0037681E"/>
    <w:rsid w:val="00377C04"/>
    <w:rsid w:val="00380D6D"/>
    <w:rsid w:val="0038187A"/>
    <w:rsid w:val="00381C78"/>
    <w:rsid w:val="003828C7"/>
    <w:rsid w:val="00382F1E"/>
    <w:rsid w:val="00384EDC"/>
    <w:rsid w:val="00390208"/>
    <w:rsid w:val="00390DBD"/>
    <w:rsid w:val="00390EBF"/>
    <w:rsid w:val="00391BFE"/>
    <w:rsid w:val="003930BE"/>
    <w:rsid w:val="00393DC0"/>
    <w:rsid w:val="003964E5"/>
    <w:rsid w:val="00397571"/>
    <w:rsid w:val="003A054F"/>
    <w:rsid w:val="003A0904"/>
    <w:rsid w:val="003A1758"/>
    <w:rsid w:val="003A25CE"/>
    <w:rsid w:val="003A43BB"/>
    <w:rsid w:val="003A4A92"/>
    <w:rsid w:val="003A4BBB"/>
    <w:rsid w:val="003A4E8E"/>
    <w:rsid w:val="003A53FD"/>
    <w:rsid w:val="003A6532"/>
    <w:rsid w:val="003A711E"/>
    <w:rsid w:val="003B055D"/>
    <w:rsid w:val="003B1F7D"/>
    <w:rsid w:val="003B288B"/>
    <w:rsid w:val="003B373E"/>
    <w:rsid w:val="003B5D65"/>
    <w:rsid w:val="003B68BD"/>
    <w:rsid w:val="003B7C9A"/>
    <w:rsid w:val="003B7F66"/>
    <w:rsid w:val="003C157B"/>
    <w:rsid w:val="003C1C9D"/>
    <w:rsid w:val="003C217F"/>
    <w:rsid w:val="003C21AA"/>
    <w:rsid w:val="003C2369"/>
    <w:rsid w:val="003C3FEC"/>
    <w:rsid w:val="003C54D0"/>
    <w:rsid w:val="003C5DB3"/>
    <w:rsid w:val="003C67CC"/>
    <w:rsid w:val="003C7DD6"/>
    <w:rsid w:val="003D15DF"/>
    <w:rsid w:val="003D1B5A"/>
    <w:rsid w:val="003D1D6B"/>
    <w:rsid w:val="003D1FD4"/>
    <w:rsid w:val="003D2476"/>
    <w:rsid w:val="003D2856"/>
    <w:rsid w:val="003D2F27"/>
    <w:rsid w:val="003D3FA8"/>
    <w:rsid w:val="003D43AC"/>
    <w:rsid w:val="003D50FA"/>
    <w:rsid w:val="003D54F7"/>
    <w:rsid w:val="003D6FD9"/>
    <w:rsid w:val="003E1968"/>
    <w:rsid w:val="003E1D38"/>
    <w:rsid w:val="003E3004"/>
    <w:rsid w:val="003E577D"/>
    <w:rsid w:val="003E6F2C"/>
    <w:rsid w:val="003E705F"/>
    <w:rsid w:val="003E7379"/>
    <w:rsid w:val="003F138A"/>
    <w:rsid w:val="003F2311"/>
    <w:rsid w:val="003F314E"/>
    <w:rsid w:val="003F563B"/>
    <w:rsid w:val="003F7090"/>
    <w:rsid w:val="003F712E"/>
    <w:rsid w:val="00400A3B"/>
    <w:rsid w:val="004011F8"/>
    <w:rsid w:val="004053D2"/>
    <w:rsid w:val="004054DD"/>
    <w:rsid w:val="00406E47"/>
    <w:rsid w:val="004121B7"/>
    <w:rsid w:val="0041225E"/>
    <w:rsid w:val="0041311F"/>
    <w:rsid w:val="00413C75"/>
    <w:rsid w:val="0041522C"/>
    <w:rsid w:val="00416545"/>
    <w:rsid w:val="00417D0A"/>
    <w:rsid w:val="00421B57"/>
    <w:rsid w:val="004253D5"/>
    <w:rsid w:val="0042551B"/>
    <w:rsid w:val="0042678C"/>
    <w:rsid w:val="004320E3"/>
    <w:rsid w:val="00432684"/>
    <w:rsid w:val="00434F15"/>
    <w:rsid w:val="004352EC"/>
    <w:rsid w:val="004357FB"/>
    <w:rsid w:val="004366DF"/>
    <w:rsid w:val="0043671B"/>
    <w:rsid w:val="0044043D"/>
    <w:rsid w:val="0044071F"/>
    <w:rsid w:val="00440BCC"/>
    <w:rsid w:val="00441A53"/>
    <w:rsid w:val="00441F9B"/>
    <w:rsid w:val="00442D8E"/>
    <w:rsid w:val="004434CD"/>
    <w:rsid w:val="00445167"/>
    <w:rsid w:val="0044638B"/>
    <w:rsid w:val="00446BAF"/>
    <w:rsid w:val="00446E45"/>
    <w:rsid w:val="00451BCA"/>
    <w:rsid w:val="00452834"/>
    <w:rsid w:val="00452C19"/>
    <w:rsid w:val="00460576"/>
    <w:rsid w:val="00460DF1"/>
    <w:rsid w:val="0046272D"/>
    <w:rsid w:val="00463412"/>
    <w:rsid w:val="004635AA"/>
    <w:rsid w:val="00464235"/>
    <w:rsid w:val="0046559F"/>
    <w:rsid w:val="00466338"/>
    <w:rsid w:val="00467513"/>
    <w:rsid w:val="00467595"/>
    <w:rsid w:val="00471488"/>
    <w:rsid w:val="00471C80"/>
    <w:rsid w:val="0047287D"/>
    <w:rsid w:val="0047366E"/>
    <w:rsid w:val="00476738"/>
    <w:rsid w:val="00476943"/>
    <w:rsid w:val="00483ACA"/>
    <w:rsid w:val="0048459E"/>
    <w:rsid w:val="00484710"/>
    <w:rsid w:val="0048510E"/>
    <w:rsid w:val="00486149"/>
    <w:rsid w:val="00487509"/>
    <w:rsid w:val="00487E06"/>
    <w:rsid w:val="00490D0A"/>
    <w:rsid w:val="00491642"/>
    <w:rsid w:val="00493CD5"/>
    <w:rsid w:val="00494F02"/>
    <w:rsid w:val="00494FAA"/>
    <w:rsid w:val="004950EA"/>
    <w:rsid w:val="0049585E"/>
    <w:rsid w:val="00495AC6"/>
    <w:rsid w:val="00496037"/>
    <w:rsid w:val="00497067"/>
    <w:rsid w:val="0049732F"/>
    <w:rsid w:val="00497A18"/>
    <w:rsid w:val="004A0334"/>
    <w:rsid w:val="004A330D"/>
    <w:rsid w:val="004A44E0"/>
    <w:rsid w:val="004A4B97"/>
    <w:rsid w:val="004A5664"/>
    <w:rsid w:val="004A6058"/>
    <w:rsid w:val="004A6DFF"/>
    <w:rsid w:val="004B2E9A"/>
    <w:rsid w:val="004B3ECF"/>
    <w:rsid w:val="004B4B22"/>
    <w:rsid w:val="004B66D5"/>
    <w:rsid w:val="004C1612"/>
    <w:rsid w:val="004C451E"/>
    <w:rsid w:val="004C4A54"/>
    <w:rsid w:val="004C5009"/>
    <w:rsid w:val="004C68F8"/>
    <w:rsid w:val="004C6B34"/>
    <w:rsid w:val="004C7867"/>
    <w:rsid w:val="004D06B2"/>
    <w:rsid w:val="004D0DCA"/>
    <w:rsid w:val="004D2342"/>
    <w:rsid w:val="004D3077"/>
    <w:rsid w:val="004D3277"/>
    <w:rsid w:val="004D5C6E"/>
    <w:rsid w:val="004E157E"/>
    <w:rsid w:val="004E45F3"/>
    <w:rsid w:val="004E5B6B"/>
    <w:rsid w:val="004E60F3"/>
    <w:rsid w:val="004E6A69"/>
    <w:rsid w:val="004E6ED9"/>
    <w:rsid w:val="004E7F84"/>
    <w:rsid w:val="004F0329"/>
    <w:rsid w:val="004F16BA"/>
    <w:rsid w:val="004F2987"/>
    <w:rsid w:val="004F2AE2"/>
    <w:rsid w:val="004F4127"/>
    <w:rsid w:val="004F715B"/>
    <w:rsid w:val="00500406"/>
    <w:rsid w:val="00500CC6"/>
    <w:rsid w:val="00501DAB"/>
    <w:rsid w:val="00503A19"/>
    <w:rsid w:val="00505D86"/>
    <w:rsid w:val="005075B7"/>
    <w:rsid w:val="00510C5E"/>
    <w:rsid w:val="005114A0"/>
    <w:rsid w:val="00512031"/>
    <w:rsid w:val="005168E4"/>
    <w:rsid w:val="00520661"/>
    <w:rsid w:val="00521B4C"/>
    <w:rsid w:val="00526C5E"/>
    <w:rsid w:val="00527B75"/>
    <w:rsid w:val="0053061A"/>
    <w:rsid w:val="0053118F"/>
    <w:rsid w:val="00531BF8"/>
    <w:rsid w:val="00532133"/>
    <w:rsid w:val="0053288D"/>
    <w:rsid w:val="00533239"/>
    <w:rsid w:val="00534551"/>
    <w:rsid w:val="00534FFF"/>
    <w:rsid w:val="00536CE9"/>
    <w:rsid w:val="0053774B"/>
    <w:rsid w:val="00540C0F"/>
    <w:rsid w:val="0054216B"/>
    <w:rsid w:val="00542B39"/>
    <w:rsid w:val="00542CC6"/>
    <w:rsid w:val="00543799"/>
    <w:rsid w:val="00545C18"/>
    <w:rsid w:val="005465BD"/>
    <w:rsid w:val="00546A1B"/>
    <w:rsid w:val="00547705"/>
    <w:rsid w:val="0054771C"/>
    <w:rsid w:val="005478ED"/>
    <w:rsid w:val="00550E79"/>
    <w:rsid w:val="0055146F"/>
    <w:rsid w:val="00554365"/>
    <w:rsid w:val="005547E0"/>
    <w:rsid w:val="0055508E"/>
    <w:rsid w:val="005558E3"/>
    <w:rsid w:val="005560E3"/>
    <w:rsid w:val="005573FA"/>
    <w:rsid w:val="005646B3"/>
    <w:rsid w:val="00564ECD"/>
    <w:rsid w:val="00564F36"/>
    <w:rsid w:val="00566155"/>
    <w:rsid w:val="0057092A"/>
    <w:rsid w:val="00570F77"/>
    <w:rsid w:val="005715BD"/>
    <w:rsid w:val="00571D61"/>
    <w:rsid w:val="005721A7"/>
    <w:rsid w:val="005726B0"/>
    <w:rsid w:val="00574021"/>
    <w:rsid w:val="0057451D"/>
    <w:rsid w:val="00574B49"/>
    <w:rsid w:val="0057592A"/>
    <w:rsid w:val="00575996"/>
    <w:rsid w:val="00577D2D"/>
    <w:rsid w:val="005819AA"/>
    <w:rsid w:val="00581B82"/>
    <w:rsid w:val="00582DA3"/>
    <w:rsid w:val="005831AC"/>
    <w:rsid w:val="00583F04"/>
    <w:rsid w:val="00584ECD"/>
    <w:rsid w:val="00590F19"/>
    <w:rsid w:val="00594598"/>
    <w:rsid w:val="005964AB"/>
    <w:rsid w:val="005966BA"/>
    <w:rsid w:val="0059690B"/>
    <w:rsid w:val="005A054D"/>
    <w:rsid w:val="005A06AF"/>
    <w:rsid w:val="005A077E"/>
    <w:rsid w:val="005A0E54"/>
    <w:rsid w:val="005A2A97"/>
    <w:rsid w:val="005A2F82"/>
    <w:rsid w:val="005A5619"/>
    <w:rsid w:val="005A673F"/>
    <w:rsid w:val="005A758A"/>
    <w:rsid w:val="005B10BA"/>
    <w:rsid w:val="005B1128"/>
    <w:rsid w:val="005B26BD"/>
    <w:rsid w:val="005B281B"/>
    <w:rsid w:val="005B375A"/>
    <w:rsid w:val="005B3C19"/>
    <w:rsid w:val="005B6FA7"/>
    <w:rsid w:val="005B7B94"/>
    <w:rsid w:val="005C05E2"/>
    <w:rsid w:val="005C0F06"/>
    <w:rsid w:val="005C1DC4"/>
    <w:rsid w:val="005C2A60"/>
    <w:rsid w:val="005C2AA4"/>
    <w:rsid w:val="005C3169"/>
    <w:rsid w:val="005C3C2D"/>
    <w:rsid w:val="005C66E2"/>
    <w:rsid w:val="005C7F09"/>
    <w:rsid w:val="005D0985"/>
    <w:rsid w:val="005D1AC7"/>
    <w:rsid w:val="005D41D2"/>
    <w:rsid w:val="005D42CA"/>
    <w:rsid w:val="005D48C0"/>
    <w:rsid w:val="005D4CA5"/>
    <w:rsid w:val="005D4DD2"/>
    <w:rsid w:val="005D52E8"/>
    <w:rsid w:val="005D58F7"/>
    <w:rsid w:val="005E17AD"/>
    <w:rsid w:val="005E24FB"/>
    <w:rsid w:val="005E358F"/>
    <w:rsid w:val="005E47A0"/>
    <w:rsid w:val="005E6A55"/>
    <w:rsid w:val="005E70E3"/>
    <w:rsid w:val="005E715D"/>
    <w:rsid w:val="005E72D1"/>
    <w:rsid w:val="005F019C"/>
    <w:rsid w:val="005F041C"/>
    <w:rsid w:val="005F2084"/>
    <w:rsid w:val="005F4FB8"/>
    <w:rsid w:val="005F62B3"/>
    <w:rsid w:val="005F67CE"/>
    <w:rsid w:val="005F6FC7"/>
    <w:rsid w:val="005F70ED"/>
    <w:rsid w:val="006005C1"/>
    <w:rsid w:val="00601D9F"/>
    <w:rsid w:val="00602C79"/>
    <w:rsid w:val="006043EB"/>
    <w:rsid w:val="00604921"/>
    <w:rsid w:val="00604E64"/>
    <w:rsid w:val="006056A6"/>
    <w:rsid w:val="006108C6"/>
    <w:rsid w:val="00611BC2"/>
    <w:rsid w:val="00612E5E"/>
    <w:rsid w:val="00612F29"/>
    <w:rsid w:val="00615E45"/>
    <w:rsid w:val="00615F66"/>
    <w:rsid w:val="00617C74"/>
    <w:rsid w:val="006206F7"/>
    <w:rsid w:val="0062343C"/>
    <w:rsid w:val="0062355C"/>
    <w:rsid w:val="006243C7"/>
    <w:rsid w:val="00626788"/>
    <w:rsid w:val="00630029"/>
    <w:rsid w:val="006308AE"/>
    <w:rsid w:val="00630FE9"/>
    <w:rsid w:val="0063116A"/>
    <w:rsid w:val="0063356F"/>
    <w:rsid w:val="00633583"/>
    <w:rsid w:val="00634582"/>
    <w:rsid w:val="00634CA6"/>
    <w:rsid w:val="00634D41"/>
    <w:rsid w:val="00635A63"/>
    <w:rsid w:val="00636398"/>
    <w:rsid w:val="006402DA"/>
    <w:rsid w:val="00640530"/>
    <w:rsid w:val="00641766"/>
    <w:rsid w:val="00642604"/>
    <w:rsid w:val="00642641"/>
    <w:rsid w:val="00643A47"/>
    <w:rsid w:val="00644167"/>
    <w:rsid w:val="006441AA"/>
    <w:rsid w:val="00645005"/>
    <w:rsid w:val="00645DA5"/>
    <w:rsid w:val="0064682F"/>
    <w:rsid w:val="00646CBE"/>
    <w:rsid w:val="00646E34"/>
    <w:rsid w:val="00650743"/>
    <w:rsid w:val="006507A4"/>
    <w:rsid w:val="006512F4"/>
    <w:rsid w:val="00651397"/>
    <w:rsid w:val="006529EF"/>
    <w:rsid w:val="00654B3E"/>
    <w:rsid w:val="00654B5B"/>
    <w:rsid w:val="00654DEC"/>
    <w:rsid w:val="006553CE"/>
    <w:rsid w:val="006558C5"/>
    <w:rsid w:val="00655F34"/>
    <w:rsid w:val="006568A7"/>
    <w:rsid w:val="006569D7"/>
    <w:rsid w:val="00657015"/>
    <w:rsid w:val="006573E7"/>
    <w:rsid w:val="00657980"/>
    <w:rsid w:val="00661EEE"/>
    <w:rsid w:val="006620EB"/>
    <w:rsid w:val="006625AE"/>
    <w:rsid w:val="00662697"/>
    <w:rsid w:val="00662714"/>
    <w:rsid w:val="00664301"/>
    <w:rsid w:val="0066468E"/>
    <w:rsid w:val="00664FFE"/>
    <w:rsid w:val="00667EEA"/>
    <w:rsid w:val="00670D4B"/>
    <w:rsid w:val="00671835"/>
    <w:rsid w:val="00672B71"/>
    <w:rsid w:val="00674775"/>
    <w:rsid w:val="00675D80"/>
    <w:rsid w:val="006769D2"/>
    <w:rsid w:val="00682114"/>
    <w:rsid w:val="006825E5"/>
    <w:rsid w:val="00683941"/>
    <w:rsid w:val="00683D48"/>
    <w:rsid w:val="00684B82"/>
    <w:rsid w:val="00685147"/>
    <w:rsid w:val="006870F1"/>
    <w:rsid w:val="0068742D"/>
    <w:rsid w:val="00687EC8"/>
    <w:rsid w:val="0069072F"/>
    <w:rsid w:val="00691E14"/>
    <w:rsid w:val="00691E60"/>
    <w:rsid w:val="00692BBC"/>
    <w:rsid w:val="00692DB8"/>
    <w:rsid w:val="0069301A"/>
    <w:rsid w:val="006943D6"/>
    <w:rsid w:val="00694BB3"/>
    <w:rsid w:val="00694DBB"/>
    <w:rsid w:val="00695879"/>
    <w:rsid w:val="006A0397"/>
    <w:rsid w:val="006A0D64"/>
    <w:rsid w:val="006A104A"/>
    <w:rsid w:val="006A115B"/>
    <w:rsid w:val="006A1E58"/>
    <w:rsid w:val="006A588D"/>
    <w:rsid w:val="006A7BFF"/>
    <w:rsid w:val="006B04F7"/>
    <w:rsid w:val="006B06D0"/>
    <w:rsid w:val="006B1D7F"/>
    <w:rsid w:val="006B1F10"/>
    <w:rsid w:val="006B3418"/>
    <w:rsid w:val="006B3B68"/>
    <w:rsid w:val="006B47D7"/>
    <w:rsid w:val="006B50B7"/>
    <w:rsid w:val="006B683A"/>
    <w:rsid w:val="006C37D4"/>
    <w:rsid w:val="006C4E6B"/>
    <w:rsid w:val="006C54BB"/>
    <w:rsid w:val="006C5E3C"/>
    <w:rsid w:val="006C6EB9"/>
    <w:rsid w:val="006C7C79"/>
    <w:rsid w:val="006C7D43"/>
    <w:rsid w:val="006D0B86"/>
    <w:rsid w:val="006D5530"/>
    <w:rsid w:val="006D6234"/>
    <w:rsid w:val="006D70C8"/>
    <w:rsid w:val="006D7118"/>
    <w:rsid w:val="006D712B"/>
    <w:rsid w:val="006E0670"/>
    <w:rsid w:val="006E146B"/>
    <w:rsid w:val="006E3319"/>
    <w:rsid w:val="006E48A9"/>
    <w:rsid w:val="006E5B7D"/>
    <w:rsid w:val="006E671E"/>
    <w:rsid w:val="006F0FAC"/>
    <w:rsid w:val="006F166C"/>
    <w:rsid w:val="006F44E5"/>
    <w:rsid w:val="006F48E5"/>
    <w:rsid w:val="006F4B59"/>
    <w:rsid w:val="006F5089"/>
    <w:rsid w:val="007015C5"/>
    <w:rsid w:val="00702B21"/>
    <w:rsid w:val="00702EE1"/>
    <w:rsid w:val="00703506"/>
    <w:rsid w:val="00704DC2"/>
    <w:rsid w:val="0070544A"/>
    <w:rsid w:val="00706004"/>
    <w:rsid w:val="0071014E"/>
    <w:rsid w:val="007101F2"/>
    <w:rsid w:val="00711B33"/>
    <w:rsid w:val="00712EF5"/>
    <w:rsid w:val="0072105E"/>
    <w:rsid w:val="007218D1"/>
    <w:rsid w:val="007228CE"/>
    <w:rsid w:val="00722D21"/>
    <w:rsid w:val="00722F4F"/>
    <w:rsid w:val="00724208"/>
    <w:rsid w:val="0072512C"/>
    <w:rsid w:val="0072721A"/>
    <w:rsid w:val="0072768F"/>
    <w:rsid w:val="00731374"/>
    <w:rsid w:val="0073259F"/>
    <w:rsid w:val="00733F73"/>
    <w:rsid w:val="00736702"/>
    <w:rsid w:val="00736A08"/>
    <w:rsid w:val="007407E5"/>
    <w:rsid w:val="00741501"/>
    <w:rsid w:val="007419ED"/>
    <w:rsid w:val="00741DE8"/>
    <w:rsid w:val="00742740"/>
    <w:rsid w:val="00743D68"/>
    <w:rsid w:val="00744F42"/>
    <w:rsid w:val="007500B3"/>
    <w:rsid w:val="00750268"/>
    <w:rsid w:val="00751279"/>
    <w:rsid w:val="00751F69"/>
    <w:rsid w:val="007520D0"/>
    <w:rsid w:val="007522E2"/>
    <w:rsid w:val="0075335E"/>
    <w:rsid w:val="007548D5"/>
    <w:rsid w:val="00757878"/>
    <w:rsid w:val="00760575"/>
    <w:rsid w:val="00761500"/>
    <w:rsid w:val="007628FD"/>
    <w:rsid w:val="00762B1D"/>
    <w:rsid w:val="00762E21"/>
    <w:rsid w:val="00763307"/>
    <w:rsid w:val="00763505"/>
    <w:rsid w:val="00763DFD"/>
    <w:rsid w:val="00765CD2"/>
    <w:rsid w:val="00766D80"/>
    <w:rsid w:val="0077165B"/>
    <w:rsid w:val="00772E69"/>
    <w:rsid w:val="00772FBA"/>
    <w:rsid w:val="00774B69"/>
    <w:rsid w:val="007753D4"/>
    <w:rsid w:val="00776261"/>
    <w:rsid w:val="0077639C"/>
    <w:rsid w:val="00776BD3"/>
    <w:rsid w:val="00780F33"/>
    <w:rsid w:val="0078117D"/>
    <w:rsid w:val="007816BE"/>
    <w:rsid w:val="007840C4"/>
    <w:rsid w:val="00785159"/>
    <w:rsid w:val="00785C53"/>
    <w:rsid w:val="00786064"/>
    <w:rsid w:val="00787B54"/>
    <w:rsid w:val="00787C1B"/>
    <w:rsid w:val="00790790"/>
    <w:rsid w:val="00797744"/>
    <w:rsid w:val="00797D2F"/>
    <w:rsid w:val="007A1C50"/>
    <w:rsid w:val="007A2006"/>
    <w:rsid w:val="007A2024"/>
    <w:rsid w:val="007A234C"/>
    <w:rsid w:val="007A2589"/>
    <w:rsid w:val="007A2EBA"/>
    <w:rsid w:val="007A2F8B"/>
    <w:rsid w:val="007A34E4"/>
    <w:rsid w:val="007A354C"/>
    <w:rsid w:val="007A3C06"/>
    <w:rsid w:val="007A4B45"/>
    <w:rsid w:val="007A4E73"/>
    <w:rsid w:val="007A5D7F"/>
    <w:rsid w:val="007A5FA3"/>
    <w:rsid w:val="007A6276"/>
    <w:rsid w:val="007A6B63"/>
    <w:rsid w:val="007A6F3F"/>
    <w:rsid w:val="007A7DFC"/>
    <w:rsid w:val="007AAE38"/>
    <w:rsid w:val="007B041D"/>
    <w:rsid w:val="007B1002"/>
    <w:rsid w:val="007B3521"/>
    <w:rsid w:val="007B69C1"/>
    <w:rsid w:val="007B6DC2"/>
    <w:rsid w:val="007C12D5"/>
    <w:rsid w:val="007C130B"/>
    <w:rsid w:val="007C1F9C"/>
    <w:rsid w:val="007C2681"/>
    <w:rsid w:val="007C406C"/>
    <w:rsid w:val="007C55FF"/>
    <w:rsid w:val="007D0878"/>
    <w:rsid w:val="007D1189"/>
    <w:rsid w:val="007D159E"/>
    <w:rsid w:val="007D1F8D"/>
    <w:rsid w:val="007D2E54"/>
    <w:rsid w:val="007D3046"/>
    <w:rsid w:val="007D472D"/>
    <w:rsid w:val="007D5987"/>
    <w:rsid w:val="007D5CE1"/>
    <w:rsid w:val="007D716F"/>
    <w:rsid w:val="007E1E1A"/>
    <w:rsid w:val="007E1F99"/>
    <w:rsid w:val="007E3969"/>
    <w:rsid w:val="007E4760"/>
    <w:rsid w:val="007E525B"/>
    <w:rsid w:val="007E54D7"/>
    <w:rsid w:val="007E69DD"/>
    <w:rsid w:val="007E731B"/>
    <w:rsid w:val="007E7461"/>
    <w:rsid w:val="007E7DD5"/>
    <w:rsid w:val="007F313A"/>
    <w:rsid w:val="007F36AE"/>
    <w:rsid w:val="007F3ACF"/>
    <w:rsid w:val="007F3C74"/>
    <w:rsid w:val="007F4E68"/>
    <w:rsid w:val="00801234"/>
    <w:rsid w:val="008019C3"/>
    <w:rsid w:val="008024DF"/>
    <w:rsid w:val="00802E32"/>
    <w:rsid w:val="008065C1"/>
    <w:rsid w:val="00810857"/>
    <w:rsid w:val="008110C5"/>
    <w:rsid w:val="00811AE5"/>
    <w:rsid w:val="00812252"/>
    <w:rsid w:val="0081380E"/>
    <w:rsid w:val="0081478B"/>
    <w:rsid w:val="00816B43"/>
    <w:rsid w:val="00816DC3"/>
    <w:rsid w:val="00816F3E"/>
    <w:rsid w:val="008173A9"/>
    <w:rsid w:val="00820B18"/>
    <w:rsid w:val="00821270"/>
    <w:rsid w:val="008245C1"/>
    <w:rsid w:val="00824EB1"/>
    <w:rsid w:val="0082708A"/>
    <w:rsid w:val="008270E6"/>
    <w:rsid w:val="00827D30"/>
    <w:rsid w:val="008317A2"/>
    <w:rsid w:val="00832017"/>
    <w:rsid w:val="008340E7"/>
    <w:rsid w:val="00836F94"/>
    <w:rsid w:val="0083705B"/>
    <w:rsid w:val="008373E1"/>
    <w:rsid w:val="00837692"/>
    <w:rsid w:val="00840023"/>
    <w:rsid w:val="00842A66"/>
    <w:rsid w:val="00842D3F"/>
    <w:rsid w:val="008435AE"/>
    <w:rsid w:val="008439B2"/>
    <w:rsid w:val="00843E2F"/>
    <w:rsid w:val="00844692"/>
    <w:rsid w:val="008450F9"/>
    <w:rsid w:val="00846F99"/>
    <w:rsid w:val="00850BBB"/>
    <w:rsid w:val="00850EE6"/>
    <w:rsid w:val="008511B7"/>
    <w:rsid w:val="0085242A"/>
    <w:rsid w:val="00852E23"/>
    <w:rsid w:val="00854182"/>
    <w:rsid w:val="008550E0"/>
    <w:rsid w:val="008556AC"/>
    <w:rsid w:val="008558A0"/>
    <w:rsid w:val="00860390"/>
    <w:rsid w:val="008603CA"/>
    <w:rsid w:val="00860AC6"/>
    <w:rsid w:val="00860E83"/>
    <w:rsid w:val="00863701"/>
    <w:rsid w:val="0086492B"/>
    <w:rsid w:val="008651C7"/>
    <w:rsid w:val="0086628B"/>
    <w:rsid w:val="00866B73"/>
    <w:rsid w:val="00872EA1"/>
    <w:rsid w:val="0087330D"/>
    <w:rsid w:val="00873905"/>
    <w:rsid w:val="00873BE3"/>
    <w:rsid w:val="008757B2"/>
    <w:rsid w:val="00876395"/>
    <w:rsid w:val="0087680D"/>
    <w:rsid w:val="00877EAA"/>
    <w:rsid w:val="00882EE1"/>
    <w:rsid w:val="008836D0"/>
    <w:rsid w:val="00886599"/>
    <w:rsid w:val="00890C79"/>
    <w:rsid w:val="00891DA5"/>
    <w:rsid w:val="00892630"/>
    <w:rsid w:val="00892A49"/>
    <w:rsid w:val="00893AFE"/>
    <w:rsid w:val="00894037"/>
    <w:rsid w:val="008954D5"/>
    <w:rsid w:val="00896E2B"/>
    <w:rsid w:val="008A1475"/>
    <w:rsid w:val="008A30AE"/>
    <w:rsid w:val="008A3286"/>
    <w:rsid w:val="008A463F"/>
    <w:rsid w:val="008A4EA8"/>
    <w:rsid w:val="008B14F7"/>
    <w:rsid w:val="008B4C0F"/>
    <w:rsid w:val="008B57D7"/>
    <w:rsid w:val="008B5AED"/>
    <w:rsid w:val="008B64E8"/>
    <w:rsid w:val="008B6653"/>
    <w:rsid w:val="008B677B"/>
    <w:rsid w:val="008B6B41"/>
    <w:rsid w:val="008C1047"/>
    <w:rsid w:val="008C1771"/>
    <w:rsid w:val="008C2E98"/>
    <w:rsid w:val="008C38E1"/>
    <w:rsid w:val="008C4670"/>
    <w:rsid w:val="008C5458"/>
    <w:rsid w:val="008C59CB"/>
    <w:rsid w:val="008C6DA9"/>
    <w:rsid w:val="008C79F9"/>
    <w:rsid w:val="008D4E66"/>
    <w:rsid w:val="008D4FEE"/>
    <w:rsid w:val="008D591D"/>
    <w:rsid w:val="008D7DC3"/>
    <w:rsid w:val="008E0C78"/>
    <w:rsid w:val="008E0F20"/>
    <w:rsid w:val="008E295F"/>
    <w:rsid w:val="008E47CD"/>
    <w:rsid w:val="008E7E6A"/>
    <w:rsid w:val="008F10D0"/>
    <w:rsid w:val="008F1A39"/>
    <w:rsid w:val="008F1EF8"/>
    <w:rsid w:val="008F2520"/>
    <w:rsid w:val="008F29B6"/>
    <w:rsid w:val="008F2E10"/>
    <w:rsid w:val="008F339F"/>
    <w:rsid w:val="008F3D35"/>
    <w:rsid w:val="008F4B82"/>
    <w:rsid w:val="008F51E3"/>
    <w:rsid w:val="008F5ABD"/>
    <w:rsid w:val="008F5B97"/>
    <w:rsid w:val="008F732F"/>
    <w:rsid w:val="008F7340"/>
    <w:rsid w:val="008F75B7"/>
    <w:rsid w:val="008F77EA"/>
    <w:rsid w:val="008F782B"/>
    <w:rsid w:val="00903328"/>
    <w:rsid w:val="009055C1"/>
    <w:rsid w:val="00911CA2"/>
    <w:rsid w:val="00912772"/>
    <w:rsid w:val="00912D82"/>
    <w:rsid w:val="00912F05"/>
    <w:rsid w:val="009137A2"/>
    <w:rsid w:val="00913E07"/>
    <w:rsid w:val="00915ADC"/>
    <w:rsid w:val="00921002"/>
    <w:rsid w:val="009216AB"/>
    <w:rsid w:val="00921957"/>
    <w:rsid w:val="00922BE7"/>
    <w:rsid w:val="00923A0E"/>
    <w:rsid w:val="00923BA8"/>
    <w:rsid w:val="00925194"/>
    <w:rsid w:val="00926A07"/>
    <w:rsid w:val="0093001A"/>
    <w:rsid w:val="00931595"/>
    <w:rsid w:val="00936305"/>
    <w:rsid w:val="0093638C"/>
    <w:rsid w:val="0093668E"/>
    <w:rsid w:val="00936ED4"/>
    <w:rsid w:val="00937B3A"/>
    <w:rsid w:val="0094017F"/>
    <w:rsid w:val="009409CC"/>
    <w:rsid w:val="00941139"/>
    <w:rsid w:val="00941329"/>
    <w:rsid w:val="00941410"/>
    <w:rsid w:val="00941934"/>
    <w:rsid w:val="009424F7"/>
    <w:rsid w:val="009425AB"/>
    <w:rsid w:val="00942A2C"/>
    <w:rsid w:val="00944155"/>
    <w:rsid w:val="00944470"/>
    <w:rsid w:val="00945FC8"/>
    <w:rsid w:val="00946610"/>
    <w:rsid w:val="009476AC"/>
    <w:rsid w:val="00947763"/>
    <w:rsid w:val="00947C19"/>
    <w:rsid w:val="00950500"/>
    <w:rsid w:val="00950BCA"/>
    <w:rsid w:val="00951A16"/>
    <w:rsid w:val="00952705"/>
    <w:rsid w:val="00952D7E"/>
    <w:rsid w:val="00953D7A"/>
    <w:rsid w:val="009540D0"/>
    <w:rsid w:val="009556E0"/>
    <w:rsid w:val="00955CAA"/>
    <w:rsid w:val="0095711F"/>
    <w:rsid w:val="0095724D"/>
    <w:rsid w:val="00960A55"/>
    <w:rsid w:val="0096269E"/>
    <w:rsid w:val="00963577"/>
    <w:rsid w:val="009650E1"/>
    <w:rsid w:val="009674A0"/>
    <w:rsid w:val="00967A2F"/>
    <w:rsid w:val="009703A2"/>
    <w:rsid w:val="00971937"/>
    <w:rsid w:val="009743AA"/>
    <w:rsid w:val="009747F0"/>
    <w:rsid w:val="00974DF5"/>
    <w:rsid w:val="00975E3A"/>
    <w:rsid w:val="00980834"/>
    <w:rsid w:val="00980B15"/>
    <w:rsid w:val="0098152C"/>
    <w:rsid w:val="009815E1"/>
    <w:rsid w:val="00981971"/>
    <w:rsid w:val="00983208"/>
    <w:rsid w:val="0098394E"/>
    <w:rsid w:val="009840C6"/>
    <w:rsid w:val="00984CEB"/>
    <w:rsid w:val="009857B9"/>
    <w:rsid w:val="00985C30"/>
    <w:rsid w:val="0098745C"/>
    <w:rsid w:val="009928C4"/>
    <w:rsid w:val="00994907"/>
    <w:rsid w:val="009951E9"/>
    <w:rsid w:val="00995825"/>
    <w:rsid w:val="00996535"/>
    <w:rsid w:val="00996686"/>
    <w:rsid w:val="009967F4"/>
    <w:rsid w:val="009971A7"/>
    <w:rsid w:val="00997512"/>
    <w:rsid w:val="00997CC5"/>
    <w:rsid w:val="00997E0E"/>
    <w:rsid w:val="009A00C9"/>
    <w:rsid w:val="009A01A5"/>
    <w:rsid w:val="009A2A19"/>
    <w:rsid w:val="009A2BA8"/>
    <w:rsid w:val="009A2FBC"/>
    <w:rsid w:val="009A72C4"/>
    <w:rsid w:val="009B2B49"/>
    <w:rsid w:val="009B2D1F"/>
    <w:rsid w:val="009B43A5"/>
    <w:rsid w:val="009B4BD6"/>
    <w:rsid w:val="009B5340"/>
    <w:rsid w:val="009B7133"/>
    <w:rsid w:val="009B73D5"/>
    <w:rsid w:val="009C0473"/>
    <w:rsid w:val="009C1E22"/>
    <w:rsid w:val="009C2F07"/>
    <w:rsid w:val="009C35B9"/>
    <w:rsid w:val="009C4165"/>
    <w:rsid w:val="009C49D0"/>
    <w:rsid w:val="009C605B"/>
    <w:rsid w:val="009C6463"/>
    <w:rsid w:val="009C65BD"/>
    <w:rsid w:val="009C7991"/>
    <w:rsid w:val="009D59D7"/>
    <w:rsid w:val="009D616A"/>
    <w:rsid w:val="009E0F78"/>
    <w:rsid w:val="009E18B6"/>
    <w:rsid w:val="009E3BFD"/>
    <w:rsid w:val="009E439A"/>
    <w:rsid w:val="009E43F6"/>
    <w:rsid w:val="009E487D"/>
    <w:rsid w:val="009E4FE5"/>
    <w:rsid w:val="009E623F"/>
    <w:rsid w:val="009E6547"/>
    <w:rsid w:val="009E67F6"/>
    <w:rsid w:val="009E6FF0"/>
    <w:rsid w:val="009E74AA"/>
    <w:rsid w:val="009F25A3"/>
    <w:rsid w:val="009F38CF"/>
    <w:rsid w:val="009F55B0"/>
    <w:rsid w:val="00A01350"/>
    <w:rsid w:val="00A04379"/>
    <w:rsid w:val="00A05019"/>
    <w:rsid w:val="00A05592"/>
    <w:rsid w:val="00A0580E"/>
    <w:rsid w:val="00A10D19"/>
    <w:rsid w:val="00A10D52"/>
    <w:rsid w:val="00A12A90"/>
    <w:rsid w:val="00A12C8C"/>
    <w:rsid w:val="00A12F0A"/>
    <w:rsid w:val="00A1486E"/>
    <w:rsid w:val="00A15AAB"/>
    <w:rsid w:val="00A17110"/>
    <w:rsid w:val="00A20906"/>
    <w:rsid w:val="00A20E15"/>
    <w:rsid w:val="00A22AB2"/>
    <w:rsid w:val="00A2431B"/>
    <w:rsid w:val="00A25387"/>
    <w:rsid w:val="00A27D43"/>
    <w:rsid w:val="00A27EC7"/>
    <w:rsid w:val="00A306E3"/>
    <w:rsid w:val="00A317D6"/>
    <w:rsid w:val="00A31B19"/>
    <w:rsid w:val="00A31DAC"/>
    <w:rsid w:val="00A33BEE"/>
    <w:rsid w:val="00A34FF7"/>
    <w:rsid w:val="00A40162"/>
    <w:rsid w:val="00A402F2"/>
    <w:rsid w:val="00A40F7A"/>
    <w:rsid w:val="00A41565"/>
    <w:rsid w:val="00A426D5"/>
    <w:rsid w:val="00A43DAA"/>
    <w:rsid w:val="00A43EAE"/>
    <w:rsid w:val="00A44A15"/>
    <w:rsid w:val="00A44FB2"/>
    <w:rsid w:val="00A45A9F"/>
    <w:rsid w:val="00A47948"/>
    <w:rsid w:val="00A50E39"/>
    <w:rsid w:val="00A51F77"/>
    <w:rsid w:val="00A526FA"/>
    <w:rsid w:val="00A52A4C"/>
    <w:rsid w:val="00A53316"/>
    <w:rsid w:val="00A53FBF"/>
    <w:rsid w:val="00A5438C"/>
    <w:rsid w:val="00A5502A"/>
    <w:rsid w:val="00A55ABC"/>
    <w:rsid w:val="00A60519"/>
    <w:rsid w:val="00A607B5"/>
    <w:rsid w:val="00A609A0"/>
    <w:rsid w:val="00A61F44"/>
    <w:rsid w:val="00A637BB"/>
    <w:rsid w:val="00A63D3C"/>
    <w:rsid w:val="00A6453F"/>
    <w:rsid w:val="00A64CBD"/>
    <w:rsid w:val="00A6593D"/>
    <w:rsid w:val="00A65B4F"/>
    <w:rsid w:val="00A700FA"/>
    <w:rsid w:val="00A70B7C"/>
    <w:rsid w:val="00A71AE3"/>
    <w:rsid w:val="00A71E79"/>
    <w:rsid w:val="00A729AB"/>
    <w:rsid w:val="00A72A06"/>
    <w:rsid w:val="00A731FC"/>
    <w:rsid w:val="00A73605"/>
    <w:rsid w:val="00A73CD0"/>
    <w:rsid w:val="00A741A7"/>
    <w:rsid w:val="00A761DA"/>
    <w:rsid w:val="00A77009"/>
    <w:rsid w:val="00A778A3"/>
    <w:rsid w:val="00A861D9"/>
    <w:rsid w:val="00A864F5"/>
    <w:rsid w:val="00A86FEA"/>
    <w:rsid w:val="00A87156"/>
    <w:rsid w:val="00A8782C"/>
    <w:rsid w:val="00A9087E"/>
    <w:rsid w:val="00A91D9F"/>
    <w:rsid w:val="00A91ECB"/>
    <w:rsid w:val="00A92720"/>
    <w:rsid w:val="00A932F0"/>
    <w:rsid w:val="00A97459"/>
    <w:rsid w:val="00AA119C"/>
    <w:rsid w:val="00AA21BA"/>
    <w:rsid w:val="00AA6DEB"/>
    <w:rsid w:val="00AA6F2D"/>
    <w:rsid w:val="00AB0D49"/>
    <w:rsid w:val="00AB253E"/>
    <w:rsid w:val="00AB3FD5"/>
    <w:rsid w:val="00AB468B"/>
    <w:rsid w:val="00AB56F2"/>
    <w:rsid w:val="00AB627A"/>
    <w:rsid w:val="00AC06BC"/>
    <w:rsid w:val="00AC097E"/>
    <w:rsid w:val="00AC17CC"/>
    <w:rsid w:val="00AC234D"/>
    <w:rsid w:val="00AC24A6"/>
    <w:rsid w:val="00AC288F"/>
    <w:rsid w:val="00AC3100"/>
    <w:rsid w:val="00AC3A3D"/>
    <w:rsid w:val="00AC5AC0"/>
    <w:rsid w:val="00AC5D9B"/>
    <w:rsid w:val="00AC7019"/>
    <w:rsid w:val="00AC7EC1"/>
    <w:rsid w:val="00AD1A37"/>
    <w:rsid w:val="00AD2DBC"/>
    <w:rsid w:val="00AD47FC"/>
    <w:rsid w:val="00AD481A"/>
    <w:rsid w:val="00AD4BFC"/>
    <w:rsid w:val="00AD5E33"/>
    <w:rsid w:val="00AD671F"/>
    <w:rsid w:val="00AD7EAA"/>
    <w:rsid w:val="00AD7FFD"/>
    <w:rsid w:val="00AE00C4"/>
    <w:rsid w:val="00AE057F"/>
    <w:rsid w:val="00AE083D"/>
    <w:rsid w:val="00AE096F"/>
    <w:rsid w:val="00AE0ECE"/>
    <w:rsid w:val="00AE20C4"/>
    <w:rsid w:val="00AE2158"/>
    <w:rsid w:val="00AE326C"/>
    <w:rsid w:val="00AE4F03"/>
    <w:rsid w:val="00AE5A0B"/>
    <w:rsid w:val="00AE5BF2"/>
    <w:rsid w:val="00AE6047"/>
    <w:rsid w:val="00AE6EEE"/>
    <w:rsid w:val="00AE71F7"/>
    <w:rsid w:val="00AF1460"/>
    <w:rsid w:val="00AF2283"/>
    <w:rsid w:val="00AF2509"/>
    <w:rsid w:val="00AF403D"/>
    <w:rsid w:val="00AF4471"/>
    <w:rsid w:val="00AF4E28"/>
    <w:rsid w:val="00AF6DFC"/>
    <w:rsid w:val="00AF7256"/>
    <w:rsid w:val="00AF7DB0"/>
    <w:rsid w:val="00B00C5D"/>
    <w:rsid w:val="00B01F71"/>
    <w:rsid w:val="00B0410D"/>
    <w:rsid w:val="00B043BC"/>
    <w:rsid w:val="00B04EE8"/>
    <w:rsid w:val="00B05ECD"/>
    <w:rsid w:val="00B06162"/>
    <w:rsid w:val="00B1067E"/>
    <w:rsid w:val="00B10F5F"/>
    <w:rsid w:val="00B1108D"/>
    <w:rsid w:val="00B111DF"/>
    <w:rsid w:val="00B1197D"/>
    <w:rsid w:val="00B11A45"/>
    <w:rsid w:val="00B133D4"/>
    <w:rsid w:val="00B13FE7"/>
    <w:rsid w:val="00B15AD4"/>
    <w:rsid w:val="00B163A1"/>
    <w:rsid w:val="00B164ED"/>
    <w:rsid w:val="00B1713C"/>
    <w:rsid w:val="00B1715B"/>
    <w:rsid w:val="00B1760B"/>
    <w:rsid w:val="00B179AC"/>
    <w:rsid w:val="00B17A51"/>
    <w:rsid w:val="00B237D7"/>
    <w:rsid w:val="00B269F9"/>
    <w:rsid w:val="00B30725"/>
    <w:rsid w:val="00B31EA6"/>
    <w:rsid w:val="00B31FBB"/>
    <w:rsid w:val="00B32A5D"/>
    <w:rsid w:val="00B32D38"/>
    <w:rsid w:val="00B35186"/>
    <w:rsid w:val="00B366E7"/>
    <w:rsid w:val="00B379D1"/>
    <w:rsid w:val="00B37E39"/>
    <w:rsid w:val="00B4002E"/>
    <w:rsid w:val="00B408BB"/>
    <w:rsid w:val="00B411D8"/>
    <w:rsid w:val="00B412A5"/>
    <w:rsid w:val="00B42632"/>
    <w:rsid w:val="00B444B6"/>
    <w:rsid w:val="00B445E0"/>
    <w:rsid w:val="00B4564E"/>
    <w:rsid w:val="00B462F2"/>
    <w:rsid w:val="00B50054"/>
    <w:rsid w:val="00B52853"/>
    <w:rsid w:val="00B5351F"/>
    <w:rsid w:val="00B53811"/>
    <w:rsid w:val="00B54D7D"/>
    <w:rsid w:val="00B55E10"/>
    <w:rsid w:val="00B57C04"/>
    <w:rsid w:val="00B601A9"/>
    <w:rsid w:val="00B605AA"/>
    <w:rsid w:val="00B60653"/>
    <w:rsid w:val="00B60EE3"/>
    <w:rsid w:val="00B6497A"/>
    <w:rsid w:val="00B64EB4"/>
    <w:rsid w:val="00B665A2"/>
    <w:rsid w:val="00B6741F"/>
    <w:rsid w:val="00B72DE1"/>
    <w:rsid w:val="00B74EFE"/>
    <w:rsid w:val="00B75A14"/>
    <w:rsid w:val="00B75EF6"/>
    <w:rsid w:val="00B76458"/>
    <w:rsid w:val="00B76DA3"/>
    <w:rsid w:val="00B77B3C"/>
    <w:rsid w:val="00B820A4"/>
    <w:rsid w:val="00B82EE2"/>
    <w:rsid w:val="00B82F76"/>
    <w:rsid w:val="00B83C44"/>
    <w:rsid w:val="00B8408B"/>
    <w:rsid w:val="00B84300"/>
    <w:rsid w:val="00B853C8"/>
    <w:rsid w:val="00B867BF"/>
    <w:rsid w:val="00B91195"/>
    <w:rsid w:val="00B91317"/>
    <w:rsid w:val="00B93191"/>
    <w:rsid w:val="00B9642E"/>
    <w:rsid w:val="00B97141"/>
    <w:rsid w:val="00BA0181"/>
    <w:rsid w:val="00BA177D"/>
    <w:rsid w:val="00BA1EAE"/>
    <w:rsid w:val="00BA2ED5"/>
    <w:rsid w:val="00BA3C02"/>
    <w:rsid w:val="00BA48F7"/>
    <w:rsid w:val="00BA5B33"/>
    <w:rsid w:val="00BA60CE"/>
    <w:rsid w:val="00BA7260"/>
    <w:rsid w:val="00BA7352"/>
    <w:rsid w:val="00BA785C"/>
    <w:rsid w:val="00BA7E6F"/>
    <w:rsid w:val="00BB2675"/>
    <w:rsid w:val="00BB2CAE"/>
    <w:rsid w:val="00BB33C1"/>
    <w:rsid w:val="00BB3E8C"/>
    <w:rsid w:val="00BB40C8"/>
    <w:rsid w:val="00BB42AC"/>
    <w:rsid w:val="00BB5FD8"/>
    <w:rsid w:val="00BB65EA"/>
    <w:rsid w:val="00BB7905"/>
    <w:rsid w:val="00BC04D3"/>
    <w:rsid w:val="00BC28A7"/>
    <w:rsid w:val="00BC296E"/>
    <w:rsid w:val="00BC4EAF"/>
    <w:rsid w:val="00BC4EC0"/>
    <w:rsid w:val="00BC6711"/>
    <w:rsid w:val="00BD0421"/>
    <w:rsid w:val="00BD18C7"/>
    <w:rsid w:val="00BD284C"/>
    <w:rsid w:val="00BD535D"/>
    <w:rsid w:val="00BD56AA"/>
    <w:rsid w:val="00BD58B7"/>
    <w:rsid w:val="00BE1859"/>
    <w:rsid w:val="00BE2365"/>
    <w:rsid w:val="00BE406E"/>
    <w:rsid w:val="00BE4157"/>
    <w:rsid w:val="00BE432F"/>
    <w:rsid w:val="00BE5382"/>
    <w:rsid w:val="00BE53F9"/>
    <w:rsid w:val="00BE548C"/>
    <w:rsid w:val="00BE5D73"/>
    <w:rsid w:val="00BE6413"/>
    <w:rsid w:val="00BF0294"/>
    <w:rsid w:val="00BF1406"/>
    <w:rsid w:val="00BF27EE"/>
    <w:rsid w:val="00BF2A5E"/>
    <w:rsid w:val="00BF46A8"/>
    <w:rsid w:val="00BF47FD"/>
    <w:rsid w:val="00BF4C5B"/>
    <w:rsid w:val="00BF665F"/>
    <w:rsid w:val="00C00549"/>
    <w:rsid w:val="00C015D9"/>
    <w:rsid w:val="00C01A31"/>
    <w:rsid w:val="00C01B26"/>
    <w:rsid w:val="00C02CD7"/>
    <w:rsid w:val="00C04741"/>
    <w:rsid w:val="00C05000"/>
    <w:rsid w:val="00C0504A"/>
    <w:rsid w:val="00C0613F"/>
    <w:rsid w:val="00C06493"/>
    <w:rsid w:val="00C065CE"/>
    <w:rsid w:val="00C0791E"/>
    <w:rsid w:val="00C10A4A"/>
    <w:rsid w:val="00C10C3E"/>
    <w:rsid w:val="00C1154A"/>
    <w:rsid w:val="00C12800"/>
    <w:rsid w:val="00C12DCE"/>
    <w:rsid w:val="00C13131"/>
    <w:rsid w:val="00C13948"/>
    <w:rsid w:val="00C15092"/>
    <w:rsid w:val="00C150D0"/>
    <w:rsid w:val="00C17549"/>
    <w:rsid w:val="00C218E6"/>
    <w:rsid w:val="00C21E5F"/>
    <w:rsid w:val="00C22454"/>
    <w:rsid w:val="00C237C6"/>
    <w:rsid w:val="00C268ED"/>
    <w:rsid w:val="00C269E8"/>
    <w:rsid w:val="00C3117B"/>
    <w:rsid w:val="00C327A5"/>
    <w:rsid w:val="00C3443B"/>
    <w:rsid w:val="00C34666"/>
    <w:rsid w:val="00C34E56"/>
    <w:rsid w:val="00C363C3"/>
    <w:rsid w:val="00C37D7B"/>
    <w:rsid w:val="00C405ED"/>
    <w:rsid w:val="00C41257"/>
    <w:rsid w:val="00C4156D"/>
    <w:rsid w:val="00C41691"/>
    <w:rsid w:val="00C41C9C"/>
    <w:rsid w:val="00C424DC"/>
    <w:rsid w:val="00C46CAE"/>
    <w:rsid w:val="00C4726D"/>
    <w:rsid w:val="00C47756"/>
    <w:rsid w:val="00C51466"/>
    <w:rsid w:val="00C52591"/>
    <w:rsid w:val="00C53042"/>
    <w:rsid w:val="00C549C1"/>
    <w:rsid w:val="00C54E38"/>
    <w:rsid w:val="00C57E55"/>
    <w:rsid w:val="00C57F60"/>
    <w:rsid w:val="00C60658"/>
    <w:rsid w:val="00C6165D"/>
    <w:rsid w:val="00C6179C"/>
    <w:rsid w:val="00C62AE7"/>
    <w:rsid w:val="00C64F7E"/>
    <w:rsid w:val="00C65251"/>
    <w:rsid w:val="00C71796"/>
    <w:rsid w:val="00C71F5B"/>
    <w:rsid w:val="00C721EB"/>
    <w:rsid w:val="00C73118"/>
    <w:rsid w:val="00C742B7"/>
    <w:rsid w:val="00C752F4"/>
    <w:rsid w:val="00C75C80"/>
    <w:rsid w:val="00C76E38"/>
    <w:rsid w:val="00C771AF"/>
    <w:rsid w:val="00C77355"/>
    <w:rsid w:val="00C77576"/>
    <w:rsid w:val="00C77995"/>
    <w:rsid w:val="00C80E81"/>
    <w:rsid w:val="00C813A4"/>
    <w:rsid w:val="00C813C4"/>
    <w:rsid w:val="00C8197A"/>
    <w:rsid w:val="00C81D20"/>
    <w:rsid w:val="00C82AF4"/>
    <w:rsid w:val="00C838D0"/>
    <w:rsid w:val="00C84CDA"/>
    <w:rsid w:val="00C8554E"/>
    <w:rsid w:val="00C8746D"/>
    <w:rsid w:val="00C87998"/>
    <w:rsid w:val="00C879A0"/>
    <w:rsid w:val="00C9013F"/>
    <w:rsid w:val="00C9118B"/>
    <w:rsid w:val="00C918E5"/>
    <w:rsid w:val="00C92BD1"/>
    <w:rsid w:val="00C93C62"/>
    <w:rsid w:val="00C94886"/>
    <w:rsid w:val="00C9649B"/>
    <w:rsid w:val="00C96924"/>
    <w:rsid w:val="00CA0D30"/>
    <w:rsid w:val="00CA141E"/>
    <w:rsid w:val="00CA34FD"/>
    <w:rsid w:val="00CA3968"/>
    <w:rsid w:val="00CA3AF3"/>
    <w:rsid w:val="00CA4DDF"/>
    <w:rsid w:val="00CA6112"/>
    <w:rsid w:val="00CA71EB"/>
    <w:rsid w:val="00CA7BB8"/>
    <w:rsid w:val="00CB08AD"/>
    <w:rsid w:val="00CB0D9D"/>
    <w:rsid w:val="00CB0E04"/>
    <w:rsid w:val="00CB12EC"/>
    <w:rsid w:val="00CB28B5"/>
    <w:rsid w:val="00CB326C"/>
    <w:rsid w:val="00CB510B"/>
    <w:rsid w:val="00CB5429"/>
    <w:rsid w:val="00CB6FF0"/>
    <w:rsid w:val="00CB7955"/>
    <w:rsid w:val="00CB7E9F"/>
    <w:rsid w:val="00CC0AFF"/>
    <w:rsid w:val="00CC1185"/>
    <w:rsid w:val="00CC1196"/>
    <w:rsid w:val="00CC1970"/>
    <w:rsid w:val="00CC2CE3"/>
    <w:rsid w:val="00CC5F7B"/>
    <w:rsid w:val="00CC656B"/>
    <w:rsid w:val="00CC6A45"/>
    <w:rsid w:val="00CC7111"/>
    <w:rsid w:val="00CD01FB"/>
    <w:rsid w:val="00CD2E1D"/>
    <w:rsid w:val="00CD3CE9"/>
    <w:rsid w:val="00CD3DC8"/>
    <w:rsid w:val="00CD41B8"/>
    <w:rsid w:val="00CD5DE4"/>
    <w:rsid w:val="00CD610F"/>
    <w:rsid w:val="00CD6A73"/>
    <w:rsid w:val="00CD6FAC"/>
    <w:rsid w:val="00CD7781"/>
    <w:rsid w:val="00CE042D"/>
    <w:rsid w:val="00CE094D"/>
    <w:rsid w:val="00CE3BC4"/>
    <w:rsid w:val="00CE51D3"/>
    <w:rsid w:val="00CE529C"/>
    <w:rsid w:val="00CE6250"/>
    <w:rsid w:val="00CE71C1"/>
    <w:rsid w:val="00CE79A3"/>
    <w:rsid w:val="00CE7DF2"/>
    <w:rsid w:val="00CF0856"/>
    <w:rsid w:val="00CF08B4"/>
    <w:rsid w:val="00CF0DE4"/>
    <w:rsid w:val="00CF1B95"/>
    <w:rsid w:val="00CF225B"/>
    <w:rsid w:val="00CF2A4D"/>
    <w:rsid w:val="00CF3E96"/>
    <w:rsid w:val="00CF5A90"/>
    <w:rsid w:val="00CF5CB1"/>
    <w:rsid w:val="00CF694B"/>
    <w:rsid w:val="00D07438"/>
    <w:rsid w:val="00D13B5A"/>
    <w:rsid w:val="00D1486B"/>
    <w:rsid w:val="00D15B56"/>
    <w:rsid w:val="00D16695"/>
    <w:rsid w:val="00D1720B"/>
    <w:rsid w:val="00D17304"/>
    <w:rsid w:val="00D17C88"/>
    <w:rsid w:val="00D20052"/>
    <w:rsid w:val="00D200D7"/>
    <w:rsid w:val="00D20B83"/>
    <w:rsid w:val="00D21595"/>
    <w:rsid w:val="00D21615"/>
    <w:rsid w:val="00D21732"/>
    <w:rsid w:val="00D21CCD"/>
    <w:rsid w:val="00D21D4B"/>
    <w:rsid w:val="00D22E52"/>
    <w:rsid w:val="00D24105"/>
    <w:rsid w:val="00D25C9B"/>
    <w:rsid w:val="00D261A4"/>
    <w:rsid w:val="00D2700F"/>
    <w:rsid w:val="00D2738F"/>
    <w:rsid w:val="00D275AD"/>
    <w:rsid w:val="00D3171E"/>
    <w:rsid w:val="00D32A53"/>
    <w:rsid w:val="00D33FEA"/>
    <w:rsid w:val="00D369A5"/>
    <w:rsid w:val="00D419B6"/>
    <w:rsid w:val="00D43C87"/>
    <w:rsid w:val="00D43E1B"/>
    <w:rsid w:val="00D449A8"/>
    <w:rsid w:val="00D44E50"/>
    <w:rsid w:val="00D4676E"/>
    <w:rsid w:val="00D46CE1"/>
    <w:rsid w:val="00D47031"/>
    <w:rsid w:val="00D506C3"/>
    <w:rsid w:val="00D51ED9"/>
    <w:rsid w:val="00D52B2B"/>
    <w:rsid w:val="00D54147"/>
    <w:rsid w:val="00D54586"/>
    <w:rsid w:val="00D54C72"/>
    <w:rsid w:val="00D54DE0"/>
    <w:rsid w:val="00D56662"/>
    <w:rsid w:val="00D56C84"/>
    <w:rsid w:val="00D57F17"/>
    <w:rsid w:val="00D602C8"/>
    <w:rsid w:val="00D6081A"/>
    <w:rsid w:val="00D61072"/>
    <w:rsid w:val="00D61614"/>
    <w:rsid w:val="00D6273B"/>
    <w:rsid w:val="00D63317"/>
    <w:rsid w:val="00D63689"/>
    <w:rsid w:val="00D63809"/>
    <w:rsid w:val="00D63E99"/>
    <w:rsid w:val="00D6427B"/>
    <w:rsid w:val="00D64549"/>
    <w:rsid w:val="00D64AB9"/>
    <w:rsid w:val="00D659F1"/>
    <w:rsid w:val="00D74C82"/>
    <w:rsid w:val="00D80530"/>
    <w:rsid w:val="00D80660"/>
    <w:rsid w:val="00D806E5"/>
    <w:rsid w:val="00D80DA1"/>
    <w:rsid w:val="00D8231A"/>
    <w:rsid w:val="00D82704"/>
    <w:rsid w:val="00D82ED9"/>
    <w:rsid w:val="00D82F25"/>
    <w:rsid w:val="00D83990"/>
    <w:rsid w:val="00D84EE5"/>
    <w:rsid w:val="00D858CA"/>
    <w:rsid w:val="00D867F7"/>
    <w:rsid w:val="00D86DD5"/>
    <w:rsid w:val="00D87119"/>
    <w:rsid w:val="00D87E93"/>
    <w:rsid w:val="00D910D6"/>
    <w:rsid w:val="00D9147C"/>
    <w:rsid w:val="00D92989"/>
    <w:rsid w:val="00D92C17"/>
    <w:rsid w:val="00D946C9"/>
    <w:rsid w:val="00D95143"/>
    <w:rsid w:val="00D95B3C"/>
    <w:rsid w:val="00D96F31"/>
    <w:rsid w:val="00DA0B54"/>
    <w:rsid w:val="00DA0D2B"/>
    <w:rsid w:val="00DA0E72"/>
    <w:rsid w:val="00DA2444"/>
    <w:rsid w:val="00DA298F"/>
    <w:rsid w:val="00DA2B0D"/>
    <w:rsid w:val="00DA2B51"/>
    <w:rsid w:val="00DA3402"/>
    <w:rsid w:val="00DA3763"/>
    <w:rsid w:val="00DA49D9"/>
    <w:rsid w:val="00DA63B8"/>
    <w:rsid w:val="00DA76F7"/>
    <w:rsid w:val="00DA7783"/>
    <w:rsid w:val="00DB0127"/>
    <w:rsid w:val="00DB0A6C"/>
    <w:rsid w:val="00DB0E3E"/>
    <w:rsid w:val="00DB2C2C"/>
    <w:rsid w:val="00DB3597"/>
    <w:rsid w:val="00DB4CCF"/>
    <w:rsid w:val="00DB5135"/>
    <w:rsid w:val="00DB601D"/>
    <w:rsid w:val="00DB61C7"/>
    <w:rsid w:val="00DB67F2"/>
    <w:rsid w:val="00DB71D2"/>
    <w:rsid w:val="00DB77D4"/>
    <w:rsid w:val="00DC02B5"/>
    <w:rsid w:val="00DC0DBB"/>
    <w:rsid w:val="00DC102D"/>
    <w:rsid w:val="00DC1963"/>
    <w:rsid w:val="00DC1979"/>
    <w:rsid w:val="00DC28B8"/>
    <w:rsid w:val="00DC6423"/>
    <w:rsid w:val="00DC660B"/>
    <w:rsid w:val="00DC73AA"/>
    <w:rsid w:val="00DC7460"/>
    <w:rsid w:val="00DD0537"/>
    <w:rsid w:val="00DD1EBF"/>
    <w:rsid w:val="00DD1F8B"/>
    <w:rsid w:val="00DD2E75"/>
    <w:rsid w:val="00DD5D3C"/>
    <w:rsid w:val="00DD6734"/>
    <w:rsid w:val="00DD7378"/>
    <w:rsid w:val="00DE1A78"/>
    <w:rsid w:val="00DE1F4A"/>
    <w:rsid w:val="00DE39D3"/>
    <w:rsid w:val="00DE4D54"/>
    <w:rsid w:val="00DE4ED2"/>
    <w:rsid w:val="00DF0ADC"/>
    <w:rsid w:val="00DF2D41"/>
    <w:rsid w:val="00DF368F"/>
    <w:rsid w:val="00DF6DC0"/>
    <w:rsid w:val="00E01DB3"/>
    <w:rsid w:val="00E0273F"/>
    <w:rsid w:val="00E028DB"/>
    <w:rsid w:val="00E03AB0"/>
    <w:rsid w:val="00E03BCD"/>
    <w:rsid w:val="00E04423"/>
    <w:rsid w:val="00E04B4D"/>
    <w:rsid w:val="00E04E09"/>
    <w:rsid w:val="00E052D2"/>
    <w:rsid w:val="00E05411"/>
    <w:rsid w:val="00E05739"/>
    <w:rsid w:val="00E05AE9"/>
    <w:rsid w:val="00E0650D"/>
    <w:rsid w:val="00E06966"/>
    <w:rsid w:val="00E11815"/>
    <w:rsid w:val="00E138DC"/>
    <w:rsid w:val="00E143E8"/>
    <w:rsid w:val="00E146D9"/>
    <w:rsid w:val="00E147B7"/>
    <w:rsid w:val="00E151B0"/>
    <w:rsid w:val="00E17E05"/>
    <w:rsid w:val="00E21739"/>
    <w:rsid w:val="00E2185D"/>
    <w:rsid w:val="00E2399F"/>
    <w:rsid w:val="00E27CB2"/>
    <w:rsid w:val="00E30D57"/>
    <w:rsid w:val="00E31869"/>
    <w:rsid w:val="00E318C5"/>
    <w:rsid w:val="00E31AC3"/>
    <w:rsid w:val="00E31CDB"/>
    <w:rsid w:val="00E323D0"/>
    <w:rsid w:val="00E33566"/>
    <w:rsid w:val="00E33EDA"/>
    <w:rsid w:val="00E34DD7"/>
    <w:rsid w:val="00E401D7"/>
    <w:rsid w:val="00E414F6"/>
    <w:rsid w:val="00E41596"/>
    <w:rsid w:val="00E41AD6"/>
    <w:rsid w:val="00E436A5"/>
    <w:rsid w:val="00E45F9F"/>
    <w:rsid w:val="00E46D9F"/>
    <w:rsid w:val="00E4782F"/>
    <w:rsid w:val="00E47BD1"/>
    <w:rsid w:val="00E5283B"/>
    <w:rsid w:val="00E52E54"/>
    <w:rsid w:val="00E52FCE"/>
    <w:rsid w:val="00E54D36"/>
    <w:rsid w:val="00E5572C"/>
    <w:rsid w:val="00E55C50"/>
    <w:rsid w:val="00E56FB9"/>
    <w:rsid w:val="00E57AC3"/>
    <w:rsid w:val="00E57B2B"/>
    <w:rsid w:val="00E60AAB"/>
    <w:rsid w:val="00E60C87"/>
    <w:rsid w:val="00E60EA0"/>
    <w:rsid w:val="00E642C7"/>
    <w:rsid w:val="00E65297"/>
    <w:rsid w:val="00E662D5"/>
    <w:rsid w:val="00E66876"/>
    <w:rsid w:val="00E66C44"/>
    <w:rsid w:val="00E70531"/>
    <w:rsid w:val="00E7079A"/>
    <w:rsid w:val="00E70B34"/>
    <w:rsid w:val="00E73A29"/>
    <w:rsid w:val="00E73F73"/>
    <w:rsid w:val="00E741B3"/>
    <w:rsid w:val="00E74A0D"/>
    <w:rsid w:val="00E74AE7"/>
    <w:rsid w:val="00E75D4E"/>
    <w:rsid w:val="00E75FCC"/>
    <w:rsid w:val="00E7605B"/>
    <w:rsid w:val="00E77DE4"/>
    <w:rsid w:val="00E80F3A"/>
    <w:rsid w:val="00E82C7A"/>
    <w:rsid w:val="00E82CC1"/>
    <w:rsid w:val="00E833F9"/>
    <w:rsid w:val="00E841F5"/>
    <w:rsid w:val="00E84B80"/>
    <w:rsid w:val="00E85407"/>
    <w:rsid w:val="00E85A51"/>
    <w:rsid w:val="00E860A4"/>
    <w:rsid w:val="00E86121"/>
    <w:rsid w:val="00E86BF4"/>
    <w:rsid w:val="00E90707"/>
    <w:rsid w:val="00E908B3"/>
    <w:rsid w:val="00E9115D"/>
    <w:rsid w:val="00E91179"/>
    <w:rsid w:val="00E91478"/>
    <w:rsid w:val="00E91A9C"/>
    <w:rsid w:val="00E91DD6"/>
    <w:rsid w:val="00E92210"/>
    <w:rsid w:val="00E922F1"/>
    <w:rsid w:val="00E9394B"/>
    <w:rsid w:val="00E93968"/>
    <w:rsid w:val="00E94F0A"/>
    <w:rsid w:val="00E953F0"/>
    <w:rsid w:val="00EA037B"/>
    <w:rsid w:val="00EA191B"/>
    <w:rsid w:val="00EA26EE"/>
    <w:rsid w:val="00EA2BEE"/>
    <w:rsid w:val="00EA68AD"/>
    <w:rsid w:val="00EA6B12"/>
    <w:rsid w:val="00EB0622"/>
    <w:rsid w:val="00EB2D32"/>
    <w:rsid w:val="00EB4115"/>
    <w:rsid w:val="00EB4F2F"/>
    <w:rsid w:val="00EB6780"/>
    <w:rsid w:val="00EB77B1"/>
    <w:rsid w:val="00EC05DB"/>
    <w:rsid w:val="00EC114F"/>
    <w:rsid w:val="00EC1DCC"/>
    <w:rsid w:val="00EC2FD8"/>
    <w:rsid w:val="00EC3354"/>
    <w:rsid w:val="00EC5909"/>
    <w:rsid w:val="00EC591F"/>
    <w:rsid w:val="00EC631A"/>
    <w:rsid w:val="00EC6598"/>
    <w:rsid w:val="00EC711F"/>
    <w:rsid w:val="00EC7C48"/>
    <w:rsid w:val="00ED0869"/>
    <w:rsid w:val="00ED08CC"/>
    <w:rsid w:val="00ED0C39"/>
    <w:rsid w:val="00ED483F"/>
    <w:rsid w:val="00ED6931"/>
    <w:rsid w:val="00ED6D1D"/>
    <w:rsid w:val="00EE0159"/>
    <w:rsid w:val="00EE2503"/>
    <w:rsid w:val="00EE2548"/>
    <w:rsid w:val="00EE287E"/>
    <w:rsid w:val="00EE2CAC"/>
    <w:rsid w:val="00EE2EBC"/>
    <w:rsid w:val="00EE4570"/>
    <w:rsid w:val="00EE62E6"/>
    <w:rsid w:val="00EE6591"/>
    <w:rsid w:val="00EE7385"/>
    <w:rsid w:val="00EF0908"/>
    <w:rsid w:val="00EF22C9"/>
    <w:rsid w:val="00EF339D"/>
    <w:rsid w:val="00EF5303"/>
    <w:rsid w:val="00F00914"/>
    <w:rsid w:val="00F0094B"/>
    <w:rsid w:val="00F014E6"/>
    <w:rsid w:val="00F02B26"/>
    <w:rsid w:val="00F0319C"/>
    <w:rsid w:val="00F03C62"/>
    <w:rsid w:val="00F03E0D"/>
    <w:rsid w:val="00F04E4A"/>
    <w:rsid w:val="00F05A53"/>
    <w:rsid w:val="00F0668E"/>
    <w:rsid w:val="00F07E59"/>
    <w:rsid w:val="00F10411"/>
    <w:rsid w:val="00F108C0"/>
    <w:rsid w:val="00F11938"/>
    <w:rsid w:val="00F11985"/>
    <w:rsid w:val="00F12FDC"/>
    <w:rsid w:val="00F1312E"/>
    <w:rsid w:val="00F134A6"/>
    <w:rsid w:val="00F14094"/>
    <w:rsid w:val="00F15D20"/>
    <w:rsid w:val="00F165DD"/>
    <w:rsid w:val="00F1662C"/>
    <w:rsid w:val="00F16A09"/>
    <w:rsid w:val="00F2017F"/>
    <w:rsid w:val="00F20182"/>
    <w:rsid w:val="00F202FE"/>
    <w:rsid w:val="00F209BC"/>
    <w:rsid w:val="00F213E5"/>
    <w:rsid w:val="00F2184E"/>
    <w:rsid w:val="00F21DD8"/>
    <w:rsid w:val="00F22B4D"/>
    <w:rsid w:val="00F24004"/>
    <w:rsid w:val="00F26D22"/>
    <w:rsid w:val="00F30CC4"/>
    <w:rsid w:val="00F31692"/>
    <w:rsid w:val="00F31835"/>
    <w:rsid w:val="00F34417"/>
    <w:rsid w:val="00F34C40"/>
    <w:rsid w:val="00F36B22"/>
    <w:rsid w:val="00F401B7"/>
    <w:rsid w:val="00F418D7"/>
    <w:rsid w:val="00F422DB"/>
    <w:rsid w:val="00F42590"/>
    <w:rsid w:val="00F42F9B"/>
    <w:rsid w:val="00F4383E"/>
    <w:rsid w:val="00F43FF2"/>
    <w:rsid w:val="00F50B83"/>
    <w:rsid w:val="00F50C78"/>
    <w:rsid w:val="00F510E4"/>
    <w:rsid w:val="00F517D8"/>
    <w:rsid w:val="00F52C94"/>
    <w:rsid w:val="00F541CC"/>
    <w:rsid w:val="00F54AFE"/>
    <w:rsid w:val="00F56A66"/>
    <w:rsid w:val="00F57168"/>
    <w:rsid w:val="00F57D5B"/>
    <w:rsid w:val="00F60A9B"/>
    <w:rsid w:val="00F60ABB"/>
    <w:rsid w:val="00F60B7B"/>
    <w:rsid w:val="00F61C6D"/>
    <w:rsid w:val="00F62DD2"/>
    <w:rsid w:val="00F643FA"/>
    <w:rsid w:val="00F65750"/>
    <w:rsid w:val="00F65E41"/>
    <w:rsid w:val="00F66E2B"/>
    <w:rsid w:val="00F67414"/>
    <w:rsid w:val="00F67832"/>
    <w:rsid w:val="00F67A5B"/>
    <w:rsid w:val="00F67B4E"/>
    <w:rsid w:val="00F67F95"/>
    <w:rsid w:val="00F71DF2"/>
    <w:rsid w:val="00F72E9D"/>
    <w:rsid w:val="00F73277"/>
    <w:rsid w:val="00F7371D"/>
    <w:rsid w:val="00F74063"/>
    <w:rsid w:val="00F74B80"/>
    <w:rsid w:val="00F765AF"/>
    <w:rsid w:val="00F77848"/>
    <w:rsid w:val="00F778DC"/>
    <w:rsid w:val="00F8076B"/>
    <w:rsid w:val="00F81168"/>
    <w:rsid w:val="00F81B94"/>
    <w:rsid w:val="00F81D91"/>
    <w:rsid w:val="00F8312F"/>
    <w:rsid w:val="00F83D7B"/>
    <w:rsid w:val="00F84495"/>
    <w:rsid w:val="00F848AB"/>
    <w:rsid w:val="00F84D0B"/>
    <w:rsid w:val="00F85C6C"/>
    <w:rsid w:val="00F8685D"/>
    <w:rsid w:val="00F86C3B"/>
    <w:rsid w:val="00F8786C"/>
    <w:rsid w:val="00F90D49"/>
    <w:rsid w:val="00F91CEC"/>
    <w:rsid w:val="00F91FAB"/>
    <w:rsid w:val="00F92719"/>
    <w:rsid w:val="00F9600B"/>
    <w:rsid w:val="00F96454"/>
    <w:rsid w:val="00F96753"/>
    <w:rsid w:val="00F9731A"/>
    <w:rsid w:val="00F973FA"/>
    <w:rsid w:val="00FA20FF"/>
    <w:rsid w:val="00FA3936"/>
    <w:rsid w:val="00FA3CF6"/>
    <w:rsid w:val="00FA59CD"/>
    <w:rsid w:val="00FA5EB3"/>
    <w:rsid w:val="00FB04FE"/>
    <w:rsid w:val="00FB21DB"/>
    <w:rsid w:val="00FB2650"/>
    <w:rsid w:val="00FB38DC"/>
    <w:rsid w:val="00FB4899"/>
    <w:rsid w:val="00FB5062"/>
    <w:rsid w:val="00FC07F2"/>
    <w:rsid w:val="00FC2458"/>
    <w:rsid w:val="00FC38B6"/>
    <w:rsid w:val="00FC4178"/>
    <w:rsid w:val="00FC4622"/>
    <w:rsid w:val="00FC50D6"/>
    <w:rsid w:val="00FC53B7"/>
    <w:rsid w:val="00FC5BB3"/>
    <w:rsid w:val="00FC6F31"/>
    <w:rsid w:val="00FC7B63"/>
    <w:rsid w:val="00FD060F"/>
    <w:rsid w:val="00FD2DAB"/>
    <w:rsid w:val="00FD5186"/>
    <w:rsid w:val="00FD5EAD"/>
    <w:rsid w:val="00FD723B"/>
    <w:rsid w:val="00FE0FE8"/>
    <w:rsid w:val="00FE1F2A"/>
    <w:rsid w:val="00FE367C"/>
    <w:rsid w:val="00FE4E1E"/>
    <w:rsid w:val="00FE6E77"/>
    <w:rsid w:val="00FF0458"/>
    <w:rsid w:val="00FF1088"/>
    <w:rsid w:val="00FF29AD"/>
    <w:rsid w:val="00FF2D71"/>
    <w:rsid w:val="00FF4165"/>
    <w:rsid w:val="00FF42E6"/>
    <w:rsid w:val="00FF4EA5"/>
    <w:rsid w:val="00FF4FB3"/>
    <w:rsid w:val="00FF60D8"/>
    <w:rsid w:val="00FF77E4"/>
    <w:rsid w:val="0378E1F6"/>
    <w:rsid w:val="04CA6623"/>
    <w:rsid w:val="06D3253F"/>
    <w:rsid w:val="07DEE19F"/>
    <w:rsid w:val="088A2FFD"/>
    <w:rsid w:val="092645A7"/>
    <w:rsid w:val="09E5B605"/>
    <w:rsid w:val="0A1F0FF2"/>
    <w:rsid w:val="0A6406E1"/>
    <w:rsid w:val="0AD32421"/>
    <w:rsid w:val="0BD6893C"/>
    <w:rsid w:val="0E66FFA0"/>
    <w:rsid w:val="114B95CA"/>
    <w:rsid w:val="117072CE"/>
    <w:rsid w:val="126E4E7D"/>
    <w:rsid w:val="127A6438"/>
    <w:rsid w:val="129B7ED0"/>
    <w:rsid w:val="137C8B69"/>
    <w:rsid w:val="13DF7F3C"/>
    <w:rsid w:val="14F36411"/>
    <w:rsid w:val="16E36E7E"/>
    <w:rsid w:val="17E3FC68"/>
    <w:rsid w:val="19CA19D9"/>
    <w:rsid w:val="1A1865C8"/>
    <w:rsid w:val="1A371CD0"/>
    <w:rsid w:val="1B2B032C"/>
    <w:rsid w:val="1B945F5B"/>
    <w:rsid w:val="1BA1DB8C"/>
    <w:rsid w:val="1E4A5F32"/>
    <w:rsid w:val="1E8C98D4"/>
    <w:rsid w:val="1EA16A18"/>
    <w:rsid w:val="20A24BBA"/>
    <w:rsid w:val="20BA10CD"/>
    <w:rsid w:val="20C5B2AF"/>
    <w:rsid w:val="20DF7455"/>
    <w:rsid w:val="22177604"/>
    <w:rsid w:val="22AF139A"/>
    <w:rsid w:val="23961507"/>
    <w:rsid w:val="25E2B797"/>
    <w:rsid w:val="2853E960"/>
    <w:rsid w:val="28ACB811"/>
    <w:rsid w:val="2BD7717D"/>
    <w:rsid w:val="2C22BB45"/>
    <w:rsid w:val="2D35C71D"/>
    <w:rsid w:val="2DE5AA20"/>
    <w:rsid w:val="2EBAFDE6"/>
    <w:rsid w:val="2FF33F73"/>
    <w:rsid w:val="30141009"/>
    <w:rsid w:val="331BF0C2"/>
    <w:rsid w:val="351FECF9"/>
    <w:rsid w:val="3642F480"/>
    <w:rsid w:val="366218FE"/>
    <w:rsid w:val="37C7C8D4"/>
    <w:rsid w:val="38BE46B2"/>
    <w:rsid w:val="38C071C1"/>
    <w:rsid w:val="39FB0AD2"/>
    <w:rsid w:val="3AEAFE59"/>
    <w:rsid w:val="3B36126F"/>
    <w:rsid w:val="3C56CA5C"/>
    <w:rsid w:val="3D3CE6D5"/>
    <w:rsid w:val="3E639E20"/>
    <w:rsid w:val="3EF3F193"/>
    <w:rsid w:val="3EF76E3E"/>
    <w:rsid w:val="3FC589BD"/>
    <w:rsid w:val="419A59DE"/>
    <w:rsid w:val="42569DB8"/>
    <w:rsid w:val="442CC7EB"/>
    <w:rsid w:val="47DDB0EF"/>
    <w:rsid w:val="4AE78C23"/>
    <w:rsid w:val="4CD85F5A"/>
    <w:rsid w:val="4DAB0EF8"/>
    <w:rsid w:val="4DAD8537"/>
    <w:rsid w:val="4DAECC0B"/>
    <w:rsid w:val="4F98FB69"/>
    <w:rsid w:val="4F9B4924"/>
    <w:rsid w:val="5392F0C1"/>
    <w:rsid w:val="53C2CA8C"/>
    <w:rsid w:val="551795AB"/>
    <w:rsid w:val="555C62E8"/>
    <w:rsid w:val="55F3C02B"/>
    <w:rsid w:val="56655F1F"/>
    <w:rsid w:val="566E06C9"/>
    <w:rsid w:val="56CA2CDC"/>
    <w:rsid w:val="57739C0B"/>
    <w:rsid w:val="57F749BC"/>
    <w:rsid w:val="580511CD"/>
    <w:rsid w:val="5887916C"/>
    <w:rsid w:val="58DEB044"/>
    <w:rsid w:val="59D27337"/>
    <w:rsid w:val="5A11FBD0"/>
    <w:rsid w:val="5AF72428"/>
    <w:rsid w:val="5B96161B"/>
    <w:rsid w:val="5D46BC94"/>
    <w:rsid w:val="60F9960F"/>
    <w:rsid w:val="619413A7"/>
    <w:rsid w:val="61A715A7"/>
    <w:rsid w:val="6292539C"/>
    <w:rsid w:val="63810F37"/>
    <w:rsid w:val="64E6C69B"/>
    <w:rsid w:val="66A87141"/>
    <w:rsid w:val="67363A7C"/>
    <w:rsid w:val="67694265"/>
    <w:rsid w:val="686A4EB8"/>
    <w:rsid w:val="69AB48D7"/>
    <w:rsid w:val="6BC062DF"/>
    <w:rsid w:val="6E4BA127"/>
    <w:rsid w:val="706EE6FD"/>
    <w:rsid w:val="715ADD16"/>
    <w:rsid w:val="7356DEC3"/>
    <w:rsid w:val="737650EA"/>
    <w:rsid w:val="73800DC3"/>
    <w:rsid w:val="7489ACF0"/>
    <w:rsid w:val="776BDCA2"/>
    <w:rsid w:val="77E0939A"/>
    <w:rsid w:val="78A235DE"/>
    <w:rsid w:val="7968A220"/>
    <w:rsid w:val="79A82363"/>
    <w:rsid w:val="7A9A3632"/>
    <w:rsid w:val="7C5866F8"/>
    <w:rsid w:val="7CA0DF41"/>
    <w:rsid w:val="7ECC21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07E31"/>
  <w15:chartTrackingRefBased/>
  <w15:docId w15:val="{E8D58892-6CE5-8744-B3BD-AFF01CE5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5AE"/>
    <w:pPr>
      <w:spacing w:after="160" w:line="259" w:lineRule="auto"/>
    </w:pPr>
    <w:rPr>
      <w:rFonts w:ascii="Arial" w:eastAsiaTheme="minorEastAsia" w:hAnsi="Arial" w:cs="Times New Roman"/>
      <w:kern w:val="2"/>
      <w:sz w:val="20"/>
      <w:lang w:eastAsia="ja-JP"/>
      <w14:ligatures w14:val="standardContextual"/>
    </w:rPr>
  </w:style>
  <w:style w:type="paragraph" w:styleId="Heading1">
    <w:name w:val="heading 1"/>
    <w:basedOn w:val="Normal"/>
    <w:next w:val="Normal"/>
    <w:link w:val="Heading1Char"/>
    <w:qFormat/>
    <w:rsid w:val="00F8786C"/>
    <w:pPr>
      <w:keepNext/>
      <w:pageBreakBefore/>
      <w:spacing w:after="480"/>
      <w:outlineLvl w:val="0"/>
    </w:pPr>
    <w:rPr>
      <w:rFonts w:cs="Arial"/>
      <w:b/>
      <w:bCs/>
      <w:kern w:val="32"/>
      <w:sz w:val="40"/>
      <w:szCs w:val="32"/>
    </w:rPr>
  </w:style>
  <w:style w:type="paragraph" w:styleId="Heading2">
    <w:name w:val="heading 2"/>
    <w:basedOn w:val="Normal"/>
    <w:next w:val="Normal"/>
    <w:link w:val="Heading2Char"/>
    <w:qFormat/>
    <w:rsid w:val="00057368"/>
    <w:pPr>
      <w:keepNext/>
      <w:spacing w:before="240"/>
      <w:ind w:left="720" w:hanging="720"/>
      <w:outlineLvl w:val="1"/>
    </w:pPr>
    <w:rPr>
      <w:rFonts w:cs="Arial"/>
      <w:b/>
      <w:bCs/>
      <w:iCs/>
      <w:sz w:val="28"/>
      <w:szCs w:val="28"/>
    </w:rPr>
  </w:style>
  <w:style w:type="paragraph" w:styleId="Heading3">
    <w:name w:val="heading 3"/>
    <w:basedOn w:val="Normal"/>
    <w:next w:val="Normal"/>
    <w:link w:val="Heading3Char"/>
    <w:qFormat/>
    <w:rsid w:val="00057368"/>
    <w:pPr>
      <w:keepNext/>
      <w:spacing w:before="240"/>
      <w:ind w:left="720" w:hanging="720"/>
      <w:outlineLvl w:val="2"/>
    </w:pPr>
    <w:rPr>
      <w:rFonts w:cs="Arial"/>
      <w:b/>
      <w:bCs/>
      <w:szCs w:val="26"/>
    </w:rPr>
  </w:style>
  <w:style w:type="paragraph" w:styleId="Heading4">
    <w:name w:val="heading 4"/>
    <w:basedOn w:val="Normal"/>
    <w:next w:val="Normal"/>
    <w:link w:val="Heading4Char"/>
    <w:rsid w:val="00057368"/>
    <w:pPr>
      <w:keepNext/>
      <w:spacing w:before="120" w:after="120"/>
      <w:outlineLvl w:val="3"/>
    </w:pPr>
    <w:rPr>
      <w:b/>
      <w:bCs/>
      <w:i/>
      <w:szCs w:val="28"/>
    </w:rPr>
  </w:style>
  <w:style w:type="paragraph" w:styleId="Heading5">
    <w:name w:val="heading 5"/>
    <w:basedOn w:val="Normal"/>
    <w:next w:val="Normal"/>
    <w:link w:val="Heading5Char"/>
    <w:rsid w:val="00057368"/>
    <w:pPr>
      <w:keepNext/>
      <w:spacing w:before="60" w:after="60"/>
      <w:outlineLvl w:val="4"/>
    </w:pPr>
    <w:rPr>
      <w:bCs/>
      <w:i/>
      <w:iCs/>
      <w:szCs w:val="26"/>
    </w:rPr>
  </w:style>
  <w:style w:type="paragraph" w:styleId="Heading6">
    <w:name w:val="heading 6"/>
    <w:basedOn w:val="Normal"/>
    <w:next w:val="Normal"/>
    <w:link w:val="Heading6Char"/>
    <w:uiPriority w:val="9"/>
    <w:unhideWhenUsed/>
    <w:rsid w:val="00E82CC1"/>
    <w:pPr>
      <w:keepNext/>
      <w:keepLines/>
      <w:spacing w:before="40"/>
      <w:outlineLvl w:val="5"/>
    </w:pPr>
    <w:rPr>
      <w:rFonts w:eastAsiaTheme="majorEastAsia" w:cstheme="majorBidi"/>
      <w:color w:val="1F3763" w:themeColor="accent1" w:themeShade="7F"/>
    </w:rPr>
  </w:style>
  <w:style w:type="character" w:default="1" w:styleId="DefaultParagraphFont">
    <w:name w:val="Default Paragraph Font"/>
    <w:uiPriority w:val="1"/>
    <w:unhideWhenUsed/>
    <w:rsid w:val="00F878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786C"/>
  </w:style>
  <w:style w:type="character" w:customStyle="1" w:styleId="Heading1Char">
    <w:name w:val="Heading 1 Char"/>
    <w:basedOn w:val="DefaultParagraphFont"/>
    <w:link w:val="Heading1"/>
    <w:rsid w:val="00F8786C"/>
    <w:rPr>
      <w:rFonts w:ascii="Arial" w:eastAsiaTheme="minorEastAsia" w:hAnsi="Arial" w:cs="Arial"/>
      <w:b/>
      <w:bCs/>
      <w:kern w:val="32"/>
      <w:sz w:val="40"/>
      <w:szCs w:val="32"/>
      <w:lang w:eastAsia="ja-JP"/>
      <w14:ligatures w14:val="standardContextual"/>
    </w:rPr>
  </w:style>
  <w:style w:type="character" w:customStyle="1" w:styleId="Heading2Char">
    <w:name w:val="Heading 2 Char"/>
    <w:basedOn w:val="DefaultParagraphFont"/>
    <w:link w:val="Heading2"/>
    <w:rsid w:val="00057368"/>
    <w:rPr>
      <w:rFonts w:ascii="Calibri" w:eastAsia="Times New Roman" w:hAnsi="Calibri" w:cs="Arial"/>
      <w:b/>
      <w:bCs/>
      <w:iCs/>
      <w:color w:val="000000"/>
      <w:sz w:val="28"/>
      <w:szCs w:val="28"/>
    </w:rPr>
  </w:style>
  <w:style w:type="character" w:customStyle="1" w:styleId="Heading3Char">
    <w:name w:val="Heading 3 Char"/>
    <w:basedOn w:val="DefaultParagraphFont"/>
    <w:link w:val="Heading3"/>
    <w:rsid w:val="00057368"/>
    <w:rPr>
      <w:rFonts w:ascii="Calibri" w:eastAsia="Times New Roman" w:hAnsi="Calibri" w:cs="Arial"/>
      <w:b/>
      <w:bCs/>
      <w:color w:val="000000"/>
      <w:sz w:val="22"/>
      <w:szCs w:val="26"/>
    </w:rPr>
  </w:style>
  <w:style w:type="character" w:customStyle="1" w:styleId="Heading4Char">
    <w:name w:val="Heading 4 Char"/>
    <w:basedOn w:val="DefaultParagraphFont"/>
    <w:link w:val="Heading4"/>
    <w:rsid w:val="00057368"/>
    <w:rPr>
      <w:rFonts w:ascii="Calibri" w:eastAsia="Times New Roman" w:hAnsi="Calibri" w:cs="Times New Roman"/>
      <w:b/>
      <w:bCs/>
      <w:i/>
      <w:color w:val="000000"/>
      <w:sz w:val="22"/>
      <w:szCs w:val="28"/>
    </w:rPr>
  </w:style>
  <w:style w:type="character" w:customStyle="1" w:styleId="Heading5Char">
    <w:name w:val="Heading 5 Char"/>
    <w:basedOn w:val="DefaultParagraphFont"/>
    <w:link w:val="Heading5"/>
    <w:rsid w:val="00057368"/>
    <w:rPr>
      <w:rFonts w:ascii="Calibri" w:eastAsia="Times New Roman" w:hAnsi="Calibri" w:cs="Times New Roman"/>
      <w:bCs/>
      <w:i/>
      <w:iCs/>
      <w:color w:val="000000"/>
      <w:sz w:val="22"/>
      <w:szCs w:val="26"/>
    </w:rPr>
  </w:style>
  <w:style w:type="paragraph" w:styleId="Subtitle">
    <w:name w:val="Subtitle"/>
    <w:basedOn w:val="Normal"/>
    <w:next w:val="Normal"/>
    <w:link w:val="SubtitleChar"/>
    <w:uiPriority w:val="11"/>
    <w:rsid w:val="008435AE"/>
    <w:rPr>
      <w:rFonts w:cs="Calibri"/>
      <w:b/>
      <w:sz w:val="56"/>
      <w:szCs w:val="56"/>
    </w:rPr>
  </w:style>
  <w:style w:type="character" w:customStyle="1" w:styleId="SubtitleChar">
    <w:name w:val="Subtitle Char"/>
    <w:basedOn w:val="DefaultParagraphFont"/>
    <w:link w:val="Subtitle"/>
    <w:uiPriority w:val="11"/>
    <w:rsid w:val="008435AE"/>
    <w:rPr>
      <w:rFonts w:ascii="Arial" w:eastAsiaTheme="minorEastAsia" w:hAnsi="Arial" w:cs="Calibri"/>
      <w:b/>
      <w:kern w:val="2"/>
      <w:sz w:val="56"/>
      <w:szCs w:val="56"/>
      <w:lang w:eastAsia="ja-JP"/>
      <w14:ligatures w14:val="standardContextual"/>
    </w:rPr>
  </w:style>
  <w:style w:type="paragraph" w:customStyle="1" w:styleId="PullQuote">
    <w:name w:val="PullQuote"/>
    <w:basedOn w:val="Normal"/>
    <w:next w:val="Normal"/>
    <w:rsid w:val="00057368"/>
    <w:rPr>
      <w:b/>
      <w:color w:val="7B7B7B" w:themeColor="accent3" w:themeShade="BF"/>
    </w:rPr>
  </w:style>
  <w:style w:type="paragraph" w:customStyle="1" w:styleId="ReportDate">
    <w:name w:val="ReportDate"/>
    <w:basedOn w:val="Normal"/>
    <w:rsid w:val="00057368"/>
    <w:pPr>
      <w:jc w:val="center"/>
    </w:pPr>
    <w:rPr>
      <w:sz w:val="40"/>
    </w:rPr>
  </w:style>
  <w:style w:type="paragraph" w:customStyle="1" w:styleId="Heading1a">
    <w:name w:val="Heading 1a"/>
    <w:basedOn w:val="Heading1"/>
    <w:next w:val="Normal"/>
    <w:rsid w:val="00057368"/>
    <w:pPr>
      <w:outlineLvl w:val="9"/>
    </w:pPr>
  </w:style>
  <w:style w:type="paragraph" w:customStyle="1" w:styleId="Heading2a">
    <w:name w:val="Heading 2a"/>
    <w:basedOn w:val="Heading2"/>
    <w:next w:val="Normal"/>
    <w:rsid w:val="00057368"/>
    <w:pPr>
      <w:ind w:left="0" w:firstLine="0"/>
      <w:outlineLvl w:val="9"/>
    </w:pPr>
  </w:style>
  <w:style w:type="paragraph" w:customStyle="1" w:styleId="Heading3a">
    <w:name w:val="Heading 3a"/>
    <w:basedOn w:val="Heading3"/>
    <w:next w:val="Normal"/>
    <w:rsid w:val="00057368"/>
    <w:pPr>
      <w:ind w:left="0" w:firstLine="0"/>
      <w:outlineLvl w:val="9"/>
    </w:pPr>
  </w:style>
  <w:style w:type="paragraph" w:styleId="Header">
    <w:name w:val="header"/>
    <w:basedOn w:val="Normal"/>
    <w:link w:val="HeaderChar"/>
    <w:semiHidden/>
    <w:rsid w:val="00057368"/>
    <w:pPr>
      <w:tabs>
        <w:tab w:val="right" w:pos="9000"/>
      </w:tabs>
      <w:spacing w:after="0"/>
    </w:pPr>
    <w:rPr>
      <w:sz w:val="18"/>
    </w:rPr>
  </w:style>
  <w:style w:type="character" w:customStyle="1" w:styleId="HeaderChar">
    <w:name w:val="Header Char"/>
    <w:basedOn w:val="DefaultParagraphFont"/>
    <w:link w:val="Header"/>
    <w:semiHidden/>
    <w:rsid w:val="00057368"/>
    <w:rPr>
      <w:rFonts w:ascii="Calibri" w:eastAsia="Times New Roman" w:hAnsi="Calibri" w:cs="Times New Roman"/>
      <w:color w:val="000000"/>
      <w:sz w:val="18"/>
      <w:szCs w:val="20"/>
    </w:rPr>
  </w:style>
  <w:style w:type="paragraph" w:styleId="Footer">
    <w:name w:val="footer"/>
    <w:basedOn w:val="Normal"/>
    <w:link w:val="FooterChar"/>
    <w:uiPriority w:val="99"/>
    <w:rsid w:val="00057368"/>
    <w:pPr>
      <w:tabs>
        <w:tab w:val="right" w:pos="9000"/>
      </w:tabs>
      <w:spacing w:after="0"/>
    </w:pPr>
  </w:style>
  <w:style w:type="character" w:customStyle="1" w:styleId="FooterChar">
    <w:name w:val="Footer Char"/>
    <w:basedOn w:val="DefaultParagraphFont"/>
    <w:link w:val="Footer"/>
    <w:uiPriority w:val="99"/>
    <w:rsid w:val="00057368"/>
    <w:rPr>
      <w:rFonts w:ascii="Calibri" w:eastAsia="Times New Roman" w:hAnsi="Calibri" w:cs="Times New Roman"/>
      <w:color w:val="000000"/>
      <w:sz w:val="20"/>
      <w:szCs w:val="20"/>
    </w:rPr>
  </w:style>
  <w:style w:type="character" w:styleId="PageNumber">
    <w:name w:val="page number"/>
    <w:basedOn w:val="DefaultParagraphFont"/>
    <w:semiHidden/>
    <w:rsid w:val="00057368"/>
    <w:rPr>
      <w:rFonts w:ascii="Times New Roman" w:hAnsi="Times New Roman"/>
      <w:b/>
      <w:sz w:val="20"/>
    </w:rPr>
  </w:style>
  <w:style w:type="paragraph" w:customStyle="1" w:styleId="TableText">
    <w:name w:val="TableText"/>
    <w:basedOn w:val="Normal"/>
    <w:rsid w:val="008435AE"/>
    <w:pPr>
      <w:widowControl w:val="0"/>
      <w:spacing w:before="60" w:after="60"/>
    </w:pPr>
    <w:rPr>
      <w:szCs w:val="21"/>
    </w:rPr>
  </w:style>
  <w:style w:type="paragraph" w:customStyle="1" w:styleId="TFListNotesSpace">
    <w:name w:val="TFListNotes+Space"/>
    <w:basedOn w:val="TableText"/>
    <w:next w:val="Normal"/>
    <w:rsid w:val="00057368"/>
    <w:pPr>
      <w:keepLines/>
      <w:spacing w:before="0" w:after="360"/>
      <w:ind w:left="170" w:hanging="170"/>
    </w:pPr>
    <w:rPr>
      <w:sz w:val="18"/>
      <w:szCs w:val="18"/>
    </w:rPr>
  </w:style>
  <w:style w:type="paragraph" w:customStyle="1" w:styleId="TFListNotes">
    <w:name w:val="TFListNotes"/>
    <w:basedOn w:val="TFListNotesSpace"/>
    <w:rsid w:val="00057368"/>
    <w:pPr>
      <w:keepNext/>
      <w:spacing w:after="0"/>
    </w:pPr>
  </w:style>
  <w:style w:type="paragraph" w:customStyle="1" w:styleId="TableTitle">
    <w:name w:val="TableTitle"/>
    <w:basedOn w:val="TableText"/>
    <w:rsid w:val="00057368"/>
    <w:pPr>
      <w:tabs>
        <w:tab w:val="left" w:pos="1080"/>
      </w:tabs>
      <w:spacing w:before="120" w:after="120"/>
      <w:ind w:left="1080" w:hanging="1080"/>
    </w:pPr>
    <w:rPr>
      <w:b/>
      <w:bCs/>
      <w:sz w:val="22"/>
    </w:rPr>
  </w:style>
  <w:style w:type="paragraph" w:customStyle="1" w:styleId="TableHeading">
    <w:name w:val="TableHeading"/>
    <w:basedOn w:val="TableText"/>
    <w:rsid w:val="007C55FF"/>
    <w:rPr>
      <w:b/>
      <w:bCs/>
    </w:rPr>
  </w:style>
  <w:style w:type="paragraph" w:customStyle="1" w:styleId="TableBullet">
    <w:name w:val="TableBullet"/>
    <w:basedOn w:val="TableText"/>
    <w:rsid w:val="00057368"/>
    <w:pPr>
      <w:numPr>
        <w:numId w:val="1"/>
      </w:numPr>
      <w:tabs>
        <w:tab w:val="clear" w:pos="360"/>
        <w:tab w:val="left" w:pos="216"/>
      </w:tabs>
    </w:pPr>
  </w:style>
  <w:style w:type="paragraph" w:customStyle="1" w:styleId="TableDash">
    <w:name w:val="TableDash"/>
    <w:basedOn w:val="TableText"/>
    <w:rsid w:val="00057368"/>
    <w:pPr>
      <w:numPr>
        <w:numId w:val="2"/>
      </w:numPr>
      <w:tabs>
        <w:tab w:val="clear" w:pos="216"/>
        <w:tab w:val="num" w:pos="432"/>
      </w:tabs>
    </w:pPr>
  </w:style>
  <w:style w:type="paragraph" w:styleId="Quote">
    <w:name w:val="Quote"/>
    <w:basedOn w:val="Normal"/>
    <w:link w:val="QuoteChar"/>
    <w:rsid w:val="00057368"/>
    <w:pPr>
      <w:ind w:left="720" w:right="720"/>
    </w:pPr>
  </w:style>
  <w:style w:type="character" w:customStyle="1" w:styleId="QuoteChar">
    <w:name w:val="Quote Char"/>
    <w:basedOn w:val="DefaultParagraphFont"/>
    <w:link w:val="Quote"/>
    <w:rsid w:val="00057368"/>
    <w:rPr>
      <w:rFonts w:ascii="Calibri" w:eastAsia="Times New Roman" w:hAnsi="Calibri" w:cs="Times New Roman"/>
      <w:color w:val="000000"/>
      <w:sz w:val="20"/>
      <w:szCs w:val="20"/>
    </w:rPr>
  </w:style>
  <w:style w:type="paragraph" w:customStyle="1" w:styleId="References">
    <w:name w:val="References"/>
    <w:basedOn w:val="Normal"/>
    <w:rsid w:val="00057368"/>
    <w:pPr>
      <w:keepLines/>
      <w:ind w:left="720" w:hanging="720"/>
    </w:pPr>
  </w:style>
  <w:style w:type="paragraph" w:styleId="FootnoteText">
    <w:name w:val="footnote text"/>
    <w:basedOn w:val="Normal"/>
    <w:link w:val="FootnoteTextChar"/>
    <w:semiHidden/>
    <w:rsid w:val="00057368"/>
    <w:pPr>
      <w:spacing w:after="0"/>
      <w:ind w:left="360" w:hanging="360"/>
    </w:pPr>
  </w:style>
  <w:style w:type="character" w:customStyle="1" w:styleId="FootnoteTextChar">
    <w:name w:val="Footnote Text Char"/>
    <w:basedOn w:val="DefaultParagraphFont"/>
    <w:link w:val="FootnoteText"/>
    <w:semiHidden/>
    <w:rsid w:val="00057368"/>
    <w:rPr>
      <w:rFonts w:ascii="Calibri" w:eastAsia="Times New Roman" w:hAnsi="Calibri" w:cs="Times New Roman"/>
      <w:color w:val="000000"/>
      <w:sz w:val="20"/>
      <w:szCs w:val="20"/>
    </w:rPr>
  </w:style>
  <w:style w:type="character" w:styleId="FootnoteReference">
    <w:name w:val="footnote reference"/>
    <w:basedOn w:val="DefaultParagraphFont"/>
    <w:semiHidden/>
    <w:rsid w:val="00057368"/>
    <w:rPr>
      <w:vertAlign w:val="superscript"/>
    </w:rPr>
  </w:style>
  <w:style w:type="paragraph" w:customStyle="1" w:styleId="FigTabPara">
    <w:name w:val="FigTabPara"/>
    <w:basedOn w:val="Normal"/>
    <w:next w:val="Normal"/>
    <w:rsid w:val="00057368"/>
    <w:pPr>
      <w:keepNext/>
      <w:spacing w:after="120"/>
      <w:ind w:left="1077"/>
    </w:pPr>
  </w:style>
  <w:style w:type="paragraph" w:customStyle="1" w:styleId="TFIHolder">
    <w:name w:val="TFIHolder"/>
    <w:basedOn w:val="TFAbbrevs"/>
    <w:qFormat/>
    <w:rsid w:val="00057368"/>
    <w:rPr>
      <w:sz w:val="12"/>
    </w:rPr>
  </w:style>
  <w:style w:type="paragraph" w:customStyle="1" w:styleId="TFAbbrevs">
    <w:name w:val="TFAbbrevs"/>
    <w:basedOn w:val="TFListNotes"/>
    <w:rsid w:val="00057368"/>
  </w:style>
  <w:style w:type="paragraph" w:customStyle="1" w:styleId="FigureTitleSpace">
    <w:name w:val="FigureTitle+Space"/>
    <w:basedOn w:val="Normal"/>
    <w:next w:val="Normal"/>
    <w:rsid w:val="000741AC"/>
    <w:pPr>
      <w:keepLines/>
      <w:tabs>
        <w:tab w:val="left" w:pos="1080"/>
      </w:tabs>
      <w:spacing w:before="120" w:after="360"/>
    </w:pPr>
    <w:rPr>
      <w:b/>
      <w:bCs/>
    </w:rPr>
  </w:style>
  <w:style w:type="paragraph" w:styleId="TOC1">
    <w:name w:val="toc 1"/>
    <w:basedOn w:val="Normal"/>
    <w:next w:val="Normal"/>
    <w:autoRedefine/>
    <w:uiPriority w:val="39"/>
    <w:rsid w:val="00165193"/>
    <w:pPr>
      <w:tabs>
        <w:tab w:val="left" w:pos="720"/>
        <w:tab w:val="right" w:leader="dot" w:pos="9016"/>
      </w:tabs>
      <w:spacing w:before="60" w:after="60"/>
      <w:ind w:right="-23"/>
    </w:pPr>
    <w:rPr>
      <w:b/>
      <w:bCs/>
      <w:noProof/>
    </w:rPr>
  </w:style>
  <w:style w:type="paragraph" w:styleId="TOC2">
    <w:name w:val="toc 2"/>
    <w:basedOn w:val="TOC3"/>
    <w:next w:val="Normal"/>
    <w:autoRedefine/>
    <w:uiPriority w:val="39"/>
    <w:rsid w:val="00165193"/>
    <w:pPr>
      <w:spacing w:after="120"/>
      <w:ind w:left="1440" w:right="0" w:firstLine="0"/>
    </w:pPr>
    <w:rPr>
      <w:noProof/>
    </w:rPr>
  </w:style>
  <w:style w:type="paragraph" w:styleId="TOC3">
    <w:name w:val="toc 3"/>
    <w:basedOn w:val="Normal"/>
    <w:next w:val="Normal"/>
    <w:autoRedefine/>
    <w:uiPriority w:val="39"/>
    <w:rsid w:val="00165193"/>
    <w:pPr>
      <w:tabs>
        <w:tab w:val="left" w:pos="2160"/>
        <w:tab w:val="right" w:leader="dot" w:pos="9016"/>
      </w:tabs>
      <w:spacing w:after="20"/>
      <w:ind w:left="2160" w:right="-46" w:hanging="720"/>
    </w:pPr>
  </w:style>
  <w:style w:type="paragraph" w:styleId="TableofFigures">
    <w:name w:val="table of figures"/>
    <w:basedOn w:val="Normal"/>
    <w:next w:val="Normal"/>
    <w:uiPriority w:val="99"/>
    <w:rsid w:val="00057368"/>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057368"/>
    <w:pPr>
      <w:numPr>
        <w:numId w:val="3"/>
      </w:numPr>
      <w:spacing w:after="0"/>
    </w:pPr>
  </w:style>
  <w:style w:type="paragraph" w:customStyle="1" w:styleId="Bullet">
    <w:name w:val="Bullet"/>
    <w:basedOn w:val="BulletBeforeDash"/>
    <w:qFormat/>
    <w:rsid w:val="00057368"/>
    <w:pPr>
      <w:spacing w:after="120"/>
    </w:pPr>
  </w:style>
  <w:style w:type="paragraph" w:customStyle="1" w:styleId="BulletLast">
    <w:name w:val="BulletLast"/>
    <w:basedOn w:val="Bullet"/>
    <w:qFormat/>
    <w:rsid w:val="00057368"/>
    <w:pPr>
      <w:spacing w:after="240"/>
    </w:pPr>
  </w:style>
  <w:style w:type="paragraph" w:customStyle="1" w:styleId="DashLast">
    <w:name w:val="DashLast"/>
    <w:basedOn w:val="Normal"/>
    <w:rsid w:val="009B73D5"/>
    <w:pPr>
      <w:numPr>
        <w:numId w:val="4"/>
      </w:numPr>
      <w:tabs>
        <w:tab w:val="clear" w:pos="216"/>
        <w:tab w:val="left" w:pos="720"/>
      </w:tabs>
      <w:spacing w:after="120"/>
      <w:ind w:left="714" w:hanging="357"/>
    </w:pPr>
  </w:style>
  <w:style w:type="paragraph" w:customStyle="1" w:styleId="NormalBeforeBullet">
    <w:name w:val="NormalBeforeBullet"/>
    <w:basedOn w:val="Normal"/>
    <w:qFormat/>
    <w:rsid w:val="00057368"/>
    <w:pPr>
      <w:keepNext/>
      <w:spacing w:after="120"/>
    </w:pPr>
  </w:style>
  <w:style w:type="paragraph" w:customStyle="1" w:styleId="BoxText">
    <w:name w:val="BoxText"/>
    <w:basedOn w:val="Normal"/>
    <w:qFormat/>
    <w:rsid w:val="00057368"/>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057368"/>
    <w:pPr>
      <w:spacing w:before="120" w:after="60"/>
    </w:pPr>
    <w:rPr>
      <w:sz w:val="18"/>
    </w:rPr>
  </w:style>
  <w:style w:type="paragraph" w:customStyle="1" w:styleId="BoxTitle">
    <w:name w:val="BoxTitle"/>
    <w:basedOn w:val="BoxText"/>
    <w:rsid w:val="00057368"/>
    <w:pPr>
      <w:keepNext/>
      <w:spacing w:before="180"/>
      <w:ind w:left="1080" w:hanging="1080"/>
    </w:pPr>
    <w:rPr>
      <w:b/>
      <w:bCs/>
      <w:sz w:val="24"/>
    </w:rPr>
  </w:style>
  <w:style w:type="paragraph" w:customStyle="1" w:styleId="BoxHeading">
    <w:name w:val="BoxHeading"/>
    <w:basedOn w:val="BoxText"/>
    <w:rsid w:val="00057368"/>
    <w:pPr>
      <w:keepNext/>
      <w:spacing w:before="120" w:after="60"/>
    </w:pPr>
    <w:rPr>
      <w:b/>
      <w:bCs/>
    </w:rPr>
  </w:style>
  <w:style w:type="paragraph" w:customStyle="1" w:styleId="BoxBullet">
    <w:name w:val="BoxBullet"/>
    <w:basedOn w:val="BoxText"/>
    <w:rsid w:val="00057368"/>
    <w:pPr>
      <w:numPr>
        <w:numId w:val="8"/>
      </w:numPr>
    </w:pPr>
  </w:style>
  <w:style w:type="paragraph" w:customStyle="1" w:styleId="BoxDashManual">
    <w:name w:val="BoxDashManual"/>
    <w:basedOn w:val="BoxText"/>
    <w:rsid w:val="00057368"/>
    <w:pPr>
      <w:tabs>
        <w:tab w:val="left" w:pos="360"/>
        <w:tab w:val="left" w:pos="720"/>
      </w:tabs>
      <w:ind w:left="720" w:hanging="720"/>
    </w:pPr>
  </w:style>
  <w:style w:type="paragraph" w:customStyle="1" w:styleId="FigureTitle">
    <w:name w:val="FigureTitle"/>
    <w:basedOn w:val="FigureNameSpace"/>
    <w:next w:val="Normal"/>
    <w:rsid w:val="00057368"/>
    <w:pPr>
      <w:keepNext/>
      <w:spacing w:after="120"/>
      <w:ind w:left="1077" w:hanging="1077"/>
    </w:pPr>
  </w:style>
  <w:style w:type="paragraph" w:styleId="Index1">
    <w:name w:val="index 1"/>
    <w:basedOn w:val="Normal"/>
    <w:next w:val="Normal"/>
    <w:rsid w:val="00057368"/>
    <w:pPr>
      <w:spacing w:after="0"/>
      <w:ind w:left="518" w:hanging="518"/>
    </w:pPr>
    <w:rPr>
      <w:noProof/>
    </w:rPr>
  </w:style>
  <w:style w:type="paragraph" w:styleId="Index2">
    <w:name w:val="index 2"/>
    <w:basedOn w:val="Index1"/>
    <w:next w:val="Normal"/>
    <w:rsid w:val="00057368"/>
    <w:pPr>
      <w:ind w:left="816" w:hanging="476"/>
    </w:pPr>
  </w:style>
  <w:style w:type="paragraph" w:styleId="TOC4">
    <w:name w:val="toc 4"/>
    <w:basedOn w:val="Normal"/>
    <w:next w:val="Normal"/>
    <w:autoRedefine/>
    <w:semiHidden/>
    <w:rsid w:val="00057368"/>
    <w:pPr>
      <w:tabs>
        <w:tab w:val="right" w:leader="dot" w:pos="9016"/>
      </w:tabs>
      <w:spacing w:after="0"/>
      <w:ind w:left="2160" w:right="720"/>
    </w:pPr>
    <w:rPr>
      <w:noProof/>
    </w:rPr>
  </w:style>
  <w:style w:type="paragraph" w:customStyle="1" w:styleId="NumberList">
    <w:name w:val="NumberList"/>
    <w:basedOn w:val="Normal"/>
    <w:rsid w:val="00057368"/>
    <w:pPr>
      <w:tabs>
        <w:tab w:val="left" w:pos="360"/>
      </w:tabs>
      <w:ind w:left="357" w:hanging="357"/>
    </w:pPr>
  </w:style>
  <w:style w:type="paragraph" w:customStyle="1" w:styleId="TFNoteSourceSpace">
    <w:name w:val="TFNoteSource+Space"/>
    <w:basedOn w:val="TFListNotesSpace"/>
    <w:next w:val="Normal"/>
    <w:rsid w:val="00057368"/>
  </w:style>
  <w:style w:type="paragraph" w:customStyle="1" w:styleId="TFNoteSource">
    <w:name w:val="TFNoteSource"/>
    <w:basedOn w:val="TFNoteSourceSpace"/>
    <w:rsid w:val="00057368"/>
    <w:pPr>
      <w:spacing w:after="0"/>
    </w:pPr>
  </w:style>
  <w:style w:type="character" w:customStyle="1" w:styleId="DesignerNotesChar">
    <w:name w:val="DesignerNotesChar"/>
    <w:basedOn w:val="DefaultParagraphFont"/>
    <w:rsid w:val="00057368"/>
    <w:rPr>
      <w:rFonts w:ascii="Arial" w:hAnsi="Arial"/>
      <w:b/>
      <w:color w:val="3366FF"/>
      <w:sz w:val="20"/>
    </w:rPr>
  </w:style>
  <w:style w:type="paragraph" w:customStyle="1" w:styleId="TFAbbrevsSpace">
    <w:name w:val="TFAbbrevs+Space"/>
    <w:basedOn w:val="TFAbbrevs"/>
    <w:next w:val="Normal"/>
    <w:rsid w:val="00057368"/>
    <w:pPr>
      <w:spacing w:after="360"/>
    </w:pPr>
  </w:style>
  <w:style w:type="character" w:styleId="Strong">
    <w:name w:val="Strong"/>
    <w:basedOn w:val="DefaultParagraphFont"/>
    <w:uiPriority w:val="22"/>
    <w:qFormat/>
    <w:rsid w:val="00057368"/>
    <w:rPr>
      <w:b/>
      <w:bCs/>
    </w:rPr>
  </w:style>
  <w:style w:type="character" w:styleId="Emphasis">
    <w:name w:val="Emphasis"/>
    <w:basedOn w:val="DefaultParagraphFont"/>
    <w:uiPriority w:val="20"/>
    <w:qFormat/>
    <w:rsid w:val="00057368"/>
    <w:rPr>
      <w:i/>
      <w:iCs/>
    </w:rPr>
  </w:style>
  <w:style w:type="character" w:customStyle="1" w:styleId="Roman">
    <w:name w:val="Roman"/>
    <w:uiPriority w:val="1"/>
    <w:rsid w:val="00057368"/>
    <w:rPr>
      <w:b w:val="0"/>
      <w:i/>
    </w:rPr>
  </w:style>
  <w:style w:type="character" w:customStyle="1" w:styleId="PullQuoteOrigin">
    <w:name w:val="PullQuoteOrigin"/>
    <w:basedOn w:val="DefaultParagraphFont"/>
    <w:uiPriority w:val="1"/>
    <w:rsid w:val="00057368"/>
    <w:rPr>
      <w:b/>
      <w:noProof/>
      <w:color w:val="7B7B7B" w:themeColor="accent3" w:themeShade="BF"/>
    </w:rPr>
  </w:style>
  <w:style w:type="table" w:styleId="TableGrid">
    <w:name w:val="Table Grid"/>
    <w:basedOn w:val="TableNormal"/>
    <w:uiPriority w:val="59"/>
    <w:rsid w:val="0005736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IHolderSpace">
    <w:name w:val="TFIHolder+Space"/>
    <w:basedOn w:val="TFIHolder"/>
    <w:qFormat/>
    <w:rsid w:val="00057368"/>
    <w:pPr>
      <w:spacing w:after="240"/>
    </w:pPr>
  </w:style>
  <w:style w:type="paragraph" w:customStyle="1" w:styleId="DesignerNotes">
    <w:name w:val="DesignerNotes"/>
    <w:basedOn w:val="Normal"/>
    <w:rsid w:val="00057368"/>
    <w:rPr>
      <w:b/>
      <w:color w:val="3366FF"/>
    </w:rPr>
  </w:style>
  <w:style w:type="character" w:customStyle="1" w:styleId="Subscript">
    <w:name w:val="Subscript"/>
    <w:basedOn w:val="DefaultParagraphFont"/>
    <w:uiPriority w:val="1"/>
    <w:rsid w:val="00057368"/>
    <w:rPr>
      <w:noProof/>
      <w:vertAlign w:val="subscript"/>
    </w:rPr>
  </w:style>
  <w:style w:type="character" w:customStyle="1" w:styleId="Superscript">
    <w:name w:val="Superscript"/>
    <w:basedOn w:val="DefaultParagraphFont"/>
    <w:uiPriority w:val="1"/>
    <w:rsid w:val="00057368"/>
    <w:rPr>
      <w:noProof/>
      <w:vertAlign w:val="superscript"/>
    </w:rPr>
  </w:style>
  <w:style w:type="character" w:customStyle="1" w:styleId="Symbol">
    <w:name w:val="Symbol"/>
    <w:basedOn w:val="DefaultParagraphFont"/>
    <w:uiPriority w:val="1"/>
    <w:rsid w:val="00057368"/>
    <w:rPr>
      <w:noProof/>
    </w:rPr>
  </w:style>
  <w:style w:type="character" w:customStyle="1" w:styleId="NoBreak">
    <w:name w:val="NoBreak"/>
    <w:basedOn w:val="DefaultParagraphFont"/>
    <w:uiPriority w:val="1"/>
    <w:rsid w:val="00057368"/>
    <w:rPr>
      <w:noProof/>
    </w:rPr>
  </w:style>
  <w:style w:type="paragraph" w:customStyle="1" w:styleId="MathEquation">
    <w:name w:val="MathEquation"/>
    <w:basedOn w:val="Normal"/>
    <w:rsid w:val="00057368"/>
    <w:rPr>
      <w:rFonts w:ascii="Cambria Math" w:hAnsi="Cambria Math"/>
      <w:i/>
      <w:noProof/>
    </w:rPr>
  </w:style>
  <w:style w:type="paragraph" w:customStyle="1" w:styleId="ComputerCode">
    <w:name w:val="ComputerCode"/>
    <w:basedOn w:val="Normal"/>
    <w:rsid w:val="00057368"/>
    <w:pPr>
      <w:ind w:left="567"/>
      <w:contextualSpacing/>
    </w:pPr>
    <w:rPr>
      <w:rFonts w:ascii="Courier New" w:hAnsi="Courier New"/>
    </w:rPr>
  </w:style>
  <w:style w:type="paragraph" w:customStyle="1" w:styleId="BulletChecklist">
    <w:name w:val="BulletChecklist"/>
    <w:basedOn w:val="Bullet"/>
    <w:rsid w:val="00057368"/>
    <w:pPr>
      <w:tabs>
        <w:tab w:val="clear" w:pos="360"/>
      </w:tabs>
      <w:ind w:left="720"/>
    </w:pPr>
    <w:rPr>
      <w:noProof/>
    </w:rPr>
  </w:style>
  <w:style w:type="paragraph" w:customStyle="1" w:styleId="ImprintText">
    <w:name w:val="ImprintText"/>
    <w:basedOn w:val="Normal"/>
    <w:rsid w:val="00057368"/>
    <w:pPr>
      <w:spacing w:after="120"/>
    </w:pPr>
  </w:style>
  <w:style w:type="paragraph" w:customStyle="1" w:styleId="AltText">
    <w:name w:val="AltText"/>
    <w:basedOn w:val="Normal"/>
    <w:rsid w:val="00057368"/>
    <w:rPr>
      <w:color w:val="538135" w:themeColor="accent6" w:themeShade="BF"/>
    </w:rPr>
  </w:style>
  <w:style w:type="paragraph" w:styleId="Caption">
    <w:name w:val="caption"/>
    <w:basedOn w:val="Normal"/>
    <w:next w:val="Normal"/>
    <w:uiPriority w:val="35"/>
    <w:unhideWhenUsed/>
    <w:rsid w:val="00057368"/>
    <w:pPr>
      <w:spacing w:after="0"/>
    </w:pPr>
    <w:rPr>
      <w:b/>
      <w:bCs/>
      <w:sz w:val="18"/>
      <w:szCs w:val="18"/>
    </w:rPr>
  </w:style>
  <w:style w:type="paragraph" w:customStyle="1" w:styleId="Credit">
    <w:name w:val="Credit"/>
    <w:basedOn w:val="Caption"/>
    <w:next w:val="Normal"/>
    <w:rsid w:val="00057368"/>
    <w:pPr>
      <w:spacing w:after="240"/>
    </w:pPr>
    <w:rPr>
      <w:b w:val="0"/>
      <w:noProof/>
    </w:rPr>
  </w:style>
  <w:style w:type="paragraph" w:customStyle="1" w:styleId="NormalFirstPara">
    <w:name w:val="NormalFirstPara"/>
    <w:basedOn w:val="Normal"/>
    <w:rsid w:val="00057368"/>
    <w:rPr>
      <w:noProof/>
      <w:color w:val="A5A5A5" w:themeColor="accent3"/>
    </w:rPr>
  </w:style>
  <w:style w:type="paragraph" w:customStyle="1" w:styleId="TableHeadingCA">
    <w:name w:val="TableHeadingCA"/>
    <w:basedOn w:val="TableHeading"/>
    <w:rsid w:val="00057368"/>
    <w:pPr>
      <w:jc w:val="center"/>
    </w:pPr>
  </w:style>
  <w:style w:type="paragraph" w:customStyle="1" w:styleId="TableTextCA">
    <w:name w:val="TableTextCA"/>
    <w:basedOn w:val="TableText"/>
    <w:rsid w:val="00057368"/>
    <w:pPr>
      <w:jc w:val="center"/>
    </w:pPr>
  </w:style>
  <w:style w:type="paragraph" w:customStyle="1" w:styleId="TableTextDA">
    <w:name w:val="TableTextDA"/>
    <w:basedOn w:val="TableText"/>
    <w:rsid w:val="000741AC"/>
    <w:pPr>
      <w:tabs>
        <w:tab w:val="decimal" w:pos="1119"/>
      </w:tabs>
    </w:pPr>
  </w:style>
  <w:style w:type="paragraph" w:customStyle="1" w:styleId="NormalIndent">
    <w:name w:val="NormalIndent"/>
    <w:basedOn w:val="Normal"/>
    <w:rsid w:val="00057368"/>
    <w:pPr>
      <w:ind w:left="357"/>
    </w:pPr>
  </w:style>
  <w:style w:type="paragraph" w:styleId="BalloonText">
    <w:name w:val="Balloon Text"/>
    <w:basedOn w:val="Normal"/>
    <w:link w:val="BalloonTextChar"/>
    <w:uiPriority w:val="99"/>
    <w:semiHidden/>
    <w:unhideWhenUsed/>
    <w:rsid w:val="000573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368"/>
    <w:rPr>
      <w:rFonts w:ascii="Tahoma" w:eastAsia="Times New Roman" w:hAnsi="Tahoma" w:cs="Tahoma"/>
      <w:color w:val="000000"/>
      <w:sz w:val="16"/>
      <w:szCs w:val="16"/>
    </w:rPr>
  </w:style>
  <w:style w:type="paragraph" w:styleId="Title">
    <w:name w:val="Title"/>
    <w:basedOn w:val="Normal"/>
    <w:next w:val="Normal"/>
    <w:link w:val="TitleChar"/>
    <w:uiPriority w:val="10"/>
    <w:rsid w:val="008435AE"/>
    <w:rPr>
      <w:rFonts w:cs="Calibri"/>
      <w:sz w:val="144"/>
      <w:szCs w:val="1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style>
  <w:style w:type="character" w:customStyle="1" w:styleId="TitleChar">
    <w:name w:val="Title Char"/>
    <w:basedOn w:val="DefaultParagraphFont"/>
    <w:link w:val="Title"/>
    <w:uiPriority w:val="10"/>
    <w:rsid w:val="008435AE"/>
    <w:rPr>
      <w:rFonts w:ascii="Arial" w:eastAsiaTheme="minorEastAsia" w:hAnsi="Arial" w:cs="Calibri"/>
      <w:kern w:val="2"/>
      <w:sz w:val="144"/>
      <w:szCs w:val="144"/>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style>
  <w:style w:type="paragraph" w:customStyle="1" w:styleId="SectionTitle">
    <w:name w:val="SectionTitle"/>
    <w:basedOn w:val="Normal"/>
    <w:next w:val="Normal"/>
    <w:rsid w:val="00057368"/>
    <w:pPr>
      <w:jc w:val="center"/>
    </w:pPr>
    <w:rPr>
      <w:b/>
      <w:sz w:val="40"/>
    </w:rPr>
  </w:style>
  <w:style w:type="paragraph" w:customStyle="1" w:styleId="SectionSubtitle">
    <w:name w:val="SectionSubtitle"/>
    <w:basedOn w:val="Normal"/>
    <w:rsid w:val="00057368"/>
    <w:pPr>
      <w:spacing w:after="0"/>
      <w:jc w:val="center"/>
    </w:pPr>
    <w:rPr>
      <w:sz w:val="32"/>
    </w:rPr>
  </w:style>
  <w:style w:type="paragraph" w:customStyle="1" w:styleId="QuoteNumberList">
    <w:name w:val="QuoteNumberList"/>
    <w:basedOn w:val="Quote"/>
    <w:rsid w:val="00057368"/>
    <w:pPr>
      <w:ind w:left="1117" w:hanging="397"/>
    </w:pPr>
    <w:rPr>
      <w:noProof/>
    </w:rPr>
  </w:style>
  <w:style w:type="paragraph" w:customStyle="1" w:styleId="QuoteBullet">
    <w:name w:val="QuoteBullet"/>
    <w:basedOn w:val="Quote"/>
    <w:rsid w:val="00057368"/>
    <w:pPr>
      <w:numPr>
        <w:numId w:val="7"/>
      </w:numPr>
    </w:pPr>
    <w:rPr>
      <w:noProof/>
    </w:rPr>
  </w:style>
  <w:style w:type="paragraph" w:customStyle="1" w:styleId="BoxDash">
    <w:name w:val="BoxDash"/>
    <w:basedOn w:val="BoxBullet"/>
    <w:rsid w:val="00057368"/>
    <w:pPr>
      <w:numPr>
        <w:numId w:val="5"/>
      </w:numPr>
    </w:pPr>
  </w:style>
  <w:style w:type="character" w:customStyle="1" w:styleId="CrossRef">
    <w:name w:val="CrossRef"/>
    <w:basedOn w:val="DefaultParagraphFont"/>
    <w:uiPriority w:val="1"/>
    <w:rsid w:val="00057368"/>
    <w:rPr>
      <w:rFonts w:ascii="Calibri" w:hAnsi="Calibri"/>
      <w:b/>
      <w:noProof/>
      <w:color w:val="ED7D31" w:themeColor="accent2"/>
      <w:sz w:val="24"/>
    </w:rPr>
  </w:style>
  <w:style w:type="paragraph" w:customStyle="1" w:styleId="TableNumberedList">
    <w:name w:val="TableNumberedList"/>
    <w:basedOn w:val="TableText"/>
    <w:autoRedefine/>
    <w:qFormat/>
    <w:rsid w:val="00C4726D"/>
    <w:pPr>
      <w:numPr>
        <w:numId w:val="9"/>
      </w:numPr>
      <w:ind w:left="357" w:hanging="357"/>
    </w:pPr>
  </w:style>
  <w:style w:type="character" w:customStyle="1" w:styleId="StrongEmphasis">
    <w:name w:val="StrongEmphasis"/>
    <w:basedOn w:val="DefaultParagraphFont"/>
    <w:rsid w:val="00057368"/>
    <w:rPr>
      <w:b/>
      <w:bCs/>
      <w:i/>
      <w:iCs/>
    </w:rPr>
  </w:style>
  <w:style w:type="character" w:customStyle="1" w:styleId="MathEquationChar">
    <w:name w:val="MathEquationChar"/>
    <w:basedOn w:val="DefaultParagraphFont"/>
    <w:uiPriority w:val="1"/>
    <w:rsid w:val="00057368"/>
    <w:rPr>
      <w:rFonts w:ascii="Cambria Math" w:hAnsi="Cambria Math"/>
      <w:noProof/>
    </w:rPr>
  </w:style>
  <w:style w:type="character" w:customStyle="1" w:styleId="SubscriptEmphasis">
    <w:name w:val="SubscriptEmphasis"/>
    <w:basedOn w:val="DefaultParagraphFont"/>
    <w:uiPriority w:val="1"/>
    <w:rsid w:val="00057368"/>
    <w:rPr>
      <w:i/>
      <w:noProof/>
      <w:vertAlign w:val="subscript"/>
    </w:rPr>
  </w:style>
  <w:style w:type="character" w:customStyle="1" w:styleId="Heading6Char">
    <w:name w:val="Heading 6 Char"/>
    <w:basedOn w:val="DefaultParagraphFont"/>
    <w:link w:val="Heading6"/>
    <w:uiPriority w:val="9"/>
    <w:rsid w:val="00C4726D"/>
    <w:rPr>
      <w:rFonts w:eastAsiaTheme="majorEastAsia" w:cstheme="majorBidi"/>
      <w:color w:val="1F3763" w:themeColor="accent1" w:themeShade="7F"/>
      <w:sz w:val="22"/>
      <w:szCs w:val="22"/>
    </w:rPr>
  </w:style>
  <w:style w:type="character" w:styleId="CommentReference">
    <w:name w:val="annotation reference"/>
    <w:basedOn w:val="DefaultParagraphFont"/>
    <w:uiPriority w:val="99"/>
    <w:semiHidden/>
    <w:unhideWhenUsed/>
    <w:rsid w:val="00057368"/>
    <w:rPr>
      <w:sz w:val="16"/>
      <w:szCs w:val="16"/>
    </w:rPr>
  </w:style>
  <w:style w:type="paragraph" w:styleId="CommentText">
    <w:name w:val="annotation text"/>
    <w:basedOn w:val="Normal"/>
    <w:link w:val="CommentTextChar"/>
    <w:uiPriority w:val="99"/>
    <w:unhideWhenUsed/>
    <w:rsid w:val="00057368"/>
  </w:style>
  <w:style w:type="character" w:customStyle="1" w:styleId="CommentTextChar">
    <w:name w:val="Comment Text Char"/>
    <w:basedOn w:val="DefaultParagraphFont"/>
    <w:link w:val="CommentText"/>
    <w:uiPriority w:val="99"/>
    <w:rsid w:val="00057368"/>
    <w:rPr>
      <w:rFonts w:ascii="Calibri" w:eastAsia="Times New Roman"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57368"/>
    <w:rPr>
      <w:b/>
      <w:bCs/>
    </w:rPr>
  </w:style>
  <w:style w:type="character" w:customStyle="1" w:styleId="CommentSubjectChar">
    <w:name w:val="Comment Subject Char"/>
    <w:basedOn w:val="CommentTextChar"/>
    <w:link w:val="CommentSubject"/>
    <w:uiPriority w:val="99"/>
    <w:semiHidden/>
    <w:rsid w:val="00057368"/>
    <w:rPr>
      <w:rFonts w:ascii="Calibri" w:eastAsia="Times New Roman" w:hAnsi="Calibri" w:cs="Times New Roman"/>
      <w:b/>
      <w:bCs/>
      <w:color w:val="000000"/>
      <w:sz w:val="20"/>
      <w:szCs w:val="20"/>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C4726D"/>
    <w:pPr>
      <w:spacing w:after="200" w:line="276" w:lineRule="auto"/>
      <w:ind w:left="720"/>
      <w:contextualSpacing/>
    </w:p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link w:val="ListParagraph"/>
    <w:uiPriority w:val="34"/>
    <w:qFormat/>
    <w:locked/>
    <w:rsid w:val="00C4726D"/>
    <w:rPr>
      <w:sz w:val="22"/>
      <w:szCs w:val="22"/>
    </w:rPr>
  </w:style>
  <w:style w:type="table" w:styleId="ListTable3-Accent1">
    <w:name w:val="List Table 3 Accent 1"/>
    <w:basedOn w:val="TableNormal"/>
    <w:uiPriority w:val="48"/>
    <w:rsid w:val="00C4726D"/>
    <w:rPr>
      <w:rFonts w:ascii="Times New Roman" w:eastAsia="Times New Roman" w:hAnsi="Times New Roman" w:cs="Times New Roman"/>
      <w:sz w:val="20"/>
      <w:szCs w:val="20"/>
      <w:lang w:eastAsia="en-A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Hyperlink">
    <w:name w:val="Hyperlink"/>
    <w:basedOn w:val="DefaultParagraphFont"/>
    <w:uiPriority w:val="99"/>
    <w:unhideWhenUsed/>
    <w:rsid w:val="00C4726D"/>
    <w:rPr>
      <w:color w:val="0563C1" w:themeColor="hyperlink"/>
      <w:u w:val="single"/>
    </w:rPr>
  </w:style>
  <w:style w:type="character" w:styleId="UnresolvedMention">
    <w:name w:val="Unresolved Mention"/>
    <w:basedOn w:val="DefaultParagraphFont"/>
    <w:uiPriority w:val="99"/>
    <w:rsid w:val="00C4726D"/>
    <w:rPr>
      <w:color w:val="605E5C"/>
      <w:shd w:val="clear" w:color="auto" w:fill="E1DFDD"/>
    </w:rPr>
  </w:style>
  <w:style w:type="paragraph" w:styleId="Revision">
    <w:name w:val="Revision"/>
    <w:hidden/>
    <w:uiPriority w:val="99"/>
    <w:semiHidden/>
    <w:rsid w:val="00057368"/>
    <w:rPr>
      <w:rFonts w:eastAsia="Times New Roman"/>
    </w:rPr>
  </w:style>
  <w:style w:type="character" w:styleId="FollowedHyperlink">
    <w:name w:val="FollowedHyperlink"/>
    <w:basedOn w:val="DefaultParagraphFont"/>
    <w:uiPriority w:val="99"/>
    <w:semiHidden/>
    <w:unhideWhenUsed/>
    <w:rsid w:val="00C4726D"/>
    <w:rPr>
      <w:color w:val="954F72" w:themeColor="followedHyperlink"/>
      <w:u w:val="single"/>
    </w:rPr>
  </w:style>
  <w:style w:type="paragraph" w:styleId="TOCHeading">
    <w:name w:val="TOC Heading"/>
    <w:basedOn w:val="Heading1"/>
    <w:next w:val="Normal"/>
    <w:uiPriority w:val="39"/>
    <w:unhideWhenUsed/>
    <w:qFormat/>
    <w:rsid w:val="00A426D5"/>
    <w:pPr>
      <w:keepLines/>
      <w:pageBreakBefore w:val="0"/>
      <w:spacing w:before="240" w:after="0"/>
      <w:outlineLvl w:val="9"/>
    </w:pPr>
    <w:rPr>
      <w:rFonts w:eastAsiaTheme="majorEastAsia" w:cstheme="majorBidi"/>
      <w:bCs w:val="0"/>
      <w:kern w:val="0"/>
      <w:sz w:val="28"/>
      <w14:ligatures w14:val="none"/>
    </w:rPr>
  </w:style>
  <w:style w:type="character" w:customStyle="1" w:styleId="normaltextrun">
    <w:name w:val="normaltextrun"/>
    <w:basedOn w:val="DefaultParagraphFont"/>
    <w:rsid w:val="00C4726D"/>
  </w:style>
  <w:style w:type="character" w:customStyle="1" w:styleId="eop">
    <w:name w:val="eop"/>
    <w:basedOn w:val="DefaultParagraphFont"/>
    <w:rsid w:val="00776BD3"/>
  </w:style>
  <w:style w:type="paragraph" w:customStyle="1" w:styleId="FigureNameSpace">
    <w:name w:val="FigureName+Space"/>
    <w:basedOn w:val="Normal"/>
    <w:next w:val="Normal"/>
    <w:rsid w:val="00057368"/>
    <w:pPr>
      <w:keepLines/>
      <w:tabs>
        <w:tab w:val="left" w:pos="1080"/>
      </w:tabs>
      <w:spacing w:before="120" w:after="360"/>
      <w:ind w:left="1080" w:hanging="1080"/>
    </w:pPr>
    <w:rPr>
      <w:b/>
      <w:bCs/>
    </w:rPr>
  </w:style>
  <w:style w:type="paragraph" w:customStyle="1" w:styleId="BoxName">
    <w:name w:val="BoxName"/>
    <w:basedOn w:val="BoxText"/>
    <w:rsid w:val="00C4726D"/>
    <w:pPr>
      <w:keepNext/>
      <w:spacing w:before="180"/>
      <w:ind w:left="1080" w:hanging="1080"/>
    </w:pPr>
    <w:rPr>
      <w:b/>
      <w:bCs/>
    </w:rPr>
  </w:style>
  <w:style w:type="paragraph" w:customStyle="1" w:styleId="FigureName">
    <w:name w:val="FigureName"/>
    <w:basedOn w:val="FigureNameSpace"/>
    <w:next w:val="Normal"/>
    <w:rsid w:val="00C4726D"/>
    <w:pPr>
      <w:keepNext/>
      <w:spacing w:after="120"/>
      <w:ind w:left="1077" w:hanging="1077"/>
    </w:pPr>
  </w:style>
  <w:style w:type="paragraph" w:customStyle="1" w:styleId="TableTextDecimalAlign">
    <w:name w:val="TableTextDecimalAlign"/>
    <w:basedOn w:val="TableText"/>
    <w:rsid w:val="00057368"/>
    <w:pPr>
      <w:tabs>
        <w:tab w:val="decimal" w:pos="1119"/>
      </w:tabs>
    </w:pPr>
  </w:style>
  <w:style w:type="numbering" w:customStyle="1" w:styleId="CurrentList1">
    <w:name w:val="Current List1"/>
    <w:uiPriority w:val="99"/>
    <w:rsid w:val="00C4726D"/>
    <w:pPr>
      <w:numPr>
        <w:numId w:val="11"/>
      </w:numPr>
    </w:pPr>
  </w:style>
  <w:style w:type="numbering" w:customStyle="1" w:styleId="CurrentList2">
    <w:name w:val="Current List2"/>
    <w:uiPriority w:val="99"/>
    <w:rsid w:val="00C4726D"/>
    <w:pPr>
      <w:numPr>
        <w:numId w:val="12"/>
      </w:numPr>
    </w:pPr>
  </w:style>
  <w:style w:type="paragraph" w:customStyle="1" w:styleId="DepartmentalNormal">
    <w:name w:val="Departmental Normal"/>
    <w:basedOn w:val="Normal"/>
    <w:rsid w:val="00E82CC1"/>
  </w:style>
  <w:style w:type="character" w:styleId="LineNumber">
    <w:name w:val="line number"/>
    <w:basedOn w:val="DefaultParagraphFont"/>
    <w:uiPriority w:val="99"/>
    <w:semiHidden/>
    <w:unhideWhenUsed/>
    <w:rsid w:val="00057368"/>
  </w:style>
  <w:style w:type="table" w:styleId="ListTable4-Accent2">
    <w:name w:val="List Table 4 Accent 2"/>
    <w:basedOn w:val="TableNormal"/>
    <w:uiPriority w:val="49"/>
    <w:rsid w:val="00816F3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1">
    <w:name w:val="Grid Table 4 - Accent 61"/>
    <w:basedOn w:val="TableNormal"/>
    <w:next w:val="GridTable4-Accent6"/>
    <w:uiPriority w:val="49"/>
    <w:rsid w:val="00081620"/>
    <w:rPr>
      <w:rFonts w:ascii="Times New Roman" w:eastAsia="Times New Roman" w:hAnsi="Times New Roman" w:cs="Times New Roman"/>
      <w:sz w:val="20"/>
      <w:szCs w:val="20"/>
      <w:lang w:eastAsia="en-AU"/>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4-Accent6">
    <w:name w:val="Grid Table 4 Accent 6"/>
    <w:basedOn w:val="TableNormal"/>
    <w:uiPriority w:val="49"/>
    <w:rsid w:val="0008162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TMLCode">
    <w:name w:val="HTML Code"/>
    <w:basedOn w:val="DefaultParagraphFont"/>
    <w:uiPriority w:val="99"/>
    <w:semiHidden/>
    <w:unhideWhenUsed/>
    <w:rsid w:val="00020167"/>
    <w:rPr>
      <w:rFonts w:ascii="Courier New" w:eastAsia="Times New Roman" w:hAnsi="Courier New" w:cs="Courier New"/>
      <w:sz w:val="20"/>
      <w:szCs w:val="20"/>
    </w:rPr>
  </w:style>
  <w:style w:type="paragraph" w:styleId="NormalIndent0">
    <w:name w:val="Normal Indent"/>
    <w:basedOn w:val="Normal"/>
    <w:uiPriority w:val="99"/>
    <w:unhideWhenUsed/>
    <w:rsid w:val="00787B54"/>
    <w:pPr>
      <w:ind w:left="357"/>
    </w:pPr>
  </w:style>
  <w:style w:type="paragraph" w:styleId="IntenseQuote">
    <w:name w:val="Intense Quote"/>
    <w:basedOn w:val="Normal"/>
    <w:next w:val="Normal"/>
    <w:link w:val="IntenseQuoteChar"/>
    <w:uiPriority w:val="30"/>
    <w:qFormat/>
    <w:rsid w:val="006F0FA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0FAC"/>
    <w:rPr>
      <w:i/>
      <w:iCs/>
      <w:color w:val="4472C4" w:themeColor="accent1"/>
      <w:kern w:val="2"/>
      <w:sz w:val="22"/>
      <w:szCs w:val="22"/>
      <w14:ligatures w14:val="standardContextual"/>
    </w:rPr>
  </w:style>
  <w:style w:type="paragraph" w:styleId="BodyText">
    <w:name w:val="Body Text"/>
    <w:basedOn w:val="Normal"/>
    <w:link w:val="BodyTextChar"/>
    <w:uiPriority w:val="1"/>
    <w:qFormat/>
    <w:rsid w:val="004C1612"/>
    <w:pPr>
      <w:widowControl w:val="0"/>
      <w:autoSpaceDE w:val="0"/>
      <w:autoSpaceDN w:val="0"/>
      <w:spacing w:after="0" w:line="240" w:lineRule="auto"/>
    </w:pPr>
    <w:rPr>
      <w:rFonts w:eastAsia="Arial" w:cs="Arial"/>
      <w:kern w:val="0"/>
      <w:szCs w:val="20"/>
      <w:lang w:val="en-US"/>
      <w14:ligatures w14:val="none"/>
    </w:rPr>
  </w:style>
  <w:style w:type="character" w:customStyle="1" w:styleId="BodyTextChar">
    <w:name w:val="Body Text Char"/>
    <w:basedOn w:val="DefaultParagraphFont"/>
    <w:link w:val="BodyText"/>
    <w:uiPriority w:val="1"/>
    <w:rsid w:val="004C1612"/>
    <w:rPr>
      <w:rFonts w:ascii="Arial" w:eastAsia="Arial" w:hAnsi="Arial" w:cs="Arial"/>
      <w:sz w:val="20"/>
      <w:szCs w:val="20"/>
      <w:lang w:val="en-US"/>
    </w:rPr>
  </w:style>
  <w:style w:type="paragraph" w:styleId="ListNumber">
    <w:name w:val="List Number"/>
    <w:basedOn w:val="BulletBeforeDash"/>
    <w:uiPriority w:val="99"/>
    <w:unhideWhenUsed/>
    <w:rsid w:val="00F8786C"/>
    <w:pPr>
      <w:numPr>
        <w:numId w:val="13"/>
      </w:numPr>
      <w:spacing w:after="120"/>
      <w:ind w:left="357" w:hanging="357"/>
    </w:pPr>
  </w:style>
  <w:style w:type="paragraph" w:styleId="ListNumber2">
    <w:name w:val="List Number 2"/>
    <w:basedOn w:val="Normal"/>
    <w:uiPriority w:val="99"/>
    <w:unhideWhenUsed/>
    <w:rsid w:val="00F8786C"/>
    <w:pPr>
      <w:numPr>
        <w:numId w:val="10"/>
      </w:numPr>
      <w:spacing w:after="120"/>
    </w:pPr>
  </w:style>
  <w:style w:type="paragraph" w:styleId="ListBullet">
    <w:name w:val="List Bullet"/>
    <w:basedOn w:val="Normal"/>
    <w:uiPriority w:val="99"/>
    <w:unhideWhenUsed/>
    <w:rsid w:val="00832017"/>
    <w:pPr>
      <w:numPr>
        <w:numId w:val="40"/>
      </w:numPr>
      <w:spacing w:after="60"/>
      <w:ind w:left="357" w:hanging="357"/>
    </w:pPr>
  </w:style>
  <w:style w:type="paragraph" w:styleId="ListBullet2">
    <w:name w:val="List Bullet 2"/>
    <w:basedOn w:val="Normal"/>
    <w:uiPriority w:val="99"/>
    <w:unhideWhenUsed/>
    <w:rsid w:val="009B73D5"/>
    <w:pPr>
      <w:numPr>
        <w:numId w:val="4"/>
      </w:numPr>
      <w:tabs>
        <w:tab w:val="left" w:pos="720"/>
      </w:tabs>
      <w:spacing w:after="0"/>
      <w:ind w:left="572" w:hanging="215"/>
      <w:contextualSpacing/>
    </w:pPr>
  </w:style>
  <w:style w:type="table" w:styleId="TableGridLight">
    <w:name w:val="Grid Table Light"/>
    <w:basedOn w:val="TableNormal"/>
    <w:uiPriority w:val="40"/>
    <w:rsid w:val="00F878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154">
      <w:bodyDiv w:val="1"/>
      <w:marLeft w:val="0"/>
      <w:marRight w:val="0"/>
      <w:marTop w:val="0"/>
      <w:marBottom w:val="0"/>
      <w:divBdr>
        <w:top w:val="none" w:sz="0" w:space="0" w:color="auto"/>
        <w:left w:val="none" w:sz="0" w:space="0" w:color="auto"/>
        <w:bottom w:val="none" w:sz="0" w:space="0" w:color="auto"/>
        <w:right w:val="none" w:sz="0" w:space="0" w:color="auto"/>
      </w:divBdr>
    </w:div>
    <w:div w:id="68844609">
      <w:bodyDiv w:val="1"/>
      <w:marLeft w:val="0"/>
      <w:marRight w:val="0"/>
      <w:marTop w:val="0"/>
      <w:marBottom w:val="0"/>
      <w:divBdr>
        <w:top w:val="none" w:sz="0" w:space="0" w:color="auto"/>
        <w:left w:val="none" w:sz="0" w:space="0" w:color="auto"/>
        <w:bottom w:val="none" w:sz="0" w:space="0" w:color="auto"/>
        <w:right w:val="none" w:sz="0" w:space="0" w:color="auto"/>
      </w:divBdr>
      <w:divsChild>
        <w:div w:id="368922009">
          <w:marLeft w:val="0"/>
          <w:marRight w:val="0"/>
          <w:marTop w:val="0"/>
          <w:marBottom w:val="0"/>
          <w:divBdr>
            <w:top w:val="none" w:sz="0" w:space="0" w:color="auto"/>
            <w:left w:val="none" w:sz="0" w:space="0" w:color="auto"/>
            <w:bottom w:val="none" w:sz="0" w:space="0" w:color="auto"/>
            <w:right w:val="none" w:sz="0" w:space="0" w:color="auto"/>
          </w:divBdr>
          <w:divsChild>
            <w:div w:id="127362000">
              <w:marLeft w:val="0"/>
              <w:marRight w:val="0"/>
              <w:marTop w:val="0"/>
              <w:marBottom w:val="0"/>
              <w:divBdr>
                <w:top w:val="none" w:sz="0" w:space="0" w:color="auto"/>
                <w:left w:val="none" w:sz="0" w:space="0" w:color="auto"/>
                <w:bottom w:val="none" w:sz="0" w:space="0" w:color="auto"/>
                <w:right w:val="none" w:sz="0" w:space="0" w:color="auto"/>
              </w:divBdr>
              <w:divsChild>
                <w:div w:id="397939016">
                  <w:marLeft w:val="0"/>
                  <w:marRight w:val="0"/>
                  <w:marTop w:val="0"/>
                  <w:marBottom w:val="0"/>
                  <w:divBdr>
                    <w:top w:val="none" w:sz="0" w:space="0" w:color="auto"/>
                    <w:left w:val="none" w:sz="0" w:space="0" w:color="auto"/>
                    <w:bottom w:val="none" w:sz="0" w:space="0" w:color="auto"/>
                    <w:right w:val="none" w:sz="0" w:space="0" w:color="auto"/>
                  </w:divBdr>
                </w:div>
              </w:divsChild>
            </w:div>
            <w:div w:id="179245852">
              <w:marLeft w:val="0"/>
              <w:marRight w:val="0"/>
              <w:marTop w:val="0"/>
              <w:marBottom w:val="0"/>
              <w:divBdr>
                <w:top w:val="none" w:sz="0" w:space="0" w:color="auto"/>
                <w:left w:val="none" w:sz="0" w:space="0" w:color="auto"/>
                <w:bottom w:val="none" w:sz="0" w:space="0" w:color="auto"/>
                <w:right w:val="none" w:sz="0" w:space="0" w:color="auto"/>
              </w:divBdr>
              <w:divsChild>
                <w:div w:id="83574101">
                  <w:marLeft w:val="0"/>
                  <w:marRight w:val="0"/>
                  <w:marTop w:val="0"/>
                  <w:marBottom w:val="0"/>
                  <w:divBdr>
                    <w:top w:val="none" w:sz="0" w:space="0" w:color="auto"/>
                    <w:left w:val="none" w:sz="0" w:space="0" w:color="auto"/>
                    <w:bottom w:val="none" w:sz="0" w:space="0" w:color="auto"/>
                    <w:right w:val="none" w:sz="0" w:space="0" w:color="auto"/>
                  </w:divBdr>
                </w:div>
              </w:divsChild>
            </w:div>
            <w:div w:id="256642775">
              <w:marLeft w:val="0"/>
              <w:marRight w:val="0"/>
              <w:marTop w:val="0"/>
              <w:marBottom w:val="0"/>
              <w:divBdr>
                <w:top w:val="none" w:sz="0" w:space="0" w:color="auto"/>
                <w:left w:val="none" w:sz="0" w:space="0" w:color="auto"/>
                <w:bottom w:val="none" w:sz="0" w:space="0" w:color="auto"/>
                <w:right w:val="none" w:sz="0" w:space="0" w:color="auto"/>
              </w:divBdr>
              <w:divsChild>
                <w:div w:id="1245651213">
                  <w:marLeft w:val="0"/>
                  <w:marRight w:val="0"/>
                  <w:marTop w:val="0"/>
                  <w:marBottom w:val="0"/>
                  <w:divBdr>
                    <w:top w:val="none" w:sz="0" w:space="0" w:color="auto"/>
                    <w:left w:val="none" w:sz="0" w:space="0" w:color="auto"/>
                    <w:bottom w:val="none" w:sz="0" w:space="0" w:color="auto"/>
                    <w:right w:val="none" w:sz="0" w:space="0" w:color="auto"/>
                  </w:divBdr>
                </w:div>
              </w:divsChild>
            </w:div>
            <w:div w:id="258029903">
              <w:marLeft w:val="0"/>
              <w:marRight w:val="0"/>
              <w:marTop w:val="0"/>
              <w:marBottom w:val="0"/>
              <w:divBdr>
                <w:top w:val="none" w:sz="0" w:space="0" w:color="auto"/>
                <w:left w:val="none" w:sz="0" w:space="0" w:color="auto"/>
                <w:bottom w:val="none" w:sz="0" w:space="0" w:color="auto"/>
                <w:right w:val="none" w:sz="0" w:space="0" w:color="auto"/>
              </w:divBdr>
              <w:divsChild>
                <w:div w:id="1189755995">
                  <w:marLeft w:val="0"/>
                  <w:marRight w:val="0"/>
                  <w:marTop w:val="0"/>
                  <w:marBottom w:val="0"/>
                  <w:divBdr>
                    <w:top w:val="none" w:sz="0" w:space="0" w:color="auto"/>
                    <w:left w:val="none" w:sz="0" w:space="0" w:color="auto"/>
                    <w:bottom w:val="none" w:sz="0" w:space="0" w:color="auto"/>
                    <w:right w:val="none" w:sz="0" w:space="0" w:color="auto"/>
                  </w:divBdr>
                </w:div>
              </w:divsChild>
            </w:div>
            <w:div w:id="310906274">
              <w:marLeft w:val="0"/>
              <w:marRight w:val="0"/>
              <w:marTop w:val="0"/>
              <w:marBottom w:val="0"/>
              <w:divBdr>
                <w:top w:val="none" w:sz="0" w:space="0" w:color="auto"/>
                <w:left w:val="none" w:sz="0" w:space="0" w:color="auto"/>
                <w:bottom w:val="none" w:sz="0" w:space="0" w:color="auto"/>
                <w:right w:val="none" w:sz="0" w:space="0" w:color="auto"/>
              </w:divBdr>
              <w:divsChild>
                <w:div w:id="1817606366">
                  <w:marLeft w:val="0"/>
                  <w:marRight w:val="0"/>
                  <w:marTop w:val="0"/>
                  <w:marBottom w:val="0"/>
                  <w:divBdr>
                    <w:top w:val="none" w:sz="0" w:space="0" w:color="auto"/>
                    <w:left w:val="none" w:sz="0" w:space="0" w:color="auto"/>
                    <w:bottom w:val="none" w:sz="0" w:space="0" w:color="auto"/>
                    <w:right w:val="none" w:sz="0" w:space="0" w:color="auto"/>
                  </w:divBdr>
                </w:div>
              </w:divsChild>
            </w:div>
            <w:div w:id="451246249">
              <w:marLeft w:val="0"/>
              <w:marRight w:val="0"/>
              <w:marTop w:val="0"/>
              <w:marBottom w:val="0"/>
              <w:divBdr>
                <w:top w:val="none" w:sz="0" w:space="0" w:color="auto"/>
                <w:left w:val="none" w:sz="0" w:space="0" w:color="auto"/>
                <w:bottom w:val="none" w:sz="0" w:space="0" w:color="auto"/>
                <w:right w:val="none" w:sz="0" w:space="0" w:color="auto"/>
              </w:divBdr>
              <w:divsChild>
                <w:div w:id="1081681206">
                  <w:marLeft w:val="0"/>
                  <w:marRight w:val="0"/>
                  <w:marTop w:val="0"/>
                  <w:marBottom w:val="0"/>
                  <w:divBdr>
                    <w:top w:val="none" w:sz="0" w:space="0" w:color="auto"/>
                    <w:left w:val="none" w:sz="0" w:space="0" w:color="auto"/>
                    <w:bottom w:val="none" w:sz="0" w:space="0" w:color="auto"/>
                    <w:right w:val="none" w:sz="0" w:space="0" w:color="auto"/>
                  </w:divBdr>
                </w:div>
              </w:divsChild>
            </w:div>
            <w:div w:id="516702277">
              <w:marLeft w:val="0"/>
              <w:marRight w:val="0"/>
              <w:marTop w:val="0"/>
              <w:marBottom w:val="0"/>
              <w:divBdr>
                <w:top w:val="none" w:sz="0" w:space="0" w:color="auto"/>
                <w:left w:val="none" w:sz="0" w:space="0" w:color="auto"/>
                <w:bottom w:val="none" w:sz="0" w:space="0" w:color="auto"/>
                <w:right w:val="none" w:sz="0" w:space="0" w:color="auto"/>
              </w:divBdr>
              <w:divsChild>
                <w:div w:id="1859431">
                  <w:marLeft w:val="0"/>
                  <w:marRight w:val="0"/>
                  <w:marTop w:val="0"/>
                  <w:marBottom w:val="0"/>
                  <w:divBdr>
                    <w:top w:val="none" w:sz="0" w:space="0" w:color="auto"/>
                    <w:left w:val="none" w:sz="0" w:space="0" w:color="auto"/>
                    <w:bottom w:val="none" w:sz="0" w:space="0" w:color="auto"/>
                    <w:right w:val="none" w:sz="0" w:space="0" w:color="auto"/>
                  </w:divBdr>
                </w:div>
              </w:divsChild>
            </w:div>
            <w:div w:id="528835206">
              <w:marLeft w:val="0"/>
              <w:marRight w:val="0"/>
              <w:marTop w:val="0"/>
              <w:marBottom w:val="0"/>
              <w:divBdr>
                <w:top w:val="none" w:sz="0" w:space="0" w:color="auto"/>
                <w:left w:val="none" w:sz="0" w:space="0" w:color="auto"/>
                <w:bottom w:val="none" w:sz="0" w:space="0" w:color="auto"/>
                <w:right w:val="none" w:sz="0" w:space="0" w:color="auto"/>
              </w:divBdr>
              <w:divsChild>
                <w:div w:id="1150975506">
                  <w:marLeft w:val="0"/>
                  <w:marRight w:val="0"/>
                  <w:marTop w:val="0"/>
                  <w:marBottom w:val="0"/>
                  <w:divBdr>
                    <w:top w:val="none" w:sz="0" w:space="0" w:color="auto"/>
                    <w:left w:val="none" w:sz="0" w:space="0" w:color="auto"/>
                    <w:bottom w:val="none" w:sz="0" w:space="0" w:color="auto"/>
                    <w:right w:val="none" w:sz="0" w:space="0" w:color="auto"/>
                  </w:divBdr>
                </w:div>
              </w:divsChild>
            </w:div>
            <w:div w:id="605580882">
              <w:marLeft w:val="0"/>
              <w:marRight w:val="0"/>
              <w:marTop w:val="0"/>
              <w:marBottom w:val="0"/>
              <w:divBdr>
                <w:top w:val="none" w:sz="0" w:space="0" w:color="auto"/>
                <w:left w:val="none" w:sz="0" w:space="0" w:color="auto"/>
                <w:bottom w:val="none" w:sz="0" w:space="0" w:color="auto"/>
                <w:right w:val="none" w:sz="0" w:space="0" w:color="auto"/>
              </w:divBdr>
              <w:divsChild>
                <w:div w:id="1356689580">
                  <w:marLeft w:val="0"/>
                  <w:marRight w:val="0"/>
                  <w:marTop w:val="0"/>
                  <w:marBottom w:val="0"/>
                  <w:divBdr>
                    <w:top w:val="none" w:sz="0" w:space="0" w:color="auto"/>
                    <w:left w:val="none" w:sz="0" w:space="0" w:color="auto"/>
                    <w:bottom w:val="none" w:sz="0" w:space="0" w:color="auto"/>
                    <w:right w:val="none" w:sz="0" w:space="0" w:color="auto"/>
                  </w:divBdr>
                </w:div>
              </w:divsChild>
            </w:div>
            <w:div w:id="606354693">
              <w:marLeft w:val="0"/>
              <w:marRight w:val="0"/>
              <w:marTop w:val="0"/>
              <w:marBottom w:val="0"/>
              <w:divBdr>
                <w:top w:val="none" w:sz="0" w:space="0" w:color="auto"/>
                <w:left w:val="none" w:sz="0" w:space="0" w:color="auto"/>
                <w:bottom w:val="none" w:sz="0" w:space="0" w:color="auto"/>
                <w:right w:val="none" w:sz="0" w:space="0" w:color="auto"/>
              </w:divBdr>
              <w:divsChild>
                <w:div w:id="1717201091">
                  <w:marLeft w:val="0"/>
                  <w:marRight w:val="0"/>
                  <w:marTop w:val="0"/>
                  <w:marBottom w:val="0"/>
                  <w:divBdr>
                    <w:top w:val="none" w:sz="0" w:space="0" w:color="auto"/>
                    <w:left w:val="none" w:sz="0" w:space="0" w:color="auto"/>
                    <w:bottom w:val="none" w:sz="0" w:space="0" w:color="auto"/>
                    <w:right w:val="none" w:sz="0" w:space="0" w:color="auto"/>
                  </w:divBdr>
                </w:div>
              </w:divsChild>
            </w:div>
            <w:div w:id="707339108">
              <w:marLeft w:val="0"/>
              <w:marRight w:val="0"/>
              <w:marTop w:val="0"/>
              <w:marBottom w:val="0"/>
              <w:divBdr>
                <w:top w:val="none" w:sz="0" w:space="0" w:color="auto"/>
                <w:left w:val="none" w:sz="0" w:space="0" w:color="auto"/>
                <w:bottom w:val="none" w:sz="0" w:space="0" w:color="auto"/>
                <w:right w:val="none" w:sz="0" w:space="0" w:color="auto"/>
              </w:divBdr>
              <w:divsChild>
                <w:div w:id="1073893029">
                  <w:marLeft w:val="0"/>
                  <w:marRight w:val="0"/>
                  <w:marTop w:val="0"/>
                  <w:marBottom w:val="0"/>
                  <w:divBdr>
                    <w:top w:val="none" w:sz="0" w:space="0" w:color="auto"/>
                    <w:left w:val="none" w:sz="0" w:space="0" w:color="auto"/>
                    <w:bottom w:val="none" w:sz="0" w:space="0" w:color="auto"/>
                    <w:right w:val="none" w:sz="0" w:space="0" w:color="auto"/>
                  </w:divBdr>
                </w:div>
              </w:divsChild>
            </w:div>
            <w:div w:id="815411459">
              <w:marLeft w:val="0"/>
              <w:marRight w:val="0"/>
              <w:marTop w:val="0"/>
              <w:marBottom w:val="0"/>
              <w:divBdr>
                <w:top w:val="none" w:sz="0" w:space="0" w:color="auto"/>
                <w:left w:val="none" w:sz="0" w:space="0" w:color="auto"/>
                <w:bottom w:val="none" w:sz="0" w:space="0" w:color="auto"/>
                <w:right w:val="none" w:sz="0" w:space="0" w:color="auto"/>
              </w:divBdr>
              <w:divsChild>
                <w:div w:id="930311480">
                  <w:marLeft w:val="0"/>
                  <w:marRight w:val="0"/>
                  <w:marTop w:val="0"/>
                  <w:marBottom w:val="0"/>
                  <w:divBdr>
                    <w:top w:val="none" w:sz="0" w:space="0" w:color="auto"/>
                    <w:left w:val="none" w:sz="0" w:space="0" w:color="auto"/>
                    <w:bottom w:val="none" w:sz="0" w:space="0" w:color="auto"/>
                    <w:right w:val="none" w:sz="0" w:space="0" w:color="auto"/>
                  </w:divBdr>
                </w:div>
              </w:divsChild>
            </w:div>
            <w:div w:id="849178113">
              <w:marLeft w:val="0"/>
              <w:marRight w:val="0"/>
              <w:marTop w:val="0"/>
              <w:marBottom w:val="0"/>
              <w:divBdr>
                <w:top w:val="none" w:sz="0" w:space="0" w:color="auto"/>
                <w:left w:val="none" w:sz="0" w:space="0" w:color="auto"/>
                <w:bottom w:val="none" w:sz="0" w:space="0" w:color="auto"/>
                <w:right w:val="none" w:sz="0" w:space="0" w:color="auto"/>
              </w:divBdr>
              <w:divsChild>
                <w:div w:id="2096317306">
                  <w:marLeft w:val="0"/>
                  <w:marRight w:val="0"/>
                  <w:marTop w:val="0"/>
                  <w:marBottom w:val="0"/>
                  <w:divBdr>
                    <w:top w:val="none" w:sz="0" w:space="0" w:color="auto"/>
                    <w:left w:val="none" w:sz="0" w:space="0" w:color="auto"/>
                    <w:bottom w:val="none" w:sz="0" w:space="0" w:color="auto"/>
                    <w:right w:val="none" w:sz="0" w:space="0" w:color="auto"/>
                  </w:divBdr>
                </w:div>
              </w:divsChild>
            </w:div>
            <w:div w:id="925457763">
              <w:marLeft w:val="0"/>
              <w:marRight w:val="0"/>
              <w:marTop w:val="0"/>
              <w:marBottom w:val="0"/>
              <w:divBdr>
                <w:top w:val="none" w:sz="0" w:space="0" w:color="auto"/>
                <w:left w:val="none" w:sz="0" w:space="0" w:color="auto"/>
                <w:bottom w:val="none" w:sz="0" w:space="0" w:color="auto"/>
                <w:right w:val="none" w:sz="0" w:space="0" w:color="auto"/>
              </w:divBdr>
              <w:divsChild>
                <w:div w:id="487479267">
                  <w:marLeft w:val="0"/>
                  <w:marRight w:val="0"/>
                  <w:marTop w:val="0"/>
                  <w:marBottom w:val="0"/>
                  <w:divBdr>
                    <w:top w:val="none" w:sz="0" w:space="0" w:color="auto"/>
                    <w:left w:val="none" w:sz="0" w:space="0" w:color="auto"/>
                    <w:bottom w:val="none" w:sz="0" w:space="0" w:color="auto"/>
                    <w:right w:val="none" w:sz="0" w:space="0" w:color="auto"/>
                  </w:divBdr>
                </w:div>
              </w:divsChild>
            </w:div>
            <w:div w:id="975257314">
              <w:marLeft w:val="0"/>
              <w:marRight w:val="0"/>
              <w:marTop w:val="0"/>
              <w:marBottom w:val="0"/>
              <w:divBdr>
                <w:top w:val="none" w:sz="0" w:space="0" w:color="auto"/>
                <w:left w:val="none" w:sz="0" w:space="0" w:color="auto"/>
                <w:bottom w:val="none" w:sz="0" w:space="0" w:color="auto"/>
                <w:right w:val="none" w:sz="0" w:space="0" w:color="auto"/>
              </w:divBdr>
              <w:divsChild>
                <w:div w:id="1017270326">
                  <w:marLeft w:val="0"/>
                  <w:marRight w:val="0"/>
                  <w:marTop w:val="0"/>
                  <w:marBottom w:val="0"/>
                  <w:divBdr>
                    <w:top w:val="none" w:sz="0" w:space="0" w:color="auto"/>
                    <w:left w:val="none" w:sz="0" w:space="0" w:color="auto"/>
                    <w:bottom w:val="none" w:sz="0" w:space="0" w:color="auto"/>
                    <w:right w:val="none" w:sz="0" w:space="0" w:color="auto"/>
                  </w:divBdr>
                </w:div>
              </w:divsChild>
            </w:div>
            <w:div w:id="1310088842">
              <w:marLeft w:val="0"/>
              <w:marRight w:val="0"/>
              <w:marTop w:val="0"/>
              <w:marBottom w:val="0"/>
              <w:divBdr>
                <w:top w:val="none" w:sz="0" w:space="0" w:color="auto"/>
                <w:left w:val="none" w:sz="0" w:space="0" w:color="auto"/>
                <w:bottom w:val="none" w:sz="0" w:space="0" w:color="auto"/>
                <w:right w:val="none" w:sz="0" w:space="0" w:color="auto"/>
              </w:divBdr>
              <w:divsChild>
                <w:div w:id="1103526662">
                  <w:marLeft w:val="0"/>
                  <w:marRight w:val="0"/>
                  <w:marTop w:val="0"/>
                  <w:marBottom w:val="0"/>
                  <w:divBdr>
                    <w:top w:val="none" w:sz="0" w:space="0" w:color="auto"/>
                    <w:left w:val="none" w:sz="0" w:space="0" w:color="auto"/>
                    <w:bottom w:val="none" w:sz="0" w:space="0" w:color="auto"/>
                    <w:right w:val="none" w:sz="0" w:space="0" w:color="auto"/>
                  </w:divBdr>
                </w:div>
              </w:divsChild>
            </w:div>
            <w:div w:id="1353994165">
              <w:marLeft w:val="0"/>
              <w:marRight w:val="0"/>
              <w:marTop w:val="0"/>
              <w:marBottom w:val="0"/>
              <w:divBdr>
                <w:top w:val="none" w:sz="0" w:space="0" w:color="auto"/>
                <w:left w:val="none" w:sz="0" w:space="0" w:color="auto"/>
                <w:bottom w:val="none" w:sz="0" w:space="0" w:color="auto"/>
                <w:right w:val="none" w:sz="0" w:space="0" w:color="auto"/>
              </w:divBdr>
              <w:divsChild>
                <w:div w:id="931621931">
                  <w:marLeft w:val="0"/>
                  <w:marRight w:val="0"/>
                  <w:marTop w:val="0"/>
                  <w:marBottom w:val="0"/>
                  <w:divBdr>
                    <w:top w:val="none" w:sz="0" w:space="0" w:color="auto"/>
                    <w:left w:val="none" w:sz="0" w:space="0" w:color="auto"/>
                    <w:bottom w:val="none" w:sz="0" w:space="0" w:color="auto"/>
                    <w:right w:val="none" w:sz="0" w:space="0" w:color="auto"/>
                  </w:divBdr>
                </w:div>
              </w:divsChild>
            </w:div>
            <w:div w:id="1406103891">
              <w:marLeft w:val="0"/>
              <w:marRight w:val="0"/>
              <w:marTop w:val="0"/>
              <w:marBottom w:val="0"/>
              <w:divBdr>
                <w:top w:val="none" w:sz="0" w:space="0" w:color="auto"/>
                <w:left w:val="none" w:sz="0" w:space="0" w:color="auto"/>
                <w:bottom w:val="none" w:sz="0" w:space="0" w:color="auto"/>
                <w:right w:val="none" w:sz="0" w:space="0" w:color="auto"/>
              </w:divBdr>
              <w:divsChild>
                <w:div w:id="1090585516">
                  <w:marLeft w:val="0"/>
                  <w:marRight w:val="0"/>
                  <w:marTop w:val="0"/>
                  <w:marBottom w:val="0"/>
                  <w:divBdr>
                    <w:top w:val="none" w:sz="0" w:space="0" w:color="auto"/>
                    <w:left w:val="none" w:sz="0" w:space="0" w:color="auto"/>
                    <w:bottom w:val="none" w:sz="0" w:space="0" w:color="auto"/>
                    <w:right w:val="none" w:sz="0" w:space="0" w:color="auto"/>
                  </w:divBdr>
                </w:div>
              </w:divsChild>
            </w:div>
            <w:div w:id="1444955269">
              <w:marLeft w:val="0"/>
              <w:marRight w:val="0"/>
              <w:marTop w:val="0"/>
              <w:marBottom w:val="0"/>
              <w:divBdr>
                <w:top w:val="none" w:sz="0" w:space="0" w:color="auto"/>
                <w:left w:val="none" w:sz="0" w:space="0" w:color="auto"/>
                <w:bottom w:val="none" w:sz="0" w:space="0" w:color="auto"/>
                <w:right w:val="none" w:sz="0" w:space="0" w:color="auto"/>
              </w:divBdr>
              <w:divsChild>
                <w:div w:id="423963970">
                  <w:marLeft w:val="0"/>
                  <w:marRight w:val="0"/>
                  <w:marTop w:val="0"/>
                  <w:marBottom w:val="0"/>
                  <w:divBdr>
                    <w:top w:val="none" w:sz="0" w:space="0" w:color="auto"/>
                    <w:left w:val="none" w:sz="0" w:space="0" w:color="auto"/>
                    <w:bottom w:val="none" w:sz="0" w:space="0" w:color="auto"/>
                    <w:right w:val="none" w:sz="0" w:space="0" w:color="auto"/>
                  </w:divBdr>
                </w:div>
              </w:divsChild>
            </w:div>
            <w:div w:id="1454592395">
              <w:marLeft w:val="0"/>
              <w:marRight w:val="0"/>
              <w:marTop w:val="0"/>
              <w:marBottom w:val="0"/>
              <w:divBdr>
                <w:top w:val="none" w:sz="0" w:space="0" w:color="auto"/>
                <w:left w:val="none" w:sz="0" w:space="0" w:color="auto"/>
                <w:bottom w:val="none" w:sz="0" w:space="0" w:color="auto"/>
                <w:right w:val="none" w:sz="0" w:space="0" w:color="auto"/>
              </w:divBdr>
              <w:divsChild>
                <w:div w:id="597060121">
                  <w:marLeft w:val="0"/>
                  <w:marRight w:val="0"/>
                  <w:marTop w:val="0"/>
                  <w:marBottom w:val="0"/>
                  <w:divBdr>
                    <w:top w:val="none" w:sz="0" w:space="0" w:color="auto"/>
                    <w:left w:val="none" w:sz="0" w:space="0" w:color="auto"/>
                    <w:bottom w:val="none" w:sz="0" w:space="0" w:color="auto"/>
                    <w:right w:val="none" w:sz="0" w:space="0" w:color="auto"/>
                  </w:divBdr>
                </w:div>
              </w:divsChild>
            </w:div>
            <w:div w:id="1532112534">
              <w:marLeft w:val="0"/>
              <w:marRight w:val="0"/>
              <w:marTop w:val="0"/>
              <w:marBottom w:val="0"/>
              <w:divBdr>
                <w:top w:val="none" w:sz="0" w:space="0" w:color="auto"/>
                <w:left w:val="none" w:sz="0" w:space="0" w:color="auto"/>
                <w:bottom w:val="none" w:sz="0" w:space="0" w:color="auto"/>
                <w:right w:val="none" w:sz="0" w:space="0" w:color="auto"/>
              </w:divBdr>
              <w:divsChild>
                <w:div w:id="37895972">
                  <w:marLeft w:val="0"/>
                  <w:marRight w:val="0"/>
                  <w:marTop w:val="0"/>
                  <w:marBottom w:val="0"/>
                  <w:divBdr>
                    <w:top w:val="none" w:sz="0" w:space="0" w:color="auto"/>
                    <w:left w:val="none" w:sz="0" w:space="0" w:color="auto"/>
                    <w:bottom w:val="none" w:sz="0" w:space="0" w:color="auto"/>
                    <w:right w:val="none" w:sz="0" w:space="0" w:color="auto"/>
                  </w:divBdr>
                </w:div>
              </w:divsChild>
            </w:div>
            <w:div w:id="1537039101">
              <w:marLeft w:val="0"/>
              <w:marRight w:val="0"/>
              <w:marTop w:val="0"/>
              <w:marBottom w:val="0"/>
              <w:divBdr>
                <w:top w:val="none" w:sz="0" w:space="0" w:color="auto"/>
                <w:left w:val="none" w:sz="0" w:space="0" w:color="auto"/>
                <w:bottom w:val="none" w:sz="0" w:space="0" w:color="auto"/>
                <w:right w:val="none" w:sz="0" w:space="0" w:color="auto"/>
              </w:divBdr>
              <w:divsChild>
                <w:div w:id="1980762712">
                  <w:marLeft w:val="0"/>
                  <w:marRight w:val="0"/>
                  <w:marTop w:val="0"/>
                  <w:marBottom w:val="0"/>
                  <w:divBdr>
                    <w:top w:val="none" w:sz="0" w:space="0" w:color="auto"/>
                    <w:left w:val="none" w:sz="0" w:space="0" w:color="auto"/>
                    <w:bottom w:val="none" w:sz="0" w:space="0" w:color="auto"/>
                    <w:right w:val="none" w:sz="0" w:space="0" w:color="auto"/>
                  </w:divBdr>
                </w:div>
              </w:divsChild>
            </w:div>
            <w:div w:id="1707484338">
              <w:marLeft w:val="0"/>
              <w:marRight w:val="0"/>
              <w:marTop w:val="0"/>
              <w:marBottom w:val="0"/>
              <w:divBdr>
                <w:top w:val="none" w:sz="0" w:space="0" w:color="auto"/>
                <w:left w:val="none" w:sz="0" w:space="0" w:color="auto"/>
                <w:bottom w:val="none" w:sz="0" w:space="0" w:color="auto"/>
                <w:right w:val="none" w:sz="0" w:space="0" w:color="auto"/>
              </w:divBdr>
              <w:divsChild>
                <w:div w:id="1077171742">
                  <w:marLeft w:val="0"/>
                  <w:marRight w:val="0"/>
                  <w:marTop w:val="0"/>
                  <w:marBottom w:val="0"/>
                  <w:divBdr>
                    <w:top w:val="none" w:sz="0" w:space="0" w:color="auto"/>
                    <w:left w:val="none" w:sz="0" w:space="0" w:color="auto"/>
                    <w:bottom w:val="none" w:sz="0" w:space="0" w:color="auto"/>
                    <w:right w:val="none" w:sz="0" w:space="0" w:color="auto"/>
                  </w:divBdr>
                </w:div>
              </w:divsChild>
            </w:div>
            <w:div w:id="1765609308">
              <w:marLeft w:val="0"/>
              <w:marRight w:val="0"/>
              <w:marTop w:val="0"/>
              <w:marBottom w:val="0"/>
              <w:divBdr>
                <w:top w:val="none" w:sz="0" w:space="0" w:color="auto"/>
                <w:left w:val="none" w:sz="0" w:space="0" w:color="auto"/>
                <w:bottom w:val="none" w:sz="0" w:space="0" w:color="auto"/>
                <w:right w:val="none" w:sz="0" w:space="0" w:color="auto"/>
              </w:divBdr>
              <w:divsChild>
                <w:div w:id="707729576">
                  <w:marLeft w:val="0"/>
                  <w:marRight w:val="0"/>
                  <w:marTop w:val="0"/>
                  <w:marBottom w:val="0"/>
                  <w:divBdr>
                    <w:top w:val="none" w:sz="0" w:space="0" w:color="auto"/>
                    <w:left w:val="none" w:sz="0" w:space="0" w:color="auto"/>
                    <w:bottom w:val="none" w:sz="0" w:space="0" w:color="auto"/>
                    <w:right w:val="none" w:sz="0" w:space="0" w:color="auto"/>
                  </w:divBdr>
                </w:div>
              </w:divsChild>
            </w:div>
            <w:div w:id="1884167590">
              <w:marLeft w:val="0"/>
              <w:marRight w:val="0"/>
              <w:marTop w:val="0"/>
              <w:marBottom w:val="0"/>
              <w:divBdr>
                <w:top w:val="none" w:sz="0" w:space="0" w:color="auto"/>
                <w:left w:val="none" w:sz="0" w:space="0" w:color="auto"/>
                <w:bottom w:val="none" w:sz="0" w:space="0" w:color="auto"/>
                <w:right w:val="none" w:sz="0" w:space="0" w:color="auto"/>
              </w:divBdr>
              <w:divsChild>
                <w:div w:id="678310812">
                  <w:marLeft w:val="0"/>
                  <w:marRight w:val="0"/>
                  <w:marTop w:val="0"/>
                  <w:marBottom w:val="0"/>
                  <w:divBdr>
                    <w:top w:val="none" w:sz="0" w:space="0" w:color="auto"/>
                    <w:left w:val="none" w:sz="0" w:space="0" w:color="auto"/>
                    <w:bottom w:val="none" w:sz="0" w:space="0" w:color="auto"/>
                    <w:right w:val="none" w:sz="0" w:space="0" w:color="auto"/>
                  </w:divBdr>
                </w:div>
              </w:divsChild>
            </w:div>
            <w:div w:id="2082360863">
              <w:marLeft w:val="0"/>
              <w:marRight w:val="0"/>
              <w:marTop w:val="0"/>
              <w:marBottom w:val="0"/>
              <w:divBdr>
                <w:top w:val="none" w:sz="0" w:space="0" w:color="auto"/>
                <w:left w:val="none" w:sz="0" w:space="0" w:color="auto"/>
                <w:bottom w:val="none" w:sz="0" w:space="0" w:color="auto"/>
                <w:right w:val="none" w:sz="0" w:space="0" w:color="auto"/>
              </w:divBdr>
              <w:divsChild>
                <w:div w:id="1993101958">
                  <w:marLeft w:val="0"/>
                  <w:marRight w:val="0"/>
                  <w:marTop w:val="0"/>
                  <w:marBottom w:val="0"/>
                  <w:divBdr>
                    <w:top w:val="none" w:sz="0" w:space="0" w:color="auto"/>
                    <w:left w:val="none" w:sz="0" w:space="0" w:color="auto"/>
                    <w:bottom w:val="none" w:sz="0" w:space="0" w:color="auto"/>
                    <w:right w:val="none" w:sz="0" w:space="0" w:color="auto"/>
                  </w:divBdr>
                </w:div>
              </w:divsChild>
            </w:div>
            <w:div w:id="2111194521">
              <w:marLeft w:val="0"/>
              <w:marRight w:val="0"/>
              <w:marTop w:val="0"/>
              <w:marBottom w:val="0"/>
              <w:divBdr>
                <w:top w:val="none" w:sz="0" w:space="0" w:color="auto"/>
                <w:left w:val="none" w:sz="0" w:space="0" w:color="auto"/>
                <w:bottom w:val="none" w:sz="0" w:space="0" w:color="auto"/>
                <w:right w:val="none" w:sz="0" w:space="0" w:color="auto"/>
              </w:divBdr>
              <w:divsChild>
                <w:div w:id="12638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7364">
      <w:bodyDiv w:val="1"/>
      <w:marLeft w:val="0"/>
      <w:marRight w:val="0"/>
      <w:marTop w:val="0"/>
      <w:marBottom w:val="0"/>
      <w:divBdr>
        <w:top w:val="none" w:sz="0" w:space="0" w:color="auto"/>
        <w:left w:val="none" w:sz="0" w:space="0" w:color="auto"/>
        <w:bottom w:val="none" w:sz="0" w:space="0" w:color="auto"/>
        <w:right w:val="none" w:sz="0" w:space="0" w:color="auto"/>
      </w:divBdr>
    </w:div>
    <w:div w:id="507985599">
      <w:bodyDiv w:val="1"/>
      <w:marLeft w:val="0"/>
      <w:marRight w:val="0"/>
      <w:marTop w:val="0"/>
      <w:marBottom w:val="0"/>
      <w:divBdr>
        <w:top w:val="none" w:sz="0" w:space="0" w:color="auto"/>
        <w:left w:val="none" w:sz="0" w:space="0" w:color="auto"/>
        <w:bottom w:val="none" w:sz="0" w:space="0" w:color="auto"/>
        <w:right w:val="none" w:sz="0" w:space="0" w:color="auto"/>
      </w:divBdr>
    </w:div>
    <w:div w:id="548343859">
      <w:bodyDiv w:val="1"/>
      <w:marLeft w:val="0"/>
      <w:marRight w:val="0"/>
      <w:marTop w:val="0"/>
      <w:marBottom w:val="0"/>
      <w:divBdr>
        <w:top w:val="none" w:sz="0" w:space="0" w:color="auto"/>
        <w:left w:val="none" w:sz="0" w:space="0" w:color="auto"/>
        <w:bottom w:val="none" w:sz="0" w:space="0" w:color="auto"/>
        <w:right w:val="none" w:sz="0" w:space="0" w:color="auto"/>
      </w:divBdr>
    </w:div>
    <w:div w:id="648485340">
      <w:bodyDiv w:val="1"/>
      <w:marLeft w:val="0"/>
      <w:marRight w:val="0"/>
      <w:marTop w:val="0"/>
      <w:marBottom w:val="0"/>
      <w:divBdr>
        <w:top w:val="none" w:sz="0" w:space="0" w:color="auto"/>
        <w:left w:val="none" w:sz="0" w:space="0" w:color="auto"/>
        <w:bottom w:val="none" w:sz="0" w:space="0" w:color="auto"/>
        <w:right w:val="none" w:sz="0" w:space="0" w:color="auto"/>
      </w:divBdr>
    </w:div>
    <w:div w:id="722606067">
      <w:bodyDiv w:val="1"/>
      <w:marLeft w:val="0"/>
      <w:marRight w:val="0"/>
      <w:marTop w:val="0"/>
      <w:marBottom w:val="0"/>
      <w:divBdr>
        <w:top w:val="none" w:sz="0" w:space="0" w:color="auto"/>
        <w:left w:val="none" w:sz="0" w:space="0" w:color="auto"/>
        <w:bottom w:val="none" w:sz="0" w:space="0" w:color="auto"/>
        <w:right w:val="none" w:sz="0" w:space="0" w:color="auto"/>
      </w:divBdr>
    </w:div>
    <w:div w:id="728311144">
      <w:bodyDiv w:val="1"/>
      <w:marLeft w:val="0"/>
      <w:marRight w:val="0"/>
      <w:marTop w:val="0"/>
      <w:marBottom w:val="0"/>
      <w:divBdr>
        <w:top w:val="none" w:sz="0" w:space="0" w:color="auto"/>
        <w:left w:val="none" w:sz="0" w:space="0" w:color="auto"/>
        <w:bottom w:val="none" w:sz="0" w:space="0" w:color="auto"/>
        <w:right w:val="none" w:sz="0" w:space="0" w:color="auto"/>
      </w:divBdr>
    </w:div>
    <w:div w:id="998311776">
      <w:bodyDiv w:val="1"/>
      <w:marLeft w:val="0"/>
      <w:marRight w:val="0"/>
      <w:marTop w:val="0"/>
      <w:marBottom w:val="0"/>
      <w:divBdr>
        <w:top w:val="none" w:sz="0" w:space="0" w:color="auto"/>
        <w:left w:val="none" w:sz="0" w:space="0" w:color="auto"/>
        <w:bottom w:val="none" w:sz="0" w:space="0" w:color="auto"/>
        <w:right w:val="none" w:sz="0" w:space="0" w:color="auto"/>
      </w:divBdr>
      <w:divsChild>
        <w:div w:id="1619680768">
          <w:marLeft w:val="1080"/>
          <w:marRight w:val="0"/>
          <w:marTop w:val="100"/>
          <w:marBottom w:val="0"/>
          <w:divBdr>
            <w:top w:val="none" w:sz="0" w:space="0" w:color="auto"/>
            <w:left w:val="none" w:sz="0" w:space="0" w:color="auto"/>
            <w:bottom w:val="none" w:sz="0" w:space="0" w:color="auto"/>
            <w:right w:val="none" w:sz="0" w:space="0" w:color="auto"/>
          </w:divBdr>
        </w:div>
      </w:divsChild>
    </w:div>
    <w:div w:id="1016271702">
      <w:bodyDiv w:val="1"/>
      <w:marLeft w:val="0"/>
      <w:marRight w:val="0"/>
      <w:marTop w:val="0"/>
      <w:marBottom w:val="0"/>
      <w:divBdr>
        <w:top w:val="none" w:sz="0" w:space="0" w:color="auto"/>
        <w:left w:val="none" w:sz="0" w:space="0" w:color="auto"/>
        <w:bottom w:val="none" w:sz="0" w:space="0" w:color="auto"/>
        <w:right w:val="none" w:sz="0" w:space="0" w:color="auto"/>
      </w:divBdr>
    </w:div>
    <w:div w:id="1365404153">
      <w:bodyDiv w:val="1"/>
      <w:marLeft w:val="0"/>
      <w:marRight w:val="0"/>
      <w:marTop w:val="0"/>
      <w:marBottom w:val="0"/>
      <w:divBdr>
        <w:top w:val="none" w:sz="0" w:space="0" w:color="auto"/>
        <w:left w:val="none" w:sz="0" w:space="0" w:color="auto"/>
        <w:bottom w:val="none" w:sz="0" w:space="0" w:color="auto"/>
        <w:right w:val="none" w:sz="0" w:space="0" w:color="auto"/>
      </w:divBdr>
    </w:div>
    <w:div w:id="1663242317">
      <w:bodyDiv w:val="1"/>
      <w:marLeft w:val="0"/>
      <w:marRight w:val="0"/>
      <w:marTop w:val="0"/>
      <w:marBottom w:val="0"/>
      <w:divBdr>
        <w:top w:val="none" w:sz="0" w:space="0" w:color="auto"/>
        <w:left w:val="none" w:sz="0" w:space="0" w:color="auto"/>
        <w:bottom w:val="none" w:sz="0" w:space="0" w:color="auto"/>
        <w:right w:val="none" w:sz="0" w:space="0" w:color="auto"/>
      </w:divBdr>
    </w:div>
    <w:div w:id="18707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9.health.gov.au/mbs/fullDisplay.cfm?type=item&amp;q=59970&amp;qt=ite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health.gov.au/resources/publications/taskforce-final-report-vascular-services-items?language=en" TargetMode="External"/><Relationship Id="rId17" Type="http://schemas.openxmlformats.org/officeDocument/2006/relationships/hyperlink" Target="https://www.mbsonline.gov.au/" TargetMode="External"/><Relationship Id="rId2" Type="http://schemas.openxmlformats.org/officeDocument/2006/relationships/customXml" Target="../customXml/item2.xml"/><Relationship Id="rId16" Type="http://schemas.openxmlformats.org/officeDocument/2006/relationships/hyperlink" Target="https://www.health.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committees-and-groups/medicare-benefits-schedule-mbs-review-advisory-committee-mra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taskforce-final-report-vascular-services-items?language=en"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gov.au/resources/publications/taskforce-final-report-vascular-services-items?language=en" TargetMode="External"/><Relationship Id="rId2" Type="http://schemas.openxmlformats.org/officeDocument/2006/relationships/hyperlink" Target="https://www.health.gov.au/resources/publications/taskforce-final-report-vascular-services-items?language=en" TargetMode="External"/><Relationship Id="rId1" Type="http://schemas.openxmlformats.org/officeDocument/2006/relationships/hyperlink" Target="https://www.health.gov.au/resources/publications/taskforce-final-report-vascular-services-items?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78010B-DA39-7D4E-B68D-2F0FF5E398FC}">
  <we:reference id="wa104380773" version="2.0.0.0" store="en-US" storeType="OMEX"/>
  <we:alternateReferences>
    <we:reference id="WA104380773"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d18265-326c-4663-9a51-69c1b30ad054" xsi:nil="true"/>
    <lcf76f155ced4ddcb4097134ff3c332f xmlns="b2db6d00-a5ee-4c7a-84c8-0f258acc498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5BB68D7196E647A4AEBA7AB6226350" ma:contentTypeVersion="16" ma:contentTypeDescription="Create a new document." ma:contentTypeScope="" ma:versionID="6156495afad763c4710e65ec76b60b55">
  <xsd:schema xmlns:xsd="http://www.w3.org/2001/XMLSchema" xmlns:xs="http://www.w3.org/2001/XMLSchema" xmlns:p="http://schemas.microsoft.com/office/2006/metadata/properties" xmlns:ns2="b2db6d00-a5ee-4c7a-84c8-0f258acc4987" xmlns:ns3="3dd18265-326c-4663-9a51-69c1b30ad054" targetNamespace="http://schemas.microsoft.com/office/2006/metadata/properties" ma:root="true" ma:fieldsID="e6b4c38e306e0987cd6885996411e7d2" ns2:_="" ns3:_="">
    <xsd:import namespace="b2db6d00-a5ee-4c7a-84c8-0f258acc4987"/>
    <xsd:import namespace="3dd18265-326c-4663-9a51-69c1b30ad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b6d00-a5ee-4c7a-84c8-0f258acc4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18265-326c-4663-9a51-69c1b30ad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f641b67-ddd4-4a54-9d8e-e9e07d83d4ac}" ma:internalName="TaxCatchAll" ma:showField="CatchAllData" ma:web="3dd18265-326c-4663-9a51-69c1b30ad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86394-E703-48E1-B6E2-4C89BB49FD4D}">
  <ds:schemaRefs>
    <ds:schemaRef ds:uri="http://schemas.microsoft.com/sharepoint/v3/contenttype/forms"/>
  </ds:schemaRefs>
</ds:datastoreItem>
</file>

<file path=customXml/itemProps2.xml><?xml version="1.0" encoding="utf-8"?>
<ds:datastoreItem xmlns:ds="http://schemas.openxmlformats.org/officeDocument/2006/customXml" ds:itemID="{E700A107-96CC-4086-9B6D-C61C215F9EB6}">
  <ds:schemaRefs>
    <ds:schemaRef ds:uri="http://schemas.microsoft.com/office/2006/metadata/properties"/>
    <ds:schemaRef ds:uri="http://schemas.microsoft.com/office/infopath/2007/PartnerControls"/>
    <ds:schemaRef ds:uri="3dd18265-326c-4663-9a51-69c1b30ad054"/>
    <ds:schemaRef ds:uri="b2db6d00-a5ee-4c7a-84c8-0f258acc4987"/>
  </ds:schemaRefs>
</ds:datastoreItem>
</file>

<file path=customXml/itemProps3.xml><?xml version="1.0" encoding="utf-8"?>
<ds:datastoreItem xmlns:ds="http://schemas.openxmlformats.org/officeDocument/2006/customXml" ds:itemID="{EF43292D-72B3-0946-9AE3-701CA1F227F0}">
  <ds:schemaRefs>
    <ds:schemaRef ds:uri="http://schemas.openxmlformats.org/officeDocument/2006/bibliography"/>
  </ds:schemaRefs>
</ds:datastoreItem>
</file>

<file path=customXml/itemProps4.xml><?xml version="1.0" encoding="utf-8"?>
<ds:datastoreItem xmlns:ds="http://schemas.openxmlformats.org/officeDocument/2006/customXml" ds:itemID="{18A4C291-6F11-40C4-A67F-FBDD55D20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b6d00-a5ee-4c7a-84c8-0f258acc4987"/>
    <ds:schemaRef ds:uri="3dd18265-326c-4663-9a51-69c1b30ad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6639</Words>
  <Characters>38976</Characters>
  <Application>Microsoft Office Word</Application>
  <DocSecurity>0</DocSecurity>
  <Lines>795</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45197</CharactersWithSpaces>
  <SharedDoc>false</SharedDoc>
  <HLinks>
    <vt:vector size="222" baseType="variant">
      <vt:variant>
        <vt:i4>393258</vt:i4>
      </vt:variant>
      <vt:variant>
        <vt:i4>222</vt:i4>
      </vt:variant>
      <vt:variant>
        <vt:i4>0</vt:i4>
      </vt:variant>
      <vt:variant>
        <vt:i4>5</vt:i4>
      </vt:variant>
      <vt:variant>
        <vt:lpwstr/>
      </vt:variant>
      <vt:variant>
        <vt:lpwstr>_Eligibility_based_on</vt:lpwstr>
      </vt:variant>
      <vt:variant>
        <vt:i4>7733306</vt:i4>
      </vt:variant>
      <vt:variant>
        <vt:i4>219</vt:i4>
      </vt:variant>
      <vt:variant>
        <vt:i4>0</vt:i4>
      </vt:variant>
      <vt:variant>
        <vt:i4>5</vt:i4>
      </vt:variant>
      <vt:variant>
        <vt:lpwstr>https://www.health.gov.au/resources/publications/cost-benefit-analysis-of-nurse-practitioner-models-of-care</vt:lpwstr>
      </vt:variant>
      <vt:variant>
        <vt:lpwstr/>
      </vt:variant>
      <vt:variant>
        <vt:i4>2490380</vt:i4>
      </vt:variant>
      <vt:variant>
        <vt:i4>216</vt:i4>
      </vt:variant>
      <vt:variant>
        <vt:i4>0</vt:i4>
      </vt:variant>
      <vt:variant>
        <vt:i4>5</vt:i4>
      </vt:variant>
      <vt:variant>
        <vt:lpwstr/>
      </vt:variant>
      <vt:variant>
        <vt:lpwstr>_Number_of_nurse</vt:lpwstr>
      </vt:variant>
      <vt:variant>
        <vt:i4>1966132</vt:i4>
      </vt:variant>
      <vt:variant>
        <vt:i4>200</vt:i4>
      </vt:variant>
      <vt:variant>
        <vt:i4>0</vt:i4>
      </vt:variant>
      <vt:variant>
        <vt:i4>5</vt:i4>
      </vt:variant>
      <vt:variant>
        <vt:lpwstr/>
      </vt:variant>
      <vt:variant>
        <vt:lpwstr>_Toc117856764</vt:lpwstr>
      </vt:variant>
      <vt:variant>
        <vt:i4>1966132</vt:i4>
      </vt:variant>
      <vt:variant>
        <vt:i4>194</vt:i4>
      </vt:variant>
      <vt:variant>
        <vt:i4>0</vt:i4>
      </vt:variant>
      <vt:variant>
        <vt:i4>5</vt:i4>
      </vt:variant>
      <vt:variant>
        <vt:lpwstr/>
      </vt:variant>
      <vt:variant>
        <vt:lpwstr>_Toc117856763</vt:lpwstr>
      </vt:variant>
      <vt:variant>
        <vt:i4>1966132</vt:i4>
      </vt:variant>
      <vt:variant>
        <vt:i4>188</vt:i4>
      </vt:variant>
      <vt:variant>
        <vt:i4>0</vt:i4>
      </vt:variant>
      <vt:variant>
        <vt:i4>5</vt:i4>
      </vt:variant>
      <vt:variant>
        <vt:lpwstr/>
      </vt:variant>
      <vt:variant>
        <vt:lpwstr>_Toc117856762</vt:lpwstr>
      </vt:variant>
      <vt:variant>
        <vt:i4>1966132</vt:i4>
      </vt:variant>
      <vt:variant>
        <vt:i4>182</vt:i4>
      </vt:variant>
      <vt:variant>
        <vt:i4>0</vt:i4>
      </vt:variant>
      <vt:variant>
        <vt:i4>5</vt:i4>
      </vt:variant>
      <vt:variant>
        <vt:lpwstr/>
      </vt:variant>
      <vt:variant>
        <vt:lpwstr>_Toc117856761</vt:lpwstr>
      </vt:variant>
      <vt:variant>
        <vt:i4>1966132</vt:i4>
      </vt:variant>
      <vt:variant>
        <vt:i4>176</vt:i4>
      </vt:variant>
      <vt:variant>
        <vt:i4>0</vt:i4>
      </vt:variant>
      <vt:variant>
        <vt:i4>5</vt:i4>
      </vt:variant>
      <vt:variant>
        <vt:lpwstr/>
      </vt:variant>
      <vt:variant>
        <vt:lpwstr>_Toc117856760</vt:lpwstr>
      </vt:variant>
      <vt:variant>
        <vt:i4>1900596</vt:i4>
      </vt:variant>
      <vt:variant>
        <vt:i4>170</vt:i4>
      </vt:variant>
      <vt:variant>
        <vt:i4>0</vt:i4>
      </vt:variant>
      <vt:variant>
        <vt:i4>5</vt:i4>
      </vt:variant>
      <vt:variant>
        <vt:lpwstr/>
      </vt:variant>
      <vt:variant>
        <vt:lpwstr>_Toc117856759</vt:lpwstr>
      </vt:variant>
      <vt:variant>
        <vt:i4>1900596</vt:i4>
      </vt:variant>
      <vt:variant>
        <vt:i4>164</vt:i4>
      </vt:variant>
      <vt:variant>
        <vt:i4>0</vt:i4>
      </vt:variant>
      <vt:variant>
        <vt:i4>5</vt:i4>
      </vt:variant>
      <vt:variant>
        <vt:lpwstr/>
      </vt:variant>
      <vt:variant>
        <vt:lpwstr>_Toc117856758</vt:lpwstr>
      </vt:variant>
      <vt:variant>
        <vt:i4>1900596</vt:i4>
      </vt:variant>
      <vt:variant>
        <vt:i4>158</vt:i4>
      </vt:variant>
      <vt:variant>
        <vt:i4>0</vt:i4>
      </vt:variant>
      <vt:variant>
        <vt:i4>5</vt:i4>
      </vt:variant>
      <vt:variant>
        <vt:lpwstr/>
      </vt:variant>
      <vt:variant>
        <vt:lpwstr>_Toc117856757</vt:lpwstr>
      </vt:variant>
      <vt:variant>
        <vt:i4>1900596</vt:i4>
      </vt:variant>
      <vt:variant>
        <vt:i4>152</vt:i4>
      </vt:variant>
      <vt:variant>
        <vt:i4>0</vt:i4>
      </vt:variant>
      <vt:variant>
        <vt:i4>5</vt:i4>
      </vt:variant>
      <vt:variant>
        <vt:lpwstr/>
      </vt:variant>
      <vt:variant>
        <vt:lpwstr>_Toc117856756</vt:lpwstr>
      </vt:variant>
      <vt:variant>
        <vt:i4>1900596</vt:i4>
      </vt:variant>
      <vt:variant>
        <vt:i4>146</vt:i4>
      </vt:variant>
      <vt:variant>
        <vt:i4>0</vt:i4>
      </vt:variant>
      <vt:variant>
        <vt:i4>5</vt:i4>
      </vt:variant>
      <vt:variant>
        <vt:lpwstr/>
      </vt:variant>
      <vt:variant>
        <vt:lpwstr>_Toc117856755</vt:lpwstr>
      </vt:variant>
      <vt:variant>
        <vt:i4>1900596</vt:i4>
      </vt:variant>
      <vt:variant>
        <vt:i4>140</vt:i4>
      </vt:variant>
      <vt:variant>
        <vt:i4>0</vt:i4>
      </vt:variant>
      <vt:variant>
        <vt:i4>5</vt:i4>
      </vt:variant>
      <vt:variant>
        <vt:lpwstr/>
      </vt:variant>
      <vt:variant>
        <vt:lpwstr>_Toc117856754</vt:lpwstr>
      </vt:variant>
      <vt:variant>
        <vt:i4>1900596</vt:i4>
      </vt:variant>
      <vt:variant>
        <vt:i4>134</vt:i4>
      </vt:variant>
      <vt:variant>
        <vt:i4>0</vt:i4>
      </vt:variant>
      <vt:variant>
        <vt:i4>5</vt:i4>
      </vt:variant>
      <vt:variant>
        <vt:lpwstr/>
      </vt:variant>
      <vt:variant>
        <vt:lpwstr>_Toc117856753</vt:lpwstr>
      </vt:variant>
      <vt:variant>
        <vt:i4>1900596</vt:i4>
      </vt:variant>
      <vt:variant>
        <vt:i4>128</vt:i4>
      </vt:variant>
      <vt:variant>
        <vt:i4>0</vt:i4>
      </vt:variant>
      <vt:variant>
        <vt:i4>5</vt:i4>
      </vt:variant>
      <vt:variant>
        <vt:lpwstr/>
      </vt:variant>
      <vt:variant>
        <vt:lpwstr>_Toc117856752</vt:lpwstr>
      </vt:variant>
      <vt:variant>
        <vt:i4>1900596</vt:i4>
      </vt:variant>
      <vt:variant>
        <vt:i4>122</vt:i4>
      </vt:variant>
      <vt:variant>
        <vt:i4>0</vt:i4>
      </vt:variant>
      <vt:variant>
        <vt:i4>5</vt:i4>
      </vt:variant>
      <vt:variant>
        <vt:lpwstr/>
      </vt:variant>
      <vt:variant>
        <vt:lpwstr>_Toc117856751</vt:lpwstr>
      </vt:variant>
      <vt:variant>
        <vt:i4>1900596</vt:i4>
      </vt:variant>
      <vt:variant>
        <vt:i4>116</vt:i4>
      </vt:variant>
      <vt:variant>
        <vt:i4>0</vt:i4>
      </vt:variant>
      <vt:variant>
        <vt:i4>5</vt:i4>
      </vt:variant>
      <vt:variant>
        <vt:lpwstr/>
      </vt:variant>
      <vt:variant>
        <vt:lpwstr>_Toc117856750</vt:lpwstr>
      </vt:variant>
      <vt:variant>
        <vt:i4>1835060</vt:i4>
      </vt:variant>
      <vt:variant>
        <vt:i4>110</vt:i4>
      </vt:variant>
      <vt:variant>
        <vt:i4>0</vt:i4>
      </vt:variant>
      <vt:variant>
        <vt:i4>5</vt:i4>
      </vt:variant>
      <vt:variant>
        <vt:lpwstr/>
      </vt:variant>
      <vt:variant>
        <vt:lpwstr>_Toc117856749</vt:lpwstr>
      </vt:variant>
      <vt:variant>
        <vt:i4>1835060</vt:i4>
      </vt:variant>
      <vt:variant>
        <vt:i4>104</vt:i4>
      </vt:variant>
      <vt:variant>
        <vt:i4>0</vt:i4>
      </vt:variant>
      <vt:variant>
        <vt:i4>5</vt:i4>
      </vt:variant>
      <vt:variant>
        <vt:lpwstr/>
      </vt:variant>
      <vt:variant>
        <vt:lpwstr>_Toc117856748</vt:lpwstr>
      </vt:variant>
      <vt:variant>
        <vt:i4>1835060</vt:i4>
      </vt:variant>
      <vt:variant>
        <vt:i4>98</vt:i4>
      </vt:variant>
      <vt:variant>
        <vt:i4>0</vt:i4>
      </vt:variant>
      <vt:variant>
        <vt:i4>5</vt:i4>
      </vt:variant>
      <vt:variant>
        <vt:lpwstr/>
      </vt:variant>
      <vt:variant>
        <vt:lpwstr>_Toc117856747</vt:lpwstr>
      </vt:variant>
      <vt:variant>
        <vt:i4>1835060</vt:i4>
      </vt:variant>
      <vt:variant>
        <vt:i4>92</vt:i4>
      </vt:variant>
      <vt:variant>
        <vt:i4>0</vt:i4>
      </vt:variant>
      <vt:variant>
        <vt:i4>5</vt:i4>
      </vt:variant>
      <vt:variant>
        <vt:lpwstr/>
      </vt:variant>
      <vt:variant>
        <vt:lpwstr>_Toc117856746</vt:lpwstr>
      </vt:variant>
      <vt:variant>
        <vt:i4>1835060</vt:i4>
      </vt:variant>
      <vt:variant>
        <vt:i4>86</vt:i4>
      </vt:variant>
      <vt:variant>
        <vt:i4>0</vt:i4>
      </vt:variant>
      <vt:variant>
        <vt:i4>5</vt:i4>
      </vt:variant>
      <vt:variant>
        <vt:lpwstr/>
      </vt:variant>
      <vt:variant>
        <vt:lpwstr>_Toc117856745</vt:lpwstr>
      </vt:variant>
      <vt:variant>
        <vt:i4>1835060</vt:i4>
      </vt:variant>
      <vt:variant>
        <vt:i4>80</vt:i4>
      </vt:variant>
      <vt:variant>
        <vt:i4>0</vt:i4>
      </vt:variant>
      <vt:variant>
        <vt:i4>5</vt:i4>
      </vt:variant>
      <vt:variant>
        <vt:lpwstr/>
      </vt:variant>
      <vt:variant>
        <vt:lpwstr>_Toc117856744</vt:lpwstr>
      </vt:variant>
      <vt:variant>
        <vt:i4>1835060</vt:i4>
      </vt:variant>
      <vt:variant>
        <vt:i4>74</vt:i4>
      </vt:variant>
      <vt:variant>
        <vt:i4>0</vt:i4>
      </vt:variant>
      <vt:variant>
        <vt:i4>5</vt:i4>
      </vt:variant>
      <vt:variant>
        <vt:lpwstr/>
      </vt:variant>
      <vt:variant>
        <vt:lpwstr>_Toc117856743</vt:lpwstr>
      </vt:variant>
      <vt:variant>
        <vt:i4>1835060</vt:i4>
      </vt:variant>
      <vt:variant>
        <vt:i4>68</vt:i4>
      </vt:variant>
      <vt:variant>
        <vt:i4>0</vt:i4>
      </vt:variant>
      <vt:variant>
        <vt:i4>5</vt:i4>
      </vt:variant>
      <vt:variant>
        <vt:lpwstr/>
      </vt:variant>
      <vt:variant>
        <vt:lpwstr>_Toc117856742</vt:lpwstr>
      </vt:variant>
      <vt:variant>
        <vt:i4>1835060</vt:i4>
      </vt:variant>
      <vt:variant>
        <vt:i4>62</vt:i4>
      </vt:variant>
      <vt:variant>
        <vt:i4>0</vt:i4>
      </vt:variant>
      <vt:variant>
        <vt:i4>5</vt:i4>
      </vt:variant>
      <vt:variant>
        <vt:lpwstr/>
      </vt:variant>
      <vt:variant>
        <vt:lpwstr>_Toc117856741</vt:lpwstr>
      </vt:variant>
      <vt:variant>
        <vt:i4>1835060</vt:i4>
      </vt:variant>
      <vt:variant>
        <vt:i4>56</vt:i4>
      </vt:variant>
      <vt:variant>
        <vt:i4>0</vt:i4>
      </vt:variant>
      <vt:variant>
        <vt:i4>5</vt:i4>
      </vt:variant>
      <vt:variant>
        <vt:lpwstr/>
      </vt:variant>
      <vt:variant>
        <vt:lpwstr>_Toc117856740</vt:lpwstr>
      </vt:variant>
      <vt:variant>
        <vt:i4>1769524</vt:i4>
      </vt:variant>
      <vt:variant>
        <vt:i4>50</vt:i4>
      </vt:variant>
      <vt:variant>
        <vt:i4>0</vt:i4>
      </vt:variant>
      <vt:variant>
        <vt:i4>5</vt:i4>
      </vt:variant>
      <vt:variant>
        <vt:lpwstr/>
      </vt:variant>
      <vt:variant>
        <vt:lpwstr>_Toc117856739</vt:lpwstr>
      </vt:variant>
      <vt:variant>
        <vt:i4>1769524</vt:i4>
      </vt:variant>
      <vt:variant>
        <vt:i4>44</vt:i4>
      </vt:variant>
      <vt:variant>
        <vt:i4>0</vt:i4>
      </vt:variant>
      <vt:variant>
        <vt:i4>5</vt:i4>
      </vt:variant>
      <vt:variant>
        <vt:lpwstr/>
      </vt:variant>
      <vt:variant>
        <vt:lpwstr>_Toc117856738</vt:lpwstr>
      </vt:variant>
      <vt:variant>
        <vt:i4>1769524</vt:i4>
      </vt:variant>
      <vt:variant>
        <vt:i4>38</vt:i4>
      </vt:variant>
      <vt:variant>
        <vt:i4>0</vt:i4>
      </vt:variant>
      <vt:variant>
        <vt:i4>5</vt:i4>
      </vt:variant>
      <vt:variant>
        <vt:lpwstr/>
      </vt:variant>
      <vt:variant>
        <vt:lpwstr>_Toc117856737</vt:lpwstr>
      </vt:variant>
      <vt:variant>
        <vt:i4>1769524</vt:i4>
      </vt:variant>
      <vt:variant>
        <vt:i4>32</vt:i4>
      </vt:variant>
      <vt:variant>
        <vt:i4>0</vt:i4>
      </vt:variant>
      <vt:variant>
        <vt:i4>5</vt:i4>
      </vt:variant>
      <vt:variant>
        <vt:lpwstr/>
      </vt:variant>
      <vt:variant>
        <vt:lpwstr>_Toc117856736</vt:lpwstr>
      </vt:variant>
      <vt:variant>
        <vt:i4>1769524</vt:i4>
      </vt:variant>
      <vt:variant>
        <vt:i4>26</vt:i4>
      </vt:variant>
      <vt:variant>
        <vt:i4>0</vt:i4>
      </vt:variant>
      <vt:variant>
        <vt:i4>5</vt:i4>
      </vt:variant>
      <vt:variant>
        <vt:lpwstr/>
      </vt:variant>
      <vt:variant>
        <vt:lpwstr>_Toc117856735</vt:lpwstr>
      </vt:variant>
      <vt:variant>
        <vt:i4>1769524</vt:i4>
      </vt:variant>
      <vt:variant>
        <vt:i4>20</vt:i4>
      </vt:variant>
      <vt:variant>
        <vt:i4>0</vt:i4>
      </vt:variant>
      <vt:variant>
        <vt:i4>5</vt:i4>
      </vt:variant>
      <vt:variant>
        <vt:lpwstr/>
      </vt:variant>
      <vt:variant>
        <vt:lpwstr>_Toc117856734</vt:lpwstr>
      </vt:variant>
      <vt:variant>
        <vt:i4>1769524</vt:i4>
      </vt:variant>
      <vt:variant>
        <vt:i4>14</vt:i4>
      </vt:variant>
      <vt:variant>
        <vt:i4>0</vt:i4>
      </vt:variant>
      <vt:variant>
        <vt:i4>5</vt:i4>
      </vt:variant>
      <vt:variant>
        <vt:lpwstr/>
      </vt:variant>
      <vt:variant>
        <vt:lpwstr>_Toc117856733</vt:lpwstr>
      </vt:variant>
      <vt:variant>
        <vt:i4>1769524</vt:i4>
      </vt:variant>
      <vt:variant>
        <vt:i4>8</vt:i4>
      </vt:variant>
      <vt:variant>
        <vt:i4>0</vt:i4>
      </vt:variant>
      <vt:variant>
        <vt:i4>5</vt:i4>
      </vt:variant>
      <vt:variant>
        <vt:lpwstr/>
      </vt:variant>
      <vt:variant>
        <vt:lpwstr>_Toc117856732</vt:lpwstr>
      </vt:variant>
      <vt:variant>
        <vt:i4>1769524</vt:i4>
      </vt:variant>
      <vt:variant>
        <vt:i4>2</vt:i4>
      </vt:variant>
      <vt:variant>
        <vt:i4>0</vt:i4>
      </vt:variant>
      <vt:variant>
        <vt:i4>5</vt:i4>
      </vt:variant>
      <vt:variant>
        <vt:lpwstr/>
      </vt:variant>
      <vt:variant>
        <vt:lpwstr>_Toc117856731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Australian Government Department of Health, Disability and Ageing</dc:creator>
  <cp:keywords>MBS</cp:keywords>
  <dc:description/>
  <cp:lastModifiedBy>MASCHKE, Elvia</cp:lastModifiedBy>
  <cp:revision>6</cp:revision>
  <cp:lastPrinted>2022-11-17T05:29:00Z</cp:lastPrinted>
  <dcterms:created xsi:type="dcterms:W3CDTF">2026-04-15T00:47:00Z</dcterms:created>
  <dcterms:modified xsi:type="dcterms:W3CDTF">2026-04-15T01:05:00Z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0x010100515BB68D7196E647A4AEBA7AB6226350</vt:lpwstr>
  </property>
  <property fmtid="{D5CDD505-2E9C-101B-9397-08002B2CF9AE}" pid="3" name="Order">
    <vt:r8>5909600</vt:r8>
  </property>
  <property fmtid="{D5CDD505-2E9C-101B-9397-08002B2CF9AE}" pid="4" name="MediaServiceImageTags">
    <vt:lpwstr/>
  </property>
  <property fmtid="{D5CDD505-2E9C-101B-9397-08002B2CF9AE}" pid="5" name="ClassificationContentMarkingHeaderShapeIds">
    <vt:lpwstr>3bfbd026,4036e569,42226ebe</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2940cbcc,33fcef6c,7abf1dcb</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2026-02-09T22:37:25Z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34ae7f10-74a2-4d60-9344-e1ada4318856</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docLang">
    <vt:lpwstr>en</vt:lpwstr>
  </property>
</Properties>
</file>