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CDBC" w14:textId="77777777" w:rsidR="008137A4" w:rsidRDefault="00D03F3F">
      <w:pPr>
        <w:spacing w:after="297" w:line="259" w:lineRule="auto"/>
        <w:ind w:left="-270" w:right="-124" w:firstLine="0"/>
      </w:pPr>
      <w:r>
        <w:rPr>
          <w:rFonts w:ascii="Calibri" w:eastAsia="Calibri" w:hAnsi="Calibri" w:cs="Calibri"/>
          <w:noProof/>
        </w:rPr>
        <mc:AlternateContent>
          <mc:Choice Requires="wpg">
            <w:drawing>
              <wp:inline distT="0" distB="0" distL="0" distR="0" wp14:anchorId="0C786DC6" wp14:editId="03180A8B">
                <wp:extent cx="6007344" cy="1031478"/>
                <wp:effectExtent l="0" t="0" r="0" b="0"/>
                <wp:docPr id="3051" name="Group 3051"/>
                <wp:cNvGraphicFramePr/>
                <a:graphic xmlns:a="http://schemas.openxmlformats.org/drawingml/2006/main">
                  <a:graphicData uri="http://schemas.microsoft.com/office/word/2010/wordprocessingGroup">
                    <wpg:wgp>
                      <wpg:cNvGrpSpPr/>
                      <wpg:grpSpPr>
                        <a:xfrm>
                          <a:off x="0" y="0"/>
                          <a:ext cx="6007344" cy="1031478"/>
                          <a:chOff x="0" y="0"/>
                          <a:chExt cx="6007344" cy="1031478"/>
                        </a:xfrm>
                      </wpg:grpSpPr>
                      <pic:pic xmlns:pic="http://schemas.openxmlformats.org/drawingml/2006/picture">
                        <pic:nvPicPr>
                          <pic:cNvPr id="14" name="Picture 14"/>
                          <pic:cNvPicPr/>
                        </pic:nvPicPr>
                        <pic:blipFill>
                          <a:blip r:embed="rId7"/>
                          <a:stretch>
                            <a:fillRect/>
                          </a:stretch>
                        </pic:blipFill>
                        <pic:spPr>
                          <a:xfrm>
                            <a:off x="4681973" y="0"/>
                            <a:ext cx="1325372" cy="788670"/>
                          </a:xfrm>
                          <a:prstGeom prst="rect">
                            <a:avLst/>
                          </a:prstGeom>
                        </pic:spPr>
                      </pic:pic>
                      <pic:pic xmlns:pic="http://schemas.openxmlformats.org/drawingml/2006/picture">
                        <pic:nvPicPr>
                          <pic:cNvPr id="132" name="Picture 132"/>
                          <pic:cNvPicPr/>
                        </pic:nvPicPr>
                        <pic:blipFill>
                          <a:blip r:embed="rId8"/>
                          <a:stretch>
                            <a:fillRect/>
                          </a:stretch>
                        </pic:blipFill>
                        <pic:spPr>
                          <a:xfrm>
                            <a:off x="0" y="940043"/>
                            <a:ext cx="5929056" cy="91434"/>
                          </a:xfrm>
                          <a:prstGeom prst="rect">
                            <a:avLst/>
                          </a:prstGeom>
                        </pic:spPr>
                      </pic:pic>
                      <pic:pic xmlns:pic="http://schemas.openxmlformats.org/drawingml/2006/picture">
                        <pic:nvPicPr>
                          <pic:cNvPr id="134" name="Picture 134"/>
                          <pic:cNvPicPr/>
                        </pic:nvPicPr>
                        <pic:blipFill>
                          <a:blip r:embed="rId9"/>
                          <a:stretch>
                            <a:fillRect/>
                          </a:stretch>
                        </pic:blipFill>
                        <pic:spPr>
                          <a:xfrm>
                            <a:off x="102806" y="129821"/>
                            <a:ext cx="2188464" cy="664464"/>
                          </a:xfrm>
                          <a:prstGeom prst="rect">
                            <a:avLst/>
                          </a:prstGeom>
                        </pic:spPr>
                      </pic:pic>
                    </wpg:wgp>
                  </a:graphicData>
                </a:graphic>
              </wp:inline>
            </w:drawing>
          </mc:Choice>
          <mc:Fallback xmlns:a="http://schemas.openxmlformats.org/drawingml/2006/main">
            <w:pict>
              <v:group id="Group 3051" style="width:473.019pt;height:81.2187pt;mso-position-horizontal-relative:char;mso-position-vertical-relative:line" coordsize="60073,10314">
                <v:shape id="Picture 14" style="position:absolute;width:13253;height:7886;left:46819;top:0;" filled="f">
                  <v:imagedata r:id="rId10"/>
                </v:shape>
                <v:shape id="Picture 132" style="position:absolute;width:59290;height:914;left:0;top:9400;" filled="f">
                  <v:imagedata r:id="rId11"/>
                </v:shape>
                <v:shape id="Picture 134" style="position:absolute;width:21884;height:6644;left:1028;top:1298;" filled="f">
                  <v:imagedata r:id="rId12"/>
                </v:shape>
              </v:group>
            </w:pict>
          </mc:Fallback>
        </mc:AlternateContent>
      </w:r>
    </w:p>
    <w:p w14:paraId="54FB8AF9" w14:textId="77777777" w:rsidR="008137A4" w:rsidRDefault="00D03F3F">
      <w:pPr>
        <w:spacing w:after="0" w:line="259" w:lineRule="auto"/>
        <w:ind w:left="0" w:firstLine="0"/>
      </w:pPr>
      <w:r>
        <w:rPr>
          <w:b/>
          <w:color w:val="3F4A75"/>
          <w:sz w:val="48"/>
        </w:rPr>
        <w:t xml:space="preserve">Cultural Competency resources </w:t>
      </w:r>
    </w:p>
    <w:p w14:paraId="510F5EF4" w14:textId="77777777" w:rsidR="008137A4" w:rsidRDefault="00D03F3F">
      <w:pPr>
        <w:spacing w:after="513"/>
        <w:ind w:left="-5" w:right="12"/>
      </w:pPr>
      <w:r>
        <w:t xml:space="preserve">This fact sheet outlines opportunities to support people from multicultural communities in accessing and receiving hearing health services. Not all people from these diverse communities will require this support, but these resources aim to assist those more vulnerable members of Australia’s multicultural communities.  </w:t>
      </w:r>
    </w:p>
    <w:p w14:paraId="55BA9114" w14:textId="77777777" w:rsidR="008137A4" w:rsidRDefault="00D03F3F">
      <w:pPr>
        <w:pStyle w:val="Heading1"/>
      </w:pPr>
      <w:r>
        <w:t xml:space="preserve">Culturally safe hearing services </w:t>
      </w:r>
    </w:p>
    <w:p w14:paraId="715C8F51" w14:textId="77777777" w:rsidR="008137A4" w:rsidRDefault="00D03F3F">
      <w:pPr>
        <w:spacing w:after="363"/>
        <w:ind w:left="-5" w:right="12"/>
      </w:pPr>
      <w:r>
        <w:t xml:space="preserve">Receiving culturally safe health care is important for people who engage with hearing health services. This can improve hearing health results for people from diverse backgrounds. </w:t>
      </w:r>
    </w:p>
    <w:p w14:paraId="06F31B94" w14:textId="77777777" w:rsidR="008137A4" w:rsidRDefault="00D03F3F">
      <w:pPr>
        <w:pStyle w:val="Heading2"/>
        <w:ind w:left="-5"/>
      </w:pPr>
      <w:r>
        <w:t xml:space="preserve">Background </w:t>
      </w:r>
    </w:p>
    <w:p w14:paraId="3775A7B3" w14:textId="77777777" w:rsidR="008137A4" w:rsidRDefault="00D03F3F">
      <w:pPr>
        <w:spacing w:after="136"/>
        <w:ind w:left="-5" w:right="12"/>
      </w:pPr>
      <w:r>
        <w:t>Individual issues such as limited access to education, employment and safe housing options can affect the health of people from multicultural communities. Lower levels of proficiency with the English language, combined with limited knowledge about health and/or health services can mean people from multicultural communities miss out on culturally safe health care. ‘System’ issues such as poor cultural competency skills of clinicians and limited information to help make decisions makes this even more difficul</w:t>
      </w:r>
      <w:r>
        <w:t xml:space="preserve">t. </w:t>
      </w:r>
      <w:r>
        <w:rPr>
          <w:vertAlign w:val="superscript"/>
        </w:rPr>
        <w:footnoteReference w:id="1"/>
      </w:r>
      <w:r>
        <w:t xml:space="preserve"> </w:t>
      </w:r>
      <w:r>
        <w:rPr>
          <w:vertAlign w:val="superscript"/>
        </w:rPr>
        <w:footnoteReference w:id="2"/>
      </w:r>
      <w:r>
        <w:t xml:space="preserve"> </w:t>
      </w:r>
    </w:p>
    <w:p w14:paraId="37AF5AF0" w14:textId="77777777" w:rsidR="008137A4" w:rsidRDefault="00D03F3F">
      <w:pPr>
        <w:spacing w:after="111"/>
        <w:ind w:left="-5" w:right="12"/>
      </w:pPr>
      <w:r>
        <w:t xml:space="preserve">People from multicultural communities hold a range of health beliefs and cultural practices. Some of these beliefs may also come with a high level of stigma for certain health conditions, for example mental health illness. </w:t>
      </w:r>
    </w:p>
    <w:p w14:paraId="5D408C04" w14:textId="77777777" w:rsidR="008137A4" w:rsidRDefault="00D03F3F">
      <w:pPr>
        <w:spacing w:after="241" w:line="259" w:lineRule="auto"/>
        <w:ind w:left="-5" w:right="12"/>
      </w:pPr>
      <w:r>
        <w:t xml:space="preserve">These beliefs can affect: </w:t>
      </w:r>
    </w:p>
    <w:p w14:paraId="104865B3" w14:textId="77777777" w:rsidR="008137A4" w:rsidRDefault="00D03F3F">
      <w:pPr>
        <w:numPr>
          <w:ilvl w:val="0"/>
          <w:numId w:val="1"/>
        </w:numPr>
        <w:spacing w:line="259" w:lineRule="auto"/>
        <w:ind w:right="12" w:hanging="360"/>
      </w:pPr>
      <w:r>
        <w:t>perceptions of major life events</w:t>
      </w:r>
    </w:p>
    <w:p w14:paraId="44723B40" w14:textId="77777777" w:rsidR="008137A4" w:rsidRDefault="00D03F3F">
      <w:pPr>
        <w:numPr>
          <w:ilvl w:val="0"/>
          <w:numId w:val="1"/>
        </w:numPr>
        <w:spacing w:line="259" w:lineRule="auto"/>
        <w:ind w:right="12" w:hanging="360"/>
      </w:pPr>
      <w:r>
        <w:t>uptake of preventive health care</w:t>
      </w:r>
    </w:p>
    <w:p w14:paraId="6D57DB11" w14:textId="77777777" w:rsidR="008137A4" w:rsidRDefault="00D03F3F">
      <w:pPr>
        <w:numPr>
          <w:ilvl w:val="0"/>
          <w:numId w:val="1"/>
        </w:numPr>
        <w:spacing w:line="259" w:lineRule="auto"/>
        <w:ind w:right="12" w:hanging="360"/>
      </w:pPr>
      <w:r>
        <w:t>help-seeking behaviour, and</w:t>
      </w:r>
    </w:p>
    <w:p w14:paraId="5E7C0CB1" w14:textId="77777777" w:rsidR="008137A4" w:rsidRDefault="00D03F3F">
      <w:pPr>
        <w:numPr>
          <w:ilvl w:val="0"/>
          <w:numId w:val="1"/>
        </w:numPr>
        <w:ind w:right="12" w:hanging="360"/>
      </w:pPr>
      <w:r>
        <w:t>understanding and following treatment plans.</w:t>
      </w:r>
    </w:p>
    <w:p w14:paraId="57FFC355" w14:textId="77777777" w:rsidR="008137A4" w:rsidRDefault="00D03F3F">
      <w:pPr>
        <w:spacing w:after="127"/>
        <w:ind w:left="-5" w:right="12"/>
      </w:pPr>
      <w:r>
        <w:lastRenderedPageBreak/>
        <w:t xml:space="preserve">Challenges apply </w:t>
      </w:r>
      <w:r>
        <w:t xml:space="preserve">to hearing health care as they do to other health services. These challenges are increased by: </w:t>
      </w:r>
    </w:p>
    <w:p w14:paraId="09F57657" w14:textId="77777777" w:rsidR="008137A4" w:rsidRDefault="00D03F3F">
      <w:pPr>
        <w:numPr>
          <w:ilvl w:val="0"/>
          <w:numId w:val="1"/>
        </w:numPr>
        <w:spacing w:after="7"/>
        <w:ind w:right="12" w:hanging="360"/>
      </w:pPr>
      <w:r>
        <w:t>‘systems issues’ such as a lack of access to health services, poor cultural competency skills of clinicians and lack of appropriate information to make informed decisions</w:t>
      </w:r>
    </w:p>
    <w:p w14:paraId="28C98EA5" w14:textId="77777777" w:rsidR="008137A4" w:rsidRDefault="00D03F3F">
      <w:pPr>
        <w:numPr>
          <w:ilvl w:val="0"/>
          <w:numId w:val="1"/>
        </w:numPr>
        <w:spacing w:line="259" w:lineRule="auto"/>
        <w:ind w:right="12" w:hanging="360"/>
      </w:pPr>
      <w:r>
        <w:t>inconsistent identification of ethnicity, and</w:t>
      </w:r>
    </w:p>
    <w:p w14:paraId="57721BC5" w14:textId="77777777" w:rsidR="008137A4" w:rsidRDefault="00D03F3F">
      <w:pPr>
        <w:numPr>
          <w:ilvl w:val="0"/>
          <w:numId w:val="1"/>
        </w:numPr>
        <w:spacing w:after="398" w:line="259" w:lineRule="auto"/>
        <w:ind w:right="12" w:hanging="360"/>
      </w:pPr>
      <w:r>
        <w:t>limited access to interpreters and to translated health information.</w:t>
      </w:r>
      <w:r>
        <w:rPr>
          <w:vertAlign w:val="superscript"/>
        </w:rPr>
        <w:footnoteReference w:id="3"/>
      </w:r>
    </w:p>
    <w:p w14:paraId="4FA02783" w14:textId="77777777" w:rsidR="008137A4" w:rsidRDefault="00D03F3F">
      <w:pPr>
        <w:pStyle w:val="Heading2"/>
        <w:ind w:left="-5"/>
      </w:pPr>
      <w:r>
        <w:t xml:space="preserve">Resources </w:t>
      </w:r>
    </w:p>
    <w:p w14:paraId="4E18A95A" w14:textId="77777777" w:rsidR="008137A4" w:rsidRDefault="00D03F3F">
      <w:pPr>
        <w:pStyle w:val="Heading3"/>
        <w:ind w:left="355"/>
      </w:pPr>
      <w:r>
        <w:t>1. Competency Standards Framework</w:t>
      </w:r>
    </w:p>
    <w:p w14:paraId="2325B697" w14:textId="77777777" w:rsidR="008137A4" w:rsidRDefault="00D03F3F">
      <w:pPr>
        <w:spacing w:after="135" w:line="359" w:lineRule="auto"/>
        <w:ind w:left="0" w:firstLine="0"/>
      </w:pPr>
      <w:r>
        <w:t xml:space="preserve">The </w:t>
      </w:r>
      <w:hyperlink r:id="rId13">
        <w:r>
          <w:rPr>
            <w:color w:val="0000FF"/>
            <w:u w:val="single" w:color="0000FF"/>
          </w:rPr>
          <w:t>Migrant and Refugee Women’s Health Partnership</w:t>
        </w:r>
      </w:hyperlink>
      <w:hyperlink r:id="rId14">
        <w:r>
          <w:rPr>
            <w:color w:val="0000FF"/>
            <w:u w:val="single" w:color="0000FF"/>
          </w:rPr>
          <w:t xml:space="preserve"> </w:t>
        </w:r>
      </w:hyperlink>
      <w:r>
        <w:t>has developed the</w:t>
      </w:r>
      <w:hyperlink r:id="rId15">
        <w:r>
          <w:t xml:space="preserve"> </w:t>
        </w:r>
      </w:hyperlink>
      <w:hyperlink r:id="rId16">
        <w:r>
          <w:rPr>
            <w:color w:val="0000FF"/>
            <w:u w:val="single" w:color="0000FF"/>
          </w:rPr>
          <w:t>Competency</w:t>
        </w:r>
      </w:hyperlink>
      <w:hyperlink r:id="rId17">
        <w:r>
          <w:rPr>
            <w:color w:val="0000FF"/>
          </w:rPr>
          <w:t xml:space="preserve"> </w:t>
        </w:r>
      </w:hyperlink>
      <w:hyperlink r:id="rId18">
        <w:r>
          <w:rPr>
            <w:color w:val="0000FF"/>
            <w:u w:val="single" w:color="0000FF"/>
          </w:rPr>
          <w:t>Standards Framework</w:t>
        </w:r>
      </w:hyperlink>
      <w:hyperlink r:id="rId19">
        <w:r>
          <w:t>.</w:t>
        </w:r>
      </w:hyperlink>
      <w:r>
        <w:t xml:space="preserve"> The Framework: </w:t>
      </w:r>
    </w:p>
    <w:p w14:paraId="78DA90F9" w14:textId="77777777" w:rsidR="008137A4" w:rsidRDefault="00D03F3F">
      <w:pPr>
        <w:numPr>
          <w:ilvl w:val="0"/>
          <w:numId w:val="2"/>
        </w:numPr>
        <w:spacing w:after="6"/>
        <w:ind w:right="12" w:hanging="360"/>
      </w:pPr>
      <w:r>
        <w:t>establishes standards for clinicians in all healthcare settings as they develop clinical education, training and professional development curricula</w:t>
      </w:r>
    </w:p>
    <w:p w14:paraId="73F8A3A7" w14:textId="77777777" w:rsidR="008137A4" w:rsidRDefault="00D03F3F">
      <w:pPr>
        <w:numPr>
          <w:ilvl w:val="0"/>
          <w:numId w:val="2"/>
        </w:numPr>
        <w:spacing w:after="369"/>
        <w:ind w:right="12" w:hanging="360"/>
      </w:pPr>
      <w:r>
        <w:t>accompanies the</w:t>
      </w:r>
      <w:hyperlink r:id="rId20">
        <w:r>
          <w:t xml:space="preserve"> </w:t>
        </w:r>
      </w:hyperlink>
      <w:hyperlink r:id="rId21">
        <w:r>
          <w:rPr>
            <w:i/>
            <w:color w:val="0000FF"/>
            <w:u w:val="single" w:color="0000FF"/>
          </w:rPr>
          <w:t xml:space="preserve">Guide for Clinicians Working with Interpreters in Healthcare </w:t>
        </w:r>
      </w:hyperlink>
      <w:hyperlink r:id="rId22">
        <w:r>
          <w:rPr>
            <w:i/>
            <w:color w:val="0000FF"/>
            <w:u w:val="single" w:color="0000FF"/>
          </w:rPr>
          <w:t>Settings</w:t>
        </w:r>
      </w:hyperlink>
      <w:hyperlink r:id="rId23">
        <w:r>
          <w:rPr>
            <w:i/>
          </w:rPr>
          <w:t>,</w:t>
        </w:r>
      </w:hyperlink>
      <w:r>
        <w:rPr>
          <w:i/>
        </w:rPr>
        <w:t xml:space="preserve"> </w:t>
      </w:r>
      <w:r>
        <w:t>which provides advice on engaging and working with interpreters.</w:t>
      </w:r>
    </w:p>
    <w:p w14:paraId="24AB3FF8" w14:textId="77777777" w:rsidR="008137A4" w:rsidRDefault="00D03F3F">
      <w:pPr>
        <w:pStyle w:val="Heading3"/>
        <w:ind w:left="355"/>
      </w:pPr>
      <w:r>
        <w:t>2. Aged Care Learning Modules</w:t>
      </w:r>
    </w:p>
    <w:p w14:paraId="58C1E223" w14:textId="77777777" w:rsidR="008137A4" w:rsidRDefault="00D03F3F">
      <w:pPr>
        <w:spacing w:after="128"/>
        <w:ind w:left="-5" w:right="12"/>
      </w:pPr>
      <w:r>
        <w:t xml:space="preserve">The University of Tasmania developed </w:t>
      </w:r>
      <w:hyperlink r:id="rId24">
        <w:r>
          <w:rPr>
            <w:color w:val="0000FF"/>
            <w:u w:val="single" w:color="0000FF"/>
          </w:rPr>
          <w:t>Equip Aged Care Learning modules</w:t>
        </w:r>
      </w:hyperlink>
      <w:hyperlink r:id="rId25">
        <w:r>
          <w:t xml:space="preserve"> </w:t>
        </w:r>
      </w:hyperlink>
      <w:r>
        <w:t xml:space="preserve">with funding from the Department of Health and Aged Care. It includes introduction and refresher modules, with modules on Hearing Health and Cross - Cultural Awareness. They include information for: </w:t>
      </w:r>
    </w:p>
    <w:p w14:paraId="210D38C6" w14:textId="77777777" w:rsidR="008137A4" w:rsidRDefault="00D03F3F">
      <w:pPr>
        <w:numPr>
          <w:ilvl w:val="0"/>
          <w:numId w:val="3"/>
        </w:numPr>
        <w:spacing w:line="259" w:lineRule="auto"/>
        <w:ind w:right="12" w:hanging="360"/>
      </w:pPr>
      <w:r>
        <w:t>personal care workers</w:t>
      </w:r>
    </w:p>
    <w:p w14:paraId="1347D887" w14:textId="77777777" w:rsidR="008137A4" w:rsidRDefault="00D03F3F">
      <w:pPr>
        <w:numPr>
          <w:ilvl w:val="0"/>
          <w:numId w:val="3"/>
        </w:numPr>
        <w:spacing w:line="259" w:lineRule="auto"/>
        <w:ind w:right="12" w:hanging="360"/>
      </w:pPr>
      <w:r>
        <w:t>nurses</w:t>
      </w:r>
    </w:p>
    <w:p w14:paraId="464A694A" w14:textId="77777777" w:rsidR="008137A4" w:rsidRDefault="00D03F3F">
      <w:pPr>
        <w:numPr>
          <w:ilvl w:val="0"/>
          <w:numId w:val="3"/>
        </w:numPr>
        <w:spacing w:line="259" w:lineRule="auto"/>
        <w:ind w:right="12" w:hanging="360"/>
      </w:pPr>
      <w:r>
        <w:t>allied health professionals, and</w:t>
      </w:r>
    </w:p>
    <w:p w14:paraId="2FB62934" w14:textId="77777777" w:rsidR="008137A4" w:rsidRDefault="00D03F3F">
      <w:pPr>
        <w:numPr>
          <w:ilvl w:val="0"/>
          <w:numId w:val="3"/>
        </w:numPr>
        <w:ind w:right="12" w:hanging="360"/>
      </w:pPr>
      <w:r>
        <w:t>volunteers and families.</w:t>
      </w:r>
    </w:p>
    <w:p w14:paraId="7A578A40" w14:textId="77777777" w:rsidR="008137A4" w:rsidRDefault="00D03F3F">
      <w:pPr>
        <w:pStyle w:val="Heading3"/>
        <w:ind w:left="355"/>
      </w:pPr>
      <w:r>
        <w:t>3. Online training courses</w:t>
      </w:r>
    </w:p>
    <w:p w14:paraId="0B5FBBB4" w14:textId="77777777" w:rsidR="008137A4" w:rsidRDefault="00D03F3F">
      <w:pPr>
        <w:spacing w:after="111"/>
        <w:ind w:left="-5" w:right="12"/>
      </w:pPr>
      <w:r>
        <w:t xml:space="preserve">The </w:t>
      </w:r>
      <w:hyperlink r:id="rId26">
        <w:r>
          <w:rPr>
            <w:color w:val="0000FF"/>
            <w:u w:val="single" w:color="0000FF"/>
          </w:rPr>
          <w:t>Centre for Culture, Ethnicity and Health’s</w:t>
        </w:r>
      </w:hyperlink>
      <w:hyperlink r:id="rId27">
        <w:r>
          <w:t xml:space="preserve"> </w:t>
        </w:r>
      </w:hyperlink>
      <w:hyperlink r:id="rId28">
        <w:r>
          <w:rPr>
            <w:color w:val="0000FF"/>
            <w:u w:val="single" w:color="0000FF"/>
          </w:rPr>
          <w:t>Introduction to Cultural Competence</w:t>
        </w:r>
      </w:hyperlink>
      <w:hyperlink r:id="rId29">
        <w:r>
          <w:t xml:space="preserve"> </w:t>
        </w:r>
      </w:hyperlink>
      <w:r>
        <w:t xml:space="preserve">is a series of online training courses that give staff the key skills and knowledge to work with people from different cultures.  </w:t>
      </w:r>
    </w:p>
    <w:p w14:paraId="72B0A501" w14:textId="77777777" w:rsidR="008137A4" w:rsidRDefault="00D03F3F">
      <w:pPr>
        <w:pStyle w:val="Heading3"/>
        <w:ind w:left="355"/>
      </w:pPr>
      <w:r>
        <w:lastRenderedPageBreak/>
        <w:t>4. CALD Webinars</w:t>
      </w:r>
    </w:p>
    <w:p w14:paraId="7DB7158A" w14:textId="77777777" w:rsidR="008137A4" w:rsidRDefault="00D03F3F">
      <w:pPr>
        <w:spacing w:after="126"/>
        <w:ind w:left="-5" w:right="12"/>
      </w:pPr>
      <w:r>
        <w:t xml:space="preserve">The </w:t>
      </w:r>
      <w:hyperlink r:id="rId30">
        <w:r>
          <w:rPr>
            <w:color w:val="0000FF"/>
            <w:u w:val="single" w:color="0000FF"/>
          </w:rPr>
          <w:t>Multicultural Communities Council of Illawarra</w:t>
        </w:r>
      </w:hyperlink>
      <w:hyperlink r:id="rId31">
        <w:r>
          <w:t xml:space="preserve"> </w:t>
        </w:r>
      </w:hyperlink>
      <w:r>
        <w:t>(MCCI) created</w:t>
      </w:r>
      <w:hyperlink r:id="rId32">
        <w:r>
          <w:t xml:space="preserve"> </w:t>
        </w:r>
      </w:hyperlink>
      <w:hyperlink r:id="rId33">
        <w:r>
          <w:rPr>
            <w:color w:val="0000FF"/>
            <w:u w:val="single" w:color="0000FF"/>
          </w:rPr>
          <w:t>CALD webinars</w:t>
        </w:r>
      </w:hyperlink>
      <w:hyperlink r:id="rId34">
        <w:r>
          <w:t xml:space="preserve"> </w:t>
        </w:r>
      </w:hyperlink>
      <w:r>
        <w:t xml:space="preserve">for elderly Australians, including those with dementia and who identify as LGBTQIA+. They cover information on: </w:t>
      </w:r>
    </w:p>
    <w:p w14:paraId="73C24AD6" w14:textId="77777777" w:rsidR="008137A4" w:rsidRDefault="00D03F3F">
      <w:pPr>
        <w:numPr>
          <w:ilvl w:val="0"/>
          <w:numId w:val="4"/>
        </w:numPr>
        <w:spacing w:after="145" w:line="259" w:lineRule="auto"/>
        <w:ind w:right="12" w:hanging="403"/>
      </w:pPr>
      <w:r>
        <w:t>how to address the needs of elderly people from multicultural communities</w:t>
      </w:r>
    </w:p>
    <w:p w14:paraId="7FBDEFBF" w14:textId="77777777" w:rsidR="008137A4" w:rsidRDefault="00D03F3F">
      <w:pPr>
        <w:numPr>
          <w:ilvl w:val="0"/>
          <w:numId w:val="4"/>
        </w:numPr>
        <w:spacing w:after="144" w:line="259" w:lineRule="auto"/>
        <w:ind w:right="12" w:hanging="403"/>
      </w:pPr>
      <w:r>
        <w:t>advice for caring for people from multicultural communities with dementia</w:t>
      </w:r>
    </w:p>
    <w:p w14:paraId="34A363E7" w14:textId="77777777" w:rsidR="008137A4" w:rsidRDefault="00D03F3F">
      <w:pPr>
        <w:numPr>
          <w:ilvl w:val="0"/>
          <w:numId w:val="4"/>
        </w:numPr>
        <w:spacing w:after="65"/>
        <w:ind w:right="12" w:hanging="403"/>
      </w:pPr>
      <w:r>
        <w:t>looking after carers of people from multicultural communities with dementia and the unique challenges they face, and</w:t>
      </w:r>
    </w:p>
    <w:p w14:paraId="7B3C75F2" w14:textId="77777777" w:rsidR="008137A4" w:rsidRDefault="00D03F3F">
      <w:pPr>
        <w:numPr>
          <w:ilvl w:val="0"/>
          <w:numId w:val="4"/>
        </w:numPr>
        <w:spacing w:after="111"/>
        <w:ind w:right="12" w:hanging="403"/>
      </w:pPr>
      <w:r>
        <w:t>practical ideas to help aged care providers in supporting LGBTQIA+ consumers from multicultural communities.</w:t>
      </w:r>
    </w:p>
    <w:p w14:paraId="5985CDBB" w14:textId="77777777" w:rsidR="008137A4" w:rsidRDefault="00D03F3F">
      <w:pPr>
        <w:pStyle w:val="Heading3"/>
        <w:ind w:left="355"/>
      </w:pPr>
      <w:r>
        <w:t>5. Professional standards</w:t>
      </w:r>
    </w:p>
    <w:p w14:paraId="7D3272D8" w14:textId="77777777" w:rsidR="008137A4" w:rsidRDefault="00D03F3F">
      <w:pPr>
        <w:spacing w:after="165" w:line="259" w:lineRule="auto"/>
        <w:ind w:left="-5" w:right="12"/>
      </w:pPr>
      <w:r>
        <w:t xml:space="preserve">Audiology Australia has the following standards to assist with culturally safe care: </w:t>
      </w:r>
    </w:p>
    <w:p w14:paraId="136CC899" w14:textId="77777777" w:rsidR="008137A4" w:rsidRDefault="00D03F3F">
      <w:pPr>
        <w:spacing w:after="51"/>
        <w:ind w:left="345" w:right="12" w:hanging="360"/>
      </w:pPr>
      <w:hyperlink r:id="rId35">
        <w:r>
          <w:rPr>
            <w:color w:val="0563C1"/>
            <w:u w:val="single" w:color="0563C1"/>
          </w:rPr>
          <w:t>National Competency Standards for Audiologists</w:t>
        </w:r>
      </w:hyperlink>
      <w:hyperlink r:id="rId36">
        <w:r>
          <w:t xml:space="preserve"> </w:t>
        </w:r>
      </w:hyperlink>
      <w:r>
        <w:t xml:space="preserve"> lays out the minimum skills, knowledge and behaviours required for ‘entry level’, independent practice for audiologists in Australia in Competency 2.1.  </w:t>
      </w:r>
    </w:p>
    <w:p w14:paraId="4F58606F" w14:textId="77777777" w:rsidR="008137A4" w:rsidRDefault="00D03F3F">
      <w:pPr>
        <w:ind w:left="345" w:right="12" w:hanging="360"/>
      </w:pPr>
      <w:hyperlink r:id="rId37">
        <w:r>
          <w:rPr>
            <w:color w:val="0563C1"/>
            <w:u w:val="single" w:color="0563C1"/>
          </w:rPr>
          <w:t>Accreditation Standards for Audiology Programs</w:t>
        </w:r>
      </w:hyperlink>
      <w:hyperlink r:id="rId38">
        <w:r>
          <w:t xml:space="preserve"> </w:t>
        </w:r>
      </w:hyperlink>
      <w:r>
        <w:t xml:space="preserve">ensure all audiology university graduates have the knowledge, skills and attributes needed to practise audiology safely and competently in Australia.   </w:t>
      </w:r>
    </w:p>
    <w:sectPr w:rsidR="008137A4">
      <w:headerReference w:type="even" r:id="rId39"/>
      <w:headerReference w:type="default" r:id="rId40"/>
      <w:footerReference w:type="even" r:id="rId41"/>
      <w:footerReference w:type="default" r:id="rId42"/>
      <w:headerReference w:type="first" r:id="rId43"/>
      <w:footerReference w:type="first" r:id="rId44"/>
      <w:pgSz w:w="11906" w:h="16838"/>
      <w:pgMar w:top="732" w:right="1422" w:bottom="1417" w:left="1419"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9E08" w14:textId="77777777" w:rsidR="00D03F3F" w:rsidRDefault="00D03F3F">
      <w:pPr>
        <w:spacing w:after="0" w:line="240" w:lineRule="auto"/>
      </w:pPr>
      <w:r>
        <w:separator/>
      </w:r>
    </w:p>
  </w:endnote>
  <w:endnote w:type="continuationSeparator" w:id="0">
    <w:p w14:paraId="6851352E" w14:textId="77777777" w:rsidR="00D03F3F" w:rsidRDefault="00D0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685F" w14:textId="3C690ACB" w:rsidR="008137A4" w:rsidRDefault="00341B06">
    <w:pPr>
      <w:tabs>
        <w:tab w:val="right" w:pos="9066"/>
      </w:tabs>
      <w:spacing w:after="0" w:line="259" w:lineRule="auto"/>
      <w:ind w:left="0" w:right="-6" w:firstLine="0"/>
    </w:pPr>
    <w:r>
      <w:rPr>
        <w:noProof/>
        <w:sz w:val="20"/>
      </w:rPr>
      <mc:AlternateContent>
        <mc:Choice Requires="wps">
          <w:drawing>
            <wp:anchor distT="0" distB="0" distL="0" distR="0" simplePos="0" relativeHeight="251662336" behindDoc="0" locked="0" layoutInCell="1" allowOverlap="1" wp14:anchorId="24CFD262" wp14:editId="224FAE84">
              <wp:simplePos x="635" y="635"/>
              <wp:positionH relativeFrom="page">
                <wp:align>center</wp:align>
              </wp:positionH>
              <wp:positionV relativeFrom="page">
                <wp:align>bottom</wp:align>
              </wp:positionV>
              <wp:extent cx="622300" cy="475615"/>
              <wp:effectExtent l="0" t="0" r="6350" b="0"/>
              <wp:wrapNone/>
              <wp:docPr id="13181299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5615"/>
                      </a:xfrm>
                      <a:prstGeom prst="rect">
                        <a:avLst/>
                      </a:prstGeom>
                      <a:noFill/>
                      <a:ln>
                        <a:noFill/>
                      </a:ln>
                    </wps:spPr>
                    <wps:txbx>
                      <w:txbxContent>
                        <w:p w14:paraId="3E6F4826" w14:textId="4E2FA4BC" w:rsidR="00341B06" w:rsidRPr="00341B06" w:rsidRDefault="00341B06" w:rsidP="00341B06">
                          <w:pPr>
                            <w:spacing w:after="0"/>
                            <w:rPr>
                              <w:rFonts w:ascii="Aptos" w:eastAsia="Aptos" w:hAnsi="Aptos" w:cs="Aptos"/>
                              <w:noProof/>
                              <w:color w:val="FF0000"/>
                              <w:sz w:val="24"/>
                            </w:rPr>
                          </w:pPr>
                          <w:r w:rsidRPr="00341B0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FD262" id="_x0000_t202" coordsize="21600,21600" o:spt="202" path="m,l,21600r21600,l21600,xe">
              <v:stroke joinstyle="miter"/>
              <v:path gradientshapeok="t" o:connecttype="rect"/>
            </v:shapetype>
            <v:shape id="Text Box 5" o:spid="_x0000_s1028" type="#_x0000_t202" alt="OFFICIAL" style="position:absolute;margin-left:0;margin-top:0;width:49pt;height:37.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VLTDQ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" filled="f" stroked="f">
              <v:fill o:detectmouseclick="t"/>
              <v:textbox style="mso-fit-shape-to-text:t" inset="0,0,0,15pt">
                <w:txbxContent>
                  <w:p w14:paraId="3E6F4826" w14:textId="4E2FA4BC" w:rsidR="00341B06" w:rsidRPr="00341B06" w:rsidRDefault="00341B06" w:rsidP="00341B06">
                    <w:pPr>
                      <w:spacing w:after="0"/>
                      <w:rPr>
                        <w:rFonts w:ascii="Aptos" w:eastAsia="Aptos" w:hAnsi="Aptos" w:cs="Aptos"/>
                        <w:noProof/>
                        <w:color w:val="FF0000"/>
                        <w:sz w:val="24"/>
                      </w:rPr>
                    </w:pPr>
                    <w:r w:rsidRPr="00341B06">
                      <w:rPr>
                        <w:rFonts w:ascii="Aptos" w:eastAsia="Aptos" w:hAnsi="Aptos" w:cs="Aptos"/>
                        <w:noProof/>
                        <w:color w:val="FF0000"/>
                        <w:sz w:val="24"/>
                      </w:rPr>
                      <w:t>OFFICIAL</w:t>
                    </w:r>
                  </w:p>
                </w:txbxContent>
              </v:textbox>
              <w10:wrap anchorx="page" anchory="page"/>
            </v:shape>
          </w:pict>
        </mc:Fallback>
      </mc:AlternateContent>
    </w:r>
    <w:r w:rsidR="00D03F3F">
      <w:rPr>
        <w:sz w:val="20"/>
      </w:rPr>
      <w:t xml:space="preserve">Department of Health and Aged Care – Cultural Competency Resources </w:t>
    </w:r>
    <w:r w:rsidR="00D03F3F">
      <w:rPr>
        <w:sz w:val="20"/>
      </w:rPr>
      <w:tab/>
    </w:r>
    <w:r w:rsidR="00D03F3F">
      <w:fldChar w:fldCharType="begin"/>
    </w:r>
    <w:r w:rsidR="00D03F3F">
      <w:instrText xml:space="preserve"> PAGE   \* MERGEFORMAT </w:instrText>
    </w:r>
    <w:r w:rsidR="00D03F3F">
      <w:fldChar w:fldCharType="separate"/>
    </w:r>
    <w:r w:rsidR="00D03F3F">
      <w:rPr>
        <w:sz w:val="20"/>
      </w:rPr>
      <w:t>1</w:t>
    </w:r>
    <w:r w:rsidR="00D03F3F">
      <w:rPr>
        <w:sz w:val="20"/>
      </w:rPr>
      <w:fldChar w:fldCharType="end"/>
    </w:r>
    <w:r w:rsidR="00D03F3F">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A8BA" w14:textId="5F680CAA" w:rsidR="008137A4" w:rsidRDefault="00341B06">
    <w:pPr>
      <w:tabs>
        <w:tab w:val="right" w:pos="9066"/>
      </w:tabs>
      <w:spacing w:after="0" w:line="259" w:lineRule="auto"/>
      <w:ind w:left="0" w:right="-6" w:firstLine="0"/>
    </w:pPr>
    <w:r>
      <w:rPr>
        <w:noProof/>
        <w:sz w:val="20"/>
      </w:rPr>
      <mc:AlternateContent>
        <mc:Choice Requires="wps">
          <w:drawing>
            <wp:anchor distT="0" distB="0" distL="0" distR="0" simplePos="0" relativeHeight="251663360" behindDoc="0" locked="0" layoutInCell="1" allowOverlap="1" wp14:anchorId="35BABE6F" wp14:editId="6AFF3696">
              <wp:simplePos x="904875" y="10086975"/>
              <wp:positionH relativeFrom="page">
                <wp:align>center</wp:align>
              </wp:positionH>
              <wp:positionV relativeFrom="page">
                <wp:align>bottom</wp:align>
              </wp:positionV>
              <wp:extent cx="622300" cy="475615"/>
              <wp:effectExtent l="0" t="0" r="6350" b="0"/>
              <wp:wrapNone/>
              <wp:docPr id="14375019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5615"/>
                      </a:xfrm>
                      <a:prstGeom prst="rect">
                        <a:avLst/>
                      </a:prstGeom>
                      <a:noFill/>
                      <a:ln>
                        <a:noFill/>
                      </a:ln>
                    </wps:spPr>
                    <wps:txbx>
                      <w:txbxContent>
                        <w:p w14:paraId="302339BD" w14:textId="526ACCAB" w:rsidR="00341B06" w:rsidRPr="00341B06" w:rsidRDefault="00341B06" w:rsidP="00341B06">
                          <w:pPr>
                            <w:spacing w:after="0"/>
                            <w:rPr>
                              <w:rFonts w:ascii="Aptos" w:eastAsia="Aptos" w:hAnsi="Aptos" w:cs="Aptos"/>
                              <w:noProof/>
                              <w:color w:val="FF0000"/>
                              <w:sz w:val="24"/>
                            </w:rPr>
                          </w:pPr>
                          <w:r w:rsidRPr="00341B0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BABE6F" id="_x0000_t202" coordsize="21600,21600" o:spt="202" path="m,l,21600r21600,l21600,xe">
              <v:stroke joinstyle="miter"/>
              <v:path gradientshapeok="t" o:connecttype="rect"/>
            </v:shapetype>
            <v:shape id="Text Box 6" o:spid="_x0000_s1029" type="#_x0000_t202" alt="OFFICIAL" style="position:absolute;margin-left:0;margin-top:0;width:49pt;height:37.4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" filled="f" stroked="f">
              <v:fill o:detectmouseclick="t"/>
              <v:textbox style="mso-fit-shape-to-text:t" inset="0,0,0,15pt">
                <w:txbxContent>
                  <w:p w14:paraId="302339BD" w14:textId="526ACCAB" w:rsidR="00341B06" w:rsidRPr="00341B06" w:rsidRDefault="00341B06" w:rsidP="00341B06">
                    <w:pPr>
                      <w:spacing w:after="0"/>
                      <w:rPr>
                        <w:rFonts w:ascii="Aptos" w:eastAsia="Aptos" w:hAnsi="Aptos" w:cs="Aptos"/>
                        <w:noProof/>
                        <w:color w:val="FF0000"/>
                        <w:sz w:val="24"/>
                      </w:rPr>
                    </w:pPr>
                    <w:r w:rsidRPr="00341B06">
                      <w:rPr>
                        <w:rFonts w:ascii="Aptos" w:eastAsia="Aptos" w:hAnsi="Aptos" w:cs="Aptos"/>
                        <w:noProof/>
                        <w:color w:val="FF0000"/>
                        <w:sz w:val="24"/>
                      </w:rPr>
                      <w:t>OFFICIAL</w:t>
                    </w:r>
                  </w:p>
                </w:txbxContent>
              </v:textbox>
              <w10:wrap anchorx="page" anchory="page"/>
            </v:shape>
          </w:pict>
        </mc:Fallback>
      </mc:AlternateContent>
    </w:r>
    <w:r w:rsidR="00D03F3F">
      <w:rPr>
        <w:sz w:val="20"/>
      </w:rPr>
      <w:t xml:space="preserve">Department of Health and Aged Care – Cultural Competency Resources </w:t>
    </w:r>
    <w:r w:rsidR="00D03F3F">
      <w:rPr>
        <w:sz w:val="20"/>
      </w:rPr>
      <w:tab/>
    </w:r>
    <w:r w:rsidR="00D03F3F">
      <w:fldChar w:fldCharType="begin"/>
    </w:r>
    <w:r w:rsidR="00D03F3F">
      <w:instrText xml:space="preserve"> PAGE   \* MERGEFORMAT </w:instrText>
    </w:r>
    <w:r w:rsidR="00D03F3F">
      <w:fldChar w:fldCharType="separate"/>
    </w:r>
    <w:r w:rsidR="00D03F3F">
      <w:rPr>
        <w:sz w:val="20"/>
      </w:rPr>
      <w:t>1</w:t>
    </w:r>
    <w:r w:rsidR="00D03F3F">
      <w:rPr>
        <w:sz w:val="20"/>
      </w:rPr>
      <w:fldChar w:fldCharType="end"/>
    </w:r>
    <w:r w:rsidR="00D03F3F">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15B0" w14:textId="61E982D3" w:rsidR="008137A4" w:rsidRDefault="00341B06">
    <w:pPr>
      <w:tabs>
        <w:tab w:val="right" w:pos="9066"/>
      </w:tabs>
      <w:spacing w:after="0" w:line="259" w:lineRule="auto"/>
      <w:ind w:left="0" w:right="-6" w:firstLine="0"/>
    </w:pPr>
    <w:r>
      <w:rPr>
        <w:noProof/>
        <w:sz w:val="20"/>
      </w:rPr>
      <mc:AlternateContent>
        <mc:Choice Requires="wps">
          <w:drawing>
            <wp:anchor distT="0" distB="0" distL="0" distR="0" simplePos="0" relativeHeight="251661312" behindDoc="0" locked="0" layoutInCell="1" allowOverlap="1" wp14:anchorId="564CB184" wp14:editId="255B6CF5">
              <wp:simplePos x="635" y="635"/>
              <wp:positionH relativeFrom="page">
                <wp:align>center</wp:align>
              </wp:positionH>
              <wp:positionV relativeFrom="page">
                <wp:align>bottom</wp:align>
              </wp:positionV>
              <wp:extent cx="622300" cy="475615"/>
              <wp:effectExtent l="0" t="0" r="6350" b="0"/>
              <wp:wrapNone/>
              <wp:docPr id="4090027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5615"/>
                      </a:xfrm>
                      <a:prstGeom prst="rect">
                        <a:avLst/>
                      </a:prstGeom>
                      <a:noFill/>
                      <a:ln>
                        <a:noFill/>
                      </a:ln>
                    </wps:spPr>
                    <wps:txbx>
                      <w:txbxContent>
                        <w:p w14:paraId="4C19156D" w14:textId="7957C9C4" w:rsidR="00341B06" w:rsidRPr="00341B06" w:rsidRDefault="00341B06" w:rsidP="00341B06">
                          <w:pPr>
                            <w:spacing w:after="0"/>
                            <w:rPr>
                              <w:rFonts w:ascii="Aptos" w:eastAsia="Aptos" w:hAnsi="Aptos" w:cs="Aptos"/>
                              <w:noProof/>
                              <w:color w:val="FF0000"/>
                              <w:sz w:val="24"/>
                            </w:rPr>
                          </w:pPr>
                          <w:r w:rsidRPr="00341B0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4CB184" id="_x0000_t202" coordsize="21600,21600" o:spt="202" path="m,l,21600r21600,l21600,xe">
              <v:stroke joinstyle="miter"/>
              <v:path gradientshapeok="t" o:connecttype="rect"/>
            </v:shapetype>
            <v:shape id="Text Box 4" o:spid="_x0000_s1031" type="#_x0000_t202" alt="OFFICIAL" style="position:absolute;margin-left:0;margin-top:0;width:49pt;height:37.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9jDgIAABwEAAAOAAAAZHJzL2Uyb0RvYy54bWysU8Fu2zAMvQ/YPwi6L7bTJeu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" filled="f" stroked="f">
              <v:fill o:detectmouseclick="t"/>
              <v:textbox style="mso-fit-shape-to-text:t" inset="0,0,0,15pt">
                <w:txbxContent>
                  <w:p w14:paraId="4C19156D" w14:textId="7957C9C4" w:rsidR="00341B06" w:rsidRPr="00341B06" w:rsidRDefault="00341B06" w:rsidP="00341B06">
                    <w:pPr>
                      <w:spacing w:after="0"/>
                      <w:rPr>
                        <w:rFonts w:ascii="Aptos" w:eastAsia="Aptos" w:hAnsi="Aptos" w:cs="Aptos"/>
                        <w:noProof/>
                        <w:color w:val="FF0000"/>
                        <w:sz w:val="24"/>
                      </w:rPr>
                    </w:pPr>
                    <w:r w:rsidRPr="00341B06">
                      <w:rPr>
                        <w:rFonts w:ascii="Aptos" w:eastAsia="Aptos" w:hAnsi="Aptos" w:cs="Aptos"/>
                        <w:noProof/>
                        <w:color w:val="FF0000"/>
                        <w:sz w:val="24"/>
                      </w:rPr>
                      <w:t>OFFICIAL</w:t>
                    </w:r>
                  </w:p>
                </w:txbxContent>
              </v:textbox>
              <w10:wrap anchorx="page" anchory="page"/>
            </v:shape>
          </w:pict>
        </mc:Fallback>
      </mc:AlternateContent>
    </w:r>
    <w:r w:rsidR="00D03F3F">
      <w:rPr>
        <w:sz w:val="20"/>
      </w:rPr>
      <w:t xml:space="preserve">Department of Health and Aged Care – Cultural Competency Resources </w:t>
    </w:r>
    <w:r w:rsidR="00D03F3F">
      <w:rPr>
        <w:sz w:val="20"/>
      </w:rPr>
      <w:tab/>
    </w:r>
    <w:r w:rsidR="00D03F3F">
      <w:fldChar w:fldCharType="begin"/>
    </w:r>
    <w:r w:rsidR="00D03F3F">
      <w:instrText xml:space="preserve"> PAGE   \* MERGEFORMAT </w:instrText>
    </w:r>
    <w:r w:rsidR="00D03F3F">
      <w:fldChar w:fldCharType="separate"/>
    </w:r>
    <w:r w:rsidR="00D03F3F">
      <w:rPr>
        <w:sz w:val="20"/>
      </w:rPr>
      <w:t>1</w:t>
    </w:r>
    <w:r w:rsidR="00D03F3F">
      <w:rPr>
        <w:sz w:val="20"/>
      </w:rPr>
      <w:fldChar w:fldCharType="end"/>
    </w:r>
    <w:r w:rsidR="00D03F3F">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37813" w14:textId="77777777" w:rsidR="008137A4" w:rsidRDefault="00D03F3F">
      <w:pPr>
        <w:spacing w:after="0" w:line="259" w:lineRule="auto"/>
        <w:ind w:left="0" w:firstLine="0"/>
      </w:pPr>
      <w:r>
        <w:separator/>
      </w:r>
    </w:p>
  </w:footnote>
  <w:footnote w:type="continuationSeparator" w:id="0">
    <w:p w14:paraId="14560333" w14:textId="77777777" w:rsidR="008137A4" w:rsidRDefault="00D03F3F">
      <w:pPr>
        <w:spacing w:after="0" w:line="259" w:lineRule="auto"/>
        <w:ind w:left="0" w:firstLine="0"/>
      </w:pPr>
      <w:r>
        <w:continuationSeparator/>
      </w:r>
    </w:p>
  </w:footnote>
  <w:footnote w:id="1">
    <w:p w14:paraId="2168CAF7" w14:textId="77777777" w:rsidR="008137A4" w:rsidRDefault="00D03F3F">
      <w:pPr>
        <w:pStyle w:val="footnotedescription"/>
      </w:pPr>
      <w:r>
        <w:rPr>
          <w:rStyle w:val="footnotemark"/>
        </w:rPr>
        <w:footnoteRef/>
      </w:r>
      <w:r>
        <w:t xml:space="preserve"> </w:t>
      </w:r>
      <w:hyperlink r:id="rId1">
        <w:r>
          <w:rPr>
            <w:i w:val="0"/>
          </w:rPr>
          <w:t xml:space="preserve">Riggs E. et al (2015) </w:t>
        </w:r>
      </w:hyperlink>
      <w:hyperlink r:id="rId2">
        <w:r>
          <w:t>Breaking Down the Barriers: A Qualitative Study to Understand Child Oral Health in</w:t>
        </w:r>
      </w:hyperlink>
      <w:hyperlink r:id="rId3">
        <w:r>
          <w:rPr>
            <w:u w:val="none" w:color="000000"/>
          </w:rPr>
          <w:t xml:space="preserve"> </w:t>
        </w:r>
      </w:hyperlink>
    </w:p>
    <w:p w14:paraId="4C3F2B6A" w14:textId="77777777" w:rsidR="008137A4" w:rsidRDefault="00D03F3F">
      <w:pPr>
        <w:pStyle w:val="footnotedescription"/>
      </w:pPr>
      <w:hyperlink r:id="rId4">
        <w:r>
          <w:t>Refugee and Migrant Communities in Australia. Ethnicity &amp; Health</w:t>
        </w:r>
      </w:hyperlink>
      <w:hyperlink r:id="rId5">
        <w:r>
          <w:rPr>
            <w:i w:val="0"/>
            <w:color w:val="000000"/>
            <w:sz w:val="20"/>
            <w:u w:val="none" w:color="000000"/>
          </w:rPr>
          <w:t xml:space="preserve"> </w:t>
        </w:r>
      </w:hyperlink>
    </w:p>
  </w:footnote>
  <w:footnote w:id="2">
    <w:p w14:paraId="2E715880" w14:textId="77777777" w:rsidR="008137A4" w:rsidRDefault="00D03F3F">
      <w:pPr>
        <w:pStyle w:val="footnotedescription"/>
        <w:spacing w:line="262" w:lineRule="auto"/>
      </w:pPr>
      <w:r>
        <w:rPr>
          <w:rStyle w:val="footnotemark"/>
        </w:rPr>
        <w:footnoteRef/>
      </w:r>
      <w:r>
        <w:t xml:space="preserve"> </w:t>
      </w:r>
      <w:hyperlink r:id="rId6">
        <w:r>
          <w:rPr>
            <w:i w:val="0"/>
          </w:rPr>
          <w:t xml:space="preserve">Khatri, R.B and Assefa Y (2022) </w:t>
        </w:r>
      </w:hyperlink>
      <w:hyperlink r:id="rId7">
        <w:r>
          <w:t>Access to health services among culturally and linguistically diverse</w:t>
        </w:r>
      </w:hyperlink>
      <w:hyperlink r:id="rId8">
        <w:r>
          <w:rPr>
            <w:u w:val="none" w:color="000000"/>
          </w:rPr>
          <w:t xml:space="preserve"> </w:t>
        </w:r>
      </w:hyperlink>
      <w:hyperlink r:id="rId9">
        <w:r>
          <w:t xml:space="preserve">populations in the Australian universal health care system: issues and challenges </w:t>
        </w:r>
      </w:hyperlink>
      <w:hyperlink r:id="rId10">
        <w:r>
          <w:rPr>
            <w:i w:val="0"/>
          </w:rPr>
          <w:t>BMC Public Health 22, 880</w:t>
        </w:r>
      </w:hyperlink>
      <w:hyperlink r:id="rId11">
        <w:r>
          <w:rPr>
            <w:i w:val="0"/>
            <w:color w:val="1B3051"/>
            <w:u w:val="none" w:color="000000"/>
          </w:rPr>
          <w:t xml:space="preserve"> </w:t>
        </w:r>
      </w:hyperlink>
    </w:p>
  </w:footnote>
  <w:footnote w:id="3">
    <w:p w14:paraId="4D5CFBEB" w14:textId="77777777" w:rsidR="008137A4" w:rsidRDefault="00D03F3F">
      <w:pPr>
        <w:pStyle w:val="footnotedescription"/>
      </w:pPr>
      <w:r>
        <w:rPr>
          <w:rStyle w:val="footnotemark"/>
        </w:rPr>
        <w:footnoteRef/>
      </w:r>
      <w:r>
        <w:t xml:space="preserve"> </w:t>
      </w:r>
      <w:hyperlink r:id="rId12">
        <w:proofErr w:type="spellStart"/>
        <w:r>
          <w:rPr>
            <w:i w:val="0"/>
          </w:rPr>
          <w:t>Komaric</w:t>
        </w:r>
        <w:proofErr w:type="spellEnd"/>
        <w:r>
          <w:rPr>
            <w:i w:val="0"/>
          </w:rPr>
          <w:t xml:space="preserve"> N. et al (2012)Two</w:t>
        </w:r>
      </w:hyperlink>
      <w:hyperlink r:id="rId13">
        <w:r>
          <w:rPr>
            <w:i w:val="0"/>
          </w:rPr>
          <w:t xml:space="preserve"> </w:t>
        </w:r>
      </w:hyperlink>
      <w:hyperlink r:id="rId14">
        <w:r>
          <w:rPr>
            <w:i w:val="0"/>
          </w:rPr>
          <w:t>Sides of the Coin: Patient and Provider Perceptions of Health Care Delivery to</w:t>
        </w:r>
      </w:hyperlink>
      <w:hyperlink r:id="rId15">
        <w:r>
          <w:rPr>
            <w:i w:val="0"/>
            <w:u w:val="none" w:color="000000"/>
          </w:rPr>
          <w:t xml:space="preserve"> </w:t>
        </w:r>
      </w:hyperlink>
    </w:p>
    <w:p w14:paraId="033942E9" w14:textId="77777777" w:rsidR="008137A4" w:rsidRDefault="00D03F3F">
      <w:pPr>
        <w:pStyle w:val="footnotedescription"/>
      </w:pPr>
      <w:hyperlink r:id="rId16">
        <w:r>
          <w:rPr>
            <w:i w:val="0"/>
          </w:rPr>
          <w:t>Patients from Culturally and Linguistically Diverse Backgrounds. BMC Health Services Research</w:t>
        </w:r>
      </w:hyperlink>
      <w:hyperlink r:id="rId17">
        <w:r>
          <w:rPr>
            <w:i w:val="0"/>
            <w:color w:val="000000"/>
            <w:u w:val="none" w:color="000000"/>
          </w:rPr>
          <w:t xml:space="preserve"> </w:t>
        </w:r>
      </w:hyperlink>
      <w:r>
        <w:rPr>
          <w:i w:val="0"/>
          <w:color w:val="000000"/>
          <w:u w:val="none" w:color="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2EF5" w14:textId="630F59FA" w:rsidR="00341B06" w:rsidRDefault="00341B06">
    <w:pPr>
      <w:pStyle w:val="Header"/>
    </w:pPr>
    <w:r>
      <w:rPr>
        <w:noProof/>
      </w:rPr>
      <mc:AlternateContent>
        <mc:Choice Requires="wps">
          <w:drawing>
            <wp:anchor distT="0" distB="0" distL="0" distR="0" simplePos="0" relativeHeight="251659264" behindDoc="0" locked="0" layoutInCell="1" allowOverlap="1" wp14:anchorId="5EFBB4DE" wp14:editId="71293C66">
              <wp:simplePos x="635" y="635"/>
              <wp:positionH relativeFrom="page">
                <wp:align>center</wp:align>
              </wp:positionH>
              <wp:positionV relativeFrom="page">
                <wp:align>top</wp:align>
              </wp:positionV>
              <wp:extent cx="622300" cy="475615"/>
              <wp:effectExtent l="0" t="0" r="6350" b="635"/>
              <wp:wrapNone/>
              <wp:docPr id="16950608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5615"/>
                      </a:xfrm>
                      <a:prstGeom prst="rect">
                        <a:avLst/>
                      </a:prstGeom>
                      <a:noFill/>
                      <a:ln>
                        <a:noFill/>
                      </a:ln>
                    </wps:spPr>
                    <wps:txbx>
                      <w:txbxContent>
                        <w:p w14:paraId="5E521910" w14:textId="0E985494" w:rsidR="00341B06" w:rsidRPr="00341B06" w:rsidRDefault="00341B06" w:rsidP="00341B06">
                          <w:pPr>
                            <w:spacing w:after="0"/>
                            <w:rPr>
                              <w:rFonts w:ascii="Aptos" w:eastAsia="Aptos" w:hAnsi="Aptos" w:cs="Aptos"/>
                              <w:noProof/>
                              <w:color w:val="FF0000"/>
                              <w:sz w:val="24"/>
                            </w:rPr>
                          </w:pPr>
                          <w:r w:rsidRPr="00341B0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FBB4DE"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7.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" filled="f" stroked="f">
              <v:fill o:detectmouseclick="t"/>
              <v:textbox style="mso-fit-shape-to-text:t" inset="0,15pt,0,0">
                <w:txbxContent>
                  <w:p w14:paraId="5E521910" w14:textId="0E985494" w:rsidR="00341B06" w:rsidRPr="00341B06" w:rsidRDefault="00341B06" w:rsidP="00341B06">
                    <w:pPr>
                      <w:spacing w:after="0"/>
                      <w:rPr>
                        <w:rFonts w:ascii="Aptos" w:eastAsia="Aptos" w:hAnsi="Aptos" w:cs="Aptos"/>
                        <w:noProof/>
                        <w:color w:val="FF0000"/>
                        <w:sz w:val="24"/>
                      </w:rPr>
                    </w:pPr>
                    <w:r w:rsidRPr="00341B06">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336E" w14:textId="31F703BB" w:rsidR="00341B06" w:rsidRDefault="00341B06">
    <w:pPr>
      <w:pStyle w:val="Header"/>
    </w:pPr>
    <w:r>
      <w:rPr>
        <w:noProof/>
      </w:rPr>
      <mc:AlternateContent>
        <mc:Choice Requires="wps">
          <w:drawing>
            <wp:anchor distT="0" distB="0" distL="0" distR="0" simplePos="0" relativeHeight="251660288" behindDoc="0" locked="0" layoutInCell="1" allowOverlap="1" wp14:anchorId="6C56E59D" wp14:editId="6F8ABB70">
              <wp:simplePos x="904875" y="457200"/>
              <wp:positionH relativeFrom="page">
                <wp:align>center</wp:align>
              </wp:positionH>
              <wp:positionV relativeFrom="page">
                <wp:align>top</wp:align>
              </wp:positionV>
              <wp:extent cx="622300" cy="475615"/>
              <wp:effectExtent l="0" t="0" r="6350" b="635"/>
              <wp:wrapNone/>
              <wp:docPr id="9973602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5615"/>
                      </a:xfrm>
                      <a:prstGeom prst="rect">
                        <a:avLst/>
                      </a:prstGeom>
                      <a:noFill/>
                      <a:ln>
                        <a:noFill/>
                      </a:ln>
                    </wps:spPr>
                    <wps:txbx>
                      <w:txbxContent>
                        <w:p w14:paraId="1E9BDEE8" w14:textId="5CC332BC" w:rsidR="00341B06" w:rsidRPr="00341B06" w:rsidRDefault="00341B06" w:rsidP="00341B06">
                          <w:pPr>
                            <w:spacing w:after="0"/>
                            <w:rPr>
                              <w:rFonts w:ascii="Aptos" w:eastAsia="Aptos" w:hAnsi="Aptos" w:cs="Aptos"/>
                              <w:noProof/>
                              <w:color w:val="FF0000"/>
                              <w:sz w:val="24"/>
                            </w:rPr>
                          </w:pPr>
                          <w:r w:rsidRPr="00341B0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56E59D"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7.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zq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" filled="f" stroked="f">
              <v:fill o:detectmouseclick="t"/>
              <v:textbox style="mso-fit-shape-to-text:t" inset="0,15pt,0,0">
                <w:txbxContent>
                  <w:p w14:paraId="1E9BDEE8" w14:textId="5CC332BC" w:rsidR="00341B06" w:rsidRPr="00341B06" w:rsidRDefault="00341B06" w:rsidP="00341B06">
                    <w:pPr>
                      <w:spacing w:after="0"/>
                      <w:rPr>
                        <w:rFonts w:ascii="Aptos" w:eastAsia="Aptos" w:hAnsi="Aptos" w:cs="Aptos"/>
                        <w:noProof/>
                        <w:color w:val="FF0000"/>
                        <w:sz w:val="24"/>
                      </w:rPr>
                    </w:pPr>
                    <w:r w:rsidRPr="00341B06">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9F69" w14:textId="2DE2CBC4" w:rsidR="00341B06" w:rsidRDefault="00341B06">
    <w:pPr>
      <w:pStyle w:val="Header"/>
    </w:pPr>
    <w:r>
      <w:rPr>
        <w:noProof/>
      </w:rPr>
      <mc:AlternateContent>
        <mc:Choice Requires="wps">
          <w:drawing>
            <wp:anchor distT="0" distB="0" distL="0" distR="0" simplePos="0" relativeHeight="251658240" behindDoc="0" locked="0" layoutInCell="1" allowOverlap="1" wp14:anchorId="70AFD952" wp14:editId="7890CBB3">
              <wp:simplePos x="635" y="635"/>
              <wp:positionH relativeFrom="page">
                <wp:align>center</wp:align>
              </wp:positionH>
              <wp:positionV relativeFrom="page">
                <wp:align>top</wp:align>
              </wp:positionV>
              <wp:extent cx="622300" cy="475615"/>
              <wp:effectExtent l="0" t="0" r="6350" b="635"/>
              <wp:wrapNone/>
              <wp:docPr id="2998525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5615"/>
                      </a:xfrm>
                      <a:prstGeom prst="rect">
                        <a:avLst/>
                      </a:prstGeom>
                      <a:noFill/>
                      <a:ln>
                        <a:noFill/>
                      </a:ln>
                    </wps:spPr>
                    <wps:txbx>
                      <w:txbxContent>
                        <w:p w14:paraId="303E38AF" w14:textId="5E114F63" w:rsidR="00341B06" w:rsidRPr="00341B06" w:rsidRDefault="00341B06" w:rsidP="00341B06">
                          <w:pPr>
                            <w:spacing w:after="0"/>
                            <w:rPr>
                              <w:rFonts w:ascii="Aptos" w:eastAsia="Aptos" w:hAnsi="Aptos" w:cs="Aptos"/>
                              <w:noProof/>
                              <w:color w:val="FF0000"/>
                              <w:sz w:val="24"/>
                            </w:rPr>
                          </w:pPr>
                          <w:r w:rsidRPr="00341B0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FD952"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7.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RN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" filled="f" stroked="f">
              <v:fill o:detectmouseclick="t"/>
              <v:textbox style="mso-fit-shape-to-text:t" inset="0,15pt,0,0">
                <w:txbxContent>
                  <w:p w14:paraId="303E38AF" w14:textId="5E114F63" w:rsidR="00341B06" w:rsidRPr="00341B06" w:rsidRDefault="00341B06" w:rsidP="00341B06">
                    <w:pPr>
                      <w:spacing w:after="0"/>
                      <w:rPr>
                        <w:rFonts w:ascii="Aptos" w:eastAsia="Aptos" w:hAnsi="Aptos" w:cs="Aptos"/>
                        <w:noProof/>
                        <w:color w:val="FF0000"/>
                        <w:sz w:val="24"/>
                      </w:rPr>
                    </w:pPr>
                    <w:r w:rsidRPr="00341B06">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47EC"/>
    <w:multiLevelType w:val="hybridMultilevel"/>
    <w:tmpl w:val="C6F88B50"/>
    <w:lvl w:ilvl="0" w:tplc="F80A5A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FC99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22F7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68D4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9ACD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FE05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B2AA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8C18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1C28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683566"/>
    <w:multiLevelType w:val="hybridMultilevel"/>
    <w:tmpl w:val="9E187640"/>
    <w:lvl w:ilvl="0" w:tplc="D208022C">
      <w:start w:val="1"/>
      <w:numFmt w:val="bullet"/>
      <w:lvlText w:val="•"/>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9812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94B9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38A9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26B1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7E81E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D226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045F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32CB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2D7246"/>
    <w:multiLevelType w:val="hybridMultilevel"/>
    <w:tmpl w:val="50BCD578"/>
    <w:lvl w:ilvl="0" w:tplc="DC065D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7A48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1845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6C9B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3ED7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077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6C89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DE6A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184E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80425B5"/>
    <w:multiLevelType w:val="hybridMultilevel"/>
    <w:tmpl w:val="8CD42CD0"/>
    <w:lvl w:ilvl="0" w:tplc="76FACC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82D3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8CD5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7E58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1E2F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10DB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16D1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A10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A6F6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6180824">
    <w:abstractNumId w:val="0"/>
  </w:num>
  <w:num w:numId="2" w16cid:durableId="1074468590">
    <w:abstractNumId w:val="2"/>
  </w:num>
  <w:num w:numId="3" w16cid:durableId="1667123250">
    <w:abstractNumId w:val="3"/>
  </w:num>
  <w:num w:numId="4" w16cid:durableId="573512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7A4"/>
    <w:rsid w:val="00341B06"/>
    <w:rsid w:val="005D20EF"/>
    <w:rsid w:val="008137A4"/>
    <w:rsid w:val="00D03F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0AF6"/>
  <w15:docId w15:val="{40BF0374-D5FC-43A3-A93B-E989F83D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8" w:line="36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3F4A75"/>
      <w:sz w:val="44"/>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358189"/>
      <w:sz w:val="36"/>
    </w:rPr>
  </w:style>
  <w:style w:type="paragraph" w:styleId="Heading3">
    <w:name w:val="heading 3"/>
    <w:next w:val="Normal"/>
    <w:link w:val="Heading3Char"/>
    <w:uiPriority w:val="9"/>
    <w:unhideWhenUsed/>
    <w:qFormat/>
    <w:pPr>
      <w:keepNext/>
      <w:keepLines/>
      <w:spacing w:after="232" w:line="259" w:lineRule="auto"/>
      <w:ind w:left="370" w:hanging="10"/>
      <w:outlineLvl w:val="2"/>
    </w:pPr>
    <w:rPr>
      <w:rFonts w:ascii="Arial" w:eastAsia="Arial" w:hAnsi="Arial" w:cs="Arial"/>
      <w:b/>
      <w:color w:val="3F4A7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3F4A75"/>
      <w:sz w:val="22"/>
    </w:rPr>
  </w:style>
  <w:style w:type="character" w:customStyle="1" w:styleId="Heading2Char">
    <w:name w:val="Heading 2 Char"/>
    <w:link w:val="Heading2"/>
    <w:rPr>
      <w:rFonts w:ascii="Arial" w:eastAsia="Arial" w:hAnsi="Arial" w:cs="Arial"/>
      <w:b/>
      <w:color w:val="358189"/>
      <w:sz w:val="36"/>
    </w:rPr>
  </w:style>
  <w:style w:type="character" w:customStyle="1" w:styleId="Heading1Char">
    <w:name w:val="Heading 1 Char"/>
    <w:link w:val="Heading1"/>
    <w:rPr>
      <w:rFonts w:ascii="Arial" w:eastAsia="Arial" w:hAnsi="Arial" w:cs="Arial"/>
      <w:b/>
      <w:color w:val="3F4A75"/>
      <w:sz w:val="44"/>
    </w:rPr>
  </w:style>
  <w:style w:type="paragraph" w:customStyle="1" w:styleId="footnotedescription">
    <w:name w:val="footnote description"/>
    <w:next w:val="Normal"/>
    <w:link w:val="footnotedescriptionChar"/>
    <w:hidden/>
    <w:pPr>
      <w:spacing w:after="0" w:line="259" w:lineRule="auto"/>
    </w:pPr>
    <w:rPr>
      <w:rFonts w:ascii="Arial" w:eastAsia="Arial" w:hAnsi="Arial" w:cs="Arial"/>
      <w:i/>
      <w:color w:val="0000FF"/>
      <w:sz w:val="18"/>
      <w:u w:val="single" w:color="0000FF"/>
    </w:rPr>
  </w:style>
  <w:style w:type="character" w:customStyle="1" w:styleId="footnotedescriptionChar">
    <w:name w:val="footnote description Char"/>
    <w:link w:val="footnotedescription"/>
    <w:rPr>
      <w:rFonts w:ascii="Arial" w:eastAsia="Arial" w:hAnsi="Arial" w:cs="Arial"/>
      <w:i/>
      <w:color w:val="0000FF"/>
      <w:sz w:val="18"/>
      <w:u w:val="single" w:color="0000FF"/>
    </w:rPr>
  </w:style>
  <w:style w:type="character" w:customStyle="1" w:styleId="footnotemark">
    <w:name w:val="footnote mark"/>
    <w:hidden/>
    <w:rPr>
      <w:rFonts w:ascii="Arial" w:eastAsia="Arial" w:hAnsi="Arial" w:cs="Arial"/>
      <w:color w:val="000000"/>
      <w:sz w:val="18"/>
      <w:vertAlign w:val="superscript"/>
    </w:rPr>
  </w:style>
  <w:style w:type="paragraph" w:styleId="Header">
    <w:name w:val="header"/>
    <w:basedOn w:val="Normal"/>
    <w:link w:val="HeaderChar"/>
    <w:uiPriority w:val="99"/>
    <w:unhideWhenUsed/>
    <w:rsid w:val="00341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B06"/>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ulturaldiversityhealth.org.au/who/" TargetMode="External"/><Relationship Id="rId18" Type="http://schemas.openxmlformats.org/officeDocument/2006/relationships/hyperlink" Target="https://culturaldiversityhealth.org.au/competency-standards-framework/" TargetMode="External"/><Relationship Id="rId26" Type="http://schemas.openxmlformats.org/officeDocument/2006/relationships/hyperlink" Target="https://culturalcompetencetraining.com.au/about/" TargetMode="External"/><Relationship Id="rId39" Type="http://schemas.openxmlformats.org/officeDocument/2006/relationships/header" Target="header1.xml"/><Relationship Id="rId21" Type="http://schemas.openxmlformats.org/officeDocument/2006/relationships/hyperlink" Target="https://culturaldiversityhealth.org.au/wp-content/uploads/2019/10/Guide-for-clinicians-working-with-interpreters-in-healthcare-settings-Jan2019.pdf" TargetMode="External"/><Relationship Id="rId34" Type="http://schemas.openxmlformats.org/officeDocument/2006/relationships/hyperlink" Target="https://www.mcci.org.au/diversity-and-inclusion/caldways-webinars/" TargetMode="External"/><Relationship Id="rId42" Type="http://schemas.openxmlformats.org/officeDocument/2006/relationships/footer" Target="footer2.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ulturaldiversityhealth.org.au/competency-standards-framework/" TargetMode="External"/><Relationship Id="rId29" Type="http://schemas.openxmlformats.org/officeDocument/2006/relationships/hyperlink" Target="https://culturalcompetencetraining.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g"/><Relationship Id="rId24" Type="http://schemas.openxmlformats.org/officeDocument/2006/relationships/hyperlink" Target="https://equiplearning.utas.edu.au/" TargetMode="External"/><Relationship Id="rId32" Type="http://schemas.openxmlformats.org/officeDocument/2006/relationships/hyperlink" Target="https://www.mcci.org.au/diversity-and-inclusion/caldways-webinars/" TargetMode="External"/><Relationship Id="rId37" Type="http://schemas.openxmlformats.org/officeDocument/2006/relationships/hyperlink" Target="https://audiology.asn.au/Tenant/C0000013/Accreditation_Standards_for_Audiology_Programs_1Jan2023.pdf"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ulturaldiversityhealth.org.au/competency-standards-framework/" TargetMode="External"/><Relationship Id="rId23" Type="http://schemas.openxmlformats.org/officeDocument/2006/relationships/hyperlink" Target="https://culturaldiversityhealth.org.au/wp-content/uploads/2019/10/Guide-for-clinicians-working-with-interpreters-in-healthcare-settings-Jan2019.pdf" TargetMode="External"/><Relationship Id="rId28" Type="http://schemas.openxmlformats.org/officeDocument/2006/relationships/hyperlink" Target="https://culturalcompetencetraining.com.au/" TargetMode="External"/><Relationship Id="rId36" Type="http://schemas.openxmlformats.org/officeDocument/2006/relationships/hyperlink" Target="https://audiology.asn.au/Tenant/C0000013/AudA%20National%20Competency%20Standards%201Jan2022.pdf" TargetMode="External"/><Relationship Id="rId10" Type="http://schemas.openxmlformats.org/officeDocument/2006/relationships/image" Target="media/image0.jpg"/><Relationship Id="rId19" Type="http://schemas.openxmlformats.org/officeDocument/2006/relationships/hyperlink" Target="https://culturaldiversityhealth.org.au/competency-standards-framework/" TargetMode="External"/><Relationship Id="rId31" Type="http://schemas.openxmlformats.org/officeDocument/2006/relationships/hyperlink" Target="https://www.mcci.org.au/about-mcci/"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ulturaldiversityhealth.org.au/who/" TargetMode="External"/><Relationship Id="rId22" Type="http://schemas.openxmlformats.org/officeDocument/2006/relationships/hyperlink" Target="https://culturaldiversityhealth.org.au/wp-content/uploads/2019/10/Guide-for-clinicians-working-with-interpreters-in-healthcare-settings-Jan2019.pdf" TargetMode="External"/><Relationship Id="rId27" Type="http://schemas.openxmlformats.org/officeDocument/2006/relationships/hyperlink" Target="https://culturalcompetencetraining.com.au/" TargetMode="External"/><Relationship Id="rId30" Type="http://schemas.openxmlformats.org/officeDocument/2006/relationships/hyperlink" Target="https://www.mcci.org.au/about-mcci/" TargetMode="External"/><Relationship Id="rId35" Type="http://schemas.openxmlformats.org/officeDocument/2006/relationships/hyperlink" Target="https://audiology.asn.au/Tenant/C0000013/AudA%20National%20Competency%20Standards%201Jan2022.pdf" TargetMode="External"/><Relationship Id="rId43" Type="http://schemas.openxmlformats.org/officeDocument/2006/relationships/header" Target="header3.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ulturaldiversityhealth.org.au/competency-standards-framework/" TargetMode="External"/><Relationship Id="rId25" Type="http://schemas.openxmlformats.org/officeDocument/2006/relationships/hyperlink" Target="https://equiplearning.utas.edu.au/" TargetMode="External"/><Relationship Id="rId33" Type="http://schemas.openxmlformats.org/officeDocument/2006/relationships/hyperlink" Target="https://www.mcci.org.au/diversity-and-inclusion/caldways-webinars/" TargetMode="External"/><Relationship Id="rId38" Type="http://schemas.openxmlformats.org/officeDocument/2006/relationships/hyperlink" Target="https://audiology.asn.au/Tenant/C0000013/Accreditation_Standards_for_Audiology_Programs_1Jan2023.pdf" TargetMode="External"/><Relationship Id="rId46" Type="http://schemas.openxmlformats.org/officeDocument/2006/relationships/theme" Target="theme/theme1.xml"/><Relationship Id="rId20" Type="http://schemas.openxmlformats.org/officeDocument/2006/relationships/hyperlink" Target="https://culturaldiversityhealth.org.au/wp-content/uploads/2019/10/Guide-for-clinicians-working-with-interpreters-in-healthcare-settings-Jan2019.pdf"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bmcpublichealth.biomedcentral.com/articles/10.1186/s12889-022-13256-z" TargetMode="External"/><Relationship Id="rId13" Type="http://schemas.openxmlformats.org/officeDocument/2006/relationships/hyperlink" Target="https://www.ncbi.nlm.nih.gov/pmc/articles/PMC3502549/" TargetMode="External"/><Relationship Id="rId3" Type="http://schemas.openxmlformats.org/officeDocument/2006/relationships/hyperlink" Target="https://pubmed.ncbi.nlm.nih.gov/24739019/" TargetMode="External"/><Relationship Id="rId7" Type="http://schemas.openxmlformats.org/officeDocument/2006/relationships/hyperlink" Target="https://bmcpublichealth.biomedcentral.com/articles/10.1186/s12889-022-13256-z" TargetMode="External"/><Relationship Id="rId12" Type="http://schemas.openxmlformats.org/officeDocument/2006/relationships/hyperlink" Target="https://www.ncbi.nlm.nih.gov/pmc/articles/PMC3502549/" TargetMode="External"/><Relationship Id="rId17" Type="http://schemas.openxmlformats.org/officeDocument/2006/relationships/hyperlink" Target="https://www.ncbi.nlm.nih.gov/pmc/articles/PMC3502549/" TargetMode="External"/><Relationship Id="rId2" Type="http://schemas.openxmlformats.org/officeDocument/2006/relationships/hyperlink" Target="https://pubmed.ncbi.nlm.nih.gov/24739019/" TargetMode="External"/><Relationship Id="rId16" Type="http://schemas.openxmlformats.org/officeDocument/2006/relationships/hyperlink" Target="https://www.ncbi.nlm.nih.gov/pmc/articles/PMC3502549/" TargetMode="External"/><Relationship Id="rId1" Type="http://schemas.openxmlformats.org/officeDocument/2006/relationships/hyperlink" Target="https://pubmed.ncbi.nlm.nih.gov/24739019/" TargetMode="External"/><Relationship Id="rId6" Type="http://schemas.openxmlformats.org/officeDocument/2006/relationships/hyperlink" Target="https://bmcpublichealth.biomedcentral.com/articles/10.1186/s12889-022-13256-z" TargetMode="External"/><Relationship Id="rId11" Type="http://schemas.openxmlformats.org/officeDocument/2006/relationships/hyperlink" Target="https://bmcpublichealth.biomedcentral.com/articles/10.1186/s12889-022-13256-z" TargetMode="External"/><Relationship Id="rId5" Type="http://schemas.openxmlformats.org/officeDocument/2006/relationships/hyperlink" Target="https://pubmed.ncbi.nlm.nih.gov/24739019/" TargetMode="External"/><Relationship Id="rId15" Type="http://schemas.openxmlformats.org/officeDocument/2006/relationships/hyperlink" Target="https://www.ncbi.nlm.nih.gov/pmc/articles/PMC3502549/" TargetMode="External"/><Relationship Id="rId10" Type="http://schemas.openxmlformats.org/officeDocument/2006/relationships/hyperlink" Target="https://bmcpublichealth.biomedcentral.com/articles/10.1186/s12889-022-13256-z" TargetMode="External"/><Relationship Id="rId4" Type="http://schemas.openxmlformats.org/officeDocument/2006/relationships/hyperlink" Target="https://pubmed.ncbi.nlm.nih.gov/24739019/" TargetMode="External"/><Relationship Id="rId9" Type="http://schemas.openxmlformats.org/officeDocument/2006/relationships/hyperlink" Target="https://bmcpublichealth.biomedcentral.com/articles/10.1186/s12889-022-13256-z" TargetMode="External"/><Relationship Id="rId14" Type="http://schemas.openxmlformats.org/officeDocument/2006/relationships/hyperlink" Target="https://www.ncbi.nlm.nih.gov/pmc/articles/PMC3502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3505</Characters>
  <Application>Microsoft Office Word</Application>
  <DocSecurity>0</DocSecurity>
  <Lines>70</Lines>
  <Paragraphs>39</Paragraphs>
  <ScaleCrop>false</ScaleCrop>
  <Company>Department of Health, Disability and Ageing</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Services Program cultural competency resources</dc:title>
  <dc:subject/>
  <dc:creator>Australian Government Department of Health and Aged Care</dc:creator>
  <cp:keywords>hearing services program;</cp:keywords>
  <cp:revision>3</cp:revision>
  <dcterms:created xsi:type="dcterms:W3CDTF">2026-04-24T04:17:00Z</dcterms:created>
  <dcterms:modified xsi:type="dcterms:W3CDTF">2026-04-24T04:17:00Z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11df62da,6508935b,3b72829d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1860e307,4e91113a,55ae8a14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2026-04-24T04:17:24Z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e5e30268-2732-431f-b8ba-e56133fb55aa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