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F0D1" w14:textId="77777777" w:rsidR="0061656B" w:rsidRDefault="00B60019">
      <w:pPr>
        <w:spacing w:after="349" w:line="259" w:lineRule="auto"/>
        <w:ind w:left="1" w:firstLine="0"/>
      </w:pPr>
      <w:r>
        <w:rPr>
          <w:rFonts w:ascii="Calibri" w:eastAsia="Calibri" w:hAnsi="Calibri" w:cs="Calibri"/>
          <w:noProof/>
        </w:rPr>
        <mc:AlternateContent>
          <mc:Choice Requires="wpg">
            <w:drawing>
              <wp:inline distT="0" distB="0" distL="0" distR="0" wp14:anchorId="4F93D3EA" wp14:editId="753592D2">
                <wp:extent cx="6195669" cy="973290"/>
                <wp:effectExtent l="0" t="0" r="0" b="0"/>
                <wp:docPr id="3382" name="Group 3382"/>
                <wp:cNvGraphicFramePr/>
                <a:graphic xmlns:a="http://schemas.openxmlformats.org/drawingml/2006/main">
                  <a:graphicData uri="http://schemas.microsoft.com/office/word/2010/wordprocessingGroup">
                    <wpg:wgp>
                      <wpg:cNvGrpSpPr/>
                      <wpg:grpSpPr>
                        <a:xfrm>
                          <a:off x="0" y="0"/>
                          <a:ext cx="6195669" cy="973290"/>
                          <a:chOff x="0" y="0"/>
                          <a:chExt cx="6195669" cy="973290"/>
                        </a:xfrm>
                      </wpg:grpSpPr>
                      <pic:pic xmlns:pic="http://schemas.openxmlformats.org/drawingml/2006/picture">
                        <pic:nvPicPr>
                          <pic:cNvPr id="3580" name="Picture 3580"/>
                          <pic:cNvPicPr/>
                        </pic:nvPicPr>
                        <pic:blipFill>
                          <a:blip r:embed="rId7"/>
                          <a:stretch>
                            <a:fillRect/>
                          </a:stretch>
                        </pic:blipFill>
                        <pic:spPr>
                          <a:xfrm>
                            <a:off x="4707938" y="-2075"/>
                            <a:ext cx="1328928" cy="396240"/>
                          </a:xfrm>
                          <a:prstGeom prst="rect">
                            <a:avLst/>
                          </a:prstGeom>
                        </pic:spPr>
                      </pic:pic>
                      <pic:pic xmlns:pic="http://schemas.openxmlformats.org/drawingml/2006/picture">
                        <pic:nvPicPr>
                          <pic:cNvPr id="3581" name="Picture 3581"/>
                          <pic:cNvPicPr/>
                        </pic:nvPicPr>
                        <pic:blipFill>
                          <a:blip r:embed="rId8"/>
                          <a:stretch>
                            <a:fillRect/>
                          </a:stretch>
                        </pic:blipFill>
                        <pic:spPr>
                          <a:xfrm>
                            <a:off x="4697779" y="392132"/>
                            <a:ext cx="1328928" cy="396240"/>
                          </a:xfrm>
                          <a:prstGeom prst="rect">
                            <a:avLst/>
                          </a:prstGeom>
                        </pic:spPr>
                      </pic:pic>
                      <pic:pic xmlns:pic="http://schemas.openxmlformats.org/drawingml/2006/picture">
                        <pic:nvPicPr>
                          <pic:cNvPr id="102" name="Picture 102"/>
                          <pic:cNvPicPr/>
                        </pic:nvPicPr>
                        <pic:blipFill>
                          <a:blip r:embed="rId9"/>
                          <a:stretch>
                            <a:fillRect/>
                          </a:stretch>
                        </pic:blipFill>
                        <pic:spPr>
                          <a:xfrm>
                            <a:off x="11365" y="79946"/>
                            <a:ext cx="2188464" cy="664464"/>
                          </a:xfrm>
                          <a:prstGeom prst="rect">
                            <a:avLst/>
                          </a:prstGeom>
                        </pic:spPr>
                      </pic:pic>
                      <pic:pic xmlns:pic="http://schemas.openxmlformats.org/drawingml/2006/picture">
                        <pic:nvPicPr>
                          <pic:cNvPr id="104" name="Picture 104"/>
                          <pic:cNvPicPr/>
                        </pic:nvPicPr>
                        <pic:blipFill>
                          <a:blip r:embed="rId10"/>
                          <a:stretch>
                            <a:fillRect/>
                          </a:stretch>
                        </pic:blipFill>
                        <pic:spPr>
                          <a:xfrm>
                            <a:off x="0" y="890169"/>
                            <a:ext cx="6195669" cy="83121"/>
                          </a:xfrm>
                          <a:prstGeom prst="rect">
                            <a:avLst/>
                          </a:prstGeom>
                        </pic:spPr>
                      </pic:pic>
                    </wpg:wgp>
                  </a:graphicData>
                </a:graphic>
              </wp:inline>
            </w:drawing>
          </mc:Choice>
          <mc:Fallback xmlns:a="http://schemas.openxmlformats.org/drawingml/2006/main">
            <w:pict>
              <v:group id="Group 3382" style="width:487.848pt;height:76.637pt;mso-position-horizontal-relative:char;mso-position-vertical-relative:line" coordsize="61956,9732">
                <v:shape id="Picture 3580" style="position:absolute;width:13289;height:3962;left:47079;top:-20;" filled="f">
                  <v:imagedata r:id="rId11"/>
                </v:shape>
                <v:shape id="Picture 3581" style="position:absolute;width:13289;height:3962;left:46977;top:3921;" filled="f">
                  <v:imagedata r:id="rId12"/>
                </v:shape>
                <v:shape id="Picture 102" style="position:absolute;width:21884;height:6644;left:113;top:799;" filled="f">
                  <v:imagedata r:id="rId13"/>
                </v:shape>
                <v:shape id="Picture 104" style="position:absolute;width:61956;height:831;left:0;top:8901;" filled="f">
                  <v:imagedata r:id="rId14"/>
                </v:shape>
              </v:group>
            </w:pict>
          </mc:Fallback>
        </mc:AlternateContent>
      </w:r>
    </w:p>
    <w:p w14:paraId="585473F8" w14:textId="77777777" w:rsidR="0061656B" w:rsidRDefault="00B60019">
      <w:pPr>
        <w:spacing w:after="0" w:line="259" w:lineRule="auto"/>
        <w:ind w:left="0" w:firstLine="0"/>
      </w:pPr>
      <w:r>
        <w:rPr>
          <w:b/>
          <w:color w:val="3F4A75"/>
          <w:sz w:val="48"/>
        </w:rPr>
        <w:t xml:space="preserve">Compliance Update August 2023 </w:t>
      </w:r>
    </w:p>
    <w:p w14:paraId="3AF1C3BE" w14:textId="77777777" w:rsidR="0061656B" w:rsidRDefault="00B60019">
      <w:pPr>
        <w:spacing w:after="464" w:line="259" w:lineRule="auto"/>
        <w:ind w:left="0" w:firstLine="0"/>
      </w:pPr>
      <w:r>
        <w:rPr>
          <w:color w:val="FF0000"/>
        </w:rPr>
        <w:t xml:space="preserve">18/9/2023 </w:t>
      </w:r>
    </w:p>
    <w:p w14:paraId="67EF10E9" w14:textId="77777777" w:rsidR="0061656B" w:rsidRDefault="00B60019">
      <w:pPr>
        <w:pStyle w:val="Heading1"/>
      </w:pPr>
      <w:r>
        <w:t>Provider Compliance</w:t>
      </w:r>
      <w:r>
        <w:rPr>
          <w:color w:val="FF0000"/>
        </w:rPr>
        <w:t xml:space="preserve"> </w:t>
      </w:r>
    </w:p>
    <w:p w14:paraId="5968A005" w14:textId="77777777" w:rsidR="0061656B" w:rsidRDefault="00B60019">
      <w:pPr>
        <w:spacing w:after="126"/>
        <w:ind w:left="-5"/>
      </w:pPr>
      <w:r>
        <w:t xml:space="preserve">The Department of Health and Aged Care administers the Australian Government Hearing Services Program. The program works with contracted service providers to support their compliance. The program monitors provider compliance under the </w:t>
      </w:r>
      <w:r>
        <w:rPr>
          <w:color w:val="0000FF"/>
          <w:u w:val="single" w:color="0000FF"/>
        </w:rPr>
        <w:t>Compliance Monitoring and Support Framework</w:t>
      </w:r>
      <w:r>
        <w:t xml:space="preserve">.  </w:t>
      </w:r>
    </w:p>
    <w:p w14:paraId="1DCFD6CE" w14:textId="77777777" w:rsidR="0061656B" w:rsidRDefault="00B60019">
      <w:pPr>
        <w:spacing w:after="377"/>
        <w:ind w:left="-5"/>
      </w:pPr>
      <w:r>
        <w:t xml:space="preserve">This Compliance Update includes information on the support available, lessons learned from during 2022-23. The focus for compliance in 2023-24 is listed below. Providers should review their processes to ensure they remain compliant. </w:t>
      </w:r>
    </w:p>
    <w:p w14:paraId="49706165" w14:textId="77777777" w:rsidR="0061656B" w:rsidRDefault="00B60019">
      <w:pPr>
        <w:pStyle w:val="Heading2"/>
        <w:ind w:left="-5"/>
      </w:pPr>
      <w:r>
        <w:t xml:space="preserve">Provider Compliance Support  </w:t>
      </w:r>
    </w:p>
    <w:p w14:paraId="7755413F" w14:textId="77777777" w:rsidR="0061656B" w:rsidRDefault="00B60019">
      <w:pPr>
        <w:spacing w:after="160"/>
        <w:ind w:left="-5"/>
      </w:pPr>
      <w:r>
        <w:t xml:space="preserve">The program works ensure clients receive quality hearing services. The program has a range of supports available to help providers and their staff with compliance. These include: </w:t>
      </w:r>
    </w:p>
    <w:p w14:paraId="1CB4FAC3" w14:textId="77777777" w:rsidR="0061656B" w:rsidRDefault="00B60019">
      <w:pPr>
        <w:numPr>
          <w:ilvl w:val="0"/>
          <w:numId w:val="1"/>
        </w:numPr>
        <w:spacing w:after="0" w:line="259" w:lineRule="auto"/>
        <w:ind w:hanging="360"/>
      </w:pPr>
      <w:r>
        <w:t xml:space="preserve">the program website – </w:t>
      </w:r>
      <w:r>
        <w:rPr>
          <w:color w:val="0000FF"/>
          <w:u w:val="single" w:color="0000FF"/>
        </w:rPr>
        <w:t>www.health.gov.au/hearing-services</w:t>
      </w:r>
    </w:p>
    <w:p w14:paraId="6604BB77" w14:textId="77777777" w:rsidR="0061656B" w:rsidRDefault="00B60019">
      <w:pPr>
        <w:numPr>
          <w:ilvl w:val="0"/>
          <w:numId w:val="1"/>
        </w:numPr>
        <w:spacing w:after="0"/>
        <w:ind w:hanging="360"/>
      </w:pPr>
      <w:r>
        <w:t xml:space="preserve">Contact Information Centre – </w:t>
      </w:r>
      <w:r>
        <w:rPr>
          <w:color w:val="0000FF"/>
          <w:u w:val="single" w:color="0000FF"/>
        </w:rPr>
        <w:t>hearing@health.gov.au</w:t>
      </w:r>
      <w:r>
        <w:t xml:space="preserve"> or 1800 500 726</w:t>
      </w:r>
    </w:p>
    <w:p w14:paraId="5E98C003" w14:textId="77777777" w:rsidR="0061656B" w:rsidRDefault="00B60019">
      <w:pPr>
        <w:numPr>
          <w:ilvl w:val="0"/>
          <w:numId w:val="1"/>
        </w:numPr>
        <w:spacing w:after="0" w:line="259" w:lineRule="auto"/>
        <w:ind w:hanging="360"/>
      </w:pPr>
      <w:r>
        <w:rPr>
          <w:color w:val="0000FF"/>
          <w:u w:val="single" w:color="0000FF"/>
        </w:rPr>
        <w:t>Schedule of Services Items and Fees</w:t>
      </w:r>
    </w:p>
    <w:p w14:paraId="250B0FA1" w14:textId="77777777" w:rsidR="0061656B" w:rsidRDefault="00B60019">
      <w:pPr>
        <w:numPr>
          <w:ilvl w:val="0"/>
          <w:numId w:val="1"/>
        </w:numPr>
        <w:spacing w:after="0"/>
        <w:ind w:hanging="360"/>
      </w:pPr>
      <w:r>
        <w:rPr>
          <w:color w:val="0000FF"/>
          <w:u w:val="single" w:color="0000FF"/>
        </w:rPr>
        <w:t>Program Resources</w:t>
      </w:r>
      <w:r>
        <w:t xml:space="preserve"> including Factsheets, Provider Notices, Program Forms, User Guides etc</w:t>
      </w:r>
    </w:p>
    <w:p w14:paraId="3463537A" w14:textId="77777777" w:rsidR="0061656B" w:rsidRDefault="00B60019">
      <w:pPr>
        <w:numPr>
          <w:ilvl w:val="0"/>
          <w:numId w:val="1"/>
        </w:numPr>
        <w:spacing w:after="0" w:line="259" w:lineRule="auto"/>
        <w:ind w:hanging="360"/>
      </w:pPr>
      <w:r>
        <w:rPr>
          <w:color w:val="0000FF"/>
          <w:u w:val="single" w:color="0000FF"/>
        </w:rPr>
        <w:t>Provider Handbook</w:t>
      </w:r>
    </w:p>
    <w:p w14:paraId="61864DCE" w14:textId="77777777" w:rsidR="0061656B" w:rsidRDefault="00B60019">
      <w:pPr>
        <w:numPr>
          <w:ilvl w:val="0"/>
          <w:numId w:val="1"/>
        </w:numPr>
        <w:spacing w:after="65" w:line="259" w:lineRule="auto"/>
        <w:ind w:hanging="360"/>
      </w:pPr>
      <w:r>
        <w:rPr>
          <w:color w:val="0000FF"/>
          <w:u w:val="single" w:color="0000FF"/>
        </w:rPr>
        <w:t>Compliance Information</w:t>
      </w:r>
    </w:p>
    <w:p w14:paraId="7863B38C" w14:textId="77777777" w:rsidR="0061656B" w:rsidRDefault="00B60019">
      <w:pPr>
        <w:spacing w:after="378"/>
        <w:ind w:left="-5"/>
      </w:pPr>
      <w:r>
        <w:t xml:space="preserve">The program also welcomes suggestions on how we can support providers to improve compliance. We are happy to work with individual providers or industry groups to support training, compliance processes and template reviews. </w:t>
      </w:r>
    </w:p>
    <w:p w14:paraId="23EBE84A" w14:textId="77777777" w:rsidR="0061656B" w:rsidRDefault="00B60019">
      <w:pPr>
        <w:pStyle w:val="Heading2"/>
        <w:ind w:left="-5"/>
      </w:pPr>
      <w:r>
        <w:t xml:space="preserve">2023-24 Compliance Priorities </w:t>
      </w:r>
    </w:p>
    <w:p w14:paraId="2C3B1E0D" w14:textId="77777777" w:rsidR="0061656B" w:rsidRDefault="00B60019">
      <w:pPr>
        <w:spacing w:after="7"/>
        <w:ind w:left="-5"/>
      </w:pPr>
      <w:r>
        <w:t xml:space="preserve">The program has a robust risk-based compliance monitoring approach, including the provider selfassessment, audits and claim reviews. In 2023-24, we will focus on the following areas. </w:t>
      </w:r>
    </w:p>
    <w:p w14:paraId="72FC90EB" w14:textId="77777777" w:rsidR="0061656B" w:rsidRDefault="00B60019">
      <w:pPr>
        <w:spacing w:after="458" w:line="259" w:lineRule="auto"/>
        <w:ind w:left="-284" w:right="-569" w:firstLine="0"/>
      </w:pPr>
      <w:r>
        <w:rPr>
          <w:rFonts w:ascii="Calibri" w:eastAsia="Calibri" w:hAnsi="Calibri" w:cs="Calibri"/>
          <w:noProof/>
        </w:rPr>
        <mc:AlternateContent>
          <mc:Choice Requires="wpg">
            <w:drawing>
              <wp:inline distT="0" distB="0" distL="0" distR="0" wp14:anchorId="234E6D4A" wp14:editId="12C3720C">
                <wp:extent cx="6841237" cy="1149859"/>
                <wp:effectExtent l="0" t="0" r="0" b="0"/>
                <wp:docPr id="3383" name="Group 3383"/>
                <wp:cNvGraphicFramePr/>
                <a:graphic xmlns:a="http://schemas.openxmlformats.org/drawingml/2006/main">
                  <a:graphicData uri="http://schemas.microsoft.com/office/word/2010/wordprocessingGroup">
                    <wpg:wgp>
                      <wpg:cNvGrpSpPr/>
                      <wpg:grpSpPr>
                        <a:xfrm>
                          <a:off x="0" y="0"/>
                          <a:ext cx="6841237" cy="1149859"/>
                          <a:chOff x="0" y="0"/>
                          <a:chExt cx="6841237" cy="1149859"/>
                        </a:xfrm>
                      </wpg:grpSpPr>
                      <wps:wsp>
                        <wps:cNvPr id="3717" name="Shape 3717"/>
                        <wps:cNvSpPr/>
                        <wps:spPr>
                          <a:xfrm>
                            <a:off x="180594" y="0"/>
                            <a:ext cx="6120384" cy="286512"/>
                          </a:xfrm>
                          <a:custGeom>
                            <a:avLst/>
                            <a:gdLst/>
                            <a:ahLst/>
                            <a:cxnLst/>
                            <a:rect l="0" t="0" r="0" b="0"/>
                            <a:pathLst>
                              <a:path w="6120384" h="286512">
                                <a:moveTo>
                                  <a:pt x="0" y="0"/>
                                </a:moveTo>
                                <a:lnTo>
                                  <a:pt x="6120384" y="0"/>
                                </a:lnTo>
                                <a:lnTo>
                                  <a:pt x="6120384" y="286512"/>
                                </a:lnTo>
                                <a:lnTo>
                                  <a:pt x="0" y="286512"/>
                                </a:lnTo>
                                <a:lnTo>
                                  <a:pt x="0" y="0"/>
                                </a:lnTo>
                              </a:path>
                            </a:pathLst>
                          </a:custGeom>
                          <a:ln w="0" cap="flat">
                            <a:miter lim="127000"/>
                          </a:ln>
                        </wps:spPr>
                        <wps:style>
                          <a:lnRef idx="0">
                            <a:srgbClr val="000000">
                              <a:alpha val="0"/>
                            </a:srgbClr>
                          </a:lnRef>
                          <a:fillRef idx="1">
                            <a:srgbClr val="3F4A75"/>
                          </a:fillRef>
                          <a:effectRef idx="0">
                            <a:scrgbClr r="0" g="0" b="0"/>
                          </a:effectRef>
                          <a:fontRef idx="none"/>
                        </wps:style>
                        <wps:bodyPr/>
                      </wps:wsp>
                      <wps:wsp>
                        <wps:cNvPr id="3718" name="Shape 3718"/>
                        <wps:cNvSpPr/>
                        <wps:spPr>
                          <a:xfrm>
                            <a:off x="249174" y="0"/>
                            <a:ext cx="5983224" cy="286512"/>
                          </a:xfrm>
                          <a:custGeom>
                            <a:avLst/>
                            <a:gdLst/>
                            <a:ahLst/>
                            <a:cxnLst/>
                            <a:rect l="0" t="0" r="0" b="0"/>
                            <a:pathLst>
                              <a:path w="5983224" h="286512">
                                <a:moveTo>
                                  <a:pt x="0" y="0"/>
                                </a:moveTo>
                                <a:lnTo>
                                  <a:pt x="5983224" y="0"/>
                                </a:lnTo>
                                <a:lnTo>
                                  <a:pt x="5983224" y="286512"/>
                                </a:lnTo>
                                <a:lnTo>
                                  <a:pt x="0" y="286512"/>
                                </a:lnTo>
                                <a:lnTo>
                                  <a:pt x="0" y="0"/>
                                </a:lnTo>
                              </a:path>
                            </a:pathLst>
                          </a:custGeom>
                          <a:ln w="0" cap="flat">
                            <a:miter lim="127000"/>
                          </a:ln>
                        </wps:spPr>
                        <wps:style>
                          <a:lnRef idx="0">
                            <a:srgbClr val="000000">
                              <a:alpha val="0"/>
                            </a:srgbClr>
                          </a:lnRef>
                          <a:fillRef idx="1">
                            <a:srgbClr val="3F4A75"/>
                          </a:fillRef>
                          <a:effectRef idx="0">
                            <a:scrgbClr r="0" g="0" b="0"/>
                          </a:effectRef>
                          <a:fontRef idx="none"/>
                        </wps:style>
                        <wps:bodyPr/>
                      </wps:wsp>
                      <wps:wsp>
                        <wps:cNvPr id="61" name="Rectangle 61"/>
                        <wps:cNvSpPr/>
                        <wps:spPr>
                          <a:xfrm>
                            <a:off x="249174" y="80594"/>
                            <a:ext cx="3448373" cy="174325"/>
                          </a:xfrm>
                          <a:prstGeom prst="rect">
                            <a:avLst/>
                          </a:prstGeom>
                          <a:ln>
                            <a:noFill/>
                          </a:ln>
                        </wps:spPr>
                        <wps:txbx>
                          <w:txbxContent>
                            <w:p w14:paraId="4A8C8264" w14:textId="77777777" w:rsidR="0061656B" w:rsidRDefault="00B60019">
                              <w:pPr>
                                <w:spacing w:after="160" w:line="259" w:lineRule="auto"/>
                                <w:ind w:left="0" w:firstLine="0"/>
                              </w:pPr>
                              <w:r>
                                <w:rPr>
                                  <w:b/>
                                  <w:color w:val="FFFFFF"/>
                                </w:rPr>
                                <w:t xml:space="preserve">Priority Compliance Areas for 2023/24  </w:t>
                              </w:r>
                            </w:p>
                          </w:txbxContent>
                        </wps:txbx>
                        <wps:bodyPr horzOverflow="overflow" vert="horz" lIns="0" tIns="0" rIns="0" bIns="0" rtlCol="0">
                          <a:noAutofit/>
                        </wps:bodyPr>
                      </wps:wsp>
                      <wps:wsp>
                        <wps:cNvPr id="3719" name="Shape 3719"/>
                        <wps:cNvSpPr/>
                        <wps:spPr>
                          <a:xfrm>
                            <a:off x="0" y="286512"/>
                            <a:ext cx="2639568" cy="863347"/>
                          </a:xfrm>
                          <a:custGeom>
                            <a:avLst/>
                            <a:gdLst/>
                            <a:ahLst/>
                            <a:cxnLst/>
                            <a:rect l="0" t="0" r="0" b="0"/>
                            <a:pathLst>
                              <a:path w="2639568" h="863347">
                                <a:moveTo>
                                  <a:pt x="0" y="0"/>
                                </a:moveTo>
                                <a:lnTo>
                                  <a:pt x="2639568" y="0"/>
                                </a:lnTo>
                                <a:lnTo>
                                  <a:pt x="2639568" y="863347"/>
                                </a:lnTo>
                                <a:lnTo>
                                  <a:pt x="0" y="86334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20" name="Shape 3720"/>
                        <wps:cNvSpPr/>
                        <wps:spPr>
                          <a:xfrm>
                            <a:off x="68580" y="286512"/>
                            <a:ext cx="2502408" cy="169926"/>
                          </a:xfrm>
                          <a:custGeom>
                            <a:avLst/>
                            <a:gdLst/>
                            <a:ahLst/>
                            <a:cxnLst/>
                            <a:rect l="0" t="0" r="0" b="0"/>
                            <a:pathLst>
                              <a:path w="2502408" h="169926">
                                <a:moveTo>
                                  <a:pt x="0" y="0"/>
                                </a:moveTo>
                                <a:lnTo>
                                  <a:pt x="2502408" y="0"/>
                                </a:lnTo>
                                <a:lnTo>
                                  <a:pt x="2502408" y="169926"/>
                                </a:lnTo>
                                <a:lnTo>
                                  <a:pt x="0" y="1699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 name="Rectangle 64"/>
                        <wps:cNvSpPr/>
                        <wps:spPr>
                          <a:xfrm>
                            <a:off x="294894" y="330030"/>
                            <a:ext cx="85313" cy="169344"/>
                          </a:xfrm>
                          <a:prstGeom prst="rect">
                            <a:avLst/>
                          </a:prstGeom>
                          <a:ln>
                            <a:noFill/>
                          </a:ln>
                        </wps:spPr>
                        <wps:txbx>
                          <w:txbxContent>
                            <w:p w14:paraId="58EF6B67" w14:textId="77777777" w:rsidR="0061656B" w:rsidRDefault="00B60019">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65" name="Rectangle 65"/>
                        <wps:cNvSpPr/>
                        <wps:spPr>
                          <a:xfrm>
                            <a:off x="521997" y="325196"/>
                            <a:ext cx="1745691" cy="174325"/>
                          </a:xfrm>
                          <a:prstGeom prst="rect">
                            <a:avLst/>
                          </a:prstGeom>
                          <a:ln>
                            <a:noFill/>
                          </a:ln>
                        </wps:spPr>
                        <wps:txbx>
                          <w:txbxContent>
                            <w:p w14:paraId="14AE40D0" w14:textId="77777777" w:rsidR="0061656B" w:rsidRDefault="00B60019">
                              <w:pPr>
                                <w:spacing w:after="160" w:line="259" w:lineRule="auto"/>
                                <w:ind w:left="0" w:firstLine="0"/>
                              </w:pPr>
                              <w:r>
                                <w:t>Revalidated Services</w:t>
                              </w:r>
                            </w:p>
                          </w:txbxContent>
                        </wps:txbx>
                        <wps:bodyPr horzOverflow="overflow" vert="horz" lIns="0" tIns="0" rIns="0" bIns="0" rtlCol="0">
                          <a:noAutofit/>
                        </wps:bodyPr>
                      </wps:wsp>
                      <wps:wsp>
                        <wps:cNvPr id="67" name="Rectangle 67"/>
                        <wps:cNvSpPr/>
                        <wps:spPr>
                          <a:xfrm>
                            <a:off x="294894" y="499956"/>
                            <a:ext cx="85313" cy="169344"/>
                          </a:xfrm>
                          <a:prstGeom prst="rect">
                            <a:avLst/>
                          </a:prstGeom>
                          <a:ln>
                            <a:noFill/>
                          </a:ln>
                        </wps:spPr>
                        <wps:txbx>
                          <w:txbxContent>
                            <w:p w14:paraId="1F5C51FB" w14:textId="77777777" w:rsidR="0061656B" w:rsidRDefault="00B60019">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68" name="Rectangle 68"/>
                        <wps:cNvSpPr/>
                        <wps:spPr>
                          <a:xfrm>
                            <a:off x="521995" y="495122"/>
                            <a:ext cx="2684203" cy="174325"/>
                          </a:xfrm>
                          <a:prstGeom prst="rect">
                            <a:avLst/>
                          </a:prstGeom>
                          <a:ln>
                            <a:noFill/>
                          </a:ln>
                        </wps:spPr>
                        <wps:txbx>
                          <w:txbxContent>
                            <w:p w14:paraId="2AE64A72" w14:textId="77777777" w:rsidR="0061656B" w:rsidRDefault="00B60019">
                              <w:pPr>
                                <w:spacing w:after="160" w:line="259" w:lineRule="auto"/>
                                <w:ind w:left="0" w:firstLine="0"/>
                              </w:pPr>
                              <w:r>
                                <w:t>Practitioner Qualification Checks</w:t>
                              </w:r>
                            </w:p>
                          </w:txbxContent>
                        </wps:txbx>
                        <wps:bodyPr horzOverflow="overflow" vert="horz" lIns="0" tIns="0" rIns="0" bIns="0" rtlCol="0">
                          <a:noAutofit/>
                        </wps:bodyPr>
                      </wps:wsp>
                      <wps:wsp>
                        <wps:cNvPr id="70" name="Rectangle 70"/>
                        <wps:cNvSpPr/>
                        <wps:spPr>
                          <a:xfrm>
                            <a:off x="294894" y="669882"/>
                            <a:ext cx="85313" cy="169344"/>
                          </a:xfrm>
                          <a:prstGeom prst="rect">
                            <a:avLst/>
                          </a:prstGeom>
                          <a:ln>
                            <a:noFill/>
                          </a:ln>
                        </wps:spPr>
                        <wps:txbx>
                          <w:txbxContent>
                            <w:p w14:paraId="4FC5BD94" w14:textId="77777777" w:rsidR="0061656B" w:rsidRDefault="00B60019">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71" name="Rectangle 71"/>
                        <wps:cNvSpPr/>
                        <wps:spPr>
                          <a:xfrm>
                            <a:off x="521995" y="665048"/>
                            <a:ext cx="1187539" cy="174325"/>
                          </a:xfrm>
                          <a:prstGeom prst="rect">
                            <a:avLst/>
                          </a:prstGeom>
                          <a:ln>
                            <a:noFill/>
                          </a:ln>
                        </wps:spPr>
                        <wps:txbx>
                          <w:txbxContent>
                            <w:p w14:paraId="4C0DF7D7" w14:textId="77777777" w:rsidR="0061656B" w:rsidRDefault="00B60019">
                              <w:pPr>
                                <w:spacing w:after="160" w:line="259" w:lineRule="auto"/>
                                <w:ind w:left="0" w:firstLine="0"/>
                              </w:pPr>
                              <w:r>
                                <w:t>Replacements</w:t>
                              </w:r>
                            </w:p>
                          </w:txbxContent>
                        </wps:txbx>
                        <wps:bodyPr horzOverflow="overflow" vert="horz" lIns="0" tIns="0" rIns="0" bIns="0" rtlCol="0">
                          <a:noAutofit/>
                        </wps:bodyPr>
                      </wps:wsp>
                      <wps:wsp>
                        <wps:cNvPr id="73" name="Rectangle 73"/>
                        <wps:cNvSpPr/>
                        <wps:spPr>
                          <a:xfrm>
                            <a:off x="294894" y="840570"/>
                            <a:ext cx="85313" cy="169343"/>
                          </a:xfrm>
                          <a:prstGeom prst="rect">
                            <a:avLst/>
                          </a:prstGeom>
                          <a:ln>
                            <a:noFill/>
                          </a:ln>
                        </wps:spPr>
                        <wps:txbx>
                          <w:txbxContent>
                            <w:p w14:paraId="7D988CDB" w14:textId="77777777" w:rsidR="0061656B" w:rsidRDefault="00B60019">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74" name="Rectangle 74"/>
                        <wps:cNvSpPr/>
                        <wps:spPr>
                          <a:xfrm>
                            <a:off x="521995" y="835736"/>
                            <a:ext cx="1413383" cy="174325"/>
                          </a:xfrm>
                          <a:prstGeom prst="rect">
                            <a:avLst/>
                          </a:prstGeom>
                          <a:ln>
                            <a:noFill/>
                          </a:ln>
                        </wps:spPr>
                        <wps:txbx>
                          <w:txbxContent>
                            <w:p w14:paraId="74FA45FC" w14:textId="77777777" w:rsidR="0061656B" w:rsidRDefault="00B60019">
                              <w:pPr>
                                <w:spacing w:after="160" w:line="259" w:lineRule="auto"/>
                                <w:ind w:left="0" w:firstLine="0"/>
                              </w:pPr>
                              <w:r>
                                <w:t>Specialist Clients</w:t>
                              </w:r>
                            </w:p>
                          </w:txbxContent>
                        </wps:txbx>
                        <wps:bodyPr horzOverflow="overflow" vert="horz" lIns="0" tIns="0" rIns="0" bIns="0" rtlCol="0">
                          <a:noAutofit/>
                        </wps:bodyPr>
                      </wps:wsp>
                      <wps:wsp>
                        <wps:cNvPr id="76" name="Rectangle 76"/>
                        <wps:cNvSpPr/>
                        <wps:spPr>
                          <a:xfrm>
                            <a:off x="294894" y="1008627"/>
                            <a:ext cx="81584" cy="161941"/>
                          </a:xfrm>
                          <a:prstGeom prst="rect">
                            <a:avLst/>
                          </a:prstGeom>
                          <a:ln>
                            <a:noFill/>
                          </a:ln>
                        </wps:spPr>
                        <wps:txbx>
                          <w:txbxContent>
                            <w:p w14:paraId="1C850C5E" w14:textId="77777777" w:rsidR="0061656B" w:rsidRDefault="00B60019">
                              <w:pPr>
                                <w:spacing w:after="160" w:line="259" w:lineRule="auto"/>
                                <w:ind w:left="0" w:firstLine="0"/>
                              </w:pPr>
                              <w:r>
                                <w:rPr>
                                  <w:rFonts w:ascii="Segoe UI Symbol" w:eastAsia="Segoe UI Symbol" w:hAnsi="Segoe UI Symbol" w:cs="Segoe UI Symbol"/>
                                  <w:sz w:val="21"/>
                                </w:rPr>
                                <w:t></w:t>
                              </w:r>
                            </w:p>
                          </w:txbxContent>
                        </wps:txbx>
                        <wps:bodyPr horzOverflow="overflow" vert="horz" lIns="0" tIns="0" rIns="0" bIns="0" rtlCol="0">
                          <a:noAutofit/>
                        </wps:bodyPr>
                      </wps:wsp>
                      <wps:wsp>
                        <wps:cNvPr id="77" name="Rectangle 77"/>
                        <wps:cNvSpPr/>
                        <wps:spPr>
                          <a:xfrm>
                            <a:off x="521989" y="1004004"/>
                            <a:ext cx="2021179" cy="166704"/>
                          </a:xfrm>
                          <a:prstGeom prst="rect">
                            <a:avLst/>
                          </a:prstGeom>
                          <a:ln>
                            <a:noFill/>
                          </a:ln>
                        </wps:spPr>
                        <wps:txbx>
                          <w:txbxContent>
                            <w:p w14:paraId="006158CB" w14:textId="77777777" w:rsidR="0061656B" w:rsidRDefault="00B60019">
                              <w:pPr>
                                <w:spacing w:after="160" w:line="259" w:lineRule="auto"/>
                                <w:ind w:left="0" w:firstLine="0"/>
                              </w:pPr>
                              <w:r>
                                <w:rPr>
                                  <w:sz w:val="21"/>
                                </w:rPr>
                                <w:t>Maintenance Agreements</w:t>
                              </w:r>
                            </w:p>
                          </w:txbxContent>
                        </wps:txbx>
                        <wps:bodyPr horzOverflow="overflow" vert="horz" lIns="0" tIns="0" rIns="0" bIns="0" rtlCol="0">
                          <a:noAutofit/>
                        </wps:bodyPr>
                      </wps:wsp>
                      <wps:wsp>
                        <wps:cNvPr id="3721" name="Shape 3721"/>
                        <wps:cNvSpPr/>
                        <wps:spPr>
                          <a:xfrm>
                            <a:off x="2639568" y="286512"/>
                            <a:ext cx="4201669" cy="863347"/>
                          </a:xfrm>
                          <a:custGeom>
                            <a:avLst/>
                            <a:gdLst/>
                            <a:ahLst/>
                            <a:cxnLst/>
                            <a:rect l="0" t="0" r="0" b="0"/>
                            <a:pathLst>
                              <a:path w="4201669" h="863347">
                                <a:moveTo>
                                  <a:pt x="0" y="0"/>
                                </a:moveTo>
                                <a:lnTo>
                                  <a:pt x="4201669" y="0"/>
                                </a:lnTo>
                                <a:lnTo>
                                  <a:pt x="4201669" y="863347"/>
                                </a:lnTo>
                                <a:lnTo>
                                  <a:pt x="0" y="86334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22" name="Shape 3722"/>
                        <wps:cNvSpPr/>
                        <wps:spPr>
                          <a:xfrm>
                            <a:off x="2708148" y="286512"/>
                            <a:ext cx="4064508" cy="169926"/>
                          </a:xfrm>
                          <a:custGeom>
                            <a:avLst/>
                            <a:gdLst/>
                            <a:ahLst/>
                            <a:cxnLst/>
                            <a:rect l="0" t="0" r="0" b="0"/>
                            <a:pathLst>
                              <a:path w="4064508" h="169926">
                                <a:moveTo>
                                  <a:pt x="0" y="0"/>
                                </a:moveTo>
                                <a:lnTo>
                                  <a:pt x="4064508" y="0"/>
                                </a:lnTo>
                                <a:lnTo>
                                  <a:pt x="4064508" y="169926"/>
                                </a:lnTo>
                                <a:lnTo>
                                  <a:pt x="0" y="1699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 name="Rectangle 80"/>
                        <wps:cNvSpPr/>
                        <wps:spPr>
                          <a:xfrm>
                            <a:off x="2934462" y="330030"/>
                            <a:ext cx="85313" cy="169344"/>
                          </a:xfrm>
                          <a:prstGeom prst="rect">
                            <a:avLst/>
                          </a:prstGeom>
                          <a:ln>
                            <a:noFill/>
                          </a:ln>
                        </wps:spPr>
                        <wps:txbx>
                          <w:txbxContent>
                            <w:p w14:paraId="30C8AE03" w14:textId="77777777" w:rsidR="0061656B" w:rsidRDefault="00B60019">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81" name="Rectangle 81"/>
                        <wps:cNvSpPr/>
                        <wps:spPr>
                          <a:xfrm>
                            <a:off x="3161562" y="325196"/>
                            <a:ext cx="2066384" cy="174325"/>
                          </a:xfrm>
                          <a:prstGeom prst="rect">
                            <a:avLst/>
                          </a:prstGeom>
                          <a:ln>
                            <a:noFill/>
                          </a:ln>
                        </wps:spPr>
                        <wps:txbx>
                          <w:txbxContent>
                            <w:p w14:paraId="31424B66" w14:textId="77777777" w:rsidR="0061656B" w:rsidRDefault="00B60019">
                              <w:pPr>
                                <w:spacing w:after="160" w:line="259" w:lineRule="auto"/>
                                <w:ind w:left="0" w:firstLine="0"/>
                              </w:pPr>
                              <w:r>
                                <w:t>DVA Client Co-payments</w:t>
                              </w:r>
                            </w:p>
                          </w:txbxContent>
                        </wps:txbx>
                        <wps:bodyPr horzOverflow="overflow" vert="horz" lIns="0" tIns="0" rIns="0" bIns="0" rtlCol="0">
                          <a:noAutofit/>
                        </wps:bodyPr>
                      </wps:wsp>
                      <wps:wsp>
                        <wps:cNvPr id="83" name="Rectangle 83"/>
                        <wps:cNvSpPr/>
                        <wps:spPr>
                          <a:xfrm>
                            <a:off x="2934462" y="499956"/>
                            <a:ext cx="85313" cy="169344"/>
                          </a:xfrm>
                          <a:prstGeom prst="rect">
                            <a:avLst/>
                          </a:prstGeom>
                          <a:ln>
                            <a:noFill/>
                          </a:ln>
                        </wps:spPr>
                        <wps:txbx>
                          <w:txbxContent>
                            <w:p w14:paraId="3549BB14" w14:textId="77777777" w:rsidR="0061656B" w:rsidRDefault="00B60019">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84" name="Rectangle 84"/>
                        <wps:cNvSpPr/>
                        <wps:spPr>
                          <a:xfrm>
                            <a:off x="3161564" y="495122"/>
                            <a:ext cx="2921435" cy="174325"/>
                          </a:xfrm>
                          <a:prstGeom prst="rect">
                            <a:avLst/>
                          </a:prstGeom>
                          <a:ln>
                            <a:noFill/>
                          </a:ln>
                        </wps:spPr>
                        <wps:txbx>
                          <w:txbxContent>
                            <w:p w14:paraId="150FA494" w14:textId="77777777" w:rsidR="0061656B" w:rsidRDefault="00B60019">
                              <w:pPr>
                                <w:spacing w:after="160" w:line="259" w:lineRule="auto"/>
                                <w:ind w:left="0" w:firstLine="0"/>
                              </w:pPr>
                              <w:r>
                                <w:t>Large Provider Compliance Checks</w:t>
                              </w:r>
                            </w:p>
                          </w:txbxContent>
                        </wps:txbx>
                        <wps:bodyPr horzOverflow="overflow" vert="horz" lIns="0" tIns="0" rIns="0" bIns="0" rtlCol="0">
                          <a:noAutofit/>
                        </wps:bodyPr>
                      </wps:wsp>
                      <wps:wsp>
                        <wps:cNvPr id="86" name="Rectangle 86"/>
                        <wps:cNvSpPr/>
                        <wps:spPr>
                          <a:xfrm>
                            <a:off x="2934462" y="669882"/>
                            <a:ext cx="85313" cy="169344"/>
                          </a:xfrm>
                          <a:prstGeom prst="rect">
                            <a:avLst/>
                          </a:prstGeom>
                          <a:ln>
                            <a:noFill/>
                          </a:ln>
                        </wps:spPr>
                        <wps:txbx>
                          <w:txbxContent>
                            <w:p w14:paraId="16DF6D8D" w14:textId="77777777" w:rsidR="0061656B" w:rsidRDefault="00B60019">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87" name="Rectangle 87"/>
                        <wps:cNvSpPr/>
                        <wps:spPr>
                          <a:xfrm>
                            <a:off x="3161564" y="665048"/>
                            <a:ext cx="1270664" cy="174325"/>
                          </a:xfrm>
                          <a:prstGeom prst="rect">
                            <a:avLst/>
                          </a:prstGeom>
                          <a:ln>
                            <a:noFill/>
                          </a:ln>
                        </wps:spPr>
                        <wps:txbx>
                          <w:txbxContent>
                            <w:p w14:paraId="37C0DE59" w14:textId="77777777" w:rsidR="0061656B" w:rsidRDefault="00B60019">
                              <w:pPr>
                                <w:spacing w:after="160" w:line="259" w:lineRule="auto"/>
                                <w:ind w:left="0" w:firstLine="0"/>
                              </w:pPr>
                              <w:r>
                                <w:t>Fitting Services</w:t>
                              </w:r>
                            </w:p>
                          </w:txbxContent>
                        </wps:txbx>
                        <wps:bodyPr horzOverflow="overflow" vert="horz" lIns="0" tIns="0" rIns="0" bIns="0" rtlCol="0">
                          <a:noAutofit/>
                        </wps:bodyPr>
                      </wps:wsp>
                      <wps:wsp>
                        <wps:cNvPr id="89" name="Rectangle 89"/>
                        <wps:cNvSpPr/>
                        <wps:spPr>
                          <a:xfrm>
                            <a:off x="2934462" y="844542"/>
                            <a:ext cx="93238" cy="185075"/>
                          </a:xfrm>
                          <a:prstGeom prst="rect">
                            <a:avLst/>
                          </a:prstGeom>
                          <a:ln>
                            <a:noFill/>
                          </a:ln>
                        </wps:spPr>
                        <wps:txbx>
                          <w:txbxContent>
                            <w:p w14:paraId="2050A716" w14:textId="77777777" w:rsidR="0061656B" w:rsidRDefault="00B60019">
                              <w:pPr>
                                <w:spacing w:after="160" w:line="259" w:lineRule="auto"/>
                                <w:ind w:left="0" w:firstLine="0"/>
                              </w:pPr>
                              <w:r>
                                <w:rPr>
                                  <w:rFonts w:ascii="Segoe UI Symbol" w:eastAsia="Segoe UI Symbol" w:hAnsi="Segoe UI Symbol" w:cs="Segoe UI Symbol"/>
                                  <w:sz w:val="24"/>
                                </w:rPr>
                                <w:t></w:t>
                              </w:r>
                            </w:p>
                          </w:txbxContent>
                        </wps:txbx>
                        <wps:bodyPr horzOverflow="overflow" vert="horz" lIns="0" tIns="0" rIns="0" bIns="0" rtlCol="0">
                          <a:noAutofit/>
                        </wps:bodyPr>
                      </wps:wsp>
                      <wps:wsp>
                        <wps:cNvPr id="90" name="Rectangle 90"/>
                        <wps:cNvSpPr/>
                        <wps:spPr>
                          <a:xfrm>
                            <a:off x="3161538" y="848690"/>
                            <a:ext cx="1155139" cy="174325"/>
                          </a:xfrm>
                          <a:prstGeom prst="rect">
                            <a:avLst/>
                          </a:prstGeom>
                          <a:ln>
                            <a:noFill/>
                          </a:ln>
                        </wps:spPr>
                        <wps:txbx>
                          <w:txbxContent>
                            <w:p w14:paraId="53F0890F" w14:textId="77777777" w:rsidR="0061656B" w:rsidRDefault="00B60019">
                              <w:pPr>
                                <w:spacing w:after="160" w:line="259" w:lineRule="auto"/>
                                <w:ind w:left="0" w:firstLine="0"/>
                              </w:pPr>
                              <w:r>
                                <w:t>Claim reviews</w:t>
                              </w:r>
                            </w:p>
                          </w:txbxContent>
                        </wps:txbx>
                        <wps:bodyPr horzOverflow="overflow" vert="horz" lIns="0" tIns="0" rIns="0" bIns="0" rtlCol="0">
                          <a:noAutofit/>
                        </wps:bodyPr>
                      </wps:wsp>
                    </wpg:wgp>
                  </a:graphicData>
                </a:graphic>
              </wp:inline>
            </w:drawing>
          </mc:Choice>
          <mc:Fallback xmlns:a="http://schemas.openxmlformats.org/drawingml/2006/main">
            <w:pict>
              <v:group id="Group 3383" style="width:538.68pt;height:90.54pt;mso-position-horizontal-relative:char;mso-position-vertical-relative:line" coordsize="68412,11498">
                <v:shape id="Shape 3723" style="position:absolute;width:61203;height:2865;left:1805;top:0;" coordsize="6120384,286512" path="m0,0l6120384,0l6120384,286512l0,286512l0,0">
                  <v:stroke weight="0pt" endcap="flat" joinstyle="miter" miterlimit="10" on="false" color="#000000" opacity="0"/>
                  <v:fill on="true" color="#3f4a75"/>
                </v:shape>
                <v:shape id="Shape 3724" style="position:absolute;width:59832;height:2865;left:2491;top:0;" coordsize="5983224,286512" path="m0,0l5983224,0l5983224,286512l0,286512l0,0">
                  <v:stroke weight="0pt" endcap="flat" joinstyle="miter" miterlimit="10" on="false" color="#000000" opacity="0"/>
                  <v:fill on="true" color="#3f4a75"/>
                </v:shape>
                <v:rect id="Rectangle 61" style="position:absolute;width:34483;height:1743;left:2491;top:805;" filled="f" stroked="f">
                  <v:textbox inset="0,0,0,0">
                    <w:txbxContent>
                      <w:p>
                        <w:pPr>
                          <w:spacing w:before="0" w:after="160" w:line="259" w:lineRule="auto"/>
                          <w:ind w:left="0" w:firstLine="0"/>
                        </w:pPr>
                        <w:r>
                          <w:rPr>
                            <w:rFonts w:cs="Arial" w:hAnsi="Arial" w:eastAsia="Arial" w:ascii="Arial"/>
                            <w:b w:val="1"/>
                            <w:color w:val="ffffff"/>
                          </w:rPr>
                          <w:t xml:space="preserve">Priority Compliance Areas for 2023/24  </w:t>
                        </w:r>
                      </w:p>
                    </w:txbxContent>
                  </v:textbox>
                </v:rect>
                <v:shape id="Shape 3725" style="position:absolute;width:26395;height:8633;left:0;top:2865;" coordsize="2639568,863347" path="m0,0l2639568,0l2639568,863347l0,863347l0,0">
                  <v:stroke weight="0pt" endcap="flat" joinstyle="miter" miterlimit="10" on="false" color="#000000" opacity="0"/>
                  <v:fill on="true" color="#ffffff"/>
                </v:shape>
                <v:shape id="Shape 3726" style="position:absolute;width:25024;height:1699;left:685;top:2865;" coordsize="2502408,169926" path="m0,0l2502408,0l2502408,169926l0,169926l0,0">
                  <v:stroke weight="0pt" endcap="flat" joinstyle="miter" miterlimit="10" on="false" color="#000000" opacity="0"/>
                  <v:fill on="true" color="#ffffff"/>
                </v:shape>
                <v:rect id="Rectangle 64" style="position:absolute;width:853;height:1693;left:2948;top:3300;" filled="f" stroked="f">
                  <v:textbox inset="0,0,0,0">
                    <w:txbxContent>
                      <w:p>
                        <w:pPr>
                          <w:spacing w:before="0" w:after="160" w:line="259" w:lineRule="auto"/>
                          <w:ind w:left="0" w:firstLine="0"/>
                        </w:pPr>
                        <w:r>
                          <w:rPr>
                            <w:rFonts w:cs="Segoe UI Symbol" w:hAnsi="Segoe UI Symbol" w:eastAsia="Segoe UI Symbol" w:ascii="Segoe UI Symbol"/>
                          </w:rPr>
                          <w:t xml:space="preserve"></w:t>
                        </w:r>
                      </w:p>
                    </w:txbxContent>
                  </v:textbox>
                </v:rect>
                <v:rect id="Rectangle 65" style="position:absolute;width:17456;height:1743;left:5219;top:3251;" filled="f" stroked="f">
                  <v:textbox inset="0,0,0,0">
                    <w:txbxContent>
                      <w:p>
                        <w:pPr>
                          <w:spacing w:before="0" w:after="160" w:line="259" w:lineRule="auto"/>
                          <w:ind w:left="0" w:firstLine="0"/>
                        </w:pPr>
                        <w:r>
                          <w:rPr/>
                          <w:t xml:space="preserve">Revalidated Services</w:t>
                        </w:r>
                      </w:p>
                    </w:txbxContent>
                  </v:textbox>
                </v:rect>
                <v:rect id="Rectangle 67" style="position:absolute;width:853;height:1693;left:2948;top:4999;" filled="f" stroked="f">
                  <v:textbox inset="0,0,0,0">
                    <w:txbxContent>
                      <w:p>
                        <w:pPr>
                          <w:spacing w:before="0" w:after="160" w:line="259" w:lineRule="auto"/>
                          <w:ind w:left="0" w:firstLine="0"/>
                        </w:pPr>
                        <w:r>
                          <w:rPr>
                            <w:rFonts w:cs="Segoe UI Symbol" w:hAnsi="Segoe UI Symbol" w:eastAsia="Segoe UI Symbol" w:ascii="Segoe UI Symbol"/>
                          </w:rPr>
                          <w:t xml:space="preserve"></w:t>
                        </w:r>
                      </w:p>
                    </w:txbxContent>
                  </v:textbox>
                </v:rect>
                <v:rect id="Rectangle 68" style="position:absolute;width:26842;height:1743;left:5219;top:4951;" filled="f" stroked="f">
                  <v:textbox inset="0,0,0,0">
                    <w:txbxContent>
                      <w:p>
                        <w:pPr>
                          <w:spacing w:before="0" w:after="160" w:line="259" w:lineRule="auto"/>
                          <w:ind w:left="0" w:firstLine="0"/>
                        </w:pPr>
                        <w:r>
                          <w:rPr/>
                          <w:t xml:space="preserve">Practitioner Qualification Checks</w:t>
                        </w:r>
                      </w:p>
                    </w:txbxContent>
                  </v:textbox>
                </v:rect>
                <v:rect id="Rectangle 70" style="position:absolute;width:853;height:1693;left:2948;top:6698;" filled="f" stroked="f">
                  <v:textbox inset="0,0,0,0">
                    <w:txbxContent>
                      <w:p>
                        <w:pPr>
                          <w:spacing w:before="0" w:after="160" w:line="259" w:lineRule="auto"/>
                          <w:ind w:left="0" w:firstLine="0"/>
                        </w:pPr>
                        <w:r>
                          <w:rPr>
                            <w:rFonts w:cs="Segoe UI Symbol" w:hAnsi="Segoe UI Symbol" w:eastAsia="Segoe UI Symbol" w:ascii="Segoe UI Symbol"/>
                          </w:rPr>
                          <w:t xml:space="preserve"></w:t>
                        </w:r>
                      </w:p>
                    </w:txbxContent>
                  </v:textbox>
                </v:rect>
                <v:rect id="Rectangle 71" style="position:absolute;width:11875;height:1743;left:5219;top:6650;" filled="f" stroked="f">
                  <v:textbox inset="0,0,0,0">
                    <w:txbxContent>
                      <w:p>
                        <w:pPr>
                          <w:spacing w:before="0" w:after="160" w:line="259" w:lineRule="auto"/>
                          <w:ind w:left="0" w:firstLine="0"/>
                        </w:pPr>
                        <w:r>
                          <w:rPr/>
                          <w:t xml:space="preserve">Replacements</w:t>
                        </w:r>
                      </w:p>
                    </w:txbxContent>
                  </v:textbox>
                </v:rect>
                <v:rect id="Rectangle 73" style="position:absolute;width:853;height:1693;left:2948;top:8405;" filled="f" stroked="f">
                  <v:textbox inset="0,0,0,0">
                    <w:txbxContent>
                      <w:p>
                        <w:pPr>
                          <w:spacing w:before="0" w:after="160" w:line="259" w:lineRule="auto"/>
                          <w:ind w:left="0" w:firstLine="0"/>
                        </w:pPr>
                        <w:r>
                          <w:rPr>
                            <w:rFonts w:cs="Segoe UI Symbol" w:hAnsi="Segoe UI Symbol" w:eastAsia="Segoe UI Symbol" w:ascii="Segoe UI Symbol"/>
                          </w:rPr>
                          <w:t xml:space="preserve"></w:t>
                        </w:r>
                      </w:p>
                    </w:txbxContent>
                  </v:textbox>
                </v:rect>
                <v:rect id="Rectangle 74" style="position:absolute;width:14133;height:1743;left:5219;top:8357;" filled="f" stroked="f">
                  <v:textbox inset="0,0,0,0">
                    <w:txbxContent>
                      <w:p>
                        <w:pPr>
                          <w:spacing w:before="0" w:after="160" w:line="259" w:lineRule="auto"/>
                          <w:ind w:left="0" w:firstLine="0"/>
                        </w:pPr>
                        <w:r>
                          <w:rPr/>
                          <w:t xml:space="preserve">Specialist Clients</w:t>
                        </w:r>
                      </w:p>
                    </w:txbxContent>
                  </v:textbox>
                </v:rect>
                <v:rect id="Rectangle 76" style="position:absolute;width:815;height:1619;left:2948;top:10086;" filled="f" stroked="f">
                  <v:textbox inset="0,0,0,0">
                    <w:txbxContent>
                      <w:p>
                        <w:pPr>
                          <w:spacing w:before="0" w:after="160" w:line="259" w:lineRule="auto"/>
                          <w:ind w:left="0" w:firstLine="0"/>
                        </w:pPr>
                        <w:r>
                          <w:rPr>
                            <w:rFonts w:cs="Segoe UI Symbol" w:hAnsi="Segoe UI Symbol" w:eastAsia="Segoe UI Symbol" w:ascii="Segoe UI Symbol"/>
                            <w:sz w:val="21"/>
                          </w:rPr>
                          <w:t xml:space="preserve"></w:t>
                        </w:r>
                      </w:p>
                    </w:txbxContent>
                  </v:textbox>
                </v:rect>
                <v:rect id="Rectangle 77" style="position:absolute;width:20211;height:1667;left:5219;top:10040;" filled="f" stroked="f">
                  <v:textbox inset="0,0,0,0">
                    <w:txbxContent>
                      <w:p>
                        <w:pPr>
                          <w:spacing w:before="0" w:after="160" w:line="259" w:lineRule="auto"/>
                          <w:ind w:left="0" w:firstLine="0"/>
                        </w:pPr>
                        <w:r>
                          <w:rPr>
                            <w:sz w:val="21"/>
                          </w:rPr>
                          <w:t xml:space="preserve">Maintenance Agreements</w:t>
                        </w:r>
                      </w:p>
                    </w:txbxContent>
                  </v:textbox>
                </v:rect>
                <v:shape id="Shape 3727" style="position:absolute;width:42016;height:8633;left:26395;top:2865;" coordsize="4201669,863347" path="m0,0l4201669,0l4201669,863347l0,863347l0,0">
                  <v:stroke weight="0pt" endcap="flat" joinstyle="miter" miterlimit="10" on="false" color="#000000" opacity="0"/>
                  <v:fill on="true" color="#ffffff"/>
                </v:shape>
                <v:shape id="Shape 3728" style="position:absolute;width:40645;height:1699;left:27081;top:2865;" coordsize="4064508,169926" path="m0,0l4064508,0l4064508,169926l0,169926l0,0">
                  <v:stroke weight="0pt" endcap="flat" joinstyle="miter" miterlimit="10" on="false" color="#000000" opacity="0"/>
                  <v:fill on="true" color="#ffffff"/>
                </v:shape>
                <v:rect id="Rectangle 80" style="position:absolute;width:853;height:1693;left:29344;top:3300;" filled="f" stroked="f">
                  <v:textbox inset="0,0,0,0">
                    <w:txbxContent>
                      <w:p>
                        <w:pPr>
                          <w:spacing w:before="0" w:after="160" w:line="259" w:lineRule="auto"/>
                          <w:ind w:left="0" w:firstLine="0"/>
                        </w:pPr>
                        <w:r>
                          <w:rPr>
                            <w:rFonts w:cs="Segoe UI Symbol" w:hAnsi="Segoe UI Symbol" w:eastAsia="Segoe UI Symbol" w:ascii="Segoe UI Symbol"/>
                          </w:rPr>
                          <w:t xml:space="preserve"></w:t>
                        </w:r>
                      </w:p>
                    </w:txbxContent>
                  </v:textbox>
                </v:rect>
                <v:rect id="Rectangle 81" style="position:absolute;width:20663;height:1743;left:31615;top:3251;" filled="f" stroked="f">
                  <v:textbox inset="0,0,0,0">
                    <w:txbxContent>
                      <w:p>
                        <w:pPr>
                          <w:spacing w:before="0" w:after="160" w:line="259" w:lineRule="auto"/>
                          <w:ind w:left="0" w:firstLine="0"/>
                        </w:pPr>
                        <w:r>
                          <w:rPr/>
                          <w:t xml:space="preserve">DVA Client Co-payments</w:t>
                        </w:r>
                      </w:p>
                    </w:txbxContent>
                  </v:textbox>
                </v:rect>
                <v:rect id="Rectangle 83" style="position:absolute;width:853;height:1693;left:29344;top:4999;" filled="f" stroked="f">
                  <v:textbox inset="0,0,0,0">
                    <w:txbxContent>
                      <w:p>
                        <w:pPr>
                          <w:spacing w:before="0" w:after="160" w:line="259" w:lineRule="auto"/>
                          <w:ind w:left="0" w:firstLine="0"/>
                        </w:pPr>
                        <w:r>
                          <w:rPr>
                            <w:rFonts w:cs="Segoe UI Symbol" w:hAnsi="Segoe UI Symbol" w:eastAsia="Segoe UI Symbol" w:ascii="Segoe UI Symbol"/>
                          </w:rPr>
                          <w:t xml:space="preserve"></w:t>
                        </w:r>
                      </w:p>
                    </w:txbxContent>
                  </v:textbox>
                </v:rect>
                <v:rect id="Rectangle 84" style="position:absolute;width:29214;height:1743;left:31615;top:4951;" filled="f" stroked="f">
                  <v:textbox inset="0,0,0,0">
                    <w:txbxContent>
                      <w:p>
                        <w:pPr>
                          <w:spacing w:before="0" w:after="160" w:line="259" w:lineRule="auto"/>
                          <w:ind w:left="0" w:firstLine="0"/>
                        </w:pPr>
                        <w:r>
                          <w:rPr/>
                          <w:t xml:space="preserve">Large Provider Compliance Checks</w:t>
                        </w:r>
                      </w:p>
                    </w:txbxContent>
                  </v:textbox>
                </v:rect>
                <v:rect id="Rectangle 86" style="position:absolute;width:853;height:1693;left:29344;top:6698;" filled="f" stroked="f">
                  <v:textbox inset="0,0,0,0">
                    <w:txbxContent>
                      <w:p>
                        <w:pPr>
                          <w:spacing w:before="0" w:after="160" w:line="259" w:lineRule="auto"/>
                          <w:ind w:left="0" w:firstLine="0"/>
                        </w:pPr>
                        <w:r>
                          <w:rPr>
                            <w:rFonts w:cs="Segoe UI Symbol" w:hAnsi="Segoe UI Symbol" w:eastAsia="Segoe UI Symbol" w:ascii="Segoe UI Symbol"/>
                          </w:rPr>
                          <w:t xml:space="preserve"></w:t>
                        </w:r>
                      </w:p>
                    </w:txbxContent>
                  </v:textbox>
                </v:rect>
                <v:rect id="Rectangle 87" style="position:absolute;width:12706;height:1743;left:31615;top:6650;" filled="f" stroked="f">
                  <v:textbox inset="0,0,0,0">
                    <w:txbxContent>
                      <w:p>
                        <w:pPr>
                          <w:spacing w:before="0" w:after="160" w:line="259" w:lineRule="auto"/>
                          <w:ind w:left="0" w:firstLine="0"/>
                        </w:pPr>
                        <w:r>
                          <w:rPr/>
                          <w:t xml:space="preserve">Fitting Services</w:t>
                        </w:r>
                      </w:p>
                    </w:txbxContent>
                  </v:textbox>
                </v:rect>
                <v:rect id="Rectangle 89" style="position:absolute;width:932;height:1850;left:29344;top:8445;" filled="f" stroked="f">
                  <v:textbox inset="0,0,0,0">
                    <w:txbxContent>
                      <w:p>
                        <w:pPr>
                          <w:spacing w:before="0" w:after="160" w:line="259" w:lineRule="auto"/>
                          <w:ind w:left="0" w:firstLine="0"/>
                        </w:pPr>
                        <w:r>
                          <w:rPr>
                            <w:rFonts w:cs="Segoe UI Symbol" w:hAnsi="Segoe UI Symbol" w:eastAsia="Segoe UI Symbol" w:ascii="Segoe UI Symbol"/>
                            <w:sz w:val="24"/>
                          </w:rPr>
                          <w:t xml:space="preserve"></w:t>
                        </w:r>
                      </w:p>
                    </w:txbxContent>
                  </v:textbox>
                </v:rect>
                <v:rect id="Rectangle 90" style="position:absolute;width:11551;height:1743;left:31615;top:8486;" filled="f" stroked="f">
                  <v:textbox inset="0,0,0,0">
                    <w:txbxContent>
                      <w:p>
                        <w:pPr>
                          <w:spacing w:before="0" w:after="160" w:line="259" w:lineRule="auto"/>
                          <w:ind w:left="0" w:firstLine="0"/>
                        </w:pPr>
                        <w:r>
                          <w:rPr/>
                          <w:t xml:space="preserve">Claim reviews</w:t>
                        </w:r>
                      </w:p>
                    </w:txbxContent>
                  </v:textbox>
                </v:rect>
              </v:group>
            </w:pict>
          </mc:Fallback>
        </mc:AlternateContent>
      </w:r>
    </w:p>
    <w:p w14:paraId="5E506A0D" w14:textId="77777777" w:rsidR="0061656B" w:rsidRDefault="00B60019">
      <w:pPr>
        <w:spacing w:after="475"/>
        <w:ind w:left="-5"/>
      </w:pPr>
      <w:r>
        <w:t xml:space="preserve">The </w:t>
      </w:r>
      <w:r>
        <w:rPr>
          <w:b/>
        </w:rPr>
        <w:t>2023 provider self-assessment (SAT)</w:t>
      </w:r>
      <w:r>
        <w:t xml:space="preserve"> will begin in </w:t>
      </w:r>
      <w:r>
        <w:rPr>
          <w:b/>
        </w:rPr>
        <w:t>mid-October 2023</w:t>
      </w:r>
      <w:r>
        <w:t xml:space="preserve"> and providers will have </w:t>
      </w:r>
      <w:r>
        <w:rPr>
          <w:b/>
        </w:rPr>
        <w:t>six weeks</w:t>
      </w:r>
      <w:r>
        <w:t xml:space="preserve"> to complete the self-assessment. The SAT is mandatory for all program providers and supports a review of processes. Providers must submit their SAT by the due dates, otherwise they will be automatically audited. </w:t>
      </w:r>
    </w:p>
    <w:p w14:paraId="4E01571A" w14:textId="77777777" w:rsidR="0061656B" w:rsidRDefault="00B60019">
      <w:pPr>
        <w:spacing w:after="0" w:line="259" w:lineRule="auto"/>
        <w:ind w:left="896" w:firstLine="0"/>
      </w:pPr>
      <w:r>
        <w:rPr>
          <w:sz w:val="20"/>
        </w:rPr>
        <w:lastRenderedPageBreak/>
        <w:t xml:space="preserve">Department of Health and Aged Care – Provider Compliance Update September 2023 </w:t>
      </w:r>
    </w:p>
    <w:p w14:paraId="24776D3E" w14:textId="77777777" w:rsidR="0061656B" w:rsidRDefault="00B60019">
      <w:pPr>
        <w:pStyle w:val="Heading2"/>
        <w:ind w:left="-5"/>
      </w:pPr>
      <w:r>
        <w:t xml:space="preserve">Compliance Issues </w:t>
      </w:r>
    </w:p>
    <w:p w14:paraId="14A6B37A" w14:textId="77777777" w:rsidR="0061656B" w:rsidRDefault="00B60019">
      <w:pPr>
        <w:spacing w:after="264"/>
        <w:ind w:left="-5"/>
      </w:pPr>
      <w:r>
        <w:t xml:space="preserve">Common issues found include: </w:t>
      </w:r>
    </w:p>
    <w:p w14:paraId="5A3FFB87" w14:textId="77777777" w:rsidR="0061656B" w:rsidRDefault="00B60019">
      <w:pPr>
        <w:numPr>
          <w:ilvl w:val="0"/>
          <w:numId w:val="2"/>
        </w:numPr>
        <w:spacing w:after="261"/>
        <w:ind w:hanging="284"/>
      </w:pPr>
      <w:r>
        <w:t xml:space="preserve">failure to </w:t>
      </w:r>
      <w:r>
        <w:rPr>
          <w:b/>
        </w:rPr>
        <w:t>document</w:t>
      </w:r>
      <w:r>
        <w:t xml:space="preserve">, </w:t>
      </w:r>
      <w:r>
        <w:rPr>
          <w:b/>
        </w:rPr>
        <w:t>review and evaluate client goals and how the rehabilitation plan addresses the client’s goals</w:t>
      </w:r>
      <w:r>
        <w:t xml:space="preserve">. Please ensure the client records document the client goals for each Assessment and Client Review service. Providers must evaluate client goals at Client Review and Fitting follow-up services. Use of tick boxes and/or comments that “goals are the same.” are not sufficient.  </w:t>
      </w:r>
    </w:p>
    <w:p w14:paraId="63A14A53" w14:textId="77777777" w:rsidR="0061656B" w:rsidRDefault="00B60019">
      <w:pPr>
        <w:numPr>
          <w:ilvl w:val="0"/>
          <w:numId w:val="2"/>
        </w:numPr>
        <w:spacing w:after="261"/>
        <w:ind w:hanging="284"/>
      </w:pPr>
      <w:r>
        <w:rPr>
          <w:b/>
        </w:rPr>
        <w:t>not discussing device options</w:t>
      </w:r>
      <w:r>
        <w:t xml:space="preserve"> with clients. Providers must offer clients a fully-subdisided device option. There are an increasing number of client complaints, including pressure to buy a partiallysubsidised devices.  </w:t>
      </w:r>
    </w:p>
    <w:p w14:paraId="3DAD3BA7" w14:textId="77777777" w:rsidR="0061656B" w:rsidRDefault="00B60019">
      <w:pPr>
        <w:numPr>
          <w:ilvl w:val="0"/>
          <w:numId w:val="2"/>
        </w:numPr>
        <w:spacing w:after="261"/>
        <w:ind w:hanging="284"/>
      </w:pPr>
      <w:r>
        <w:t xml:space="preserve">clients given non approved devices. Devices must be on an </w:t>
      </w:r>
      <w:r>
        <w:rPr>
          <w:b/>
        </w:rPr>
        <w:t>approved device schedule</w:t>
      </w:r>
      <w:r>
        <w:t xml:space="preserve"> at the date of fitting. Please ensure you check the device schedules before supplying a device to a client.  </w:t>
      </w:r>
    </w:p>
    <w:p w14:paraId="39D645EB" w14:textId="77777777" w:rsidR="0061656B" w:rsidRDefault="00B60019">
      <w:pPr>
        <w:numPr>
          <w:ilvl w:val="0"/>
          <w:numId w:val="2"/>
        </w:numPr>
        <w:spacing w:after="261"/>
        <w:ind w:hanging="284"/>
      </w:pPr>
      <w:r>
        <w:rPr>
          <w:b/>
        </w:rPr>
        <w:t>insufficient evidence</w:t>
      </w:r>
      <w:r>
        <w:t xml:space="preserve"> to support services and claims. Issues such as missing or incomplete statutory declarations or damaged beyond repair letters for replacements.  With refitting, there is insufficient details on doctors’ letters to confirm eligibility criteria for refitting. Please refer to the Schedule of Service Items and Fees for the program requirements.  </w:t>
      </w:r>
    </w:p>
    <w:p w14:paraId="6C451073" w14:textId="77777777" w:rsidR="0061656B" w:rsidRDefault="00B60019">
      <w:pPr>
        <w:numPr>
          <w:ilvl w:val="0"/>
          <w:numId w:val="2"/>
        </w:numPr>
        <w:spacing w:after="261"/>
        <w:ind w:hanging="284"/>
      </w:pPr>
      <w:r>
        <w:rPr>
          <w:b/>
        </w:rPr>
        <w:t>failing to recover fitting claims for returned devices</w:t>
      </w:r>
      <w:r>
        <w:t xml:space="preserve">. Providers must recover a fitting claim if a client returns devices. Providers can submit an item 1 (monaural fitting) or item 2 (binaural fitting) to cover the costs of the initial fitting service. </w:t>
      </w:r>
    </w:p>
    <w:p w14:paraId="309501F1" w14:textId="77777777" w:rsidR="0061656B" w:rsidRDefault="00B60019">
      <w:pPr>
        <w:numPr>
          <w:ilvl w:val="0"/>
          <w:numId w:val="2"/>
        </w:numPr>
        <w:spacing w:after="261"/>
        <w:ind w:hanging="284"/>
      </w:pPr>
      <w:r>
        <w:rPr>
          <w:b/>
        </w:rPr>
        <w:t>no file notes</w:t>
      </w:r>
      <w:r>
        <w:t xml:space="preserve"> </w:t>
      </w:r>
      <w:r>
        <w:rPr>
          <w:b/>
        </w:rPr>
        <w:t>documenting teleaudiology services</w:t>
      </w:r>
      <w:r>
        <w:t xml:space="preserve">. Please ensure teleaudiology services are record on the client file. </w:t>
      </w:r>
    </w:p>
    <w:p w14:paraId="5F783F42" w14:textId="77777777" w:rsidR="0061656B" w:rsidRDefault="00B60019">
      <w:pPr>
        <w:numPr>
          <w:ilvl w:val="0"/>
          <w:numId w:val="2"/>
        </w:numPr>
        <w:spacing w:after="262"/>
        <w:ind w:hanging="284"/>
      </w:pPr>
      <w:r>
        <w:t xml:space="preserve">providers </w:t>
      </w:r>
      <w:r>
        <w:rPr>
          <w:b/>
        </w:rPr>
        <w:t>failing to update the portal with the correct</w:t>
      </w:r>
      <w:r>
        <w:t xml:space="preserve"> provider, contact, sites, and practitioner information. Please update any contact details, site and QP information in the portal within 5 days. </w:t>
      </w:r>
    </w:p>
    <w:p w14:paraId="231FB679" w14:textId="77777777" w:rsidR="0061656B" w:rsidRDefault="00B60019">
      <w:pPr>
        <w:numPr>
          <w:ilvl w:val="0"/>
          <w:numId w:val="2"/>
        </w:numPr>
        <w:spacing w:after="222"/>
        <w:ind w:hanging="284"/>
      </w:pPr>
      <w:r>
        <w:rPr>
          <w:b/>
        </w:rPr>
        <w:t>incorrect cost to client</w:t>
      </w:r>
      <w:r>
        <w:t xml:space="preserve"> details and inconsistencies between the client file, receipts and claims.  </w:t>
      </w:r>
    </w:p>
    <w:p w14:paraId="12A7FE3A" w14:textId="77777777" w:rsidR="0061656B" w:rsidRDefault="00B60019">
      <w:pPr>
        <w:numPr>
          <w:ilvl w:val="0"/>
          <w:numId w:val="2"/>
        </w:numPr>
        <w:spacing w:after="262"/>
        <w:ind w:hanging="284"/>
      </w:pPr>
      <w:r>
        <w:rPr>
          <w:b/>
        </w:rPr>
        <w:t>providers incorrectly marking clients</w:t>
      </w:r>
      <w:r>
        <w:t xml:space="preserve"> </w:t>
      </w:r>
      <w:r>
        <w:rPr>
          <w:b/>
        </w:rPr>
        <w:t>as deceased</w:t>
      </w:r>
      <w:r>
        <w:t xml:space="preserve"> in the portal. Providers should only mark a client deceased if notified by a family member. Providers should not mark clients as deceased based on age, inactivity or returned mail. Providers can contact the program for us to check with Services Australia if they suspect someone is deceased.  </w:t>
      </w:r>
    </w:p>
    <w:p w14:paraId="51D0A85F" w14:textId="77777777" w:rsidR="0061656B" w:rsidRDefault="00B60019">
      <w:pPr>
        <w:numPr>
          <w:ilvl w:val="0"/>
          <w:numId w:val="2"/>
        </w:numPr>
        <w:spacing w:after="246"/>
        <w:ind w:hanging="284"/>
      </w:pPr>
      <w:r>
        <w:rPr>
          <w:b/>
        </w:rPr>
        <w:t>over 20 providers failed</w:t>
      </w:r>
      <w:r>
        <w:t xml:space="preserve"> to complete their </w:t>
      </w:r>
      <w:r>
        <w:rPr>
          <w:b/>
        </w:rPr>
        <w:t>mandatory annual self-assessment</w:t>
      </w:r>
      <w:r>
        <w:t xml:space="preserve"> and were then subject to a service management systems audit. Please ensure you complete your annual SAT by the due date. </w:t>
      </w:r>
    </w:p>
    <w:p w14:paraId="4CD83248" w14:textId="77777777" w:rsidR="0061656B" w:rsidRDefault="00B60019">
      <w:pPr>
        <w:spacing w:after="182" w:line="241" w:lineRule="auto"/>
        <w:ind w:left="0" w:firstLine="0"/>
      </w:pPr>
      <w:r>
        <w:t xml:space="preserve">There are ongoing </w:t>
      </w:r>
      <w:r>
        <w:rPr>
          <w:b/>
        </w:rPr>
        <w:t>critical issues</w:t>
      </w:r>
      <w:r>
        <w:t xml:space="preserve"> related to the management of </w:t>
      </w:r>
      <w:r>
        <w:rPr>
          <w:b/>
        </w:rPr>
        <w:t xml:space="preserve">qualified practitioners, general record keeping and revalidated services.  </w:t>
      </w:r>
    </w:p>
    <w:p w14:paraId="1D0DD1F8" w14:textId="77777777" w:rsidR="0061656B" w:rsidRDefault="00B60019">
      <w:pPr>
        <w:spacing w:after="0" w:line="259" w:lineRule="auto"/>
        <w:ind w:left="0" w:firstLine="0"/>
      </w:pPr>
      <w:r>
        <w:t xml:space="preserve"> </w:t>
      </w:r>
      <w:r>
        <w:tab/>
      </w:r>
      <w:r>
        <w:rPr>
          <w:b/>
          <w:color w:val="358289"/>
          <w:sz w:val="32"/>
        </w:rPr>
        <w:t xml:space="preserve"> </w:t>
      </w:r>
    </w:p>
    <w:p w14:paraId="363CDA75" w14:textId="77777777" w:rsidR="0061656B" w:rsidRDefault="00B60019">
      <w:pPr>
        <w:pStyle w:val="Heading3"/>
        <w:ind w:left="-5"/>
      </w:pPr>
      <w:r>
        <w:t xml:space="preserve">Practitioner Management </w:t>
      </w:r>
    </w:p>
    <w:p w14:paraId="5795794B" w14:textId="77777777" w:rsidR="0061656B" w:rsidRDefault="00B60019">
      <w:pPr>
        <w:ind w:left="-5" w:right="1092"/>
      </w:pPr>
      <w:r>
        <w:t xml:space="preserve">During 2022-23, the program completed a </w:t>
      </w:r>
      <w:r>
        <w:rPr>
          <w:b/>
        </w:rPr>
        <w:t>qualified practitioner assurance project</w:t>
      </w:r>
      <w:r>
        <w:t xml:space="preserve">.  The review found: </w:t>
      </w:r>
    </w:p>
    <w:p w14:paraId="1C5B1454" w14:textId="77777777" w:rsidR="0061656B" w:rsidRDefault="00B60019">
      <w:pPr>
        <w:numPr>
          <w:ilvl w:val="0"/>
          <w:numId w:val="3"/>
        </w:numPr>
        <w:ind w:hanging="284"/>
      </w:pPr>
      <w:r>
        <w:t xml:space="preserve">providers issuing QP numbers for non-qualified personnel. Only those in an approved member category of a Practitioner Professional Body (PPB) can hold an active QP number.   </w:t>
      </w:r>
    </w:p>
    <w:p w14:paraId="6D27AB70" w14:textId="77777777" w:rsidR="0061656B" w:rsidRDefault="00B60019">
      <w:pPr>
        <w:numPr>
          <w:ilvl w:val="0"/>
          <w:numId w:val="3"/>
        </w:numPr>
        <w:ind w:hanging="284"/>
      </w:pPr>
      <w:r>
        <w:lastRenderedPageBreak/>
        <w:t xml:space="preserve">providers not confirming that QPs have renewed their membership and therefore QPs delivering services while no longer allowed to hold an active QP number. </w:t>
      </w:r>
    </w:p>
    <w:p w14:paraId="25E8C81F" w14:textId="77777777" w:rsidR="0061656B" w:rsidRDefault="00B60019">
      <w:pPr>
        <w:numPr>
          <w:ilvl w:val="0"/>
          <w:numId w:val="3"/>
        </w:numPr>
        <w:ind w:hanging="284"/>
      </w:pPr>
      <w:r>
        <w:t xml:space="preserve">not maintaining provider/QP links in the portal, not end dating a provider/QP link when the QP ceases to work for the provider.  </w:t>
      </w:r>
    </w:p>
    <w:p w14:paraId="6E521E68" w14:textId="77777777" w:rsidR="0061656B" w:rsidRDefault="00B60019">
      <w:pPr>
        <w:numPr>
          <w:ilvl w:val="0"/>
          <w:numId w:val="3"/>
        </w:numPr>
        <w:ind w:hanging="284"/>
      </w:pPr>
      <w:r>
        <w:t xml:space="preserve">claiming with non-qualified QP numbers, including when practitioners do not have current PPB membership in an approved PPB membership category. </w:t>
      </w:r>
    </w:p>
    <w:p w14:paraId="5F65711E" w14:textId="77777777" w:rsidR="0061656B" w:rsidRDefault="00B60019">
      <w:pPr>
        <w:spacing w:after="342"/>
        <w:ind w:left="-5"/>
      </w:pPr>
      <w:r>
        <w:t xml:space="preserve">Please refer to the </w:t>
      </w:r>
      <w:r>
        <w:rPr>
          <w:color w:val="0000FF"/>
          <w:u w:val="single" w:color="0000FF"/>
        </w:rPr>
        <w:t>Practitioner Information</w:t>
      </w:r>
      <w:r>
        <w:t xml:space="preserve"> on the program website. </w:t>
      </w:r>
    </w:p>
    <w:p w14:paraId="51B1771F" w14:textId="77777777" w:rsidR="0061656B" w:rsidRDefault="00B60019">
      <w:pPr>
        <w:pStyle w:val="Heading3"/>
        <w:ind w:left="-5"/>
      </w:pPr>
      <w:r>
        <w:t xml:space="preserve">Record Keeping </w:t>
      </w:r>
    </w:p>
    <w:p w14:paraId="2033B755" w14:textId="77777777" w:rsidR="0061656B" w:rsidRDefault="00B60019">
      <w:pPr>
        <w:ind w:left="-5"/>
      </w:pPr>
      <w:r>
        <w:t xml:space="preserve">Providers must substantiate services and claims by ensuring:  </w:t>
      </w:r>
    </w:p>
    <w:p w14:paraId="7B0CEDE6" w14:textId="77777777" w:rsidR="0061656B" w:rsidRDefault="00B60019">
      <w:pPr>
        <w:numPr>
          <w:ilvl w:val="0"/>
          <w:numId w:val="4"/>
        </w:numPr>
        <w:ind w:hanging="284"/>
      </w:pPr>
      <w:r>
        <w:t xml:space="preserve">client records are legible and accessible (in a format viewable by the program and other providers if clients relocate).  </w:t>
      </w:r>
    </w:p>
    <w:p w14:paraId="3A0F8F56" w14:textId="77777777" w:rsidR="0061656B" w:rsidRDefault="00B60019">
      <w:pPr>
        <w:numPr>
          <w:ilvl w:val="0"/>
          <w:numId w:val="4"/>
        </w:numPr>
        <w:ind w:hanging="284"/>
      </w:pPr>
      <w:r>
        <w:t xml:space="preserve">client files record the full name of the practitioner (and supervisor if provisional practitioner) who delivered the service. </w:t>
      </w:r>
    </w:p>
    <w:p w14:paraId="01FA969C" w14:textId="77777777" w:rsidR="0061656B" w:rsidRDefault="00B60019">
      <w:pPr>
        <w:numPr>
          <w:ilvl w:val="0"/>
          <w:numId w:val="4"/>
        </w:numPr>
        <w:ind w:hanging="284"/>
      </w:pPr>
      <w:r>
        <w:t xml:space="preserve">correctly completed, signed and dated forms including statutory declarations, quotes and maintenance agreements are placed on the client record. </w:t>
      </w:r>
    </w:p>
    <w:p w14:paraId="05709347" w14:textId="77777777" w:rsidR="0061656B" w:rsidRDefault="00B60019">
      <w:pPr>
        <w:numPr>
          <w:ilvl w:val="0"/>
          <w:numId w:val="4"/>
        </w:numPr>
        <w:spacing w:after="43"/>
        <w:ind w:hanging="284"/>
      </w:pPr>
      <w:r>
        <w:t xml:space="preserve">record detailed, personalised notes, and the service information is not just tick boxes.  </w:t>
      </w:r>
    </w:p>
    <w:p w14:paraId="4ACEAB8A" w14:textId="77777777" w:rsidR="0061656B" w:rsidRDefault="00B60019">
      <w:pPr>
        <w:numPr>
          <w:ilvl w:val="0"/>
          <w:numId w:val="4"/>
        </w:numPr>
        <w:spacing w:after="43"/>
        <w:ind w:hanging="284"/>
      </w:pPr>
      <w:r>
        <w:t xml:space="preserve">details are recorded about device discussions, options and reasons for choosing a specific device.  </w:t>
      </w:r>
    </w:p>
    <w:p w14:paraId="7597A60F" w14:textId="77777777" w:rsidR="0061656B" w:rsidRDefault="00B60019">
      <w:pPr>
        <w:numPr>
          <w:ilvl w:val="0"/>
          <w:numId w:val="4"/>
        </w:numPr>
        <w:ind w:hanging="284"/>
      </w:pPr>
      <w:r>
        <w:t xml:space="preserve">evidence requirements for each item are placed on the client record, including copies of receipts, maintenance agreements etc. </w:t>
      </w:r>
    </w:p>
    <w:p w14:paraId="55CA95AB" w14:textId="77777777" w:rsidR="0061656B" w:rsidRDefault="00B60019">
      <w:pPr>
        <w:numPr>
          <w:ilvl w:val="0"/>
          <w:numId w:val="4"/>
        </w:numPr>
        <w:spacing w:after="29"/>
        <w:ind w:hanging="284"/>
      </w:pPr>
      <w:r>
        <w:t xml:space="preserve">reviewing and recording information from data logging. </w:t>
      </w:r>
    </w:p>
    <w:p w14:paraId="57DCA3A7" w14:textId="77777777" w:rsidR="0061656B" w:rsidRDefault="00B60019">
      <w:pPr>
        <w:spacing w:after="341"/>
        <w:ind w:left="-5"/>
      </w:pPr>
      <w:r>
        <w:t xml:space="preserve">Please refer to the </w:t>
      </w:r>
      <w:r>
        <w:rPr>
          <w:color w:val="0000FF"/>
          <w:u w:val="single" w:color="0000FF"/>
        </w:rPr>
        <w:t>Schedule of Service Items and Fees</w:t>
      </w:r>
      <w:r>
        <w:t xml:space="preserve"> for details. Each item lists the evidence required on the client record for each service and other information about record keeping (Part 4)  </w:t>
      </w:r>
    </w:p>
    <w:p w14:paraId="467F120A" w14:textId="77777777" w:rsidR="0061656B" w:rsidRDefault="00B60019">
      <w:pPr>
        <w:pStyle w:val="Heading3"/>
        <w:ind w:left="-5"/>
      </w:pPr>
      <w:r>
        <w:t xml:space="preserve">Revalidated Services </w:t>
      </w:r>
    </w:p>
    <w:p w14:paraId="13E3D158" w14:textId="77777777" w:rsidR="0061656B" w:rsidRDefault="00B60019">
      <w:pPr>
        <w:ind w:left="-5"/>
      </w:pPr>
      <w:r>
        <w:t xml:space="preserve">The program has found issues with revalidated service requests and claiming.  </w:t>
      </w:r>
    </w:p>
    <w:p w14:paraId="25E2C9ED" w14:textId="77777777" w:rsidR="0061656B" w:rsidRDefault="00B60019">
      <w:pPr>
        <w:numPr>
          <w:ilvl w:val="0"/>
          <w:numId w:val="5"/>
        </w:numPr>
        <w:spacing w:after="43"/>
        <w:ind w:hanging="284"/>
      </w:pPr>
      <w:r>
        <w:t xml:space="preserve">providers submitting requests when the client already has a service available on their voucher. </w:t>
      </w:r>
    </w:p>
    <w:p w14:paraId="08696257" w14:textId="77777777" w:rsidR="0061656B" w:rsidRDefault="00B60019">
      <w:pPr>
        <w:numPr>
          <w:ilvl w:val="0"/>
          <w:numId w:val="5"/>
        </w:numPr>
        <w:spacing w:after="42"/>
        <w:ind w:hanging="284"/>
      </w:pPr>
      <w:r>
        <w:t xml:space="preserve">incomplete or inaccurate information to support the request is being supplied. </w:t>
      </w:r>
    </w:p>
    <w:p w14:paraId="4DEE63E5" w14:textId="77777777" w:rsidR="0061656B" w:rsidRDefault="00B60019">
      <w:pPr>
        <w:numPr>
          <w:ilvl w:val="0"/>
          <w:numId w:val="5"/>
        </w:numPr>
        <w:spacing w:after="43"/>
        <w:ind w:hanging="284"/>
      </w:pPr>
      <w:r>
        <w:t xml:space="preserve">providers not supplying the required evidence when requested by the program. </w:t>
      </w:r>
    </w:p>
    <w:p w14:paraId="4D7B1C2F" w14:textId="77777777" w:rsidR="0061656B" w:rsidRDefault="00B60019">
      <w:pPr>
        <w:numPr>
          <w:ilvl w:val="0"/>
          <w:numId w:val="5"/>
        </w:numPr>
        <w:ind w:hanging="284"/>
      </w:pPr>
      <w:r>
        <w:t xml:space="preserve">Doctor’s letters not meeting requirements, such as only being referral letters. The letters must outline what changed and over what timeframe.  </w:t>
      </w:r>
    </w:p>
    <w:p w14:paraId="06F528AB" w14:textId="77777777" w:rsidR="0061656B" w:rsidRDefault="00B60019">
      <w:pPr>
        <w:numPr>
          <w:ilvl w:val="0"/>
          <w:numId w:val="5"/>
        </w:numPr>
        <w:ind w:hanging="284"/>
      </w:pPr>
      <w:r>
        <w:t xml:space="preserve">evidence found that the service was already delivered prior to the reval approval. In some cases, claims submitted and rejected before the approval is sought. </w:t>
      </w:r>
    </w:p>
    <w:p w14:paraId="0625E9B0" w14:textId="77777777" w:rsidR="0061656B" w:rsidRDefault="00B60019">
      <w:pPr>
        <w:numPr>
          <w:ilvl w:val="0"/>
          <w:numId w:val="5"/>
        </w:numPr>
        <w:ind w:hanging="284"/>
      </w:pPr>
      <w:r>
        <w:t xml:space="preserve">incorrect reasons being used to justify the request., including supporting statements not focused on the client needs and why current devices are no longer suitable. </w:t>
      </w:r>
    </w:p>
    <w:p w14:paraId="7782B5F0" w14:textId="77777777" w:rsidR="0061656B" w:rsidRDefault="00B60019">
      <w:pPr>
        <w:numPr>
          <w:ilvl w:val="0"/>
          <w:numId w:val="5"/>
        </w:numPr>
        <w:spacing w:after="29"/>
        <w:ind w:hanging="284"/>
      </w:pPr>
      <w:r>
        <w:t xml:space="preserve">supporting evidence obtained after the request rather than prior. </w:t>
      </w:r>
    </w:p>
    <w:p w14:paraId="6C8AB072" w14:textId="77777777" w:rsidR="0061656B" w:rsidRDefault="00B60019">
      <w:pPr>
        <w:ind w:left="-5"/>
      </w:pPr>
      <w:r>
        <w:t xml:space="preserve">Further information about revalidated services is available on the </w:t>
      </w:r>
      <w:r>
        <w:rPr>
          <w:color w:val="0000FF"/>
          <w:u w:val="single" w:color="0000FF"/>
        </w:rPr>
        <w:t>program website.</w:t>
      </w:r>
      <w:r>
        <w:t xml:space="preserve"> </w:t>
      </w:r>
    </w:p>
    <w:p w14:paraId="1F9FF3C9" w14:textId="77777777" w:rsidR="0061656B" w:rsidRDefault="00B60019">
      <w:pPr>
        <w:pStyle w:val="Heading3"/>
        <w:ind w:left="-5"/>
      </w:pPr>
      <w:r>
        <w:t xml:space="preserve">Program Reimbursements </w:t>
      </w:r>
    </w:p>
    <w:p w14:paraId="56582EEC" w14:textId="77777777" w:rsidR="0061656B" w:rsidRDefault="00B60019">
      <w:pPr>
        <w:ind w:left="-5"/>
      </w:pPr>
      <w:r>
        <w:t>Providers must reimburse any claims that are not compliant with the program legislative and contractual requirements. This</w:t>
      </w:r>
      <w:r>
        <w:rPr>
          <w:b/>
        </w:rPr>
        <w:t xml:space="preserve"> </w:t>
      </w:r>
      <w:r>
        <w:t xml:space="preserve">includes services that provided by practitioners who are not approved members of a PPB.  </w:t>
      </w:r>
    </w:p>
    <w:p w14:paraId="100D09D3" w14:textId="77777777" w:rsidR="0061656B" w:rsidRDefault="00B60019">
      <w:pPr>
        <w:ind w:left="-5"/>
      </w:pPr>
      <w:r>
        <w:t xml:space="preserve">Compliance with the requirements must be met at the date of service and prior to claiming. Providers cannot rely on the hearing services online portal to check compliance. Providers are reminded, as required by the service provider contract, providers must: </w:t>
      </w:r>
    </w:p>
    <w:p w14:paraId="5F3EA151" w14:textId="77777777" w:rsidR="0061656B" w:rsidRDefault="00B60019">
      <w:pPr>
        <w:numPr>
          <w:ilvl w:val="0"/>
          <w:numId w:val="6"/>
        </w:numPr>
        <w:ind w:hanging="349"/>
      </w:pPr>
      <w:r>
        <w:lastRenderedPageBreak/>
        <w:t xml:space="preserve">check whether a client is eligible for a voucher, has a voucher if eligible and consents and what services are available to the voucher holder before delivering services. </w:t>
      </w:r>
    </w:p>
    <w:p w14:paraId="00BF8D13" w14:textId="77777777" w:rsidR="0061656B" w:rsidRDefault="00B60019">
      <w:pPr>
        <w:numPr>
          <w:ilvl w:val="0"/>
          <w:numId w:val="6"/>
        </w:numPr>
        <w:ind w:hanging="349"/>
      </w:pPr>
      <w:r>
        <w:t xml:space="preserve">ensure that the conditions for submitting a claim have been met prior to submitting the claim and that the claim information is complete, true and correct.  </w:t>
      </w:r>
    </w:p>
    <w:sectPr w:rsidR="0061656B">
      <w:headerReference w:type="even" r:id="rId15"/>
      <w:headerReference w:type="default" r:id="rId16"/>
      <w:footerReference w:type="even" r:id="rId17"/>
      <w:footerReference w:type="default" r:id="rId18"/>
      <w:headerReference w:type="first" r:id="rId19"/>
      <w:footerReference w:type="first" r:id="rId20"/>
      <w:pgSz w:w="11904" w:h="16840"/>
      <w:pgMar w:top="771" w:right="850" w:bottom="941" w:left="1134" w:header="720" w:footer="7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EAB4" w14:textId="77777777" w:rsidR="00B60019" w:rsidRDefault="00B60019">
      <w:pPr>
        <w:spacing w:after="0" w:line="240" w:lineRule="auto"/>
      </w:pPr>
      <w:r>
        <w:separator/>
      </w:r>
    </w:p>
  </w:endnote>
  <w:endnote w:type="continuationSeparator" w:id="0">
    <w:p w14:paraId="3549D462" w14:textId="77777777" w:rsidR="00B60019" w:rsidRDefault="00B6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3BFF" w14:textId="5AB405E5" w:rsidR="0061656B" w:rsidRDefault="00B60019">
    <w:pPr>
      <w:tabs>
        <w:tab w:val="center" w:pos="4525"/>
        <w:tab w:val="right" w:pos="9920"/>
      </w:tabs>
      <w:spacing w:after="0" w:line="259" w:lineRule="auto"/>
      <w:ind w:left="0" w:right="-3" w:firstLine="0"/>
    </w:pPr>
    <w:r>
      <w:rPr>
        <w:rFonts w:ascii="Calibri" w:eastAsia="Calibri" w:hAnsi="Calibri" w:cs="Calibri"/>
        <w:noProof/>
      </w:rPr>
      <mc:AlternateContent>
        <mc:Choice Requires="wps">
          <w:drawing>
            <wp:anchor distT="0" distB="0" distL="0" distR="0" simplePos="0" relativeHeight="251662336" behindDoc="0" locked="0" layoutInCell="1" allowOverlap="1" wp14:anchorId="47530DB7" wp14:editId="62FE4F91">
              <wp:simplePos x="635" y="635"/>
              <wp:positionH relativeFrom="page">
                <wp:align>center</wp:align>
              </wp:positionH>
              <wp:positionV relativeFrom="page">
                <wp:align>bottom</wp:align>
              </wp:positionV>
              <wp:extent cx="622300" cy="398780"/>
              <wp:effectExtent l="0" t="0" r="6350" b="0"/>
              <wp:wrapNone/>
              <wp:docPr id="105652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34A4579C" w14:textId="1FC1D450" w:rsidR="00B60019" w:rsidRPr="00B60019" w:rsidRDefault="00B60019" w:rsidP="00B60019">
                          <w:pPr>
                            <w:spacing w:after="0"/>
                            <w:rPr>
                              <w:rFonts w:ascii="Aptos" w:eastAsia="Aptos" w:hAnsi="Aptos" w:cs="Aptos"/>
                              <w:noProof/>
                              <w:color w:val="FF0000"/>
                              <w:sz w:val="24"/>
                            </w:rPr>
                          </w:pPr>
                          <w:r w:rsidRPr="00B6001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530DB7" id="_x0000_t202" coordsize="21600,21600" o:spt="202" path="m,l,21600r21600,l21600,xe">
              <v:stroke joinstyle="miter"/>
              <v:path gradientshapeok="t" o:connecttype="rect"/>
            </v:shapetype>
            <v:shape id="Text Box 5" o:spid="_x0000_s1054" type="#_x0000_t202" alt="OFFICIAL" style="position:absolute;margin-left:0;margin-top:0;width:49pt;height:31.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" filled="f" stroked="f">
              <v:fill o:detectmouseclick="t"/>
              <v:textbox style="mso-fit-shape-to-text:t" inset="0,0,0,15pt">
                <w:txbxContent>
                  <w:p w14:paraId="34A4579C" w14:textId="1FC1D450" w:rsidR="00B60019" w:rsidRPr="00B60019" w:rsidRDefault="00B60019" w:rsidP="00B60019">
                    <w:pPr>
                      <w:spacing w:after="0"/>
                      <w:rPr>
                        <w:rFonts w:ascii="Aptos" w:eastAsia="Aptos" w:hAnsi="Aptos" w:cs="Aptos"/>
                        <w:noProof/>
                        <w:color w:val="FF0000"/>
                        <w:sz w:val="24"/>
                      </w:rPr>
                    </w:pPr>
                    <w:r w:rsidRPr="00B60019">
                      <w:rPr>
                        <w:rFonts w:ascii="Aptos" w:eastAsia="Aptos" w:hAnsi="Aptos" w:cs="Aptos"/>
                        <w:noProof/>
                        <w:color w:val="FF0000"/>
                        <w:sz w:val="24"/>
                      </w:rPr>
                      <w:t>OFFICIAL</w:t>
                    </w:r>
                  </w:p>
                </w:txbxContent>
              </v:textbox>
              <w10:wrap anchorx="page" anchory="page"/>
            </v:shape>
          </w:pict>
        </mc:Fallback>
      </mc:AlternateContent>
    </w:r>
    <w:r>
      <w:rPr>
        <w:rFonts w:ascii="Calibri" w:eastAsia="Calibri" w:hAnsi="Calibri" w:cs="Calibri"/>
      </w:rPr>
      <w:tab/>
    </w:r>
    <w:r>
      <w:rPr>
        <w:sz w:val="20"/>
      </w:rPr>
      <w:t xml:space="preserve">Department of Health and Aged Care – Provider Compliance Update August 2023 </w:t>
    </w:r>
    <w:r>
      <w:rPr>
        <w:sz w:val="20"/>
      </w:rPr>
      <w:tab/>
      <w:t xml:space="preserve">Page </w:t>
    </w:r>
    <w:r>
      <w:fldChar w:fldCharType="begin"/>
    </w:r>
    <w:r>
      <w:instrText xml:space="preserve"> PAGE   \* MERGEFORMAT </w:instrText>
    </w:r>
    <w:r>
      <w:fldChar w:fldCharType="separate"/>
    </w:r>
    <w:r>
      <w:rPr>
        <w:b/>
        <w:sz w:val="20"/>
      </w:rPr>
      <w:t>2</w:t>
    </w:r>
    <w:r>
      <w:rPr>
        <w:b/>
        <w:sz w:val="20"/>
      </w:rPr>
      <w:fldChar w:fldCharType="end"/>
    </w:r>
    <w:r>
      <w:rPr>
        <w:sz w:val="20"/>
      </w:rPr>
      <w:t xml:space="preserve"> of </w:t>
    </w:r>
    <w:r>
      <w:fldChar w:fldCharType="begin"/>
    </w:r>
    <w:r>
      <w:instrText xml:space="preserve"> NUMPAGES   \* MERGEFORMAT </w:instrText>
    </w:r>
    <w:r>
      <w:fldChar w:fldCharType="separate"/>
    </w:r>
    <w:r>
      <w:rPr>
        <w:b/>
        <w:sz w:val="20"/>
      </w:rPr>
      <w:t>4</w:t>
    </w:r>
    <w:r>
      <w:rPr>
        <w:b/>
        <w:sz w:val="20"/>
      </w:rPr>
      <w:fldChar w:fldCharType="end"/>
    </w:r>
    <w:r>
      <w:rPr>
        <w:sz w:val="20"/>
      </w:rPr>
      <w:t xml:space="preserve"> </w:t>
    </w:r>
  </w:p>
  <w:p w14:paraId="00686AA6" w14:textId="77777777" w:rsidR="0061656B" w:rsidRDefault="00B60019">
    <w:pPr>
      <w:spacing w:after="0" w:line="259" w:lineRule="auto"/>
      <w:ind w:left="0" w:right="-59" w:firstLine="0"/>
      <w:jc w:val="righ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B810" w14:textId="04D816EC" w:rsidR="0061656B" w:rsidRDefault="00B60019">
    <w:pPr>
      <w:tabs>
        <w:tab w:val="center" w:pos="4525"/>
        <w:tab w:val="right" w:pos="9920"/>
      </w:tabs>
      <w:spacing w:after="0" w:line="259" w:lineRule="auto"/>
      <w:ind w:left="0" w:right="-3" w:firstLine="0"/>
    </w:pPr>
    <w:r>
      <w:rPr>
        <w:rFonts w:ascii="Calibri" w:eastAsia="Calibri" w:hAnsi="Calibri" w:cs="Calibri"/>
        <w:noProof/>
      </w:rPr>
      <mc:AlternateContent>
        <mc:Choice Requires="wps">
          <w:drawing>
            <wp:anchor distT="0" distB="0" distL="0" distR="0" simplePos="0" relativeHeight="251663360" behindDoc="0" locked="0" layoutInCell="1" allowOverlap="1" wp14:anchorId="70F3FFEC" wp14:editId="710F8832">
              <wp:simplePos x="720725" y="9912350"/>
              <wp:positionH relativeFrom="page">
                <wp:align>center</wp:align>
              </wp:positionH>
              <wp:positionV relativeFrom="page">
                <wp:align>bottom</wp:align>
              </wp:positionV>
              <wp:extent cx="622300" cy="398780"/>
              <wp:effectExtent l="0" t="0" r="6350" b="0"/>
              <wp:wrapNone/>
              <wp:docPr id="17214032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278B8E09" w14:textId="2FD4A84B" w:rsidR="00B60019" w:rsidRPr="00B60019" w:rsidRDefault="00B60019" w:rsidP="00B60019">
                          <w:pPr>
                            <w:spacing w:after="0"/>
                            <w:rPr>
                              <w:rFonts w:ascii="Aptos" w:eastAsia="Aptos" w:hAnsi="Aptos" w:cs="Aptos"/>
                              <w:noProof/>
                              <w:color w:val="FF0000"/>
                              <w:sz w:val="24"/>
                            </w:rPr>
                          </w:pPr>
                          <w:r w:rsidRPr="00B6001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3FFEC" id="_x0000_t202" coordsize="21600,21600" o:spt="202" path="m,l,21600r21600,l21600,xe">
              <v:stroke joinstyle="miter"/>
              <v:path gradientshapeok="t" o:connecttype="rect"/>
            </v:shapetype>
            <v:shape id="Text Box 6" o:spid="_x0000_s1055" type="#_x0000_t202" alt="OFFICIAL" style="position:absolute;margin-left:0;margin-top:0;width:49pt;height:31.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" filled="f" stroked="f">
              <v:fill o:detectmouseclick="t"/>
              <v:textbox style="mso-fit-shape-to-text:t" inset="0,0,0,15pt">
                <w:txbxContent>
                  <w:p w14:paraId="278B8E09" w14:textId="2FD4A84B" w:rsidR="00B60019" w:rsidRPr="00B60019" w:rsidRDefault="00B60019" w:rsidP="00B60019">
                    <w:pPr>
                      <w:spacing w:after="0"/>
                      <w:rPr>
                        <w:rFonts w:ascii="Aptos" w:eastAsia="Aptos" w:hAnsi="Aptos" w:cs="Aptos"/>
                        <w:noProof/>
                        <w:color w:val="FF0000"/>
                        <w:sz w:val="24"/>
                      </w:rPr>
                    </w:pPr>
                    <w:r w:rsidRPr="00B60019">
                      <w:rPr>
                        <w:rFonts w:ascii="Aptos" w:eastAsia="Aptos" w:hAnsi="Aptos" w:cs="Aptos"/>
                        <w:noProof/>
                        <w:color w:val="FF0000"/>
                        <w:sz w:val="24"/>
                      </w:rPr>
                      <w:t>OFFICIAL</w:t>
                    </w:r>
                  </w:p>
                </w:txbxContent>
              </v:textbox>
              <w10:wrap anchorx="page" anchory="page"/>
            </v:shape>
          </w:pict>
        </mc:Fallback>
      </mc:AlternateContent>
    </w:r>
    <w:r>
      <w:rPr>
        <w:rFonts w:ascii="Calibri" w:eastAsia="Calibri" w:hAnsi="Calibri" w:cs="Calibri"/>
      </w:rPr>
      <w:tab/>
    </w:r>
    <w:r>
      <w:rPr>
        <w:sz w:val="20"/>
      </w:rPr>
      <w:t xml:space="preserve">Department of Health and Aged Care – Provider Compliance Update August 2023 </w:t>
    </w:r>
    <w:r>
      <w:rPr>
        <w:sz w:val="20"/>
      </w:rPr>
      <w:tab/>
      <w:t xml:space="preserve">Page </w:t>
    </w:r>
    <w:r>
      <w:fldChar w:fldCharType="begin"/>
    </w:r>
    <w:r>
      <w:instrText xml:space="preserve"> PAGE   \* MERGEFORMAT </w:instrText>
    </w:r>
    <w:r>
      <w:fldChar w:fldCharType="separate"/>
    </w:r>
    <w:r>
      <w:rPr>
        <w:b/>
        <w:sz w:val="20"/>
      </w:rPr>
      <w:t>2</w:t>
    </w:r>
    <w:r>
      <w:rPr>
        <w:b/>
        <w:sz w:val="20"/>
      </w:rPr>
      <w:fldChar w:fldCharType="end"/>
    </w:r>
    <w:r>
      <w:rPr>
        <w:sz w:val="20"/>
      </w:rPr>
      <w:t xml:space="preserve"> of </w:t>
    </w:r>
    <w:r>
      <w:fldChar w:fldCharType="begin"/>
    </w:r>
    <w:r>
      <w:instrText xml:space="preserve"> NUMPAGES   \* MERGEFORMAT </w:instrText>
    </w:r>
    <w:r>
      <w:fldChar w:fldCharType="separate"/>
    </w:r>
    <w:r>
      <w:rPr>
        <w:b/>
        <w:sz w:val="20"/>
      </w:rPr>
      <w:t>4</w:t>
    </w:r>
    <w:r>
      <w:rPr>
        <w:b/>
        <w:sz w:val="20"/>
      </w:rPr>
      <w:fldChar w:fldCharType="end"/>
    </w:r>
    <w:r>
      <w:rPr>
        <w:sz w:val="20"/>
      </w:rPr>
      <w:t xml:space="preserve"> </w:t>
    </w:r>
  </w:p>
  <w:p w14:paraId="307DFF00" w14:textId="77777777" w:rsidR="0061656B" w:rsidRDefault="00B60019">
    <w:pPr>
      <w:spacing w:after="0" w:line="259" w:lineRule="auto"/>
      <w:ind w:left="0" w:right="-59" w:firstLine="0"/>
      <w:jc w:val="righ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53F8" w14:textId="6710B9F9" w:rsidR="0061656B" w:rsidRDefault="00B60019">
    <w:pPr>
      <w:spacing w:after="0" w:line="259" w:lineRule="auto"/>
      <w:ind w:left="0" w:right="-3" w:firstLine="0"/>
      <w:jc w:val="right"/>
    </w:pPr>
    <w:r>
      <w:rPr>
        <w:noProof/>
        <w:sz w:val="20"/>
      </w:rPr>
      <mc:AlternateContent>
        <mc:Choice Requires="wps">
          <w:drawing>
            <wp:anchor distT="0" distB="0" distL="0" distR="0" simplePos="0" relativeHeight="251661312" behindDoc="0" locked="0" layoutInCell="1" allowOverlap="1" wp14:anchorId="07BB6DFD" wp14:editId="3EBFDEF3">
              <wp:simplePos x="723900" y="10086975"/>
              <wp:positionH relativeFrom="page">
                <wp:align>center</wp:align>
              </wp:positionH>
              <wp:positionV relativeFrom="page">
                <wp:align>bottom</wp:align>
              </wp:positionV>
              <wp:extent cx="622300" cy="398780"/>
              <wp:effectExtent l="0" t="0" r="6350" b="0"/>
              <wp:wrapNone/>
              <wp:docPr id="12185853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69702919" w14:textId="0EE58318" w:rsidR="00B60019" w:rsidRPr="00B60019" w:rsidRDefault="00B60019" w:rsidP="00B60019">
                          <w:pPr>
                            <w:spacing w:after="0"/>
                            <w:rPr>
                              <w:rFonts w:ascii="Aptos" w:eastAsia="Aptos" w:hAnsi="Aptos" w:cs="Aptos"/>
                              <w:noProof/>
                              <w:color w:val="FF0000"/>
                              <w:sz w:val="24"/>
                            </w:rPr>
                          </w:pPr>
                          <w:r w:rsidRPr="00B6001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B6DFD" id="_x0000_t202" coordsize="21600,21600" o:spt="202" path="m,l,21600r21600,l21600,xe">
              <v:stroke joinstyle="miter"/>
              <v:path gradientshapeok="t" o:connecttype="rect"/>
            </v:shapetype>
            <v:shape id="Text Box 4" o:spid="_x0000_s1057" type="#_x0000_t202" alt="OFFICIAL" style="position:absolute;left:0;text-align:left;margin-left:0;margin-top:0;width:49pt;height:31.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" filled="f" stroked="f">
              <v:fill o:detectmouseclick="t"/>
              <v:textbox style="mso-fit-shape-to-text:t" inset="0,0,0,15pt">
                <w:txbxContent>
                  <w:p w14:paraId="69702919" w14:textId="0EE58318" w:rsidR="00B60019" w:rsidRPr="00B60019" w:rsidRDefault="00B60019" w:rsidP="00B60019">
                    <w:pPr>
                      <w:spacing w:after="0"/>
                      <w:rPr>
                        <w:rFonts w:ascii="Aptos" w:eastAsia="Aptos" w:hAnsi="Aptos" w:cs="Aptos"/>
                        <w:noProof/>
                        <w:color w:val="FF0000"/>
                        <w:sz w:val="24"/>
                      </w:rPr>
                    </w:pPr>
                    <w:r w:rsidRPr="00B60019">
                      <w:rPr>
                        <w:rFonts w:ascii="Aptos" w:eastAsia="Aptos" w:hAnsi="Aptos" w:cs="Aptos"/>
                        <w:noProof/>
                        <w:color w:val="FF0000"/>
                        <w:sz w:val="24"/>
                      </w:rPr>
                      <w:t>OFFICIAL</w:t>
                    </w:r>
                  </w:p>
                </w:txbxContent>
              </v:textbox>
              <w10:wrap anchorx="page" anchory="page"/>
            </v:shape>
          </w:pict>
        </mc:Fallback>
      </mc:AlternateContent>
    </w: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 xml:space="preserve"> NUMPAGES   \* MERGEFORMAT </w:instrText>
    </w:r>
    <w:r>
      <w:fldChar w:fldCharType="separate"/>
    </w:r>
    <w:r>
      <w:rPr>
        <w:b/>
        <w:sz w:val="20"/>
      </w:rPr>
      <w:t>4</w:t>
    </w:r>
    <w:r>
      <w:rPr>
        <w:b/>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8EAE" w14:textId="77777777" w:rsidR="00B60019" w:rsidRDefault="00B60019">
      <w:pPr>
        <w:spacing w:after="0" w:line="240" w:lineRule="auto"/>
      </w:pPr>
      <w:r>
        <w:separator/>
      </w:r>
    </w:p>
  </w:footnote>
  <w:footnote w:type="continuationSeparator" w:id="0">
    <w:p w14:paraId="5B7A3500" w14:textId="77777777" w:rsidR="00B60019" w:rsidRDefault="00B60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E97A" w14:textId="2098D0AB" w:rsidR="00B60019" w:rsidRDefault="00B60019">
    <w:pPr>
      <w:pStyle w:val="Header"/>
    </w:pPr>
    <w:r>
      <w:rPr>
        <w:noProof/>
      </w:rPr>
      <mc:AlternateContent>
        <mc:Choice Requires="wps">
          <w:drawing>
            <wp:anchor distT="0" distB="0" distL="0" distR="0" simplePos="0" relativeHeight="251659264" behindDoc="0" locked="0" layoutInCell="1" allowOverlap="1" wp14:anchorId="2189EE2A" wp14:editId="3C06B5EC">
              <wp:simplePos x="635" y="635"/>
              <wp:positionH relativeFrom="page">
                <wp:align>center</wp:align>
              </wp:positionH>
              <wp:positionV relativeFrom="page">
                <wp:align>top</wp:align>
              </wp:positionV>
              <wp:extent cx="622300" cy="398780"/>
              <wp:effectExtent l="0" t="0" r="6350" b="1270"/>
              <wp:wrapNone/>
              <wp:docPr id="7307822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4BD1622E" w14:textId="3AB04CA3" w:rsidR="00B60019" w:rsidRPr="00B60019" w:rsidRDefault="00B60019" w:rsidP="00B60019">
                          <w:pPr>
                            <w:spacing w:after="0"/>
                            <w:rPr>
                              <w:rFonts w:ascii="Aptos" w:eastAsia="Aptos" w:hAnsi="Aptos" w:cs="Aptos"/>
                              <w:noProof/>
                              <w:color w:val="FF0000"/>
                              <w:sz w:val="24"/>
                            </w:rPr>
                          </w:pPr>
                          <w:r w:rsidRPr="00B6001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9EE2A" id="_x0000_t202" coordsize="21600,21600" o:spt="202" path="m,l,21600r21600,l21600,xe">
              <v:stroke joinstyle="miter"/>
              <v:path gradientshapeok="t" o:connecttype="rect"/>
            </v:shapetype>
            <v:shape id="Text Box 2" o:spid="_x0000_s1052" type="#_x0000_t202" alt="OFFICIAL" style="position:absolute;left:0;text-align:left;margin-left:0;margin-top:0;width:49pt;height:31.4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" filled="f" stroked="f">
              <v:fill o:detectmouseclick="t"/>
              <v:textbox style="mso-fit-shape-to-text:t" inset="0,15pt,0,0">
                <w:txbxContent>
                  <w:p w14:paraId="4BD1622E" w14:textId="3AB04CA3" w:rsidR="00B60019" w:rsidRPr="00B60019" w:rsidRDefault="00B60019" w:rsidP="00B60019">
                    <w:pPr>
                      <w:spacing w:after="0"/>
                      <w:rPr>
                        <w:rFonts w:ascii="Aptos" w:eastAsia="Aptos" w:hAnsi="Aptos" w:cs="Aptos"/>
                        <w:noProof/>
                        <w:color w:val="FF0000"/>
                        <w:sz w:val="24"/>
                      </w:rPr>
                    </w:pPr>
                    <w:r w:rsidRPr="00B60019">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0AAD" w14:textId="459BBB38" w:rsidR="00B60019" w:rsidRDefault="00B60019">
    <w:pPr>
      <w:pStyle w:val="Header"/>
    </w:pPr>
    <w:r>
      <w:rPr>
        <w:noProof/>
      </w:rPr>
      <mc:AlternateContent>
        <mc:Choice Requires="wps">
          <w:drawing>
            <wp:anchor distT="0" distB="0" distL="0" distR="0" simplePos="0" relativeHeight="251660288" behindDoc="0" locked="0" layoutInCell="1" allowOverlap="1" wp14:anchorId="026A26D1" wp14:editId="130D51EF">
              <wp:simplePos x="720725" y="457835"/>
              <wp:positionH relativeFrom="page">
                <wp:align>center</wp:align>
              </wp:positionH>
              <wp:positionV relativeFrom="page">
                <wp:align>top</wp:align>
              </wp:positionV>
              <wp:extent cx="622300" cy="398780"/>
              <wp:effectExtent l="0" t="0" r="6350" b="1270"/>
              <wp:wrapNone/>
              <wp:docPr id="284024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2EF34B4A" w14:textId="469C1100" w:rsidR="00B60019" w:rsidRPr="00B60019" w:rsidRDefault="00B60019" w:rsidP="00B60019">
                          <w:pPr>
                            <w:spacing w:after="0"/>
                            <w:rPr>
                              <w:rFonts w:ascii="Aptos" w:eastAsia="Aptos" w:hAnsi="Aptos" w:cs="Aptos"/>
                              <w:noProof/>
                              <w:color w:val="FF0000"/>
                              <w:sz w:val="24"/>
                            </w:rPr>
                          </w:pPr>
                          <w:r w:rsidRPr="00B6001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6A26D1" id="_x0000_t202" coordsize="21600,21600" o:spt="202" path="m,l,21600r21600,l21600,xe">
              <v:stroke joinstyle="miter"/>
              <v:path gradientshapeok="t" o:connecttype="rect"/>
            </v:shapetype>
            <v:shape id="Text Box 3" o:spid="_x0000_s1053" type="#_x0000_t202" alt="OFFICIAL" style="position:absolute;left:0;text-align:left;margin-left:0;margin-top:0;width:49pt;height:31.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" filled="f" stroked="f">
              <v:fill o:detectmouseclick="t"/>
              <v:textbox style="mso-fit-shape-to-text:t" inset="0,15pt,0,0">
                <w:txbxContent>
                  <w:p w14:paraId="2EF34B4A" w14:textId="469C1100" w:rsidR="00B60019" w:rsidRPr="00B60019" w:rsidRDefault="00B60019" w:rsidP="00B60019">
                    <w:pPr>
                      <w:spacing w:after="0"/>
                      <w:rPr>
                        <w:rFonts w:ascii="Aptos" w:eastAsia="Aptos" w:hAnsi="Aptos" w:cs="Aptos"/>
                        <w:noProof/>
                        <w:color w:val="FF0000"/>
                        <w:sz w:val="24"/>
                      </w:rPr>
                    </w:pPr>
                    <w:r w:rsidRPr="00B60019">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3221" w14:textId="671A4E7B" w:rsidR="00B60019" w:rsidRDefault="00B60019">
    <w:pPr>
      <w:pStyle w:val="Header"/>
    </w:pPr>
    <w:r>
      <w:rPr>
        <w:noProof/>
      </w:rPr>
      <mc:AlternateContent>
        <mc:Choice Requires="wps">
          <w:drawing>
            <wp:anchor distT="0" distB="0" distL="0" distR="0" simplePos="0" relativeHeight="251658240" behindDoc="0" locked="0" layoutInCell="1" allowOverlap="1" wp14:anchorId="7741B466" wp14:editId="60E1D32F">
              <wp:simplePos x="723900" y="457200"/>
              <wp:positionH relativeFrom="page">
                <wp:align>center</wp:align>
              </wp:positionH>
              <wp:positionV relativeFrom="page">
                <wp:align>top</wp:align>
              </wp:positionV>
              <wp:extent cx="622300" cy="398780"/>
              <wp:effectExtent l="0" t="0" r="6350" b="1270"/>
              <wp:wrapNone/>
              <wp:docPr id="5865004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21D13F2B" w14:textId="73711F9F" w:rsidR="00B60019" w:rsidRPr="00B60019" w:rsidRDefault="00B60019" w:rsidP="00B60019">
                          <w:pPr>
                            <w:spacing w:after="0"/>
                            <w:rPr>
                              <w:rFonts w:ascii="Aptos" w:eastAsia="Aptos" w:hAnsi="Aptos" w:cs="Aptos"/>
                              <w:noProof/>
                              <w:color w:val="FF0000"/>
                              <w:sz w:val="24"/>
                            </w:rPr>
                          </w:pPr>
                          <w:r w:rsidRPr="00B6001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41B466" id="_x0000_t202" coordsize="21600,21600" o:spt="202" path="m,l,21600r21600,l21600,xe">
              <v:stroke joinstyle="miter"/>
              <v:path gradientshapeok="t" o:connecttype="rect"/>
            </v:shapetype>
            <v:shape id="Text Box 1" o:spid="_x0000_s1056" type="#_x0000_t202" alt="OFFICIAL" style="position:absolute;left:0;text-align:left;margin-left:0;margin-top:0;width:49pt;height:31.4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" filled="f" stroked="f">
              <v:fill o:detectmouseclick="t"/>
              <v:textbox style="mso-fit-shape-to-text:t" inset="0,15pt,0,0">
                <w:txbxContent>
                  <w:p w14:paraId="21D13F2B" w14:textId="73711F9F" w:rsidR="00B60019" w:rsidRPr="00B60019" w:rsidRDefault="00B60019" w:rsidP="00B60019">
                    <w:pPr>
                      <w:spacing w:after="0"/>
                      <w:rPr>
                        <w:rFonts w:ascii="Aptos" w:eastAsia="Aptos" w:hAnsi="Aptos" w:cs="Aptos"/>
                        <w:noProof/>
                        <w:color w:val="FF0000"/>
                        <w:sz w:val="24"/>
                      </w:rPr>
                    </w:pPr>
                    <w:r w:rsidRPr="00B60019">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30603"/>
    <w:multiLevelType w:val="hybridMultilevel"/>
    <w:tmpl w:val="B012413E"/>
    <w:lvl w:ilvl="0" w:tplc="4CC805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0EAE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AEAC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D2F8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1CB2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B499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C2A3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ACE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9018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F84D9D"/>
    <w:multiLevelType w:val="hybridMultilevel"/>
    <w:tmpl w:val="A5C62296"/>
    <w:lvl w:ilvl="0" w:tplc="2F6CCCA4">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4C57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7093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F214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1C75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882B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5062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CA15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F0D4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FA21E7"/>
    <w:multiLevelType w:val="hybridMultilevel"/>
    <w:tmpl w:val="AB9AAB80"/>
    <w:lvl w:ilvl="0" w:tplc="C55A8284">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A70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2CA9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840C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1079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7E73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D034C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F8CD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7044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885E8D"/>
    <w:multiLevelType w:val="hybridMultilevel"/>
    <w:tmpl w:val="45706ED2"/>
    <w:lvl w:ilvl="0" w:tplc="049E6FC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425CC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D2EA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C2E9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B2F89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DE86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46A1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46AF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021F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8762AC"/>
    <w:multiLevelType w:val="hybridMultilevel"/>
    <w:tmpl w:val="506482A6"/>
    <w:lvl w:ilvl="0" w:tplc="89142CBA">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0E4A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2819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F214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88F4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DAA8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00F9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7AFE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842D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D52E2C"/>
    <w:multiLevelType w:val="hybridMultilevel"/>
    <w:tmpl w:val="F96EA2C6"/>
    <w:lvl w:ilvl="0" w:tplc="00589B0A">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0A47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AAB4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B615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32B9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FAA2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F83A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AE1E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A80B2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29911275">
    <w:abstractNumId w:val="0"/>
  </w:num>
  <w:num w:numId="2" w16cid:durableId="1975477036">
    <w:abstractNumId w:val="4"/>
  </w:num>
  <w:num w:numId="3" w16cid:durableId="2038462922">
    <w:abstractNumId w:val="5"/>
  </w:num>
  <w:num w:numId="4" w16cid:durableId="703605188">
    <w:abstractNumId w:val="3"/>
  </w:num>
  <w:num w:numId="5" w16cid:durableId="1496457655">
    <w:abstractNumId w:val="2"/>
  </w:num>
  <w:num w:numId="6" w16cid:durableId="1473523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56B"/>
    <w:rsid w:val="005D20EF"/>
    <w:rsid w:val="0061656B"/>
    <w:rsid w:val="00B600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719B"/>
  <w15:docId w15:val="{40BF0374-D5FC-43A3-A93B-E989F83D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2" w:line="26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3F4A75"/>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358289"/>
      <w:sz w:val="36"/>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35828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358289"/>
      <w:sz w:val="32"/>
    </w:rPr>
  </w:style>
  <w:style w:type="character" w:customStyle="1" w:styleId="Heading2Char">
    <w:name w:val="Heading 2 Char"/>
    <w:link w:val="Heading2"/>
    <w:rPr>
      <w:rFonts w:ascii="Arial" w:eastAsia="Arial" w:hAnsi="Arial" w:cs="Arial"/>
      <w:b/>
      <w:color w:val="358289"/>
      <w:sz w:val="36"/>
    </w:rPr>
  </w:style>
  <w:style w:type="character" w:customStyle="1" w:styleId="Heading1Char">
    <w:name w:val="Heading 1 Char"/>
    <w:link w:val="Heading1"/>
    <w:rPr>
      <w:rFonts w:ascii="Arial" w:eastAsia="Arial" w:hAnsi="Arial" w:cs="Arial"/>
      <w:b/>
      <w:color w:val="3F4A75"/>
      <w:sz w:val="44"/>
    </w:rPr>
  </w:style>
  <w:style w:type="paragraph" w:styleId="Header">
    <w:name w:val="header"/>
    <w:basedOn w:val="Normal"/>
    <w:link w:val="HeaderChar"/>
    <w:uiPriority w:val="99"/>
    <w:unhideWhenUsed/>
    <w:rsid w:val="00B60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019"/>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20.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6945</Characters>
  <Application>Microsoft Office Word</Application>
  <DocSecurity>0</DocSecurity>
  <Lines>147</Lines>
  <Paragraphs>89</Paragraphs>
  <ScaleCrop>false</ScaleCrop>
  <Company>Department of Health, Disability and Ageing</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hearing-services-program---compliance-update-august-2023.docx</dc:title>
  <dc:subject/>
  <cp:keywords/>
  <cp:revision>2</cp:revision>
  <dcterms:created xsi:type="dcterms:W3CDTF">2026-04-24T04:15:00Z</dcterms:created>
  <dcterms:modified xsi:type="dcterms:W3CDTF">2026-04-24T04:15:00Z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22f5498c,2b8eda46,1b162fb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48a22332,3ef93ba6,669a8773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2026-04-24T04:15:08Z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831aa33f-e8c1-44a3-aab4-3eea20fe1f78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