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51A23" w:rsidP="00751A23" w:rsidRDefault="00A80201" w14:paraId="550184C1" w14:textId="38A2106A">
      <w:pPr>
        <w:pStyle w:val="Title"/>
      </w:pPr>
      <w:r>
        <w:t xml:space="preserve">Framework for </w:t>
      </w:r>
      <w:r w:rsidR="00493BCA">
        <w:t>c</w:t>
      </w:r>
      <w:r>
        <w:t xml:space="preserve">onsumer </w:t>
      </w:r>
      <w:r w:rsidR="00493BCA">
        <w:t>e</w:t>
      </w:r>
      <w:r>
        <w:t>ngagement in HTA</w:t>
      </w:r>
    </w:p>
    <w:p w:rsidR="00751A23" w:rsidP="00751A23" w:rsidRDefault="00751A23" w14:paraId="364ECD6F" w14:textId="323AACFA">
      <w:pPr>
        <w:pStyle w:val="Subtitle"/>
        <w:sectPr w:rsidR="00751A23" w:rsidSect="00D45D94">
          <w:headerReference w:type="first" r:id="rId11"/>
          <w:type w:val="continuous"/>
          <w:pgSz w:w="11906" w:h="16838" w:orient="portrait"/>
          <w:pgMar w:top="1701" w:right="1418" w:bottom="1418" w:left="1418" w:header="850" w:footer="709" w:gutter="0"/>
          <w:cols w:space="708"/>
          <w:titlePg/>
          <w:docGrid w:linePitch="360"/>
        </w:sectPr>
      </w:pPr>
    </w:p>
    <w:sdt>
      <w:sdtPr>
        <w:rPr>
          <w:rFonts w:ascii="Arial" w:hAnsi="Arial" w:eastAsia="Times New Roman" w:cs="Times New Roman"/>
          <w:color w:val="000000" w:themeColor="text1"/>
          <w:sz w:val="22"/>
          <w:szCs w:val="24"/>
          <w:lang w:val="en-GB" w:eastAsia="en-US"/>
        </w:rPr>
        <w:id w:val="-1266610641"/>
        <w:docPartObj>
          <w:docPartGallery w:val="Table of Contents"/>
          <w:docPartUnique/>
        </w:docPartObj>
      </w:sdtPr>
      <w:sdtEndPr>
        <w:rPr>
          <w:rFonts w:ascii="Arial" w:hAnsi="Arial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GB" w:eastAsia="en-US"/>
        </w:rPr>
      </w:sdtEndPr>
      <w:sdtContent>
        <w:p w:rsidRPr="00B022A2" w:rsidR="00B022A2" w:rsidRDefault="00B022A2" w14:paraId="51B3B8A8" w14:textId="3B6985DB">
          <w:pPr>
            <w:pStyle w:val="TOCHeading"/>
            <w:rPr>
              <w:rStyle w:val="Heading1Char"/>
            </w:rPr>
          </w:pPr>
          <w:r w:rsidRPr="00B022A2">
            <w:rPr>
              <w:rStyle w:val="Heading1Char"/>
            </w:rPr>
            <w:t>Contents</w:t>
          </w:r>
        </w:p>
        <w:p w:rsidR="00B022A2" w:rsidRDefault="00B022A2" w14:paraId="32AC9725" w14:textId="79DDBCAE">
          <w:pPr>
            <w:pStyle w:val="TOC1"/>
            <w:tabs>
              <w:tab w:val="right" w:leader="dot" w:pos="906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27253753">
            <w:r w:rsidRPr="008A4D22">
              <w:rPr>
                <w:rStyle w:val="Hyperlink"/>
                <w:noProof/>
              </w:rPr>
              <w:t>1.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_Toc227253753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22A2" w:rsidRDefault="00B022A2" w14:paraId="222F2DB3" w14:textId="6BA65B98">
          <w:pPr>
            <w:pStyle w:val="TOC1"/>
            <w:tabs>
              <w:tab w:val="right" w:leader="dot" w:pos="9060"/>
            </w:tabs>
            <w:rPr>
              <w:noProof/>
            </w:rPr>
          </w:pPr>
          <w:hyperlink w:history="1" w:anchor="_Toc227253754">
            <w:r w:rsidRPr="008A4D22">
              <w:rPr>
                <w:rStyle w:val="Hyperlink"/>
                <w:noProof/>
              </w:rPr>
              <w:t>2. Stakeholders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_Toc227253754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22A2" w:rsidRDefault="00B022A2" w14:paraId="06F8FBE8" w14:textId="01DA65EA">
          <w:pPr>
            <w:pStyle w:val="TOC1"/>
            <w:tabs>
              <w:tab w:val="right" w:leader="dot" w:pos="9060"/>
            </w:tabs>
            <w:rPr>
              <w:noProof/>
            </w:rPr>
          </w:pPr>
          <w:hyperlink w:history="1" w:anchor="_Toc227253755">
            <w:r w:rsidRPr="008A4D22">
              <w:rPr>
                <w:rStyle w:val="Hyperlink"/>
                <w:noProof/>
              </w:rPr>
              <w:t>3. Guiding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_Toc227253755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22A2" w:rsidRDefault="00B022A2" w14:paraId="18E49886" w14:textId="1EDE04C0">
          <w:pPr>
            <w:pStyle w:val="TOC1"/>
            <w:tabs>
              <w:tab w:val="right" w:leader="dot" w:pos="9060"/>
            </w:tabs>
            <w:rPr>
              <w:noProof/>
            </w:rPr>
          </w:pPr>
          <w:hyperlink w:history="1" w:anchor="_Toc227253756">
            <w:r w:rsidRPr="008A4D22">
              <w:rPr>
                <w:rStyle w:val="Hyperlink"/>
                <w:noProof/>
              </w:rPr>
              <w:t>4. Focus areas and 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_Toc227253756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22A2" w:rsidRDefault="00B022A2" w14:paraId="14BC0AB9" w14:textId="430E13FC">
          <w:pPr>
            <w:pStyle w:val="TOC2"/>
            <w:tabs>
              <w:tab w:val="right" w:leader="dot" w:pos="9060"/>
            </w:tabs>
            <w:rPr>
              <w:noProof/>
            </w:rPr>
          </w:pPr>
          <w:hyperlink w:history="1" w:anchor="_Toc227253757">
            <w:r w:rsidRPr="008A4D22">
              <w:rPr>
                <w:rStyle w:val="Hyperlink"/>
                <w:noProof/>
              </w:rPr>
              <w:t>4.1 Raise Awareness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_Toc227253757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22A2" w:rsidRDefault="00B022A2" w14:paraId="0CF41DF9" w14:textId="343FF9E6">
          <w:pPr>
            <w:pStyle w:val="TOC2"/>
            <w:tabs>
              <w:tab w:val="right" w:leader="dot" w:pos="9060"/>
            </w:tabs>
            <w:rPr>
              <w:noProof/>
            </w:rPr>
          </w:pPr>
          <w:hyperlink w:history="1" w:anchor="_Toc227253758">
            <w:r w:rsidRPr="008A4D22">
              <w:rPr>
                <w:rStyle w:val="Hyperlink"/>
                <w:noProof/>
              </w:rPr>
              <w:t>4.2 Build capability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_Toc227253758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22A2" w:rsidRDefault="00B022A2" w14:paraId="0C2E86DE" w14:textId="0A19DA17">
          <w:pPr>
            <w:pStyle w:val="TOC2"/>
            <w:tabs>
              <w:tab w:val="right" w:leader="dot" w:pos="9060"/>
            </w:tabs>
            <w:rPr>
              <w:noProof/>
            </w:rPr>
          </w:pPr>
          <w:hyperlink w:history="1" w:anchor="_Toc227253759">
            <w:r w:rsidRPr="008A4D22">
              <w:rPr>
                <w:rStyle w:val="Hyperlink"/>
                <w:noProof/>
              </w:rPr>
              <w:t>4.3 Elevate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_Toc227253759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22A2" w:rsidRDefault="00B022A2" w14:paraId="6FF8A8F8" w14:textId="006D108E">
          <w:pPr>
            <w:pStyle w:val="TOC2"/>
            <w:tabs>
              <w:tab w:val="right" w:leader="dot" w:pos="9060"/>
            </w:tabs>
            <w:rPr>
              <w:noProof/>
            </w:rPr>
          </w:pPr>
          <w:hyperlink w:history="1" w:anchor="_Toc227253760">
            <w:r w:rsidRPr="008A4D22">
              <w:rPr>
                <w:rStyle w:val="Hyperlink"/>
                <w:noProof/>
              </w:rPr>
              <w:t>4.4 Strengthen partnerships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_Toc227253760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22A2" w:rsidRDefault="00B022A2" w14:paraId="31772662" w14:textId="4AB68686">
          <w:pPr>
            <w:pStyle w:val="TOC2"/>
            <w:tabs>
              <w:tab w:val="right" w:leader="dot" w:pos="9060"/>
            </w:tabs>
            <w:rPr>
              <w:noProof/>
            </w:rPr>
          </w:pPr>
          <w:hyperlink w:history="1" w:anchor="_Toc227253761">
            <w:r w:rsidRPr="008A4D22">
              <w:rPr>
                <w:rStyle w:val="Hyperlink"/>
                <w:noProof/>
              </w:rPr>
              <w:t>4.5 Evaluate impact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_Toc227253761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22A2" w:rsidRDefault="00B022A2" w14:paraId="76BFF07A" w14:textId="57538D88">
          <w:r>
            <w:rPr>
              <w:b/>
              <w:bCs/>
              <w:lang w:val="en-GB"/>
            </w:rPr>
            <w:fldChar w:fldCharType="end"/>
          </w:r>
        </w:p>
      </w:sdtContent>
    </w:sdt>
    <w:p w:rsidR="002B1387" w:rsidP="002B1387" w:rsidRDefault="002B1387" w14:paraId="223C3F51" w14:textId="227788C4">
      <w:pPr>
        <w:pStyle w:val="Heading1"/>
      </w:pPr>
      <w:bookmarkStart w:name="_Toc227253753" w:id="0"/>
      <w:r>
        <w:t>1. Purpose</w:t>
      </w:r>
      <w:bookmarkEnd w:id="0"/>
    </w:p>
    <w:p w:rsidR="00CB39AA" w:rsidP="0085054D" w:rsidRDefault="0AC2A4FB" w14:paraId="0DA865F2" w14:textId="12832980">
      <w:r>
        <w:t>This framework explains how consumer</w:t>
      </w:r>
      <w:r w:rsidR="4FCDC45B">
        <w:t xml:space="preserve"> engagement happens across</w:t>
      </w:r>
      <w:r w:rsidR="757ACE8D">
        <w:t xml:space="preserve"> </w:t>
      </w:r>
      <w:r>
        <w:t>health technology assessment (HTA) processes in Australia.</w:t>
      </w:r>
      <w:r w:rsidR="1752BA33">
        <w:t xml:space="preserve"> It sets out guiding principles, </w:t>
      </w:r>
      <w:r w:rsidR="3D8A1138">
        <w:t xml:space="preserve">focus areas and actions to </w:t>
      </w:r>
      <w:r w:rsidR="1752BA33">
        <w:t>support</w:t>
      </w:r>
      <w:r w:rsidR="047A7AC5">
        <w:t xml:space="preserve"> better </w:t>
      </w:r>
      <w:r w:rsidR="1752BA33">
        <w:t>consumer engagement in</w:t>
      </w:r>
      <w:r w:rsidR="6142A25F">
        <w:t xml:space="preserve"> HTA</w:t>
      </w:r>
      <w:r w:rsidR="1752BA33">
        <w:t>.</w:t>
      </w:r>
    </w:p>
    <w:p w:rsidR="0088793D" w:rsidP="0085054D" w:rsidRDefault="5AA27739" w14:paraId="301B6140" w14:textId="658BE5A4">
      <w:r>
        <w:t>C</w:t>
      </w:r>
      <w:r w:rsidR="78761B89">
        <w:t>onsumer</w:t>
      </w:r>
      <w:r>
        <w:t xml:space="preserve"> engagement</w:t>
      </w:r>
      <w:r w:rsidR="78761B89">
        <w:t xml:space="preserve"> is </w:t>
      </w:r>
      <w:r w:rsidR="504363AD">
        <w:t xml:space="preserve">essential </w:t>
      </w:r>
      <w:r w:rsidR="78761B89">
        <w:t>to ensure</w:t>
      </w:r>
      <w:r w:rsidR="22F4E4AC">
        <w:t xml:space="preserve"> </w:t>
      </w:r>
      <w:r w:rsidR="11C45432">
        <w:t xml:space="preserve">consumer input and lived experience inform HTA </w:t>
      </w:r>
      <w:proofErr w:type="gramStart"/>
      <w:r w:rsidR="7B8D2549">
        <w:t>decisions</w:t>
      </w:r>
      <w:r w:rsidR="381234DD">
        <w:t>,</w:t>
      </w:r>
      <w:r w:rsidR="7B8D2549">
        <w:t xml:space="preserve"> and</w:t>
      </w:r>
      <w:proofErr w:type="gramEnd"/>
      <w:r w:rsidR="011D6C5A">
        <w:t xml:space="preserve"> </w:t>
      </w:r>
      <w:r w:rsidR="78761B89">
        <w:t>reflect the need</w:t>
      </w:r>
      <w:r w:rsidR="370450D0">
        <w:t xml:space="preserve">s </w:t>
      </w:r>
      <w:r w:rsidR="78761B89">
        <w:t>and priorities of patients and the community.</w:t>
      </w:r>
    </w:p>
    <w:p w:rsidR="00417806" w:rsidP="5181830A" w:rsidRDefault="743F8FC9" w14:paraId="6F4FA951" w14:textId="778517B9">
      <w:r>
        <w:t>Below are some definitions used in the document:</w:t>
      </w:r>
    </w:p>
    <w:p w:rsidR="00EA4409" w:rsidP="00EA4409" w:rsidRDefault="00BC59CD" w14:paraId="4C681638" w14:textId="77777777">
      <w:pPr>
        <w:pStyle w:val="Boxheading"/>
      </w:pPr>
      <w:r>
        <w:t>Health technology</w:t>
      </w:r>
    </w:p>
    <w:p w:rsidRPr="00EA4409" w:rsidR="00EA4409" w:rsidP="2E4D7007" w:rsidRDefault="00844549" w14:paraId="6CC77F93" w14:textId="08918A3A">
      <w:pPr>
        <w:pStyle w:val="Boxtype"/>
        <w:rPr>
          <w:lang w:val="en-US"/>
        </w:rPr>
      </w:pPr>
      <w:r w:rsidRPr="69132114">
        <w:rPr>
          <w:lang w:val="en-US"/>
        </w:rPr>
        <w:t>Something u</w:t>
      </w:r>
      <w:r w:rsidRPr="69132114" w:rsidR="10636121">
        <w:rPr>
          <w:lang w:val="en-US"/>
        </w:rPr>
        <w:t xml:space="preserve">sed to prevent, </w:t>
      </w:r>
      <w:proofErr w:type="gramStart"/>
      <w:r w:rsidRPr="69132114" w:rsidR="10636121">
        <w:rPr>
          <w:lang w:val="en-US"/>
        </w:rPr>
        <w:t>diagnose</w:t>
      </w:r>
      <w:proofErr w:type="gramEnd"/>
      <w:r w:rsidRPr="69132114" w:rsidR="10636121">
        <w:rPr>
          <w:lang w:val="en-US"/>
        </w:rPr>
        <w:t xml:space="preserve"> or treat a medical condition, or to improve a person’s quality of life. This </w:t>
      </w:r>
      <w:r w:rsidRPr="69132114" w:rsidR="01A4937A">
        <w:rPr>
          <w:lang w:val="en-US"/>
        </w:rPr>
        <w:t>includes</w:t>
      </w:r>
      <w:r w:rsidRPr="69132114" w:rsidR="10636121">
        <w:rPr>
          <w:lang w:val="en-US"/>
        </w:rPr>
        <w:t xml:space="preserve"> medicines, vaccines, tests, </w:t>
      </w:r>
      <w:r w:rsidRPr="69132114" w:rsidR="00C465A3">
        <w:rPr>
          <w:lang w:val="en-US"/>
        </w:rPr>
        <w:t>imaging</w:t>
      </w:r>
      <w:r w:rsidRPr="69132114" w:rsidR="1103A642">
        <w:rPr>
          <w:lang w:val="en-US"/>
        </w:rPr>
        <w:t>,</w:t>
      </w:r>
      <w:r w:rsidRPr="69132114" w:rsidR="00C465A3">
        <w:rPr>
          <w:lang w:val="en-US"/>
        </w:rPr>
        <w:t xml:space="preserve"> surgeries, procedures and implants.</w:t>
      </w:r>
    </w:p>
    <w:p w:rsidRPr="00EA4409" w:rsidR="00EA4409" w:rsidP="00EA4409" w:rsidRDefault="00EA4409" w14:paraId="08BC9579" w14:textId="4A90BEC3">
      <w:pPr>
        <w:pStyle w:val="Boxheading"/>
      </w:pPr>
      <w:r>
        <w:t>HEALTH TECHNOLOGY ASSESSMENT</w:t>
      </w:r>
      <w:r w:rsidR="00C465A3">
        <w:t xml:space="preserve"> (HTA)</w:t>
      </w:r>
    </w:p>
    <w:p w:rsidR="00BC59CD" w:rsidP="00BC59CD" w:rsidRDefault="6B0D0EF6" w14:paraId="68AAF740" w14:textId="70F793F0">
      <w:pPr>
        <w:pStyle w:val="Boxtype"/>
      </w:pPr>
      <w:r w:rsidRPr="5181830A">
        <w:rPr>
          <w:lang w:val="en-US"/>
        </w:rPr>
        <w:t>A p</w:t>
      </w:r>
      <w:r w:rsidRPr="5181830A" w:rsidR="4C98B160">
        <w:rPr>
          <w:lang w:val="en-US"/>
        </w:rPr>
        <w:t xml:space="preserve">rocess that helps the government decide if </w:t>
      </w:r>
      <w:proofErr w:type="gramStart"/>
      <w:r w:rsidRPr="5181830A" w:rsidR="4C98B160">
        <w:rPr>
          <w:lang w:val="en-US"/>
        </w:rPr>
        <w:t>a health</w:t>
      </w:r>
      <w:proofErr w:type="gramEnd"/>
      <w:r w:rsidRPr="5181830A" w:rsidR="4C98B160">
        <w:rPr>
          <w:lang w:val="en-US"/>
        </w:rPr>
        <w:t xml:space="preserve"> technology should be funded</w:t>
      </w:r>
      <w:r w:rsidRPr="5181830A" w:rsidR="0D3EA216">
        <w:rPr>
          <w:lang w:val="en-US"/>
        </w:rPr>
        <w:t>.</w:t>
      </w:r>
    </w:p>
    <w:p w:rsidR="00EA4409" w:rsidP="00EA4409" w:rsidRDefault="00EA4409" w14:paraId="0AFAD05B" w14:textId="6EB6EB2E">
      <w:pPr>
        <w:pStyle w:val="Boxheading"/>
      </w:pPr>
      <w:r>
        <w:t>consumer</w:t>
      </w:r>
      <w:r w:rsidR="00600FF2">
        <w:t>s</w:t>
      </w:r>
    </w:p>
    <w:p w:rsidRPr="00BC59CD" w:rsidR="00BC59CD" w:rsidP="00FD6AB3" w:rsidRDefault="3FF5E46B" w14:paraId="707B740A" w14:textId="696BB924">
      <w:pPr>
        <w:pStyle w:val="Boxtype"/>
      </w:pPr>
      <w:r w:rsidRPr="69132114">
        <w:rPr>
          <w:lang w:val="en-US"/>
        </w:rPr>
        <w:t>S</w:t>
      </w:r>
      <w:r w:rsidRPr="69132114" w:rsidR="6197CD2F">
        <w:rPr>
          <w:lang w:val="en-US"/>
        </w:rPr>
        <w:t>omeone who uses health technologies. This includes patients, their families, carers, members of the public, communities</w:t>
      </w:r>
      <w:r w:rsidRPr="69132114" w:rsidR="225FD0F3">
        <w:rPr>
          <w:lang w:val="en-US"/>
        </w:rPr>
        <w:t>,</w:t>
      </w:r>
      <w:r w:rsidRPr="69132114" w:rsidR="6197CD2F">
        <w:rPr>
          <w:lang w:val="en-US"/>
        </w:rPr>
        <w:t xml:space="preserve"> and representatives from consumer organisations.</w:t>
      </w:r>
    </w:p>
    <w:p w:rsidR="00BB24CD" w:rsidP="00BB24CD" w:rsidRDefault="00BB24CD" w14:paraId="14177DE6" w14:textId="5C918374">
      <w:pPr>
        <w:pStyle w:val="Heading1"/>
      </w:pPr>
      <w:bookmarkStart w:name="_Toc227253754" w:id="1"/>
      <w:r>
        <w:t>2</w:t>
      </w:r>
      <w:r w:rsidRPr="00990181">
        <w:t xml:space="preserve">. </w:t>
      </w:r>
      <w:r>
        <w:t>Stakeholders</w:t>
      </w:r>
      <w:bookmarkEnd w:id="1"/>
    </w:p>
    <w:p w:rsidR="00BB24CD" w:rsidRDefault="000F7D8D" w14:paraId="2906C327" w14:textId="2FE0DEE2">
      <w:r>
        <w:t>This framework</w:t>
      </w:r>
      <w:r w:rsidR="00886AD1">
        <w:t xml:space="preserve"> </w:t>
      </w:r>
      <w:r w:rsidR="22CB6704">
        <w:t>is relevant</w:t>
      </w:r>
      <w:r w:rsidR="00A65C4E">
        <w:t xml:space="preserve"> to </w:t>
      </w:r>
      <w:r>
        <w:t xml:space="preserve">everyone involved in HTA. We all have a role in supporting consumer engagement </w:t>
      </w:r>
      <w:r w:rsidR="003D4B99">
        <w:t>and applying the framework in our work.</w:t>
      </w:r>
      <w:r w:rsidR="00D04084">
        <w:t xml:space="preserve"> ‘We’ includes:</w:t>
      </w:r>
    </w:p>
    <w:p w:rsidR="00BB24CD" w:rsidP="00BB24CD" w:rsidRDefault="373A86B5" w14:paraId="310AA031" w14:textId="42D0D75B">
      <w:pPr>
        <w:pStyle w:val="ListBullet"/>
      </w:pPr>
      <w:r>
        <w:t>consumers</w:t>
      </w:r>
    </w:p>
    <w:p w:rsidR="00BB24CD" w:rsidP="00BB24CD" w:rsidRDefault="373A86B5" w14:paraId="07019EAD" w14:textId="3729B4E7">
      <w:pPr>
        <w:pStyle w:val="ListBullet"/>
      </w:pPr>
      <w:r>
        <w:t>consumer organisations</w:t>
      </w:r>
    </w:p>
    <w:p w:rsidR="00BB24CD" w:rsidP="00BB24CD" w:rsidRDefault="00EA405F" w14:paraId="2FD98665" w14:textId="1244270A">
      <w:pPr>
        <w:pStyle w:val="ListBullet"/>
      </w:pPr>
      <w:r>
        <w:t>g</w:t>
      </w:r>
      <w:r w:rsidR="00BB24CD">
        <w:t>overnment</w:t>
      </w:r>
    </w:p>
    <w:p w:rsidR="00BB24CD" w:rsidP="00BB24CD" w:rsidRDefault="1B236381" w14:paraId="34E4C3C1" w14:textId="33342ECA">
      <w:pPr>
        <w:pStyle w:val="ListBullet"/>
      </w:pPr>
      <w:r>
        <w:t>health professionals</w:t>
      </w:r>
    </w:p>
    <w:p w:rsidR="00BB24CD" w:rsidP="00BB24CD" w:rsidRDefault="1B236381" w14:paraId="3949611D" w14:textId="2E0BE089">
      <w:pPr>
        <w:pStyle w:val="ListBullet"/>
      </w:pPr>
      <w:r>
        <w:t>HTA advisory committees</w:t>
      </w:r>
    </w:p>
    <w:p w:rsidR="00BB24CD" w:rsidP="00BB24CD" w:rsidRDefault="00EA405F" w14:paraId="4705AB21" w14:textId="202D413C">
      <w:pPr>
        <w:pStyle w:val="ListBullet"/>
      </w:pPr>
      <w:r>
        <w:t>i</w:t>
      </w:r>
      <w:r w:rsidR="00BB24CD">
        <w:t>ndustry</w:t>
      </w:r>
    </w:p>
    <w:p w:rsidR="00BB24CD" w:rsidP="00BB24CD" w:rsidRDefault="00EA405F" w14:paraId="1DD928C8" w14:textId="2D616C05">
      <w:pPr>
        <w:pStyle w:val="ListBullet"/>
      </w:pPr>
      <w:r>
        <w:t>r</w:t>
      </w:r>
      <w:r w:rsidR="00BB24CD">
        <w:t>esearchers</w:t>
      </w:r>
    </w:p>
    <w:p w:rsidR="003E49EA" w:rsidP="002B1387" w:rsidRDefault="00445936" w14:paraId="68A1040A" w14:textId="6E12BE1D">
      <w:pPr>
        <w:pStyle w:val="Heading1"/>
      </w:pPr>
      <w:bookmarkStart w:name="_Toc227253755" w:id="2"/>
      <w:r>
        <w:t>3.</w:t>
      </w:r>
      <w:r w:rsidR="00EA49AC">
        <w:t xml:space="preserve"> </w:t>
      </w:r>
      <w:r w:rsidRPr="003E49EA" w:rsidR="005866C0">
        <w:t>Guiding Principles</w:t>
      </w:r>
      <w:bookmarkEnd w:id="2"/>
    </w:p>
    <w:p w:rsidR="005866C0" w:rsidP="0085054D" w:rsidRDefault="00D04084" w14:paraId="313217CB" w14:textId="2FFDCD74">
      <w:r>
        <w:t>T</w:t>
      </w:r>
      <w:r w:rsidR="006B756D">
        <w:t>hese principles guide how we approach consumer engagement in HTA</w:t>
      </w:r>
      <w:r>
        <w:t>.</w:t>
      </w:r>
    </w:p>
    <w:p w:rsidRPr="00445936" w:rsidR="00973D4C" w:rsidP="0085054D" w:rsidRDefault="00973D4C" w14:paraId="67B54448" w14:textId="49974C52">
      <w:pPr>
        <w:rPr>
          <w:b/>
          <w:bCs/>
        </w:rPr>
      </w:pPr>
      <w:r w:rsidRPr="00445936">
        <w:rPr>
          <w:b/>
          <w:bCs/>
        </w:rPr>
        <w:t>Transparency</w:t>
      </w:r>
    </w:p>
    <w:p w:rsidR="00973D4C" w:rsidP="0085054D" w:rsidRDefault="00973D4C" w14:paraId="5B09700F" w14:textId="69C304A1">
      <w:r>
        <w:t xml:space="preserve">We explain </w:t>
      </w:r>
      <w:r w:rsidR="00273E55">
        <w:t>h</w:t>
      </w:r>
      <w:r>
        <w:t>ow HTA decisions are made, when consumer</w:t>
      </w:r>
      <w:r w:rsidR="00666E24">
        <w:t>s</w:t>
      </w:r>
      <w:r>
        <w:t xml:space="preserve"> can get involved, and how their input will be used.</w:t>
      </w:r>
    </w:p>
    <w:p w:rsidRPr="00C863C2" w:rsidR="007C6E62" w:rsidP="0085054D" w:rsidRDefault="007C6E62" w14:paraId="44DD4F58" w14:textId="08F70885">
      <w:pPr>
        <w:rPr>
          <w:b/>
          <w:bCs/>
        </w:rPr>
      </w:pPr>
      <w:r w:rsidRPr="00C863C2">
        <w:rPr>
          <w:b/>
          <w:bCs/>
        </w:rPr>
        <w:t>Timeliness</w:t>
      </w:r>
    </w:p>
    <w:p w:rsidR="007C6E62" w:rsidP="000B0146" w:rsidRDefault="000B0146" w14:paraId="2E959BC4" w14:textId="3749B153">
      <w:r>
        <w:t>We involve consumers early and throughout the HTA process.</w:t>
      </w:r>
    </w:p>
    <w:p w:rsidRPr="00C863C2" w:rsidR="000B0146" w:rsidP="000B0146" w:rsidRDefault="000B0146" w14:paraId="10D321B4" w14:textId="5224C0BF">
      <w:pPr>
        <w:rPr>
          <w:b/>
          <w:bCs/>
        </w:rPr>
      </w:pPr>
      <w:r w:rsidRPr="00C863C2">
        <w:rPr>
          <w:b/>
          <w:bCs/>
        </w:rPr>
        <w:t>Recognition</w:t>
      </w:r>
    </w:p>
    <w:p w:rsidR="000B0146" w:rsidP="00C863C2" w:rsidRDefault="00C863C2" w14:paraId="0380432F" w14:textId="51CD98B7">
      <w:r>
        <w:t>We recognise the experiences, values and preferences of consumers a</w:t>
      </w:r>
      <w:r w:rsidR="0053472F">
        <w:t>re</w:t>
      </w:r>
      <w:r>
        <w:t xml:space="preserve"> important</w:t>
      </w:r>
      <w:r w:rsidR="0053472F">
        <w:t>.</w:t>
      </w:r>
    </w:p>
    <w:p w:rsidRPr="00E30434" w:rsidR="00C863C2" w:rsidP="00C863C2" w:rsidRDefault="00C863C2" w14:paraId="2A74F9C3" w14:textId="59A293DA">
      <w:pPr>
        <w:rPr>
          <w:b/>
          <w:bCs/>
        </w:rPr>
      </w:pPr>
      <w:r w:rsidRPr="00E30434">
        <w:rPr>
          <w:b/>
          <w:bCs/>
        </w:rPr>
        <w:t>Partnership</w:t>
      </w:r>
    </w:p>
    <w:p w:rsidR="00C863C2" w:rsidP="00E122BB" w:rsidRDefault="00E122BB" w14:paraId="52B26DB9" w14:textId="3D3B6977">
      <w:r>
        <w:t>We work together to support consumer involvement in HTA processes.</w:t>
      </w:r>
    </w:p>
    <w:p w:rsidRPr="00E30434" w:rsidR="00E122BB" w:rsidP="00E122BB" w:rsidRDefault="00EB5116" w14:paraId="49AFEFD7" w14:textId="28E3CBF5">
      <w:pPr>
        <w:rPr>
          <w:b/>
          <w:bCs/>
        </w:rPr>
      </w:pPr>
      <w:r>
        <w:rPr>
          <w:b/>
          <w:bCs/>
        </w:rPr>
        <w:t>Inclusion</w:t>
      </w:r>
    </w:p>
    <w:p w:rsidR="00E122BB" w:rsidP="00E30434" w:rsidRDefault="00E30434" w14:paraId="0C308CA9" w14:textId="72CD5009">
      <w:r>
        <w:t xml:space="preserve">We include a </w:t>
      </w:r>
      <w:r w:rsidR="00D14170">
        <w:t>diverse</w:t>
      </w:r>
      <w:r>
        <w:t xml:space="preserve"> range of consumers and communities</w:t>
      </w:r>
      <w:r w:rsidR="00627CA1">
        <w:t xml:space="preserve">, </w:t>
      </w:r>
      <w:r w:rsidR="0053472F">
        <w:t xml:space="preserve">with a focus on equity, so that </w:t>
      </w:r>
      <w:r>
        <w:t>different experiences and needs</w:t>
      </w:r>
      <w:r w:rsidR="00990181">
        <w:t xml:space="preserve"> </w:t>
      </w:r>
      <w:r>
        <w:t>are represented.</w:t>
      </w:r>
    </w:p>
    <w:p w:rsidR="00990181" w:rsidP="002B1387" w:rsidRDefault="00990181" w14:paraId="6CE59B6C" w14:textId="13595263">
      <w:pPr>
        <w:pStyle w:val="Heading1"/>
      </w:pPr>
      <w:bookmarkStart w:name="_Toc227253756" w:id="3"/>
      <w:r w:rsidRPr="00990181">
        <w:t xml:space="preserve">4. Focus </w:t>
      </w:r>
      <w:r w:rsidR="00185585">
        <w:t>a</w:t>
      </w:r>
      <w:r w:rsidRPr="00990181">
        <w:t>reas</w:t>
      </w:r>
      <w:r w:rsidR="00185585">
        <w:t xml:space="preserve"> and actions</w:t>
      </w:r>
      <w:bookmarkEnd w:id="3"/>
    </w:p>
    <w:p w:rsidR="00990181" w:rsidP="00E30434" w:rsidRDefault="00B01D11" w14:paraId="3A5DD8F4" w14:textId="0494580F">
      <w:r w:rsidRPr="00B01D11">
        <w:t>The framework identifies</w:t>
      </w:r>
      <w:r w:rsidR="00EB5116">
        <w:t xml:space="preserve"> 5</w:t>
      </w:r>
      <w:r w:rsidRPr="00B01D11">
        <w:t xml:space="preserve"> focus areas that describe how consumer engagement is strengthened across </w:t>
      </w:r>
      <w:r w:rsidR="00666E24">
        <w:t xml:space="preserve">the </w:t>
      </w:r>
      <w:r w:rsidRPr="00B01D11">
        <w:t>HTA system.</w:t>
      </w:r>
    </w:p>
    <w:p w:rsidRPr="001F793D" w:rsidR="00B01D11" w:rsidP="00FD6AB3" w:rsidRDefault="00016CED" w14:paraId="55951743" w14:textId="52A4B90F">
      <w:pPr>
        <w:pStyle w:val="Heading2"/>
      </w:pPr>
      <w:bookmarkStart w:name="_Toc227253757" w:id="4"/>
      <w:r w:rsidRPr="001F793D">
        <w:t xml:space="preserve">4.1 Raise </w:t>
      </w:r>
      <w:r w:rsidRPr="001F793D" w:rsidR="004F28A2">
        <w:t>Awareness</w:t>
      </w:r>
      <w:bookmarkEnd w:id="4"/>
    </w:p>
    <w:p w:rsidR="004F28A2" w:rsidP="004F28A2" w:rsidRDefault="00EB5116" w14:paraId="37DD5465" w14:textId="51570F07">
      <w:r>
        <w:t>Consumers have c</w:t>
      </w:r>
      <w:r w:rsidR="004F28A2">
        <w:t>lear and accessible information about HTA</w:t>
      </w:r>
      <w:r w:rsidR="00E515B6">
        <w:t>, and how and when they can be involved.</w:t>
      </w:r>
    </w:p>
    <w:p w:rsidR="005B39AA" w:rsidP="004F28A2" w:rsidRDefault="005B39AA" w14:paraId="3E43CACB" w14:textId="4BFE265B">
      <w:r>
        <w:t>Key actions include:</w:t>
      </w:r>
    </w:p>
    <w:p w:rsidR="00A7127E" w:rsidP="00AF084B" w:rsidRDefault="00A7127E" w14:paraId="14E1A330" w14:textId="6FCECFDE">
      <w:pPr>
        <w:pStyle w:val="ListBullet"/>
      </w:pPr>
      <w:r>
        <w:t>U</w:t>
      </w:r>
      <w:r w:rsidR="00D762EF">
        <w:t>se</w:t>
      </w:r>
      <w:r>
        <w:t xml:space="preserve"> digital </w:t>
      </w:r>
      <w:r w:rsidR="006D273D">
        <w:t>channels</w:t>
      </w:r>
      <w:r>
        <w:t xml:space="preserve"> </w:t>
      </w:r>
      <w:r w:rsidR="006D273D">
        <w:t>–</w:t>
      </w:r>
      <w:r>
        <w:t xml:space="preserve"> </w:t>
      </w:r>
      <w:r w:rsidR="1AD882D4">
        <w:t>use</w:t>
      </w:r>
      <w:r w:rsidR="002B334F">
        <w:t xml:space="preserve"> </w:t>
      </w:r>
      <w:r w:rsidR="006D273D">
        <w:t xml:space="preserve">online </w:t>
      </w:r>
      <w:r w:rsidR="006C2513">
        <w:t>platforms</w:t>
      </w:r>
      <w:r w:rsidR="006D273D">
        <w:t xml:space="preserve"> to share information about HTA and opportunities to get involved.</w:t>
      </w:r>
    </w:p>
    <w:p w:rsidR="00B84E96" w:rsidP="00AF084B" w:rsidRDefault="7887E695" w14:paraId="0E4E909E" w14:textId="2C09AE5B">
      <w:pPr>
        <w:pStyle w:val="ListBullet"/>
      </w:pPr>
      <w:r>
        <w:t>Provide centralised resources –</w:t>
      </w:r>
      <w:r w:rsidR="1ADD799B">
        <w:t xml:space="preserve"> </w:t>
      </w:r>
      <w:r w:rsidR="52AA3A96">
        <w:t>provide</w:t>
      </w:r>
      <w:r>
        <w:t xml:space="preserve"> a single place where information</w:t>
      </w:r>
      <w:r w:rsidR="64D634D2">
        <w:t xml:space="preserve"> </w:t>
      </w:r>
      <w:r>
        <w:t>is accessible and easy to find.</w:t>
      </w:r>
    </w:p>
    <w:p w:rsidR="004B0753" w:rsidP="00AF084B" w:rsidRDefault="004B0753" w14:paraId="0F2777F2" w14:textId="128C550C">
      <w:pPr>
        <w:pStyle w:val="ListBullet"/>
      </w:pPr>
      <w:r>
        <w:t xml:space="preserve">Use </w:t>
      </w:r>
      <w:r w:rsidR="001B1B4D">
        <w:t>p</w:t>
      </w:r>
      <w:r>
        <w:t>lain language – use clear, simple language to explain HTA processes, decisions and outcomes.</w:t>
      </w:r>
    </w:p>
    <w:p w:rsidR="004B0753" w:rsidP="00AF084B" w:rsidRDefault="004B0753" w14:paraId="549DB7B8" w14:textId="1061137C">
      <w:pPr>
        <w:pStyle w:val="ListBullet"/>
      </w:pPr>
      <w:r>
        <w:t>Share information – share opportunities to contribute to the HTA process, with clear timelines for input.</w:t>
      </w:r>
    </w:p>
    <w:p w:rsidRPr="00431682" w:rsidR="004B0753" w:rsidP="00094A74" w:rsidRDefault="004B0753" w14:paraId="12D0DE83" w14:textId="5A1C287F">
      <w:pPr>
        <w:pStyle w:val="Heading2"/>
      </w:pPr>
      <w:bookmarkStart w:name="_Toc227253758" w:id="5"/>
      <w:r w:rsidRPr="00431682">
        <w:t>4.</w:t>
      </w:r>
      <w:r w:rsidRPr="00431682" w:rsidR="00431682">
        <w:t>2 Build capability</w:t>
      </w:r>
      <w:bookmarkEnd w:id="5"/>
    </w:p>
    <w:p w:rsidR="00431682" w:rsidP="004F28A2" w:rsidRDefault="00815269" w14:paraId="11D378E0" w14:textId="12801240">
      <w:r>
        <w:t>Stakeholders</w:t>
      </w:r>
      <w:r w:rsidR="00B01B62">
        <w:t xml:space="preserve"> </w:t>
      </w:r>
      <w:r w:rsidR="00431682">
        <w:t>have the knowledge</w:t>
      </w:r>
      <w:r>
        <w:t xml:space="preserve"> and </w:t>
      </w:r>
      <w:r w:rsidR="00431682">
        <w:t xml:space="preserve">skills </w:t>
      </w:r>
      <w:r>
        <w:t xml:space="preserve">to </w:t>
      </w:r>
      <w:r w:rsidR="00431682">
        <w:t xml:space="preserve">support </w:t>
      </w:r>
      <w:r>
        <w:t>consumer engagement in HTA</w:t>
      </w:r>
      <w:r w:rsidR="00394DDB">
        <w:t>.</w:t>
      </w:r>
    </w:p>
    <w:p w:rsidR="00431682" w:rsidP="004F28A2" w:rsidRDefault="00431682" w14:paraId="3574B8C2" w14:textId="0941D4CD">
      <w:r>
        <w:t>Key actions include:</w:t>
      </w:r>
    </w:p>
    <w:p w:rsidR="00E30434" w:rsidP="00AF084B" w:rsidRDefault="0060274D" w14:paraId="1C93F7C4" w14:textId="579C1EC3">
      <w:pPr>
        <w:pStyle w:val="ListBullet"/>
      </w:pPr>
      <w:r>
        <w:t xml:space="preserve">Provide support and guidance - </w:t>
      </w:r>
      <w:r w:rsidR="00B01B62">
        <w:t>strengthen understanding of HTA processes and support meaningful consumer engagement</w:t>
      </w:r>
      <w:r w:rsidR="00902AB6">
        <w:t>.</w:t>
      </w:r>
    </w:p>
    <w:p w:rsidR="007F243E" w:rsidP="00AF084B" w:rsidRDefault="007F243E" w14:paraId="575CFA6F" w14:textId="04938E8E">
      <w:pPr>
        <w:pStyle w:val="ListBullet"/>
      </w:pPr>
      <w:r>
        <w:t xml:space="preserve">Offer resources and training - </w:t>
      </w:r>
      <w:r w:rsidR="00730FB9">
        <w:t>provide tailored resources</w:t>
      </w:r>
      <w:r w:rsidR="00394DDB">
        <w:t xml:space="preserve">, </w:t>
      </w:r>
      <w:r w:rsidR="00730FB9">
        <w:t xml:space="preserve">mentoring and training </w:t>
      </w:r>
      <w:r w:rsidR="00394DDB">
        <w:t xml:space="preserve">for all stakeholders </w:t>
      </w:r>
      <w:r w:rsidR="00730FB9">
        <w:t>to build knowledge and confidence.</w:t>
      </w:r>
    </w:p>
    <w:p w:rsidR="00730FB9" w:rsidP="00AF084B" w:rsidRDefault="002502BA" w14:paraId="445DE432" w14:textId="1A115D35">
      <w:pPr>
        <w:pStyle w:val="ListBullet"/>
      </w:pPr>
      <w:r>
        <w:t xml:space="preserve">Share </w:t>
      </w:r>
      <w:r w:rsidR="001B1B4D">
        <w:t>p</w:t>
      </w:r>
      <w:r>
        <w:t xml:space="preserve">ractical examples – show </w:t>
      </w:r>
      <w:r w:rsidR="00705B9D">
        <w:t>examples of effective consumer engagement across the HTA process.</w:t>
      </w:r>
    </w:p>
    <w:p w:rsidR="002502BA" w:rsidP="00AF084B" w:rsidRDefault="00705B9D" w14:paraId="39374694" w14:textId="2607C56A">
      <w:pPr>
        <w:pStyle w:val="ListBullet"/>
      </w:pPr>
      <w:r>
        <w:t xml:space="preserve">Support continuous learning </w:t>
      </w:r>
      <w:r w:rsidR="002502BA">
        <w:t xml:space="preserve">– </w:t>
      </w:r>
      <w:r>
        <w:t>reflect on and learn from consumer engagement activities</w:t>
      </w:r>
      <w:r w:rsidR="006720E8">
        <w:t>.</w:t>
      </w:r>
    </w:p>
    <w:p w:rsidRPr="006A1419" w:rsidR="009946BC" w:rsidP="00F52F8A" w:rsidRDefault="009946BC" w14:paraId="46FE334A" w14:textId="18941296">
      <w:pPr>
        <w:pStyle w:val="Heading2"/>
      </w:pPr>
      <w:bookmarkStart w:name="_Toc227253759" w:id="6"/>
      <w:r w:rsidRPr="4282365C">
        <w:t>4.3 Elevate engagement</w:t>
      </w:r>
      <w:bookmarkEnd w:id="6"/>
    </w:p>
    <w:p w:rsidR="002502BA" w:rsidP="006A1419" w:rsidRDefault="003122CA" w14:paraId="76AB2BC5" w14:textId="78844165">
      <w:r>
        <w:t>Consumers have c</w:t>
      </w:r>
      <w:r w:rsidR="006A1419">
        <w:t xml:space="preserve">lear opportunities </w:t>
      </w:r>
      <w:r>
        <w:t>to contribute across the HTA process.</w:t>
      </w:r>
    </w:p>
    <w:p w:rsidR="006A1419" w:rsidP="006A1419" w:rsidRDefault="006A1419" w14:paraId="10A8B5CC" w14:textId="70C26C3C">
      <w:r>
        <w:t>Key actions include:</w:t>
      </w:r>
    </w:p>
    <w:p w:rsidR="006A1419" w:rsidP="00AF084B" w:rsidRDefault="006A1419" w14:paraId="3464495A" w14:textId="37728811">
      <w:pPr>
        <w:pStyle w:val="ListBullet"/>
      </w:pPr>
      <w:r>
        <w:t xml:space="preserve">Define engagement pathways - </w:t>
      </w:r>
      <w:r w:rsidR="002C3AF0">
        <w:t>c</w:t>
      </w:r>
      <w:r w:rsidR="00FD5F17">
        <w:t xml:space="preserve">learly explain when and how </w:t>
      </w:r>
      <w:r w:rsidR="00E808E4">
        <w:t>to</w:t>
      </w:r>
      <w:r w:rsidR="00FD5F17">
        <w:t xml:space="preserve"> participate in the HTA process.</w:t>
      </w:r>
    </w:p>
    <w:p w:rsidR="00FD5F17" w:rsidP="00AF084B" w:rsidRDefault="00FD5F17" w14:paraId="4EE52BBA" w14:textId="4E84E2AA">
      <w:pPr>
        <w:pStyle w:val="ListBullet"/>
      </w:pPr>
      <w:r>
        <w:t xml:space="preserve">Enable accessible participation - </w:t>
      </w:r>
      <w:r w:rsidR="002C3AF0">
        <w:t>o</w:t>
      </w:r>
      <w:r w:rsidR="00B35959">
        <w:t>ffer different ways to participate in the HTA process based on needs and preferences.</w:t>
      </w:r>
    </w:p>
    <w:p w:rsidR="00B35959" w:rsidP="00AF084B" w:rsidRDefault="00B35959" w14:paraId="01EEF6A7" w14:textId="01C85A24">
      <w:pPr>
        <w:pStyle w:val="ListBullet"/>
      </w:pPr>
      <w:r>
        <w:t xml:space="preserve">Set clear expectations – explain the purpose of </w:t>
      </w:r>
      <w:r w:rsidR="006F780B">
        <w:t xml:space="preserve">consumer </w:t>
      </w:r>
      <w:r>
        <w:t xml:space="preserve">engagement and how </w:t>
      </w:r>
      <w:r w:rsidR="006F780B">
        <w:t xml:space="preserve">consumer </w:t>
      </w:r>
      <w:r>
        <w:t>input will be used.</w:t>
      </w:r>
    </w:p>
    <w:p w:rsidR="00692CF9" w:rsidP="00AF084B" w:rsidRDefault="00B35959" w14:paraId="5F1411D4" w14:textId="3B8C9DB1">
      <w:pPr>
        <w:pStyle w:val="ListBullet"/>
      </w:pPr>
      <w:r>
        <w:t xml:space="preserve">Engage early and regularly </w:t>
      </w:r>
      <w:r w:rsidR="00692CF9">
        <w:t>–</w:t>
      </w:r>
      <w:r>
        <w:t xml:space="preserve"> </w:t>
      </w:r>
      <w:r w:rsidR="00692CF9">
        <w:t>engage consume</w:t>
      </w:r>
      <w:r w:rsidR="00D65711">
        <w:t>r</w:t>
      </w:r>
      <w:r w:rsidR="00692CF9">
        <w:t>s early and at relevant stages of the HTA process.</w:t>
      </w:r>
    </w:p>
    <w:p w:rsidR="002B334F" w:rsidP="002B334F" w:rsidRDefault="002B334F" w14:paraId="2460E31A" w14:textId="77777777">
      <w:r w:rsidRPr="00697587">
        <w:t>Consumer input informs HTA at multiple stages in the lifecycle of a health technology. This</w:t>
      </w:r>
      <w:r>
        <w:t xml:space="preserve"> framework identifies opportunities for consumer engagement across the 5 key stages of the HTA lifecycle:</w:t>
      </w:r>
    </w:p>
    <w:p w:rsidR="002B334F" w:rsidP="002B334F" w:rsidRDefault="002B334F" w14:paraId="33F525F3" w14:textId="77777777">
      <w:pPr>
        <w:pStyle w:val="ListBullet"/>
      </w:pPr>
      <w:r>
        <w:t>Stage 1: Research &amp; development</w:t>
      </w:r>
    </w:p>
    <w:p w:rsidR="002B334F" w:rsidP="002B334F" w:rsidRDefault="002B334F" w14:paraId="5EBDBC62" w14:textId="77777777">
      <w:pPr>
        <w:pStyle w:val="ListBullet"/>
      </w:pPr>
      <w:r>
        <w:t>Stage 2: Regulatory decision</w:t>
      </w:r>
    </w:p>
    <w:p w:rsidR="002B334F" w:rsidP="002B334F" w:rsidRDefault="002B334F" w14:paraId="2FF0E507" w14:textId="77777777">
      <w:pPr>
        <w:pStyle w:val="ListBullet"/>
      </w:pPr>
      <w:r>
        <w:t>Stage 3: Health technology assessment</w:t>
      </w:r>
    </w:p>
    <w:p w:rsidR="002B334F" w:rsidP="002B334F" w:rsidRDefault="002B334F" w14:paraId="478F06D3" w14:textId="77777777">
      <w:pPr>
        <w:pStyle w:val="ListBullet"/>
      </w:pPr>
      <w:r>
        <w:t>Stage 4: Health technology funded</w:t>
      </w:r>
    </w:p>
    <w:p w:rsidR="002B334F" w:rsidP="002B334F" w:rsidRDefault="002B334F" w14:paraId="550598DA" w14:textId="77777777">
      <w:pPr>
        <w:pStyle w:val="ListBullet"/>
      </w:pPr>
      <w:r>
        <w:t>Stage 5: Monitoring use</w:t>
      </w:r>
    </w:p>
    <w:p w:rsidR="00692BC7" w:rsidP="00692BC7" w:rsidRDefault="10139DE4" w14:paraId="7E3D543A" w14:textId="0C45B4F4">
      <w:pPr>
        <w:pStyle w:val="Boxtype"/>
      </w:pPr>
      <w:r w:rsidRPr="3178F7E3">
        <w:rPr>
          <w:lang w:val="en-US"/>
        </w:rPr>
        <w:t>Boxed text represents opportunities for consumer engagement.</w:t>
      </w:r>
    </w:p>
    <w:p w:rsidR="00C33A58" w:rsidP="006A6DB3" w:rsidRDefault="000F08C6" w14:paraId="3528CBF6" w14:textId="31067C4F">
      <w:pPr>
        <w:pStyle w:val="Heading4"/>
      </w:pPr>
      <w:r>
        <w:t xml:space="preserve">Stage </w:t>
      </w:r>
      <w:r w:rsidR="00C33A58">
        <w:t xml:space="preserve">1: Research </w:t>
      </w:r>
      <w:r w:rsidR="000935E2">
        <w:t>&amp; d</w:t>
      </w:r>
      <w:r w:rsidR="00C33A58">
        <w:t>evelopment</w:t>
      </w:r>
    </w:p>
    <w:p w:rsidR="000876E6" w:rsidP="00C33A58" w:rsidRDefault="00990980" w14:paraId="2169C400" w14:textId="4CAA39A9">
      <w:r>
        <w:t>A</w:t>
      </w:r>
      <w:r w:rsidR="00C33A58">
        <w:t xml:space="preserve"> health technology is discovered and tested.</w:t>
      </w:r>
    </w:p>
    <w:p w:rsidR="00C33A58" w:rsidP="000935E2" w:rsidRDefault="32ABC633" w14:paraId="79256D96" w14:textId="787B1DB3">
      <w:pPr>
        <w:pStyle w:val="Boxtype"/>
      </w:pPr>
      <w:r w:rsidRPr="3178F7E3">
        <w:rPr>
          <w:lang w:val="en-US"/>
        </w:rPr>
        <w:t>Consumers help define research priorities</w:t>
      </w:r>
      <w:r w:rsidRPr="3178F7E3" w:rsidR="02AD10CE">
        <w:rPr>
          <w:lang w:val="en-US"/>
        </w:rPr>
        <w:t xml:space="preserve"> and </w:t>
      </w:r>
      <w:r w:rsidRPr="3178F7E3">
        <w:rPr>
          <w:lang w:val="en-US"/>
        </w:rPr>
        <w:t xml:space="preserve">trial </w:t>
      </w:r>
      <w:proofErr w:type="gramStart"/>
      <w:r w:rsidRPr="3178F7E3">
        <w:rPr>
          <w:lang w:val="en-US"/>
        </w:rPr>
        <w:t>desig</w:t>
      </w:r>
      <w:r w:rsidRPr="3178F7E3" w:rsidR="3A13EC31">
        <w:rPr>
          <w:lang w:val="en-US"/>
        </w:rPr>
        <w:t>ns,</w:t>
      </w:r>
      <w:r w:rsidRPr="3178F7E3">
        <w:rPr>
          <w:lang w:val="en-US"/>
        </w:rPr>
        <w:t xml:space="preserve"> and</w:t>
      </w:r>
      <w:proofErr w:type="gramEnd"/>
      <w:r w:rsidRPr="3178F7E3">
        <w:rPr>
          <w:lang w:val="en-US"/>
        </w:rPr>
        <w:t xml:space="preserve"> participate in clinical trials</w:t>
      </w:r>
      <w:r w:rsidRPr="3178F7E3" w:rsidR="61B8F2AE">
        <w:rPr>
          <w:lang w:val="en-US"/>
        </w:rPr>
        <w:t>.</w:t>
      </w:r>
    </w:p>
    <w:p w:rsidR="00C33A58" w:rsidP="006A6DB3" w:rsidRDefault="000F08C6" w14:paraId="2BEA0FCD" w14:textId="700731AD">
      <w:pPr>
        <w:pStyle w:val="Heading4"/>
      </w:pPr>
      <w:r>
        <w:t xml:space="preserve">Stage </w:t>
      </w:r>
      <w:r w:rsidR="00C33A58">
        <w:t xml:space="preserve">2: Regulatory </w:t>
      </w:r>
      <w:r w:rsidR="0078095F">
        <w:t>decision</w:t>
      </w:r>
    </w:p>
    <w:p w:rsidR="000876E6" w:rsidP="00C33A58" w:rsidRDefault="2BBEB85E" w14:paraId="00653EA6" w14:textId="6E7ACDFF">
      <w:r>
        <w:t>Therapeutic Goods Administration (TGA) assesses if the health technology is safe and works</w:t>
      </w:r>
      <w:r w:rsidR="32ABC633">
        <w:t xml:space="preserve"> as intended.</w:t>
      </w:r>
    </w:p>
    <w:p w:rsidR="00C33A58" w:rsidP="000876E6" w:rsidRDefault="792184F5" w14:paraId="4D6CEC23" w14:textId="1DF29F66">
      <w:pPr>
        <w:pStyle w:val="Boxtype"/>
      </w:pPr>
      <w:r>
        <w:t xml:space="preserve">Consumers are members of TGA advisory committees. </w:t>
      </w:r>
      <w:r w:rsidR="00C33A58">
        <w:t xml:space="preserve">Consumer experiences and outcomes may be part of the </w:t>
      </w:r>
      <w:r w:rsidR="6E049C6F">
        <w:t xml:space="preserve">evidence provided by </w:t>
      </w:r>
      <w:r w:rsidR="53F604C0">
        <w:t>a</w:t>
      </w:r>
      <w:r w:rsidR="6E049C6F">
        <w:t xml:space="preserve"> sponsor.</w:t>
      </w:r>
    </w:p>
    <w:p w:rsidR="00C33A58" w:rsidP="00990980" w:rsidRDefault="000F08C6" w14:paraId="66ABCB30" w14:textId="446FA9DA">
      <w:pPr>
        <w:pStyle w:val="Heading4"/>
      </w:pPr>
      <w:r>
        <w:t xml:space="preserve">Stage </w:t>
      </w:r>
      <w:r w:rsidR="00C33A58">
        <w:t>3: Health Technology Assessment (HTA)</w:t>
      </w:r>
    </w:p>
    <w:p w:rsidR="00990980" w:rsidP="00C33A58" w:rsidRDefault="00990980" w14:paraId="5FEDCC0A" w14:textId="77777777">
      <w:r>
        <w:t>Health</w:t>
      </w:r>
      <w:r w:rsidR="00C33A58">
        <w:t xml:space="preserve"> outcomes and value for money of the health technology are compared to current options to inform government funding decisions.</w:t>
      </w:r>
    </w:p>
    <w:p w:rsidR="00C33A58" w:rsidP="00C33A58" w:rsidRDefault="00A0236B" w14:paraId="679ECD6C" w14:textId="75A91E7A">
      <w:r>
        <w:t xml:space="preserve">Given the focus of this framework is </w:t>
      </w:r>
      <w:r w:rsidR="00990980">
        <w:t xml:space="preserve">on </w:t>
      </w:r>
      <w:r w:rsidR="00B92A3D">
        <w:t>HTA,</w:t>
      </w:r>
      <w:r w:rsidR="00990980">
        <w:t xml:space="preserve"> </w:t>
      </w:r>
      <w:r w:rsidR="4BDF89F1">
        <w:t>more information</w:t>
      </w:r>
      <w:r w:rsidR="00B92A3D">
        <w:t xml:space="preserve"> on consumer engagement opportunities for</w:t>
      </w:r>
      <w:r w:rsidR="00705525">
        <w:t xml:space="preserve"> </w:t>
      </w:r>
      <w:r w:rsidR="42C7B183">
        <w:t>different</w:t>
      </w:r>
      <w:r w:rsidR="00B92A3D">
        <w:t xml:space="preserve"> s</w:t>
      </w:r>
      <w:r w:rsidR="000F08C6">
        <w:t>tep</w:t>
      </w:r>
      <w:r w:rsidR="70C9B751">
        <w:t>s in the HTA process are described</w:t>
      </w:r>
      <w:r w:rsidR="000F08C6">
        <w:t>.</w:t>
      </w:r>
    </w:p>
    <w:p w:rsidR="00B92A3D" w:rsidP="00B92A3D" w:rsidRDefault="00B92A3D" w14:paraId="383C9B58" w14:textId="77777777">
      <w:pPr>
        <w:pStyle w:val="Heading6"/>
      </w:pPr>
      <w:r w:rsidRPr="00B92A3D">
        <w:t xml:space="preserve">3.a </w:t>
      </w:r>
      <w:r w:rsidRPr="00B92A3D" w:rsidR="00C33A58">
        <w:t>Scoping</w:t>
      </w:r>
    </w:p>
    <w:p w:rsidR="00A0236B" w:rsidP="00B92A3D" w:rsidRDefault="00C33A58" w14:paraId="302518D5" w14:textId="21D66064">
      <w:r>
        <w:t>Key questions are defined for the HTA, including who the technology is for, what it is compared to, and which outcomes matter.</w:t>
      </w:r>
    </w:p>
    <w:p w:rsidR="00C33A58" w:rsidP="00A0236B" w:rsidRDefault="00C33A58" w14:paraId="525E2907" w14:textId="17CEAE3E">
      <w:pPr>
        <w:pStyle w:val="Boxtype"/>
      </w:pPr>
      <w:r w:rsidRPr="69132114">
        <w:rPr>
          <w:lang w:val="en-US"/>
        </w:rPr>
        <w:t>Consumer</w:t>
      </w:r>
      <w:r w:rsidRPr="69132114" w:rsidR="6F9D66D8">
        <w:rPr>
          <w:lang w:val="en-US"/>
        </w:rPr>
        <w:t>s</w:t>
      </w:r>
      <w:r w:rsidR="00F0524C">
        <w:rPr>
          <w:lang w:val="en-US"/>
        </w:rPr>
        <w:t xml:space="preserve"> </w:t>
      </w:r>
      <w:r w:rsidRPr="69132114">
        <w:rPr>
          <w:lang w:val="en-US"/>
        </w:rPr>
        <w:t xml:space="preserve">identify unmet clinical need and outcomes that </w:t>
      </w:r>
      <w:r w:rsidRPr="69132114" w:rsidR="480003E7">
        <w:rPr>
          <w:lang w:val="en-US"/>
        </w:rPr>
        <w:t>matter; helping to focus the assessment on what is important to them</w:t>
      </w:r>
      <w:r w:rsidRPr="69132114">
        <w:rPr>
          <w:lang w:val="en-US"/>
        </w:rPr>
        <w:t>.</w:t>
      </w:r>
    </w:p>
    <w:p w:rsidR="00B92A3D" w:rsidP="00B92A3D" w:rsidRDefault="00B92A3D" w14:paraId="23F4D0A4" w14:textId="77777777">
      <w:pPr>
        <w:pStyle w:val="Heading6"/>
      </w:pPr>
      <w:r>
        <w:t xml:space="preserve">3.b </w:t>
      </w:r>
      <w:r w:rsidRPr="00B92A3D" w:rsidR="00C33A58">
        <w:t>Evidence Submission</w:t>
      </w:r>
    </w:p>
    <w:p w:rsidR="00E04F1A" w:rsidP="00B92A3D" w:rsidRDefault="00C33A58" w14:paraId="1E2E59AA" w14:textId="7D32E129">
      <w:r>
        <w:t>Stakeholders submit evidence to inform the HTA.</w:t>
      </w:r>
    </w:p>
    <w:p w:rsidR="00C33A58" w:rsidP="00E04F1A" w:rsidRDefault="00C33A58" w14:paraId="0158CF82" w14:textId="5EEF521F">
      <w:pPr>
        <w:pStyle w:val="Boxtype"/>
      </w:pPr>
      <w:r w:rsidRPr="031CE25D">
        <w:rPr>
          <w:lang w:val="en-US"/>
        </w:rPr>
        <w:t>Consumers provide input and evidence that inform the HTA, including lived experience, preferences, needs and expectations for the health technology, helping to shape how the evidence is interpreted.</w:t>
      </w:r>
    </w:p>
    <w:p w:rsidR="00B92A3D" w:rsidP="00B92A3D" w:rsidRDefault="00B92A3D" w14:paraId="071DBF3D" w14:textId="77777777">
      <w:pPr>
        <w:pStyle w:val="Heading6"/>
      </w:pPr>
      <w:r>
        <w:t xml:space="preserve">3.c </w:t>
      </w:r>
      <w:r w:rsidRPr="00B92A3D" w:rsidR="00C33A58">
        <w:t>Evidence Evaluation</w:t>
      </w:r>
    </w:p>
    <w:p w:rsidR="00E04F1A" w:rsidP="00B92A3D" w:rsidRDefault="00C33A58" w14:paraId="4578E0F9" w14:textId="385A2A84">
      <w:r>
        <w:t>All available evidence is reviewed by the department and its evaluators. Expert subcommittee</w:t>
      </w:r>
      <w:r w:rsidR="07C1F087">
        <w:t>s</w:t>
      </w:r>
      <w:r>
        <w:t xml:space="preserve"> provide advice to inform the assessment</w:t>
      </w:r>
      <w:r w:rsidR="42E5A2A0">
        <w:t>.</w:t>
      </w:r>
    </w:p>
    <w:p w:rsidR="00C33A58" w:rsidP="00E04F1A" w:rsidRDefault="00C33A58" w14:paraId="471D5929" w14:textId="495B92FD">
      <w:pPr>
        <w:pStyle w:val="Boxtype"/>
      </w:pPr>
      <w:r>
        <w:t>Consumers are members of expert subcommittees, ensuring consumer input informs the review of evidence.</w:t>
      </w:r>
    </w:p>
    <w:p w:rsidR="00B92A3D" w:rsidP="00B92A3D" w:rsidRDefault="00B92A3D" w14:paraId="31D99FCC" w14:textId="77777777">
      <w:pPr>
        <w:pStyle w:val="Heading6"/>
      </w:pPr>
      <w:r>
        <w:t xml:space="preserve">3.d </w:t>
      </w:r>
      <w:r w:rsidRPr="00B92A3D" w:rsidR="00C33A58">
        <w:t>Committee Recommendation</w:t>
      </w:r>
    </w:p>
    <w:p w:rsidR="00E04F1A" w:rsidP="00B92A3D" w:rsidRDefault="00C33A58" w14:paraId="28C05145" w14:textId="0792915E">
      <w:r>
        <w:t xml:space="preserve">HTA advisory committees discuss the evidence and make recommendations about </w:t>
      </w:r>
      <w:r w:rsidR="185C832E">
        <w:t>if</w:t>
      </w:r>
      <w:r>
        <w:t xml:space="preserve"> </w:t>
      </w:r>
      <w:r w:rsidR="7C4CC370">
        <w:t xml:space="preserve">the </w:t>
      </w:r>
      <w:r>
        <w:t>health technolog</w:t>
      </w:r>
      <w:r w:rsidR="5C001E4D">
        <w:t>y</w:t>
      </w:r>
      <w:r>
        <w:t xml:space="preserve"> should be funded.</w:t>
      </w:r>
    </w:p>
    <w:p w:rsidR="00C33A58" w:rsidP="00E04F1A" w:rsidRDefault="00C33A58" w14:paraId="4BF256CE" w14:textId="6D94F707">
      <w:pPr>
        <w:pStyle w:val="Boxtype"/>
      </w:pPr>
      <w:r>
        <w:t>Consumers are members of HTA advisory committees, ensuring consumer input informs recommendations to government.</w:t>
      </w:r>
    </w:p>
    <w:p w:rsidR="00B92A3D" w:rsidP="00B92A3D" w:rsidRDefault="00B92A3D" w14:paraId="49BBE598" w14:textId="030848DA">
      <w:pPr>
        <w:pStyle w:val="Heading6"/>
      </w:pPr>
      <w:r>
        <w:t xml:space="preserve">3.e </w:t>
      </w:r>
      <w:r w:rsidRPr="00B92A3D" w:rsidR="00C33A58">
        <w:t>Publication of Outcomes</w:t>
      </w:r>
    </w:p>
    <w:p w:rsidR="001368CF" w:rsidP="001368CF" w:rsidRDefault="4F4D0591" w14:paraId="6E30563B" w14:textId="3654EC10">
      <w:pPr>
        <w:pStyle w:val="Boxtype"/>
      </w:pPr>
      <w:r>
        <w:t>A s</w:t>
      </w:r>
      <w:r w:rsidR="00C33A58">
        <w:t xml:space="preserve">ummary of </w:t>
      </w:r>
      <w:r w:rsidR="076FC0EB">
        <w:t xml:space="preserve">the </w:t>
      </w:r>
      <w:r w:rsidR="00C33A58">
        <w:t xml:space="preserve">assessment and outcomes is published to explain the reasons for the recommendation. </w:t>
      </w:r>
      <w:r w:rsidR="001368CF">
        <w:t>Consumers see how their perspectives and experiences were considered.</w:t>
      </w:r>
    </w:p>
    <w:p w:rsidR="00C33A58" w:rsidP="001368CF" w:rsidRDefault="00C33A58" w14:paraId="2F2CD937" w14:textId="2AA6B500">
      <w:pPr>
        <w:pStyle w:val="Heading4"/>
      </w:pPr>
      <w:r>
        <w:t>4: Health Technology Funded</w:t>
      </w:r>
    </w:p>
    <w:p w:rsidRPr="001368CF" w:rsidR="001368CF" w:rsidRDefault="001368CF" w14:paraId="107A1389" w14:textId="18380995">
      <w:r>
        <w:t xml:space="preserve">The government subsidises the health technology for eligible patients. Some health technologies are not funded if they do not provide clear benefit or value to </w:t>
      </w:r>
      <w:r w:rsidR="1D6D353B">
        <w:t>patients</w:t>
      </w:r>
      <w:r>
        <w:t>.</w:t>
      </w:r>
    </w:p>
    <w:p w:rsidR="00C33A58" w:rsidP="001368CF" w:rsidRDefault="00C33A58" w14:paraId="6695DFDB" w14:textId="0D976D70">
      <w:pPr>
        <w:pStyle w:val="Heading4"/>
      </w:pPr>
      <w:r>
        <w:t>5: Monitoring Use</w:t>
      </w:r>
    </w:p>
    <w:p w:rsidR="001368CF" w:rsidP="00C33A58" w:rsidRDefault="00C33A58" w14:paraId="0D7129DA" w14:textId="77777777">
      <w:r>
        <w:t>The health technology is monitored over time to assess how it is being used and to ensure it remains safe, effective and provides value for money.</w:t>
      </w:r>
    </w:p>
    <w:p w:rsidRPr="001368CF" w:rsidR="00C33A58" w:rsidP="001368CF" w:rsidRDefault="00C33A58" w14:paraId="47968D34" w14:textId="174D598D">
      <w:pPr>
        <w:pStyle w:val="Boxtype"/>
      </w:pPr>
      <w:r w:rsidRPr="031CE25D">
        <w:rPr>
          <w:lang w:val="en-US"/>
        </w:rPr>
        <w:t xml:space="preserve">Consumers share their experiences with </w:t>
      </w:r>
      <w:proofErr w:type="gramStart"/>
      <w:r w:rsidRPr="031CE25D">
        <w:rPr>
          <w:lang w:val="en-US"/>
        </w:rPr>
        <w:t>the health</w:t>
      </w:r>
      <w:proofErr w:type="gramEnd"/>
      <w:r w:rsidRPr="031CE25D">
        <w:rPr>
          <w:lang w:val="en-US"/>
        </w:rPr>
        <w:t xml:space="preserve"> technology helping to inform understanding of the long-term benefits, risks and real-world outcomes.</w:t>
      </w:r>
    </w:p>
    <w:p w:rsidR="00705525" w:rsidP="00705525" w:rsidRDefault="00705525" w14:paraId="204D9064" w14:textId="67192A10">
      <w:bookmarkStart w:name="_Toc227253760" w:id="7"/>
      <w:r w:rsidRPr="00EB4562">
        <w:t xml:space="preserve">Figure 1 </w:t>
      </w:r>
      <w:r w:rsidR="00F0524C">
        <w:t xml:space="preserve">is a visual representation of </w:t>
      </w:r>
      <w:r w:rsidR="00330B2C">
        <w:t>stages 1-5.</w:t>
      </w:r>
    </w:p>
    <w:p w:rsidR="00705525" w:rsidP="00705525" w:rsidRDefault="00705525" w14:paraId="20141764" w14:textId="77777777">
      <w:pPr>
        <w:pStyle w:val="FigureTitle"/>
        <w:keepNext/>
      </w:pPr>
      <w:r>
        <w:t>Figure 1</w:t>
      </w:r>
    </w:p>
    <w:p w:rsidR="00705525" w:rsidP="00705525" w:rsidRDefault="00222525" w14:paraId="58AAED76" w14:textId="44DD1BA4">
      <w:r w:rsidRPr="00222525">
        <w:drawing>
          <wp:inline distT="0" distB="0" distL="0" distR="0" wp14:anchorId="717A49D4" wp14:editId="403E6055">
            <wp:extent cx="5759450" cy="5832475"/>
            <wp:effectExtent l="0" t="0" r="0" b="0"/>
            <wp:docPr id="118956843" name="Picture 1" descr="This is a diagram that provides a visual representation of stages 1-5 described abo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56843" name="Picture 1" descr="This is a diagram that provides a visual representation of stages 1-5 described above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83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F9" w:rsidP="006877BD" w:rsidRDefault="00692CF9" w14:paraId="4A6C8904" w14:textId="1AFA715A">
      <w:pPr>
        <w:pStyle w:val="Heading2"/>
      </w:pPr>
      <w:r w:rsidRPr="00692CF9">
        <w:t>4.4 Strengthen partnerships</w:t>
      </w:r>
      <w:bookmarkEnd w:id="7"/>
    </w:p>
    <w:p w:rsidR="00692CF9" w:rsidP="000A4182" w:rsidRDefault="00D8628A" w14:paraId="3D042516" w14:textId="4D2B4D2D">
      <w:r>
        <w:t>Stakeholders</w:t>
      </w:r>
      <w:r w:rsidRPr="000A4182" w:rsidR="000A4182">
        <w:t xml:space="preserve"> partner</w:t>
      </w:r>
      <w:r w:rsidR="00BD4F4A">
        <w:t xml:space="preserve"> with consumers and prioritise those most impacted by decisions, to </w:t>
      </w:r>
      <w:r w:rsidRPr="000A4182" w:rsidR="000A4182">
        <w:t>improve HTA processes</w:t>
      </w:r>
      <w:r w:rsidR="000A4182">
        <w:t xml:space="preserve"> </w:t>
      </w:r>
      <w:r w:rsidRPr="000A4182" w:rsidR="000A4182">
        <w:t>and outcomes</w:t>
      </w:r>
      <w:r w:rsidR="000A4182">
        <w:t>.</w:t>
      </w:r>
    </w:p>
    <w:p w:rsidR="000A4182" w:rsidP="000A4182" w:rsidRDefault="000A4182" w14:paraId="105E151E" w14:textId="48033772">
      <w:r>
        <w:t>Key actions include:</w:t>
      </w:r>
    </w:p>
    <w:p w:rsidR="00036FCC" w:rsidP="00AF084B" w:rsidRDefault="00036FCC" w14:paraId="253F130A" w14:textId="58C44766">
      <w:pPr>
        <w:pStyle w:val="ListBullet"/>
      </w:pPr>
      <w:r>
        <w:t>Engage priority populations – actively include and support diverse participation from priority populations through tailored approaches.</w:t>
      </w:r>
    </w:p>
    <w:p w:rsidR="00036FCC" w:rsidP="00AF084B" w:rsidRDefault="00036FCC" w14:paraId="38DCCF1E" w14:textId="0181B459">
      <w:pPr>
        <w:pStyle w:val="ListBullet"/>
      </w:pPr>
      <w:r>
        <w:t xml:space="preserve">Build and sustain relationships </w:t>
      </w:r>
      <w:r w:rsidR="00A0601F">
        <w:t>–</w:t>
      </w:r>
      <w:r>
        <w:t xml:space="preserve"> </w:t>
      </w:r>
      <w:r w:rsidR="00A0601F">
        <w:t>develop ongoing, respectful relationships with consumer organisations and communities to reach and engage consumers.</w:t>
      </w:r>
    </w:p>
    <w:p w:rsidR="00A0601F" w:rsidP="00AF084B" w:rsidRDefault="00A0601F" w14:paraId="0EAB84A0" w14:textId="705AF360">
      <w:pPr>
        <w:pStyle w:val="ListBullet"/>
      </w:pPr>
      <w:r>
        <w:t>Create engagement opportunities – provide regular forums for dialogue, feedback and collaboration.</w:t>
      </w:r>
    </w:p>
    <w:p w:rsidR="00A0601F" w:rsidP="00AF084B" w:rsidRDefault="00A0601F" w14:paraId="2CCFA6AC" w14:textId="45A8BD73">
      <w:pPr>
        <w:pStyle w:val="ListBullet"/>
      </w:pPr>
      <w:r>
        <w:t xml:space="preserve">Develop shared approaches – work together to develop </w:t>
      </w:r>
      <w:r w:rsidR="006043B1">
        <w:t xml:space="preserve">consumer </w:t>
      </w:r>
      <w:r>
        <w:t>engagement activities, processes and resources.</w:t>
      </w:r>
    </w:p>
    <w:p w:rsidR="007662E8" w:rsidP="006877BD" w:rsidRDefault="007662E8" w14:paraId="3E2FCA6D" w14:textId="126CEB01">
      <w:pPr>
        <w:pStyle w:val="Heading2"/>
      </w:pPr>
      <w:bookmarkStart w:name="_Toc227253761" w:id="8"/>
      <w:r w:rsidRPr="007662E8">
        <w:t>4.5 Evaluate impact</w:t>
      </w:r>
      <w:bookmarkEnd w:id="8"/>
    </w:p>
    <w:p w:rsidR="007662E8" w:rsidP="00020BEB" w:rsidRDefault="00684E8B" w14:paraId="401E57E0" w14:textId="6AC3A252">
      <w:r>
        <w:t>Stakeholders use f</w:t>
      </w:r>
      <w:r w:rsidRPr="00020BEB" w:rsidR="00020BEB">
        <w:t>eedback and data to improve</w:t>
      </w:r>
      <w:r w:rsidR="00020BEB">
        <w:t xml:space="preserve"> </w:t>
      </w:r>
      <w:r w:rsidRPr="00020BEB" w:rsidR="00020BEB">
        <w:t>consumer engagement</w:t>
      </w:r>
      <w:r w:rsidR="00020BEB">
        <w:t xml:space="preserve"> </w:t>
      </w:r>
      <w:r w:rsidRPr="00020BEB" w:rsidR="00020BEB">
        <w:t>and its impact</w:t>
      </w:r>
      <w:r w:rsidR="00020BEB">
        <w:t>.</w:t>
      </w:r>
    </w:p>
    <w:p w:rsidR="00020BEB" w:rsidP="00020BEB" w:rsidRDefault="00020BEB" w14:paraId="778112CF" w14:textId="191D424B">
      <w:r>
        <w:t>Key actions include:</w:t>
      </w:r>
    </w:p>
    <w:p w:rsidR="00020BEB" w:rsidP="00AF084B" w:rsidRDefault="00020BEB" w14:paraId="136687C4" w14:textId="6B83C7B9">
      <w:pPr>
        <w:pStyle w:val="ListBullet"/>
        <w:rPr/>
      </w:pPr>
      <w:r w:rsidR="00020BEB">
        <w:rPr/>
        <w:t xml:space="preserve">Monitor </w:t>
      </w:r>
      <w:r w:rsidR="00FC4008">
        <w:rPr/>
        <w:t>engagement</w:t>
      </w:r>
      <w:r w:rsidR="00020BEB">
        <w:rPr/>
        <w:t xml:space="preserve"> </w:t>
      </w:r>
      <w:r w:rsidR="00601662">
        <w:rPr/>
        <w:t>- track</w:t>
      </w:r>
      <w:r w:rsidR="00020BEB">
        <w:rPr/>
        <w:t xml:space="preserve"> consumer </w:t>
      </w:r>
      <w:r w:rsidR="00FC4008">
        <w:rPr/>
        <w:t>engagement</w:t>
      </w:r>
      <w:r w:rsidR="00020BEB">
        <w:rPr/>
        <w:t xml:space="preserve"> in HTA activities and use of consumer resources</w:t>
      </w:r>
      <w:r w:rsidR="00601662">
        <w:rPr/>
        <w:t>.</w:t>
      </w:r>
    </w:p>
    <w:p w:rsidR="0D5ECFAA" w:rsidP="51F16FB5" w:rsidRDefault="0D5ECFAA" w14:paraId="11CBF9FF" w14:textId="099F7C63">
      <w:pPr>
        <w:pStyle w:val="ListBullet"/>
        <w:rPr/>
      </w:pPr>
      <w:r w:rsidR="0D5ECFAA">
        <w:rPr/>
        <w:t>Assess consumer impact – assess how consumer perspectives inform HTA discussions and decisions.</w:t>
      </w:r>
    </w:p>
    <w:p w:rsidR="00601662" w:rsidP="00AF084B" w:rsidRDefault="00FC4008" w14:paraId="12D9A4FE" w14:textId="49745424">
      <w:pPr>
        <w:pStyle w:val="ListBullet"/>
        <w:rPr/>
      </w:pPr>
      <w:r w:rsidR="00FC4008">
        <w:rPr/>
        <w:t>Provid</w:t>
      </w:r>
      <w:r w:rsidR="696BE3D6">
        <w:rPr/>
        <w:t>e</w:t>
      </w:r>
      <w:r w:rsidR="00FC4008">
        <w:rPr/>
        <w:t xml:space="preserve"> and invite feedback</w:t>
      </w:r>
      <w:r w:rsidR="00601662">
        <w:rPr/>
        <w:t xml:space="preserve"> – </w:t>
      </w:r>
      <w:r w:rsidR="00A80542">
        <w:rPr/>
        <w:t>explain how consumer input was considered and invite feedback from consumers on their engagement experience.</w:t>
      </w:r>
    </w:p>
    <w:p w:rsidR="00DC0331" w:rsidP="005A4AA5" w:rsidRDefault="00600E74" w14:paraId="3BB6AD9E" w14:textId="4C809063">
      <w:pPr>
        <w:pStyle w:val="ListBullet"/>
      </w:pPr>
      <w:r>
        <w:t xml:space="preserve">Improve over time – use feedback </w:t>
      </w:r>
      <w:r w:rsidR="009B076E">
        <w:t xml:space="preserve">and work with consumers to strengthen </w:t>
      </w:r>
      <w:r>
        <w:t>engagement approaches.</w:t>
      </w:r>
    </w:p>
    <w:sectPr w:rsidR="00DC0331" w:rsidSect="00A74345">
      <w:headerReference w:type="default" r:id="rId13"/>
      <w:footerReference w:type="default" r:id="rId14"/>
      <w:pgSz w:w="11906" w:h="16838" w:orient="portrait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879" w:rsidP="00934368" w:rsidRDefault="00412879" w14:paraId="316E7918" w14:textId="77777777">
      <w:r>
        <w:separator/>
      </w:r>
    </w:p>
    <w:p w:rsidR="00412879" w:rsidP="00934368" w:rsidRDefault="00412879" w14:paraId="762863A9" w14:textId="77777777"/>
  </w:endnote>
  <w:endnote w:type="continuationSeparator" w:id="0">
    <w:p w:rsidR="00412879" w:rsidP="00934368" w:rsidRDefault="00412879" w14:paraId="1865ECFD" w14:textId="77777777">
      <w:r>
        <w:continuationSeparator/>
      </w:r>
    </w:p>
    <w:p w:rsidR="00412879" w:rsidP="00934368" w:rsidRDefault="00412879" w14:paraId="19416E98" w14:textId="77777777"/>
  </w:endnote>
  <w:endnote w:type="continuationNotice" w:id="1">
    <w:p w:rsidR="00412879" w:rsidP="00934368" w:rsidRDefault="00412879" w14:paraId="70D5E1A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51A23" w:rsidR="00751A23" w:rsidP="005230B1" w:rsidRDefault="005230B1" w14:paraId="11F92E0E" w14:textId="216D5EC7">
    <w:pPr>
      <w:pStyle w:val="Footer"/>
    </w:pPr>
    <w:r>
      <w:t xml:space="preserve">Framework for </w:t>
    </w:r>
    <w:r w:rsidR="002E0BB4">
      <w:t>c</w:t>
    </w:r>
    <w:r>
      <w:t xml:space="preserve">onsumer </w:t>
    </w:r>
    <w:r w:rsidR="002E0BB4">
      <w:t>e</w:t>
    </w:r>
    <w:r>
      <w:t>ngagement in HTA</w:t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Pr="006043C7" w:rsidR="00751A23">
          <w:fldChar w:fldCharType="begin"/>
        </w:r>
        <w:r w:rsidRPr="006043C7" w:rsidR="00751A23">
          <w:instrText xml:space="preserve"> PAGE   \* MERGEFORMAT </w:instrText>
        </w:r>
        <w:r w:rsidRPr="006043C7" w:rsidR="00751A23">
          <w:fldChar w:fldCharType="separate"/>
        </w:r>
        <w:r w:rsidR="007B3D03">
          <w:rPr>
            <w:noProof/>
          </w:rPr>
          <w:t>2</w:t>
        </w:r>
        <w:r w:rsidRPr="006043C7" w:rsidR="00751A2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879" w:rsidP="00934368" w:rsidRDefault="00412879" w14:paraId="71213F39" w14:textId="77777777">
      <w:r>
        <w:separator/>
      </w:r>
    </w:p>
    <w:p w:rsidR="00412879" w:rsidP="00934368" w:rsidRDefault="00412879" w14:paraId="238351D0" w14:textId="77777777"/>
  </w:footnote>
  <w:footnote w:type="continuationSeparator" w:id="0">
    <w:p w:rsidR="00412879" w:rsidP="00934368" w:rsidRDefault="00412879" w14:paraId="44DCC0D1" w14:textId="77777777">
      <w:r>
        <w:continuationSeparator/>
      </w:r>
    </w:p>
    <w:p w:rsidR="00412879" w:rsidP="00934368" w:rsidRDefault="00412879" w14:paraId="63DDED43" w14:textId="77777777"/>
  </w:footnote>
  <w:footnote w:type="continuationNotice" w:id="1">
    <w:p w:rsidR="00412879" w:rsidP="00934368" w:rsidRDefault="00412879" w14:paraId="6EDEA39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751A23" w:rsidP="00934368" w:rsidRDefault="00751A23" w14:paraId="48EF8657" w14:textId="7777777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3BF03FD" wp14:editId="2208CAD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245" cy="10692673"/>
          <wp:effectExtent l="0" t="0" r="0" b="127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45" cy="10692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C77" w:rsidP="00934368" w:rsidRDefault="008E0C77" w14:paraId="7B2199E2" w14:textId="77777777">
    <w:pPr>
      <w:pStyle w:val="Header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CD578A"/>
    <w:multiLevelType w:val="hybridMultilevel"/>
    <w:tmpl w:val="3B1E4F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E3529EB"/>
    <w:multiLevelType w:val="hybridMultilevel"/>
    <w:tmpl w:val="CAA0154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14D6F05"/>
    <w:multiLevelType w:val="hybridMultilevel"/>
    <w:tmpl w:val="0E761C8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D19755D"/>
    <w:multiLevelType w:val="hybridMultilevel"/>
    <w:tmpl w:val="6C1A86F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7" w15:restartNumberingAfterBreak="0">
    <w:nsid w:val="39F402B7"/>
    <w:multiLevelType w:val="hybridMultilevel"/>
    <w:tmpl w:val="BE4E719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Calibri" w:hAnsi="Calibri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hint="default" w:ascii="Symbol" w:hAnsi="Symbol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Calibri" w:hAnsi="Calibri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Calibri" w:hAnsi="Calibri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Calibri" w:hAnsi="Calibri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Calibri" w:hAnsi="Calibri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Calibri" w:hAnsi="Calibri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Calibri" w:hAnsi="Calibri"/>
      </w:rPr>
    </w:lvl>
  </w:abstractNum>
  <w:abstractNum w:abstractNumId="19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F5E60F2"/>
    <w:multiLevelType w:val="hybridMultilevel"/>
    <w:tmpl w:val="2916BD18"/>
    <w:lvl w:ilvl="0" w:tplc="3AF09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92B82"/>
    <w:multiLevelType w:val="hybridMultilevel"/>
    <w:tmpl w:val="8C263440"/>
    <w:lvl w:ilvl="0" w:tplc="AC6C30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A3A20"/>
    <w:multiLevelType w:val="hybridMultilevel"/>
    <w:tmpl w:val="A1C0C76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4A11DD6"/>
    <w:multiLevelType w:val="hybridMultilevel"/>
    <w:tmpl w:val="A330F9C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085032849">
    <w:abstractNumId w:val="7"/>
  </w:num>
  <w:num w:numId="2" w16cid:durableId="1487239672">
    <w:abstractNumId w:val="20"/>
  </w:num>
  <w:num w:numId="3" w16cid:durableId="1111165562">
    <w:abstractNumId w:val="25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10"/>
  </w:num>
  <w:num w:numId="7" w16cid:durableId="739521073">
    <w:abstractNumId w:val="18"/>
  </w:num>
  <w:num w:numId="8" w16cid:durableId="1364792563">
    <w:abstractNumId w:val="24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7"/>
  </w:num>
  <w:num w:numId="17" w16cid:durableId="784426807">
    <w:abstractNumId w:val="13"/>
  </w:num>
  <w:num w:numId="18" w16cid:durableId="1485246168">
    <w:abstractNumId w:val="15"/>
  </w:num>
  <w:num w:numId="19" w16cid:durableId="204174500">
    <w:abstractNumId w:val="16"/>
  </w:num>
  <w:num w:numId="20" w16cid:durableId="583033642">
    <w:abstractNumId w:val="13"/>
  </w:num>
  <w:num w:numId="21" w16cid:durableId="411392521">
    <w:abstractNumId w:val="16"/>
  </w:num>
  <w:num w:numId="22" w16cid:durableId="1149708572">
    <w:abstractNumId w:val="27"/>
  </w:num>
  <w:num w:numId="23" w16cid:durableId="759183430">
    <w:abstractNumId w:val="20"/>
  </w:num>
  <w:num w:numId="24" w16cid:durableId="936640889">
    <w:abstractNumId w:val="25"/>
  </w:num>
  <w:num w:numId="25" w16cid:durableId="682364219">
    <w:abstractNumId w:val="8"/>
  </w:num>
  <w:num w:numId="26" w16cid:durableId="2122454649">
    <w:abstractNumId w:val="19"/>
  </w:num>
  <w:num w:numId="27" w16cid:durableId="1027170652">
    <w:abstractNumId w:val="23"/>
  </w:num>
  <w:num w:numId="28" w16cid:durableId="642320681">
    <w:abstractNumId w:val="12"/>
  </w:num>
  <w:num w:numId="29" w16cid:durableId="504172265">
    <w:abstractNumId w:val="17"/>
  </w:num>
  <w:num w:numId="30" w16cid:durableId="1403336194">
    <w:abstractNumId w:val="21"/>
  </w:num>
  <w:num w:numId="31" w16cid:durableId="1594320521">
    <w:abstractNumId w:val="22"/>
  </w:num>
  <w:num w:numId="32" w16cid:durableId="436216360">
    <w:abstractNumId w:val="9"/>
  </w:num>
  <w:num w:numId="33" w16cid:durableId="1907688491">
    <w:abstractNumId w:val="11"/>
  </w:num>
  <w:num w:numId="34" w16cid:durableId="1979913374">
    <w:abstractNumId w:val="14"/>
  </w:num>
  <w:num w:numId="35" w16cid:durableId="17870428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 w:val="false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EE"/>
    <w:rsid w:val="00000837"/>
    <w:rsid w:val="00001F41"/>
    <w:rsid w:val="00003743"/>
    <w:rsid w:val="000047B4"/>
    <w:rsid w:val="00004823"/>
    <w:rsid w:val="00005712"/>
    <w:rsid w:val="00007FD8"/>
    <w:rsid w:val="000117F8"/>
    <w:rsid w:val="00014837"/>
    <w:rsid w:val="00015A8E"/>
    <w:rsid w:val="00016CED"/>
    <w:rsid w:val="00020921"/>
    <w:rsid w:val="00020BEB"/>
    <w:rsid w:val="00024932"/>
    <w:rsid w:val="00026139"/>
    <w:rsid w:val="00027071"/>
    <w:rsid w:val="00027601"/>
    <w:rsid w:val="000322A9"/>
    <w:rsid w:val="00033321"/>
    <w:rsid w:val="000338E5"/>
    <w:rsid w:val="00033ECC"/>
    <w:rsid w:val="0003422F"/>
    <w:rsid w:val="00036FCC"/>
    <w:rsid w:val="00046FF0"/>
    <w:rsid w:val="000478BE"/>
    <w:rsid w:val="00050176"/>
    <w:rsid w:val="000509F5"/>
    <w:rsid w:val="000609D6"/>
    <w:rsid w:val="00061E74"/>
    <w:rsid w:val="00062B65"/>
    <w:rsid w:val="000669EF"/>
    <w:rsid w:val="00067456"/>
    <w:rsid w:val="00071506"/>
    <w:rsid w:val="0007154F"/>
    <w:rsid w:val="0008012B"/>
    <w:rsid w:val="00081AB1"/>
    <w:rsid w:val="00085492"/>
    <w:rsid w:val="000876E6"/>
    <w:rsid w:val="00090316"/>
    <w:rsid w:val="000905FC"/>
    <w:rsid w:val="000935E2"/>
    <w:rsid w:val="00093981"/>
    <w:rsid w:val="00093CD9"/>
    <w:rsid w:val="00094A74"/>
    <w:rsid w:val="000A0493"/>
    <w:rsid w:val="000A3B70"/>
    <w:rsid w:val="000A4182"/>
    <w:rsid w:val="000B0146"/>
    <w:rsid w:val="000B067A"/>
    <w:rsid w:val="000B0E03"/>
    <w:rsid w:val="000B1540"/>
    <w:rsid w:val="000B21CE"/>
    <w:rsid w:val="000B33FD"/>
    <w:rsid w:val="000B4ABA"/>
    <w:rsid w:val="000B567F"/>
    <w:rsid w:val="000C4B16"/>
    <w:rsid w:val="000C50C3"/>
    <w:rsid w:val="000C5F18"/>
    <w:rsid w:val="000D1F71"/>
    <w:rsid w:val="000D21F6"/>
    <w:rsid w:val="000D3404"/>
    <w:rsid w:val="000D42C3"/>
    <w:rsid w:val="000D4500"/>
    <w:rsid w:val="000D7AEA"/>
    <w:rsid w:val="000E01A9"/>
    <w:rsid w:val="000E134A"/>
    <w:rsid w:val="000E285F"/>
    <w:rsid w:val="000E2C66"/>
    <w:rsid w:val="000E6E7D"/>
    <w:rsid w:val="000F08C6"/>
    <w:rsid w:val="000F123C"/>
    <w:rsid w:val="000F2FED"/>
    <w:rsid w:val="000F3FAB"/>
    <w:rsid w:val="000F4C93"/>
    <w:rsid w:val="000F7D8D"/>
    <w:rsid w:val="0010616D"/>
    <w:rsid w:val="00110478"/>
    <w:rsid w:val="0011711B"/>
    <w:rsid w:val="00117380"/>
    <w:rsid w:val="00117F8A"/>
    <w:rsid w:val="00121B9B"/>
    <w:rsid w:val="00122ADC"/>
    <w:rsid w:val="00123BD2"/>
    <w:rsid w:val="001256A3"/>
    <w:rsid w:val="00127B95"/>
    <w:rsid w:val="00130846"/>
    <w:rsid w:val="00130F59"/>
    <w:rsid w:val="00133EC0"/>
    <w:rsid w:val="00133F5F"/>
    <w:rsid w:val="001368CF"/>
    <w:rsid w:val="00140D77"/>
    <w:rsid w:val="00141CE5"/>
    <w:rsid w:val="00144908"/>
    <w:rsid w:val="00146E53"/>
    <w:rsid w:val="0015333E"/>
    <w:rsid w:val="0015594B"/>
    <w:rsid w:val="001571C7"/>
    <w:rsid w:val="00161094"/>
    <w:rsid w:val="001645CF"/>
    <w:rsid w:val="00172A55"/>
    <w:rsid w:val="001758CD"/>
    <w:rsid w:val="0017665C"/>
    <w:rsid w:val="00177AD2"/>
    <w:rsid w:val="001815A8"/>
    <w:rsid w:val="001840FA"/>
    <w:rsid w:val="00185585"/>
    <w:rsid w:val="00190079"/>
    <w:rsid w:val="0019622E"/>
    <w:rsid w:val="001966A7"/>
    <w:rsid w:val="001A4627"/>
    <w:rsid w:val="001A4979"/>
    <w:rsid w:val="001A67AA"/>
    <w:rsid w:val="001B147D"/>
    <w:rsid w:val="001B15D3"/>
    <w:rsid w:val="001B1827"/>
    <w:rsid w:val="001B1B4D"/>
    <w:rsid w:val="001B274E"/>
    <w:rsid w:val="001B3443"/>
    <w:rsid w:val="001B4497"/>
    <w:rsid w:val="001C0326"/>
    <w:rsid w:val="001C192F"/>
    <w:rsid w:val="001C3747"/>
    <w:rsid w:val="001C3C42"/>
    <w:rsid w:val="001C73E8"/>
    <w:rsid w:val="001C7BC1"/>
    <w:rsid w:val="001D7869"/>
    <w:rsid w:val="001E1101"/>
    <w:rsid w:val="001E12CC"/>
    <w:rsid w:val="001E3DDE"/>
    <w:rsid w:val="001E6196"/>
    <w:rsid w:val="001F0099"/>
    <w:rsid w:val="001F1DEA"/>
    <w:rsid w:val="001F2F78"/>
    <w:rsid w:val="001F793D"/>
    <w:rsid w:val="002026CD"/>
    <w:rsid w:val="002033FC"/>
    <w:rsid w:val="002044BB"/>
    <w:rsid w:val="00210B09"/>
    <w:rsid w:val="00210C9E"/>
    <w:rsid w:val="002115D7"/>
    <w:rsid w:val="00211840"/>
    <w:rsid w:val="00213F81"/>
    <w:rsid w:val="002200FF"/>
    <w:rsid w:val="00220E5F"/>
    <w:rsid w:val="002212B5"/>
    <w:rsid w:val="00222525"/>
    <w:rsid w:val="00224375"/>
    <w:rsid w:val="00225345"/>
    <w:rsid w:val="00226668"/>
    <w:rsid w:val="00232187"/>
    <w:rsid w:val="00233809"/>
    <w:rsid w:val="002343A7"/>
    <w:rsid w:val="00240046"/>
    <w:rsid w:val="0024008B"/>
    <w:rsid w:val="00243E70"/>
    <w:rsid w:val="0024797F"/>
    <w:rsid w:val="002502BA"/>
    <w:rsid w:val="0025119E"/>
    <w:rsid w:val="00251269"/>
    <w:rsid w:val="002535C0"/>
    <w:rsid w:val="002579FE"/>
    <w:rsid w:val="0026311C"/>
    <w:rsid w:val="002657A8"/>
    <w:rsid w:val="0026668C"/>
    <w:rsid w:val="00266AC1"/>
    <w:rsid w:val="00267292"/>
    <w:rsid w:val="0027178C"/>
    <w:rsid w:val="002719FA"/>
    <w:rsid w:val="00272668"/>
    <w:rsid w:val="0027330B"/>
    <w:rsid w:val="00273BDC"/>
    <w:rsid w:val="00273E55"/>
    <w:rsid w:val="0027722C"/>
    <w:rsid w:val="0027730A"/>
    <w:rsid w:val="002803AD"/>
    <w:rsid w:val="00282052"/>
    <w:rsid w:val="002820ED"/>
    <w:rsid w:val="00282791"/>
    <w:rsid w:val="0028519E"/>
    <w:rsid w:val="002856A5"/>
    <w:rsid w:val="002872ED"/>
    <w:rsid w:val="002905C2"/>
    <w:rsid w:val="00291B74"/>
    <w:rsid w:val="00294E39"/>
    <w:rsid w:val="00295AF2"/>
    <w:rsid w:val="00295C91"/>
    <w:rsid w:val="00297151"/>
    <w:rsid w:val="002A0910"/>
    <w:rsid w:val="002A2FEC"/>
    <w:rsid w:val="002B1387"/>
    <w:rsid w:val="002B20E6"/>
    <w:rsid w:val="002B334F"/>
    <w:rsid w:val="002B42A3"/>
    <w:rsid w:val="002C0CDD"/>
    <w:rsid w:val="002C0DB2"/>
    <w:rsid w:val="002C1155"/>
    <w:rsid w:val="002C272A"/>
    <w:rsid w:val="002C3AF0"/>
    <w:rsid w:val="002C417C"/>
    <w:rsid w:val="002C4EEC"/>
    <w:rsid w:val="002C5C6D"/>
    <w:rsid w:val="002D2D85"/>
    <w:rsid w:val="002E0BB4"/>
    <w:rsid w:val="002E1A1D"/>
    <w:rsid w:val="002E4081"/>
    <w:rsid w:val="002E5B78"/>
    <w:rsid w:val="002E7B4E"/>
    <w:rsid w:val="002F19B9"/>
    <w:rsid w:val="002F2BF7"/>
    <w:rsid w:val="002F3AE3"/>
    <w:rsid w:val="00303BEC"/>
    <w:rsid w:val="0030464B"/>
    <w:rsid w:val="00304B55"/>
    <w:rsid w:val="00304D76"/>
    <w:rsid w:val="0030786C"/>
    <w:rsid w:val="003122CA"/>
    <w:rsid w:val="00316FB0"/>
    <w:rsid w:val="00322951"/>
    <w:rsid w:val="003233DE"/>
    <w:rsid w:val="0032466B"/>
    <w:rsid w:val="00324DAE"/>
    <w:rsid w:val="00326B13"/>
    <w:rsid w:val="00327B44"/>
    <w:rsid w:val="00330B2C"/>
    <w:rsid w:val="003330EB"/>
    <w:rsid w:val="003339CE"/>
    <w:rsid w:val="00335F83"/>
    <w:rsid w:val="003364AF"/>
    <w:rsid w:val="00336605"/>
    <w:rsid w:val="003408CB"/>
    <w:rsid w:val="00340975"/>
    <w:rsid w:val="003415FD"/>
    <w:rsid w:val="00341657"/>
    <w:rsid w:val="003429F0"/>
    <w:rsid w:val="003450F7"/>
    <w:rsid w:val="0035097A"/>
    <w:rsid w:val="003540A4"/>
    <w:rsid w:val="00360E4E"/>
    <w:rsid w:val="00361025"/>
    <w:rsid w:val="00370AAA"/>
    <w:rsid w:val="00373E93"/>
    <w:rsid w:val="00375F77"/>
    <w:rsid w:val="00377A78"/>
    <w:rsid w:val="00381BBE"/>
    <w:rsid w:val="00382903"/>
    <w:rsid w:val="0038336A"/>
    <w:rsid w:val="003846FF"/>
    <w:rsid w:val="0038539C"/>
    <w:rsid w:val="00385AD4"/>
    <w:rsid w:val="00387181"/>
    <w:rsid w:val="00387924"/>
    <w:rsid w:val="00392E61"/>
    <w:rsid w:val="0039384D"/>
    <w:rsid w:val="00394DDB"/>
    <w:rsid w:val="00395C23"/>
    <w:rsid w:val="003A09F1"/>
    <w:rsid w:val="003A145D"/>
    <w:rsid w:val="003A2E4F"/>
    <w:rsid w:val="003A4438"/>
    <w:rsid w:val="003A5013"/>
    <w:rsid w:val="003A5078"/>
    <w:rsid w:val="003A62DD"/>
    <w:rsid w:val="003A67A1"/>
    <w:rsid w:val="003A775A"/>
    <w:rsid w:val="003B0DAB"/>
    <w:rsid w:val="003B213A"/>
    <w:rsid w:val="003B43AD"/>
    <w:rsid w:val="003B4FAD"/>
    <w:rsid w:val="003C0FEC"/>
    <w:rsid w:val="003C15B8"/>
    <w:rsid w:val="003C2A75"/>
    <w:rsid w:val="003C2AC8"/>
    <w:rsid w:val="003C46A6"/>
    <w:rsid w:val="003C4827"/>
    <w:rsid w:val="003C6A6F"/>
    <w:rsid w:val="003D17F9"/>
    <w:rsid w:val="003D2D88"/>
    <w:rsid w:val="003D2F79"/>
    <w:rsid w:val="003D31B4"/>
    <w:rsid w:val="003D41EA"/>
    <w:rsid w:val="003D4850"/>
    <w:rsid w:val="003D4B99"/>
    <w:rsid w:val="003D535A"/>
    <w:rsid w:val="003E49EA"/>
    <w:rsid w:val="003E5265"/>
    <w:rsid w:val="003F0955"/>
    <w:rsid w:val="003F0D7A"/>
    <w:rsid w:val="003F6B92"/>
    <w:rsid w:val="003F6FE1"/>
    <w:rsid w:val="00400F00"/>
    <w:rsid w:val="00404F8B"/>
    <w:rsid w:val="00405256"/>
    <w:rsid w:val="00410031"/>
    <w:rsid w:val="004115A2"/>
    <w:rsid w:val="00412879"/>
    <w:rsid w:val="00415C81"/>
    <w:rsid w:val="00416731"/>
    <w:rsid w:val="00417806"/>
    <w:rsid w:val="004261C7"/>
    <w:rsid w:val="00431682"/>
    <w:rsid w:val="00432378"/>
    <w:rsid w:val="00434F97"/>
    <w:rsid w:val="0043609B"/>
    <w:rsid w:val="00436E9D"/>
    <w:rsid w:val="00440D65"/>
    <w:rsid w:val="004435E6"/>
    <w:rsid w:val="004442EE"/>
    <w:rsid w:val="0044593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549B"/>
    <w:rsid w:val="00467201"/>
    <w:rsid w:val="00467BBF"/>
    <w:rsid w:val="00471CED"/>
    <w:rsid w:val="00473100"/>
    <w:rsid w:val="00482E0F"/>
    <w:rsid w:val="004867E2"/>
    <w:rsid w:val="004929A9"/>
    <w:rsid w:val="004937F9"/>
    <w:rsid w:val="00493BCA"/>
    <w:rsid w:val="004B0753"/>
    <w:rsid w:val="004B40F1"/>
    <w:rsid w:val="004C2FEC"/>
    <w:rsid w:val="004C6BCF"/>
    <w:rsid w:val="004D0940"/>
    <w:rsid w:val="004D58BF"/>
    <w:rsid w:val="004D5E5B"/>
    <w:rsid w:val="004E4335"/>
    <w:rsid w:val="004E5ACF"/>
    <w:rsid w:val="004E6CEE"/>
    <w:rsid w:val="004F13EE"/>
    <w:rsid w:val="004F2022"/>
    <w:rsid w:val="004F28A2"/>
    <w:rsid w:val="004F2BEC"/>
    <w:rsid w:val="004F6D86"/>
    <w:rsid w:val="004F7C05"/>
    <w:rsid w:val="00501C94"/>
    <w:rsid w:val="00506432"/>
    <w:rsid w:val="00506DD0"/>
    <w:rsid w:val="005107BF"/>
    <w:rsid w:val="0051242B"/>
    <w:rsid w:val="0051342C"/>
    <w:rsid w:val="00516620"/>
    <w:rsid w:val="0052051D"/>
    <w:rsid w:val="00521E25"/>
    <w:rsid w:val="005220AE"/>
    <w:rsid w:val="005230B1"/>
    <w:rsid w:val="0052748A"/>
    <w:rsid w:val="0053472F"/>
    <w:rsid w:val="00542C0A"/>
    <w:rsid w:val="00545EE6"/>
    <w:rsid w:val="005550E7"/>
    <w:rsid w:val="005564FB"/>
    <w:rsid w:val="005572C7"/>
    <w:rsid w:val="005634A5"/>
    <w:rsid w:val="005650ED"/>
    <w:rsid w:val="00575754"/>
    <w:rsid w:val="00580470"/>
    <w:rsid w:val="005866C0"/>
    <w:rsid w:val="00591E20"/>
    <w:rsid w:val="00595408"/>
    <w:rsid w:val="00595E84"/>
    <w:rsid w:val="00596F72"/>
    <w:rsid w:val="00597D79"/>
    <w:rsid w:val="005A0C59"/>
    <w:rsid w:val="005A3ED8"/>
    <w:rsid w:val="005A48EB"/>
    <w:rsid w:val="005A4AA5"/>
    <w:rsid w:val="005A6CFB"/>
    <w:rsid w:val="005B13C7"/>
    <w:rsid w:val="005B3326"/>
    <w:rsid w:val="005B39AA"/>
    <w:rsid w:val="005C2B27"/>
    <w:rsid w:val="005C4646"/>
    <w:rsid w:val="005C5AEB"/>
    <w:rsid w:val="005C61FD"/>
    <w:rsid w:val="005C72D8"/>
    <w:rsid w:val="005D0D42"/>
    <w:rsid w:val="005D3284"/>
    <w:rsid w:val="005D7F5C"/>
    <w:rsid w:val="005E0A3F"/>
    <w:rsid w:val="005E6883"/>
    <w:rsid w:val="005E772F"/>
    <w:rsid w:val="005F4ECA"/>
    <w:rsid w:val="00600E74"/>
    <w:rsid w:val="00600FF2"/>
    <w:rsid w:val="00601662"/>
    <w:rsid w:val="0060274D"/>
    <w:rsid w:val="006041BE"/>
    <w:rsid w:val="006043B1"/>
    <w:rsid w:val="006043C7"/>
    <w:rsid w:val="00612C73"/>
    <w:rsid w:val="0061545F"/>
    <w:rsid w:val="00616D3C"/>
    <w:rsid w:val="00624B52"/>
    <w:rsid w:val="00625114"/>
    <w:rsid w:val="00625516"/>
    <w:rsid w:val="00626B9A"/>
    <w:rsid w:val="00627CA1"/>
    <w:rsid w:val="00631DF4"/>
    <w:rsid w:val="00634175"/>
    <w:rsid w:val="00637BF9"/>
    <w:rsid w:val="006408AC"/>
    <w:rsid w:val="006431EA"/>
    <w:rsid w:val="00650EB6"/>
    <w:rsid w:val="006511B6"/>
    <w:rsid w:val="00652742"/>
    <w:rsid w:val="006531FE"/>
    <w:rsid w:val="00657FF8"/>
    <w:rsid w:val="00660BA6"/>
    <w:rsid w:val="006645C8"/>
    <w:rsid w:val="00666E24"/>
    <w:rsid w:val="00670D99"/>
    <w:rsid w:val="00670E2B"/>
    <w:rsid w:val="006720E8"/>
    <w:rsid w:val="00672743"/>
    <w:rsid w:val="006734BB"/>
    <w:rsid w:val="00681A34"/>
    <w:rsid w:val="006821EB"/>
    <w:rsid w:val="00682BB6"/>
    <w:rsid w:val="00684E8B"/>
    <w:rsid w:val="006877BD"/>
    <w:rsid w:val="00692BC7"/>
    <w:rsid w:val="00692CF9"/>
    <w:rsid w:val="0069411F"/>
    <w:rsid w:val="00697587"/>
    <w:rsid w:val="006A1419"/>
    <w:rsid w:val="006A296E"/>
    <w:rsid w:val="006A6DB3"/>
    <w:rsid w:val="006B2286"/>
    <w:rsid w:val="006B56BB"/>
    <w:rsid w:val="006B756D"/>
    <w:rsid w:val="006C2513"/>
    <w:rsid w:val="006C50AC"/>
    <w:rsid w:val="006C77A8"/>
    <w:rsid w:val="006D273D"/>
    <w:rsid w:val="006D4098"/>
    <w:rsid w:val="006D7681"/>
    <w:rsid w:val="006D7B2E"/>
    <w:rsid w:val="006E02EA"/>
    <w:rsid w:val="006E0968"/>
    <w:rsid w:val="006E10D7"/>
    <w:rsid w:val="006E2AF6"/>
    <w:rsid w:val="006F780B"/>
    <w:rsid w:val="00701275"/>
    <w:rsid w:val="00705525"/>
    <w:rsid w:val="00705B9D"/>
    <w:rsid w:val="00707F56"/>
    <w:rsid w:val="0071227D"/>
    <w:rsid w:val="00713558"/>
    <w:rsid w:val="00715110"/>
    <w:rsid w:val="007204BB"/>
    <w:rsid w:val="00720D08"/>
    <w:rsid w:val="0072506E"/>
    <w:rsid w:val="007263B9"/>
    <w:rsid w:val="00730FB9"/>
    <w:rsid w:val="007318CB"/>
    <w:rsid w:val="007334F8"/>
    <w:rsid w:val="007339CD"/>
    <w:rsid w:val="0073504E"/>
    <w:rsid w:val="007359D8"/>
    <w:rsid w:val="007362D4"/>
    <w:rsid w:val="00736FBC"/>
    <w:rsid w:val="0074512E"/>
    <w:rsid w:val="00746085"/>
    <w:rsid w:val="00747B50"/>
    <w:rsid w:val="00751A23"/>
    <w:rsid w:val="00755AAF"/>
    <w:rsid w:val="00760238"/>
    <w:rsid w:val="007662E8"/>
    <w:rsid w:val="0076672A"/>
    <w:rsid w:val="00766E1E"/>
    <w:rsid w:val="00775E45"/>
    <w:rsid w:val="00775F3A"/>
    <w:rsid w:val="00776E74"/>
    <w:rsid w:val="0078095F"/>
    <w:rsid w:val="00785169"/>
    <w:rsid w:val="00792133"/>
    <w:rsid w:val="0079499D"/>
    <w:rsid w:val="007954AB"/>
    <w:rsid w:val="007A0534"/>
    <w:rsid w:val="007A14C5"/>
    <w:rsid w:val="007A3E38"/>
    <w:rsid w:val="007A4A10"/>
    <w:rsid w:val="007B1760"/>
    <w:rsid w:val="007B3D03"/>
    <w:rsid w:val="007C1251"/>
    <w:rsid w:val="007C46CC"/>
    <w:rsid w:val="007C6D9C"/>
    <w:rsid w:val="007C6E62"/>
    <w:rsid w:val="007C7DDB"/>
    <w:rsid w:val="007D0C17"/>
    <w:rsid w:val="007D2CC7"/>
    <w:rsid w:val="007D673D"/>
    <w:rsid w:val="007E22D1"/>
    <w:rsid w:val="007E7639"/>
    <w:rsid w:val="007F2220"/>
    <w:rsid w:val="007F243E"/>
    <w:rsid w:val="007F4268"/>
    <w:rsid w:val="007F4B3E"/>
    <w:rsid w:val="007F588A"/>
    <w:rsid w:val="008127AF"/>
    <w:rsid w:val="00812B46"/>
    <w:rsid w:val="00815269"/>
    <w:rsid w:val="00815700"/>
    <w:rsid w:val="00817B70"/>
    <w:rsid w:val="00824F03"/>
    <w:rsid w:val="008264EB"/>
    <w:rsid w:val="00826B8F"/>
    <w:rsid w:val="00831E8A"/>
    <w:rsid w:val="00832373"/>
    <w:rsid w:val="0083418F"/>
    <w:rsid w:val="00835C76"/>
    <w:rsid w:val="0083755D"/>
    <w:rsid w:val="00843049"/>
    <w:rsid w:val="00844549"/>
    <w:rsid w:val="008452CF"/>
    <w:rsid w:val="0085054D"/>
    <w:rsid w:val="0085209B"/>
    <w:rsid w:val="00853848"/>
    <w:rsid w:val="00855F36"/>
    <w:rsid w:val="008566FA"/>
    <w:rsid w:val="00856B66"/>
    <w:rsid w:val="00856EA5"/>
    <w:rsid w:val="00861A5F"/>
    <w:rsid w:val="008644AD"/>
    <w:rsid w:val="00865735"/>
    <w:rsid w:val="00865DDB"/>
    <w:rsid w:val="00867538"/>
    <w:rsid w:val="00873D90"/>
    <w:rsid w:val="00873FC8"/>
    <w:rsid w:val="0088469C"/>
    <w:rsid w:val="00884C63"/>
    <w:rsid w:val="00885908"/>
    <w:rsid w:val="008864B7"/>
    <w:rsid w:val="00886AD1"/>
    <w:rsid w:val="0088793D"/>
    <w:rsid w:val="008908DA"/>
    <w:rsid w:val="0089525A"/>
    <w:rsid w:val="0089677E"/>
    <w:rsid w:val="00896E8C"/>
    <w:rsid w:val="008A0F9A"/>
    <w:rsid w:val="008A7438"/>
    <w:rsid w:val="008B1334"/>
    <w:rsid w:val="008B47A8"/>
    <w:rsid w:val="008B7545"/>
    <w:rsid w:val="008C0278"/>
    <w:rsid w:val="008C0365"/>
    <w:rsid w:val="008C1412"/>
    <w:rsid w:val="008C24E9"/>
    <w:rsid w:val="008C367E"/>
    <w:rsid w:val="008C607B"/>
    <w:rsid w:val="008D0533"/>
    <w:rsid w:val="008D42CB"/>
    <w:rsid w:val="008D48C9"/>
    <w:rsid w:val="008D5B79"/>
    <w:rsid w:val="008D6381"/>
    <w:rsid w:val="008E0C77"/>
    <w:rsid w:val="008E4FF2"/>
    <w:rsid w:val="008E625F"/>
    <w:rsid w:val="008F264D"/>
    <w:rsid w:val="00902AB6"/>
    <w:rsid w:val="0090728E"/>
    <w:rsid w:val="009074E1"/>
    <w:rsid w:val="009112F7"/>
    <w:rsid w:val="009122AF"/>
    <w:rsid w:val="009127BC"/>
    <w:rsid w:val="00912D54"/>
    <w:rsid w:val="0091389F"/>
    <w:rsid w:val="009208F7"/>
    <w:rsid w:val="00922517"/>
    <w:rsid w:val="00922722"/>
    <w:rsid w:val="009261E6"/>
    <w:rsid w:val="009268E1"/>
    <w:rsid w:val="00927BE8"/>
    <w:rsid w:val="009307DD"/>
    <w:rsid w:val="00933E22"/>
    <w:rsid w:val="00934368"/>
    <w:rsid w:val="00945E7F"/>
    <w:rsid w:val="009464D1"/>
    <w:rsid w:val="009557C1"/>
    <w:rsid w:val="00960D6E"/>
    <w:rsid w:val="009677E6"/>
    <w:rsid w:val="00972BC1"/>
    <w:rsid w:val="00973A60"/>
    <w:rsid w:val="00973D4C"/>
    <w:rsid w:val="00974B59"/>
    <w:rsid w:val="0097567A"/>
    <w:rsid w:val="009771FD"/>
    <w:rsid w:val="0098340B"/>
    <w:rsid w:val="00986830"/>
    <w:rsid w:val="00990181"/>
    <w:rsid w:val="00990980"/>
    <w:rsid w:val="009924C3"/>
    <w:rsid w:val="009924C6"/>
    <w:rsid w:val="00993102"/>
    <w:rsid w:val="009946BC"/>
    <w:rsid w:val="009A4788"/>
    <w:rsid w:val="009A756E"/>
    <w:rsid w:val="009B076E"/>
    <w:rsid w:val="009B3F1E"/>
    <w:rsid w:val="009B4E31"/>
    <w:rsid w:val="009C1FF6"/>
    <w:rsid w:val="009C4A39"/>
    <w:rsid w:val="009C6F10"/>
    <w:rsid w:val="009D148F"/>
    <w:rsid w:val="009D3D70"/>
    <w:rsid w:val="009E6F7E"/>
    <w:rsid w:val="009E7A57"/>
    <w:rsid w:val="009F4F6A"/>
    <w:rsid w:val="00A0236B"/>
    <w:rsid w:val="00A04084"/>
    <w:rsid w:val="00A0601F"/>
    <w:rsid w:val="00A11397"/>
    <w:rsid w:val="00A1561F"/>
    <w:rsid w:val="00A16E36"/>
    <w:rsid w:val="00A17836"/>
    <w:rsid w:val="00A24961"/>
    <w:rsid w:val="00A24B10"/>
    <w:rsid w:val="00A30E9B"/>
    <w:rsid w:val="00A370FC"/>
    <w:rsid w:val="00A42815"/>
    <w:rsid w:val="00A4512D"/>
    <w:rsid w:val="00A50244"/>
    <w:rsid w:val="00A56F17"/>
    <w:rsid w:val="00A57C22"/>
    <w:rsid w:val="00A627D7"/>
    <w:rsid w:val="00A656C7"/>
    <w:rsid w:val="00A65C4E"/>
    <w:rsid w:val="00A705AF"/>
    <w:rsid w:val="00A70CBE"/>
    <w:rsid w:val="00A7127E"/>
    <w:rsid w:val="00A72454"/>
    <w:rsid w:val="00A74345"/>
    <w:rsid w:val="00A751ED"/>
    <w:rsid w:val="00A77696"/>
    <w:rsid w:val="00A80201"/>
    <w:rsid w:val="00A80542"/>
    <w:rsid w:val="00A80557"/>
    <w:rsid w:val="00A81D33"/>
    <w:rsid w:val="00A87EE1"/>
    <w:rsid w:val="00A92C3D"/>
    <w:rsid w:val="00A930AE"/>
    <w:rsid w:val="00A93C09"/>
    <w:rsid w:val="00AA1A95"/>
    <w:rsid w:val="00AA260F"/>
    <w:rsid w:val="00AB1EE7"/>
    <w:rsid w:val="00AB4B37"/>
    <w:rsid w:val="00AB550E"/>
    <w:rsid w:val="00AB5762"/>
    <w:rsid w:val="00AB7ACB"/>
    <w:rsid w:val="00AC2679"/>
    <w:rsid w:val="00AC4BE4"/>
    <w:rsid w:val="00AC6BF9"/>
    <w:rsid w:val="00AD05E6"/>
    <w:rsid w:val="00AD0D3F"/>
    <w:rsid w:val="00AD1C5A"/>
    <w:rsid w:val="00AD3ACD"/>
    <w:rsid w:val="00AD5DA8"/>
    <w:rsid w:val="00AE1D7D"/>
    <w:rsid w:val="00AE2A8B"/>
    <w:rsid w:val="00AE3F64"/>
    <w:rsid w:val="00AE74E6"/>
    <w:rsid w:val="00AF084B"/>
    <w:rsid w:val="00AF7386"/>
    <w:rsid w:val="00AF761C"/>
    <w:rsid w:val="00AF7934"/>
    <w:rsid w:val="00B00B81"/>
    <w:rsid w:val="00B01B62"/>
    <w:rsid w:val="00B01D11"/>
    <w:rsid w:val="00B022A2"/>
    <w:rsid w:val="00B04580"/>
    <w:rsid w:val="00B04B09"/>
    <w:rsid w:val="00B167BD"/>
    <w:rsid w:val="00B16A51"/>
    <w:rsid w:val="00B23374"/>
    <w:rsid w:val="00B25440"/>
    <w:rsid w:val="00B32222"/>
    <w:rsid w:val="00B35959"/>
    <w:rsid w:val="00B3618D"/>
    <w:rsid w:val="00B36233"/>
    <w:rsid w:val="00B36459"/>
    <w:rsid w:val="00B42851"/>
    <w:rsid w:val="00B43874"/>
    <w:rsid w:val="00B45AC7"/>
    <w:rsid w:val="00B4727D"/>
    <w:rsid w:val="00B5372F"/>
    <w:rsid w:val="00B54003"/>
    <w:rsid w:val="00B61129"/>
    <w:rsid w:val="00B67E7F"/>
    <w:rsid w:val="00B727FD"/>
    <w:rsid w:val="00B72D40"/>
    <w:rsid w:val="00B7320A"/>
    <w:rsid w:val="00B75A04"/>
    <w:rsid w:val="00B839B2"/>
    <w:rsid w:val="00B84188"/>
    <w:rsid w:val="00B84E96"/>
    <w:rsid w:val="00B8766F"/>
    <w:rsid w:val="00B90327"/>
    <w:rsid w:val="00B92A3D"/>
    <w:rsid w:val="00B92A52"/>
    <w:rsid w:val="00B93848"/>
    <w:rsid w:val="00B94252"/>
    <w:rsid w:val="00B9715A"/>
    <w:rsid w:val="00BA14BE"/>
    <w:rsid w:val="00BA2732"/>
    <w:rsid w:val="00BA293D"/>
    <w:rsid w:val="00BA49BC"/>
    <w:rsid w:val="00BA56B7"/>
    <w:rsid w:val="00BA7A1E"/>
    <w:rsid w:val="00BA7CA9"/>
    <w:rsid w:val="00BB14DF"/>
    <w:rsid w:val="00BB24CD"/>
    <w:rsid w:val="00BB2F6C"/>
    <w:rsid w:val="00BB3875"/>
    <w:rsid w:val="00BB5860"/>
    <w:rsid w:val="00BB6AAD"/>
    <w:rsid w:val="00BC4A19"/>
    <w:rsid w:val="00BC4E6D"/>
    <w:rsid w:val="00BC59CD"/>
    <w:rsid w:val="00BC5A5D"/>
    <w:rsid w:val="00BD0617"/>
    <w:rsid w:val="00BD2E9B"/>
    <w:rsid w:val="00BD4F4A"/>
    <w:rsid w:val="00BF669B"/>
    <w:rsid w:val="00BF6E07"/>
    <w:rsid w:val="00BF7AD7"/>
    <w:rsid w:val="00C00930"/>
    <w:rsid w:val="00C03EF8"/>
    <w:rsid w:val="00C060AD"/>
    <w:rsid w:val="00C0670D"/>
    <w:rsid w:val="00C113BF"/>
    <w:rsid w:val="00C137C6"/>
    <w:rsid w:val="00C2176E"/>
    <w:rsid w:val="00C21D95"/>
    <w:rsid w:val="00C226D8"/>
    <w:rsid w:val="00C23430"/>
    <w:rsid w:val="00C27D67"/>
    <w:rsid w:val="00C3146C"/>
    <w:rsid w:val="00C33A58"/>
    <w:rsid w:val="00C345DA"/>
    <w:rsid w:val="00C34C06"/>
    <w:rsid w:val="00C4631F"/>
    <w:rsid w:val="00C465A3"/>
    <w:rsid w:val="00C50E16"/>
    <w:rsid w:val="00C539AB"/>
    <w:rsid w:val="00C55258"/>
    <w:rsid w:val="00C625FE"/>
    <w:rsid w:val="00C662AD"/>
    <w:rsid w:val="00C81E2C"/>
    <w:rsid w:val="00C82EEB"/>
    <w:rsid w:val="00C863C2"/>
    <w:rsid w:val="00C971DC"/>
    <w:rsid w:val="00CA16B7"/>
    <w:rsid w:val="00CA3B72"/>
    <w:rsid w:val="00CA4BE3"/>
    <w:rsid w:val="00CA60E8"/>
    <w:rsid w:val="00CA62AE"/>
    <w:rsid w:val="00CB17CA"/>
    <w:rsid w:val="00CB39AA"/>
    <w:rsid w:val="00CB5B1A"/>
    <w:rsid w:val="00CC220B"/>
    <w:rsid w:val="00CC5C43"/>
    <w:rsid w:val="00CD02AE"/>
    <w:rsid w:val="00CD07CB"/>
    <w:rsid w:val="00CD2A4F"/>
    <w:rsid w:val="00CE03CA"/>
    <w:rsid w:val="00CE209F"/>
    <w:rsid w:val="00CE22F1"/>
    <w:rsid w:val="00CE50F2"/>
    <w:rsid w:val="00CE6502"/>
    <w:rsid w:val="00CF1218"/>
    <w:rsid w:val="00CF7D3C"/>
    <w:rsid w:val="00D02521"/>
    <w:rsid w:val="00D03933"/>
    <w:rsid w:val="00D04084"/>
    <w:rsid w:val="00D04DFB"/>
    <w:rsid w:val="00D14170"/>
    <w:rsid w:val="00D147EB"/>
    <w:rsid w:val="00D31CF2"/>
    <w:rsid w:val="00D34667"/>
    <w:rsid w:val="00D401E1"/>
    <w:rsid w:val="00D408B4"/>
    <w:rsid w:val="00D423B1"/>
    <w:rsid w:val="00D45D94"/>
    <w:rsid w:val="00D46488"/>
    <w:rsid w:val="00D524C8"/>
    <w:rsid w:val="00D60E25"/>
    <w:rsid w:val="00D630E5"/>
    <w:rsid w:val="00D65711"/>
    <w:rsid w:val="00D70E24"/>
    <w:rsid w:val="00D72B61"/>
    <w:rsid w:val="00D75D6B"/>
    <w:rsid w:val="00D762EF"/>
    <w:rsid w:val="00D808C9"/>
    <w:rsid w:val="00D808EB"/>
    <w:rsid w:val="00D8628A"/>
    <w:rsid w:val="00D90526"/>
    <w:rsid w:val="00D91F2A"/>
    <w:rsid w:val="00D92480"/>
    <w:rsid w:val="00D9784E"/>
    <w:rsid w:val="00DA1CA5"/>
    <w:rsid w:val="00DA3D1D"/>
    <w:rsid w:val="00DB0138"/>
    <w:rsid w:val="00DB6286"/>
    <w:rsid w:val="00DB645F"/>
    <w:rsid w:val="00DB6A9A"/>
    <w:rsid w:val="00DB76E9"/>
    <w:rsid w:val="00DC0331"/>
    <w:rsid w:val="00DC0A67"/>
    <w:rsid w:val="00DC1D5E"/>
    <w:rsid w:val="00DC2313"/>
    <w:rsid w:val="00DC5220"/>
    <w:rsid w:val="00DC7910"/>
    <w:rsid w:val="00DD2061"/>
    <w:rsid w:val="00DD2A46"/>
    <w:rsid w:val="00DD5477"/>
    <w:rsid w:val="00DD7DAB"/>
    <w:rsid w:val="00DE285B"/>
    <w:rsid w:val="00DE3355"/>
    <w:rsid w:val="00DF282C"/>
    <w:rsid w:val="00DF486F"/>
    <w:rsid w:val="00DF5B5B"/>
    <w:rsid w:val="00DF7619"/>
    <w:rsid w:val="00E01F4F"/>
    <w:rsid w:val="00E042D8"/>
    <w:rsid w:val="00E04F1A"/>
    <w:rsid w:val="00E07EE7"/>
    <w:rsid w:val="00E1085D"/>
    <w:rsid w:val="00E10C74"/>
    <w:rsid w:val="00E1103B"/>
    <w:rsid w:val="00E122BB"/>
    <w:rsid w:val="00E17B44"/>
    <w:rsid w:val="00E2045E"/>
    <w:rsid w:val="00E25E8A"/>
    <w:rsid w:val="00E27FEA"/>
    <w:rsid w:val="00E30434"/>
    <w:rsid w:val="00E31F41"/>
    <w:rsid w:val="00E329EB"/>
    <w:rsid w:val="00E347AD"/>
    <w:rsid w:val="00E4086F"/>
    <w:rsid w:val="00E422DE"/>
    <w:rsid w:val="00E43B3C"/>
    <w:rsid w:val="00E450C5"/>
    <w:rsid w:val="00E50188"/>
    <w:rsid w:val="00E514A2"/>
    <w:rsid w:val="00E515B6"/>
    <w:rsid w:val="00E515CB"/>
    <w:rsid w:val="00E52260"/>
    <w:rsid w:val="00E604CF"/>
    <w:rsid w:val="00E639B6"/>
    <w:rsid w:val="00E6434B"/>
    <w:rsid w:val="00E6463D"/>
    <w:rsid w:val="00E71187"/>
    <w:rsid w:val="00E72E9B"/>
    <w:rsid w:val="00E777F0"/>
    <w:rsid w:val="00E808E4"/>
    <w:rsid w:val="00E849DA"/>
    <w:rsid w:val="00E92AAB"/>
    <w:rsid w:val="00E9462E"/>
    <w:rsid w:val="00EA3346"/>
    <w:rsid w:val="00EA405F"/>
    <w:rsid w:val="00EA4409"/>
    <w:rsid w:val="00EA470E"/>
    <w:rsid w:val="00EA47A7"/>
    <w:rsid w:val="00EA49AC"/>
    <w:rsid w:val="00EA57EB"/>
    <w:rsid w:val="00EB151F"/>
    <w:rsid w:val="00EB3226"/>
    <w:rsid w:val="00EB4562"/>
    <w:rsid w:val="00EB5116"/>
    <w:rsid w:val="00EC213A"/>
    <w:rsid w:val="00EC6603"/>
    <w:rsid w:val="00EC7744"/>
    <w:rsid w:val="00ED0DAD"/>
    <w:rsid w:val="00ED0F46"/>
    <w:rsid w:val="00ED2373"/>
    <w:rsid w:val="00ED38BE"/>
    <w:rsid w:val="00ED3E4E"/>
    <w:rsid w:val="00EE3E8A"/>
    <w:rsid w:val="00EE40AF"/>
    <w:rsid w:val="00EE4491"/>
    <w:rsid w:val="00EF60B7"/>
    <w:rsid w:val="00EF6ECA"/>
    <w:rsid w:val="00EF719B"/>
    <w:rsid w:val="00F024E1"/>
    <w:rsid w:val="00F0477C"/>
    <w:rsid w:val="00F049F6"/>
    <w:rsid w:val="00F0524C"/>
    <w:rsid w:val="00F06C10"/>
    <w:rsid w:val="00F07517"/>
    <w:rsid w:val="00F1096F"/>
    <w:rsid w:val="00F11ECD"/>
    <w:rsid w:val="00F12589"/>
    <w:rsid w:val="00F12595"/>
    <w:rsid w:val="00F134D9"/>
    <w:rsid w:val="00F1403D"/>
    <w:rsid w:val="00F1463F"/>
    <w:rsid w:val="00F21302"/>
    <w:rsid w:val="00F321DE"/>
    <w:rsid w:val="00F33777"/>
    <w:rsid w:val="00F35C80"/>
    <w:rsid w:val="00F40648"/>
    <w:rsid w:val="00F47DA2"/>
    <w:rsid w:val="00F519FC"/>
    <w:rsid w:val="00F52F8A"/>
    <w:rsid w:val="00F5514A"/>
    <w:rsid w:val="00F562AB"/>
    <w:rsid w:val="00F6239D"/>
    <w:rsid w:val="00F715D2"/>
    <w:rsid w:val="00F7274F"/>
    <w:rsid w:val="00F73543"/>
    <w:rsid w:val="00F76FA8"/>
    <w:rsid w:val="00F8180C"/>
    <w:rsid w:val="00F916F0"/>
    <w:rsid w:val="00F93F08"/>
    <w:rsid w:val="00F94CED"/>
    <w:rsid w:val="00FA2CEE"/>
    <w:rsid w:val="00FA318C"/>
    <w:rsid w:val="00FA717C"/>
    <w:rsid w:val="00FA795B"/>
    <w:rsid w:val="00FB6F92"/>
    <w:rsid w:val="00FC026E"/>
    <w:rsid w:val="00FC4008"/>
    <w:rsid w:val="00FC5124"/>
    <w:rsid w:val="00FD1D9D"/>
    <w:rsid w:val="00FD4731"/>
    <w:rsid w:val="00FD5F17"/>
    <w:rsid w:val="00FD6AB3"/>
    <w:rsid w:val="00FF0AB0"/>
    <w:rsid w:val="00FF28AC"/>
    <w:rsid w:val="00FF3C05"/>
    <w:rsid w:val="00FF57A3"/>
    <w:rsid w:val="00FF5A84"/>
    <w:rsid w:val="00FF7778"/>
    <w:rsid w:val="00FF7F62"/>
    <w:rsid w:val="011D6C5A"/>
    <w:rsid w:val="014F8030"/>
    <w:rsid w:val="01A4937A"/>
    <w:rsid w:val="0207C994"/>
    <w:rsid w:val="0230F312"/>
    <w:rsid w:val="02AD10CE"/>
    <w:rsid w:val="02CF9545"/>
    <w:rsid w:val="031CE25D"/>
    <w:rsid w:val="047A7AC5"/>
    <w:rsid w:val="0672619E"/>
    <w:rsid w:val="0703368B"/>
    <w:rsid w:val="076FC0EB"/>
    <w:rsid w:val="07C1F087"/>
    <w:rsid w:val="08CD79DA"/>
    <w:rsid w:val="09DD48B6"/>
    <w:rsid w:val="0A7C0DCF"/>
    <w:rsid w:val="0AC2A4FB"/>
    <w:rsid w:val="0D3EA216"/>
    <w:rsid w:val="0D5ECFAA"/>
    <w:rsid w:val="0D61AD49"/>
    <w:rsid w:val="0D680BC6"/>
    <w:rsid w:val="0F578A5E"/>
    <w:rsid w:val="10139DE4"/>
    <w:rsid w:val="10636121"/>
    <w:rsid w:val="1103A642"/>
    <w:rsid w:val="11693FB3"/>
    <w:rsid w:val="11C45432"/>
    <w:rsid w:val="12622E2F"/>
    <w:rsid w:val="12EE7F11"/>
    <w:rsid w:val="13D6ACF0"/>
    <w:rsid w:val="14517E73"/>
    <w:rsid w:val="15F0FD3A"/>
    <w:rsid w:val="16ACC71B"/>
    <w:rsid w:val="17498160"/>
    <w:rsid w:val="1752BA33"/>
    <w:rsid w:val="185C832E"/>
    <w:rsid w:val="1AD882D4"/>
    <w:rsid w:val="1ADD799B"/>
    <w:rsid w:val="1B236381"/>
    <w:rsid w:val="1CE49B2E"/>
    <w:rsid w:val="1D6D353B"/>
    <w:rsid w:val="225FD0F3"/>
    <w:rsid w:val="22CB6704"/>
    <w:rsid w:val="22F4E4AC"/>
    <w:rsid w:val="24D1B92B"/>
    <w:rsid w:val="285E52FC"/>
    <w:rsid w:val="29AEBE99"/>
    <w:rsid w:val="29C5AD5E"/>
    <w:rsid w:val="2AEF3A10"/>
    <w:rsid w:val="2BBEB85E"/>
    <w:rsid w:val="2E4D7007"/>
    <w:rsid w:val="30443ADA"/>
    <w:rsid w:val="3178F7E3"/>
    <w:rsid w:val="32ABC633"/>
    <w:rsid w:val="343F09AC"/>
    <w:rsid w:val="370450D0"/>
    <w:rsid w:val="373A86B5"/>
    <w:rsid w:val="381234DD"/>
    <w:rsid w:val="3A13EC31"/>
    <w:rsid w:val="3AF03247"/>
    <w:rsid w:val="3B0CF890"/>
    <w:rsid w:val="3BFD7701"/>
    <w:rsid w:val="3D8A1138"/>
    <w:rsid w:val="3F7A0C24"/>
    <w:rsid w:val="3FF5E46B"/>
    <w:rsid w:val="4000CA97"/>
    <w:rsid w:val="4199151A"/>
    <w:rsid w:val="4282365C"/>
    <w:rsid w:val="42C7B183"/>
    <w:rsid w:val="42E5A2A0"/>
    <w:rsid w:val="460A2528"/>
    <w:rsid w:val="463ABEB9"/>
    <w:rsid w:val="47C27C0D"/>
    <w:rsid w:val="480003E7"/>
    <w:rsid w:val="482A0011"/>
    <w:rsid w:val="4845B4F7"/>
    <w:rsid w:val="49B7DC33"/>
    <w:rsid w:val="4BDF89F1"/>
    <w:rsid w:val="4C98B160"/>
    <w:rsid w:val="4F4D0591"/>
    <w:rsid w:val="4FCDC45B"/>
    <w:rsid w:val="4FFD7956"/>
    <w:rsid w:val="504363AD"/>
    <w:rsid w:val="5094CE6F"/>
    <w:rsid w:val="5181830A"/>
    <w:rsid w:val="51ACDD2B"/>
    <w:rsid w:val="51F16FB5"/>
    <w:rsid w:val="52AA3A96"/>
    <w:rsid w:val="53E61E5F"/>
    <w:rsid w:val="53F604C0"/>
    <w:rsid w:val="580D244C"/>
    <w:rsid w:val="5AA27739"/>
    <w:rsid w:val="5C001E4D"/>
    <w:rsid w:val="5D6DD516"/>
    <w:rsid w:val="5E551B9D"/>
    <w:rsid w:val="6142A25F"/>
    <w:rsid w:val="6197CD2F"/>
    <w:rsid w:val="61B8F2AE"/>
    <w:rsid w:val="626E0513"/>
    <w:rsid w:val="63B07FFB"/>
    <w:rsid w:val="64D634D2"/>
    <w:rsid w:val="64D9E2BE"/>
    <w:rsid w:val="69132114"/>
    <w:rsid w:val="696BE3D6"/>
    <w:rsid w:val="6AB66811"/>
    <w:rsid w:val="6B0D0EF6"/>
    <w:rsid w:val="6E049C6F"/>
    <w:rsid w:val="6F9D66D8"/>
    <w:rsid w:val="6FDC05ED"/>
    <w:rsid w:val="70C9B751"/>
    <w:rsid w:val="731446D9"/>
    <w:rsid w:val="743F8FC9"/>
    <w:rsid w:val="757ACE8D"/>
    <w:rsid w:val="78761B89"/>
    <w:rsid w:val="7887E695"/>
    <w:rsid w:val="792184F5"/>
    <w:rsid w:val="7A9937E5"/>
    <w:rsid w:val="7B8D2549"/>
    <w:rsid w:val="7C4CC370"/>
    <w:rsid w:val="7D62CF14"/>
    <w:rsid w:val="7F4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0241F"/>
  <w15:docId w15:val="{DF7D9939-789F-4687-BE45-D8D50A35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99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uiPriority="99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uiPriority="99" w:semiHidden="1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3C46A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link w:val="Heading1Char"/>
    <w:qFormat/>
    <w:rsid w:val="00BF7AD7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117380"/>
    <w:pPr>
      <w:keepNext/>
      <w:spacing w:before="240" w:after="60"/>
      <w:outlineLvl w:val="1"/>
    </w:pPr>
    <w:rPr>
      <w:rFonts w:ascii="Arial" w:hAnsi="Arial" w:cs="Arial"/>
      <w:b/>
      <w:bCs/>
      <w:iCs/>
      <w:color w:val="9E4C6E" w:themeColor="accent4"/>
      <w:sz w:val="36"/>
      <w:szCs w:val="28"/>
      <w:lang w:eastAsia="en-US"/>
    </w:rPr>
  </w:style>
  <w:style w:type="paragraph" w:styleId="Heading3">
    <w:name w:val="heading 3"/>
    <w:next w:val="Normal"/>
    <w:qFormat/>
    <w:rsid w:val="00BF7AD7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BF7AD7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BF7AD7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hAnsi="Arial" w:eastAsiaTheme="majorEastAsia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Subtitle">
    <w:name w:val="Subtitle"/>
    <w:next w:val="Normal"/>
    <w:link w:val="SubtitleChar"/>
    <w:qFormat/>
    <w:rsid w:val="00BF7AD7"/>
    <w:pPr>
      <w:numPr>
        <w:ilvl w:val="1"/>
      </w:numPr>
      <w:spacing w:before="120" w:after="60"/>
    </w:pPr>
    <w:rPr>
      <w:rFonts w:ascii="Arial" w:hAnsi="Arial" w:eastAsiaTheme="majorEastAsia" w:cstheme="majorBidi"/>
      <w:iCs/>
      <w:color w:val="3F4A75"/>
      <w:spacing w:val="15"/>
      <w:sz w:val="40"/>
      <w:szCs w:val="24"/>
      <w:lang w:eastAsia="en-US"/>
    </w:rPr>
  </w:style>
  <w:style w:type="character" w:styleId="SubtitleChar" w:customStyle="1">
    <w:name w:val="Subtitle Char"/>
    <w:basedOn w:val="DefaultParagraphFont"/>
    <w:link w:val="Subtitle"/>
    <w:rsid w:val="00BF7AD7"/>
    <w:rPr>
      <w:rFonts w:ascii="Arial" w:hAnsi="Arial" w:eastAsiaTheme="majorEastAsia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BF7AD7"/>
    <w:pPr>
      <w:spacing w:before="2160" w:after="120"/>
      <w:contextualSpacing/>
    </w:pPr>
    <w:rPr>
      <w:rFonts w:ascii="Arial" w:hAnsi="Arial" w:eastAsiaTheme="majorEastAsia" w:cstheme="majorBidi"/>
      <w:b/>
      <w:color w:val="3F4A75"/>
      <w:kern w:val="28"/>
      <w:sz w:val="48"/>
      <w:szCs w:val="52"/>
      <w:lang w:eastAsia="en-US"/>
    </w:rPr>
  </w:style>
  <w:style w:type="character" w:styleId="TitleChar" w:customStyle="1">
    <w:name w:val="Title Char"/>
    <w:basedOn w:val="DefaultParagraphFont"/>
    <w:link w:val="Title"/>
    <w:rsid w:val="00BF7AD7"/>
    <w:rPr>
      <w:rFonts w:ascii="Arial" w:hAnsi="Arial" w:eastAsiaTheme="majorEastAsia" w:cstheme="majorBidi"/>
      <w:b/>
      <w:color w:val="3F4A75"/>
      <w:kern w:val="28"/>
      <w:sz w:val="48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BF7AD7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styleId="QuoteChar" w:customStyle="1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color="3F4A75" w:themeColor="accent1" w:sz="4" w:space="4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BF7AD7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F7AD7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styleId="ImageTitle" w:customStyle="1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abletextleft" w:customStyle="1">
    <w:name w:val="Table text left"/>
    <w:autoRedefine/>
    <w:qFormat/>
    <w:locked/>
    <w:rsid w:val="00BF7AD7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locked/>
    <w:rsid w:val="00BF7AD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ableTitle" w:customStyle="1">
    <w:name w:val="Table Title"/>
    <w:link w:val="TableTitleChar"/>
    <w:qFormat/>
    <w:locked/>
    <w:rsid w:val="00BF7AD7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styleId="HeaderChar" w:customStyle="1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BF7AD7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BF7AD7"/>
    <w:rPr>
      <w:rFonts w:ascii="Arial" w:hAnsi="Arial"/>
      <w:szCs w:val="24"/>
      <w:lang w:eastAsia="en-US"/>
    </w:rPr>
  </w:style>
  <w:style w:type="paragraph" w:styleId="TableHeaderWhite" w:customStyle="1">
    <w:name w:val="Table Header White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paragraph" w:styleId="Tablehead" w:customStyle="1">
    <w:name w:val="Table_head"/>
    <w:basedOn w:val="Normal"/>
    <w:locked/>
    <w:rsid w:val="00BF7AD7"/>
    <w:pPr>
      <w:spacing w:before="60"/>
    </w:pPr>
    <w:rPr>
      <w:rFonts w:cs="Arial"/>
      <w:b/>
      <w:sz w:val="20"/>
    </w:rPr>
  </w:style>
  <w:style w:type="paragraph" w:styleId="FigureTitle" w:customStyle="1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Headertext" w:customStyle="1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BF7AD7"/>
    <w:rPr>
      <w:color w:val="0000FF" w:themeColor="hyperlink"/>
      <w:u w:val="single"/>
    </w:rPr>
  </w:style>
  <w:style w:type="table" w:styleId="PHNGreyTable" w:customStyle="1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styleId="Tablelistbullet" w:customStyle="1">
    <w:name w:val="Table list bullet"/>
    <w:basedOn w:val="Tabletextleft"/>
    <w:qFormat/>
    <w:rsid w:val="00BF7AD7"/>
    <w:pPr>
      <w:numPr>
        <w:numId w:val="24"/>
      </w:numPr>
    </w:pPr>
    <w:rPr>
      <w:szCs w:val="20"/>
    </w:rPr>
  </w:style>
  <w:style w:type="paragraph" w:styleId="Tablelistnumber" w:customStyle="1">
    <w:name w:val="Table list number"/>
    <w:basedOn w:val="Tabletextleft"/>
    <w:qFormat/>
    <w:rsid w:val="00BF7AD7"/>
    <w:pPr>
      <w:numPr>
        <w:numId w:val="25"/>
      </w:numPr>
    </w:pPr>
    <w:rPr>
      <w:bCs/>
      <w14:numSpacing w14:val="proportional"/>
    </w:rPr>
  </w:style>
  <w:style w:type="paragraph" w:styleId="TableHeader" w:customStyle="1">
    <w:name w:val="Table Header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styleId="SectionHeading" w:customStyle="1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styleId="FootnoteTextChar" w:customStyle="1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3F4A75" w:themeColor="accent1"/>
      <w:sz w:val="18"/>
      <w:szCs w:val="18"/>
    </w:rPr>
  </w:style>
  <w:style w:type="paragraph" w:styleId="VisionBox" w:customStyle="1">
    <w:name w:val="VisionBox"/>
    <w:basedOn w:val="Normal"/>
    <w:qFormat/>
    <w:rsid w:val="00BF7AD7"/>
    <w:pPr>
      <w:pBdr>
        <w:top w:val="single" w:color="358189" w:sz="4" w:space="15"/>
        <w:bottom w:val="single" w:color="358189" w:sz="4" w:space="10"/>
      </w:pBdr>
      <w:spacing w:before="240" w:after="240" w:line="340" w:lineRule="exact"/>
    </w:pPr>
    <w:rPr>
      <w:rFonts w:eastAsiaTheme="minorHAnsi"/>
      <w:color w:val="358189"/>
    </w:rPr>
  </w:style>
  <w:style w:type="paragraph" w:styleId="Style1" w:customStyle="1">
    <w:name w:val="Style1"/>
    <w:next w:val="Normal"/>
    <w:rsid w:val="00BF7AD7"/>
    <w:pPr>
      <w:pBdr>
        <w:top w:val="single" w:color="358189" w:sz="6" w:space="20"/>
        <w:left w:val="single" w:color="358189" w:sz="6" w:space="10"/>
        <w:bottom w:val="single" w:color="358189" w:sz="6" w:space="10"/>
        <w:right w:val="single" w:color="358189" w:sz="6" w:space="10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styleId="BoldAllCaps" w:customStyle="1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color="auto" w:sz="0" w:space="0"/>
    </w:rPr>
  </w:style>
  <w:style w:type="paragraph" w:styleId="PolicyStatement" w:customStyle="1">
    <w:name w:val="PolicyStatement"/>
    <w:basedOn w:val="Normal"/>
    <w:qFormat/>
    <w:rsid w:val="00BF7AD7"/>
    <w:pPr>
      <w:pBdr>
        <w:top w:val="single" w:color="F2F2F2" w:themeColor="background1" w:themeShade="F2" w:sz="4" w:space="20"/>
        <w:left w:val="single" w:color="F2F2F2" w:themeColor="background1" w:themeShade="F2" w:sz="4" w:space="10"/>
        <w:bottom w:val="single" w:color="F2F2F2" w:themeColor="background1" w:themeShade="F2" w:sz="4" w:space="10"/>
        <w:right w:val="single" w:color="F2F2F2" w:themeColor="background1" w:themeShade="F2" w:sz="4" w:space="10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styleId="DepartmentofHealthtable" w:customStyle="1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TableTitleChar" w:customStyle="1">
    <w:name w:val="Table Title Char"/>
    <w:basedOn w:val="DefaultParagraphFont"/>
    <w:link w:val="TableTitle"/>
    <w:rsid w:val="00BF7AD7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IntroPara" w:customStyle="1">
    <w:name w:val="Intro Para"/>
    <w:basedOn w:val="Normal"/>
    <w:next w:val="Normal"/>
    <w:qFormat/>
    <w:rsid w:val="00BF7AD7"/>
    <w:pPr>
      <w:spacing w:before="480" w:line="400" w:lineRule="exact"/>
    </w:pPr>
    <w:rPr>
      <w:color w:val="358189"/>
      <w:sz w:val="28"/>
    </w:rPr>
  </w:style>
  <w:style w:type="paragraph" w:styleId="TableTextright" w:customStyle="1">
    <w:name w:val="Table Text right"/>
    <w:basedOn w:val="Tabletextleft"/>
    <w:rsid w:val="00BF7AD7"/>
    <w:pPr>
      <w:jc w:val="right"/>
    </w:pPr>
  </w:style>
  <w:style w:type="paragraph" w:styleId="Tabletextright0" w:customStyle="1">
    <w:name w:val="Table text right"/>
    <w:basedOn w:val="Tabletextleft"/>
    <w:rsid w:val="00BF7AD7"/>
    <w:pPr>
      <w:jc w:val="right"/>
    </w:pPr>
  </w:style>
  <w:style w:type="paragraph" w:styleId="Tabletextcentre" w:customStyle="1">
    <w:name w:val="Table text centre"/>
    <w:basedOn w:val="Tabletextleft"/>
    <w:rsid w:val="00BF7AD7"/>
    <w:pPr>
      <w:jc w:val="center"/>
    </w:pPr>
  </w:style>
  <w:style w:type="paragraph" w:styleId="Boxheading" w:customStyle="1">
    <w:name w:val="Box heading"/>
    <w:basedOn w:val="Boxtype"/>
    <w:qFormat/>
    <w:rsid w:val="00BF7AD7"/>
    <w:pPr>
      <w:spacing w:before="240"/>
    </w:pPr>
    <w:rPr>
      <w:rFonts w:cs="Times New Roman"/>
      <w:b/>
      <w:bCs/>
      <w:caps/>
      <w:color w:val="358189"/>
      <w:szCs w:val="20"/>
    </w:rPr>
  </w:style>
  <w:style w:type="paragraph" w:styleId="Boxtype" w:customStyle="1">
    <w:name w:val="Box type"/>
    <w:next w:val="Normal"/>
    <w:qFormat/>
    <w:rsid w:val="00BF7AD7"/>
    <w:pPr>
      <w:pBdr>
        <w:top w:val="single" w:color="358189" w:sz="6" w:space="20"/>
        <w:left w:val="single" w:color="358189" w:sz="6" w:space="10"/>
        <w:bottom w:val="single" w:color="358189" w:sz="6" w:space="10"/>
        <w:right w:val="single" w:color="358189" w:sz="6" w:space="10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styleId="BodyTextChar" w:customStyle="1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styleId="Footerrightpage" w:customStyle="1">
    <w:name w:val="Footer right page"/>
    <w:basedOn w:val="Footer"/>
    <w:rsid w:val="00BF7AD7"/>
  </w:style>
  <w:style w:type="character" w:styleId="Heading7Char" w:customStyle="1">
    <w:name w:val="Heading 7 Char"/>
    <w:basedOn w:val="DefaultParagraphFont"/>
    <w:link w:val="Heading7"/>
    <w:semiHidden/>
    <w:rsid w:val="00BF7AD7"/>
    <w:rPr>
      <w:rFonts w:ascii="Arial" w:hAnsi="Arial" w:eastAsiaTheme="majorEastAsia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URL" w:customStyle="1">
    <w:name w:val="URL"/>
    <w:basedOn w:val="Normal"/>
    <w:rsid w:val="00BF7AD7"/>
    <w:pPr>
      <w:spacing w:before="3120"/>
      <w:jc w:val="center"/>
    </w:pPr>
    <w:rPr>
      <w:b/>
      <w:bCs/>
      <w:sz w:val="24"/>
      <w:szCs w:val="20"/>
    </w:rPr>
  </w:style>
  <w:style w:type="character" w:styleId="Heading1Char" w:customStyle="1">
    <w:name w:val="Heading 1 Char"/>
    <w:basedOn w:val="DefaultParagraphFont"/>
    <w:link w:val="Heading1"/>
    <w:rsid w:val="002C272A"/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Revision">
    <w:name w:val="Revision"/>
    <w:hidden/>
    <w:uiPriority w:val="99"/>
    <w:semiHidden/>
    <w:rsid w:val="000B0E03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C59C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C59C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BC59CD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59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BC59CD"/>
    <w:rPr>
      <w:rFonts w:ascii="Arial" w:hAnsi="Arial"/>
      <w:b/>
      <w:bCs/>
      <w:color w:val="000000" w:themeColor="text1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022A2"/>
    <w:pPr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3757" w:themeColor="accent1" w:themeShade="BF"/>
      <w:kern w:val="0"/>
      <w:sz w:val="32"/>
      <w:szCs w:val="32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B022A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022A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short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8F12C133ADE49867CD979358DDE52" ma:contentTypeVersion="15" ma:contentTypeDescription="Create a new document." ma:contentTypeScope="" ma:versionID="8389f44a6f2df39c14fdd82ceabec27b">
  <xsd:schema xmlns:xsd="http://www.w3.org/2001/XMLSchema" xmlns:xs="http://www.w3.org/2001/XMLSchema" xmlns:p="http://schemas.microsoft.com/office/2006/metadata/properties" xmlns:ns2="b33a22f0-1548-4bd4-90ad-f69b2bdef635" xmlns:ns3="117fb4f1-39b0-4ef9-ad52-929d325d2c9d" targetNamespace="http://schemas.microsoft.com/office/2006/metadata/properties" ma:root="true" ma:fieldsID="c036cbca902e1c41421f33c5969c1f0f" ns2:_="" ns3:_="">
    <xsd:import namespace="b33a22f0-1548-4bd4-90ad-f69b2bdef635"/>
    <xsd:import namespace="117fb4f1-39b0-4ef9-ad52-929d325d2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a22f0-1548-4bd4-90ad-f69b2bdef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b4f1-39b0-4ef9-ad52-929d325d2c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77d2e3-fffd-4a0c-814e-8f319c2979ee}" ma:internalName="TaxCatchAll" ma:readOnly="false" ma:showField="CatchAllData" ma:web="117fb4f1-39b0-4ef9-ad52-929d325d2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fb4f1-39b0-4ef9-ad52-929d325d2c9d" xsi:nil="true"/>
    <lcf76f155ced4ddcb4097134ff3c332f xmlns="b33a22f0-1548-4bd4-90ad-f69b2bdef6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8EFD0D-D6E1-4690-896A-4DCFCCB19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a22f0-1548-4bd4-90ad-f69b2bdef635"/>
    <ds:schemaRef ds:uri="117fb4f1-39b0-4ef9-ad52-929d325d2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117fb4f1-39b0-4ef9-ad52-929d325d2c9d"/>
    <ds:schemaRef ds:uri="b33a22f0-1548-4bd4-90ad-f69b2bdef635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Department of Health, Disability and Ageing short document template.dotx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Framework for consumer engagement in HTA accessible version - Draft for feedback</dc:title>
  <dc:subject/>
  <cp:keywords/>
  <cp:revision>324</cp:revision>
  <cp:lastPrinted>2022-06-25T18:44:00Z</cp:lastPrinted>
  <dcterms:created xsi:type="dcterms:W3CDTF">2026-03-30T03:54:00Z</dcterms:created>
  <dcterms:modified xsi:type="dcterms:W3CDTF">2026-04-24T03:42:55Z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0x01010019F8F12C133ADE49867CD979358DDE52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31723939-1f5e-4599-b4f5-97a6898c18a2</vt:lpwstr>
  </property>
  <property fmtid="{D5CDD505-2E9C-101B-9397-08002B2CF9AE}" pid="7" name="Keywords1">
    <vt:lpwstr>4;#Visual identity|a54ebda2-a0fd-45ec-8fc0-1cf31001b526;#4;# Publication|ceddc8ea-8859-47b3-b823-3ba7a7ee3d12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Visual identity|a54ebda2-a0fd-45ec-8fc0-1cf31001b526; Publication|ceddc8ea-8859-47b3-b823-3ba7a7ee3d12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499;#DESA, Katarina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MSIP_Label_7cd3e8b9-ffed-43a8-b7f4-cc2fa0382d36_Enabled">
    <vt:lpwstr>true</vt:lpwstr>
  </property>
  <property fmtid="{D5CDD505-2E9C-101B-9397-08002B2CF9AE}" pid="26" name="MSIP_Label_7cd3e8b9-ffed-43a8-b7f4-cc2fa0382d36_SetDate">
    <vt:lpwstr>2026-03-27T03:50:51Z</vt:lpwstr>
  </property>
  <property fmtid="{D5CDD505-2E9C-101B-9397-08002B2CF9AE}" pid="27" name="MSIP_Label_7cd3e8b9-ffed-43a8-b7f4-cc2fa0382d36_Method">
    <vt:lpwstr>Privileged</vt:lpwstr>
  </property>
  <property fmtid="{D5CDD505-2E9C-101B-9397-08002B2CF9AE}" pid="28" name="MSIP_Label_7cd3e8b9-ffed-43a8-b7f4-cc2fa0382d36_Name">
    <vt:lpwstr>O</vt:lpwstr>
  </property>
  <property fmtid="{D5CDD505-2E9C-101B-9397-08002B2CF9AE}" pid="29" name="MSIP_Label_7cd3e8b9-ffed-43a8-b7f4-cc2fa0382d36_SiteId">
    <vt:lpwstr>34a3929c-73cf-4954-abfe-147dc3517892</vt:lpwstr>
  </property>
  <property fmtid="{D5CDD505-2E9C-101B-9397-08002B2CF9AE}" pid="30" name="MSIP_Label_7cd3e8b9-ffed-43a8-b7f4-cc2fa0382d36_ActionId">
    <vt:lpwstr>abbff942-4af8-4971-9e79-cba6b405ebc5</vt:lpwstr>
  </property>
  <property fmtid="{D5CDD505-2E9C-101B-9397-08002B2CF9AE}" pid="31" name="MSIP_Label_7cd3e8b9-ffed-43a8-b7f4-cc2fa0382d36_ContentBits">
    <vt:lpwstr>3</vt:lpwstr>
  </property>
  <property fmtid="{D5CDD505-2E9C-101B-9397-08002B2CF9AE}" pid="32" name="MSIP_Label_7cd3e8b9-ffed-43a8-b7f4-cc2fa0382d36_Tag">
    <vt:lpwstr>10, 0, 1, 1</vt:lpwstr>
  </property>
  <property fmtid="{D5CDD505-2E9C-101B-9397-08002B2CF9AE}" pid="33" name="docLang">
    <vt:lpwstr>en</vt:lpwstr>
  </property>
</Properties>
</file>