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685CD34C" w:rsidR="00BA2732" w:rsidRDefault="00963F94" w:rsidP="003D033A">
      <w:pPr>
        <w:pStyle w:val="Title"/>
      </w:pPr>
      <w:r>
        <w:t xml:space="preserve">Aged </w:t>
      </w:r>
      <w:r w:rsidR="00083C3A">
        <w:t>c</w:t>
      </w:r>
      <w:r>
        <w:t>are</w:t>
      </w:r>
      <w:r w:rsidR="00D148D9">
        <w:t xml:space="preserve"> </w:t>
      </w:r>
      <w:r w:rsidR="00083C3A">
        <w:t>p</w:t>
      </w:r>
      <w:r w:rsidR="009D3919">
        <w:t>roviders</w:t>
      </w:r>
      <w:r w:rsidR="00156BF1">
        <w:t xml:space="preserve"> policy</w:t>
      </w:r>
    </w:p>
    <w:p w14:paraId="43F95424" w14:textId="2F5BB03F" w:rsidR="00841914" w:rsidRPr="00841914" w:rsidRDefault="001F263C" w:rsidP="003B1617">
      <w:pPr>
        <w:pStyle w:val="Subtitle"/>
      </w:pPr>
      <w:r>
        <w:t>Policy for registered supporters</w:t>
      </w:r>
    </w:p>
    <w:p w14:paraId="74680286" w14:textId="3A58DB7D" w:rsidR="00CE6502" w:rsidRDefault="402EED04" w:rsidP="003D2D88">
      <w:pPr>
        <w:pStyle w:val="Heading1"/>
      </w:pPr>
      <w:bookmarkStart w:id="0" w:name="_Toc227330310"/>
      <w:r>
        <w:t>Summary</w:t>
      </w:r>
      <w:bookmarkEnd w:id="0"/>
    </w:p>
    <w:p w14:paraId="1BB4254D" w14:textId="71D796F7" w:rsidR="00F76B2E" w:rsidRPr="00C94F3A" w:rsidRDefault="008608ED" w:rsidP="003B1617">
      <w:pPr>
        <w:pStyle w:val="NormalText"/>
        <w:rPr>
          <w:sz w:val="22"/>
          <w:szCs w:val="18"/>
        </w:rPr>
      </w:pPr>
      <w:r w:rsidRPr="00C94F3A">
        <w:rPr>
          <w:sz w:val="22"/>
          <w:szCs w:val="18"/>
        </w:rPr>
        <w:t>This policy</w:t>
      </w:r>
      <w:r w:rsidR="00CB4735" w:rsidRPr="00C94F3A">
        <w:rPr>
          <w:sz w:val="22"/>
          <w:szCs w:val="18"/>
        </w:rPr>
        <w:t xml:space="preserve"> outlines</w:t>
      </w:r>
      <w:r w:rsidRPr="00C94F3A">
        <w:rPr>
          <w:sz w:val="22"/>
          <w:szCs w:val="18"/>
        </w:rPr>
        <w:t xml:space="preserve"> </w:t>
      </w:r>
      <w:r w:rsidR="00CB4735" w:rsidRPr="00C94F3A">
        <w:rPr>
          <w:sz w:val="22"/>
          <w:szCs w:val="18"/>
        </w:rPr>
        <w:t xml:space="preserve">the role, obligations, and expected </w:t>
      </w:r>
      <w:r w:rsidR="00566924" w:rsidRPr="00C94F3A">
        <w:rPr>
          <w:sz w:val="22"/>
          <w:szCs w:val="18"/>
        </w:rPr>
        <w:t>practice</w:t>
      </w:r>
      <w:r w:rsidR="00DD66FF" w:rsidRPr="00C94F3A">
        <w:rPr>
          <w:sz w:val="22"/>
          <w:szCs w:val="18"/>
        </w:rPr>
        <w:t>s</w:t>
      </w:r>
      <w:r w:rsidR="00566924" w:rsidRPr="00C94F3A">
        <w:rPr>
          <w:sz w:val="22"/>
          <w:szCs w:val="18"/>
        </w:rPr>
        <w:t xml:space="preserve"> </w:t>
      </w:r>
      <w:r w:rsidR="00CB4735" w:rsidRPr="00C94F3A">
        <w:rPr>
          <w:sz w:val="22"/>
          <w:szCs w:val="18"/>
        </w:rPr>
        <w:t xml:space="preserve">of </w:t>
      </w:r>
      <w:r w:rsidR="00963F94" w:rsidRPr="00C94F3A">
        <w:rPr>
          <w:sz w:val="22"/>
          <w:szCs w:val="18"/>
        </w:rPr>
        <w:t>aged care</w:t>
      </w:r>
      <w:r w:rsidR="00CB4735" w:rsidRPr="00C94F3A">
        <w:rPr>
          <w:sz w:val="22"/>
          <w:szCs w:val="18"/>
        </w:rPr>
        <w:t xml:space="preserve"> providers </w:t>
      </w:r>
      <w:r w:rsidR="009F7784" w:rsidRPr="00C94F3A">
        <w:rPr>
          <w:sz w:val="22"/>
          <w:szCs w:val="18"/>
        </w:rPr>
        <w:t xml:space="preserve">and their workforce </w:t>
      </w:r>
      <w:r w:rsidR="00DD66FF" w:rsidRPr="00C94F3A">
        <w:rPr>
          <w:sz w:val="22"/>
          <w:szCs w:val="18"/>
        </w:rPr>
        <w:t xml:space="preserve">when </w:t>
      </w:r>
      <w:r w:rsidR="005A27C3" w:rsidRPr="00C94F3A">
        <w:rPr>
          <w:sz w:val="22"/>
          <w:szCs w:val="18"/>
        </w:rPr>
        <w:t xml:space="preserve">engaging </w:t>
      </w:r>
      <w:r w:rsidR="00076F1D" w:rsidRPr="00C94F3A">
        <w:rPr>
          <w:sz w:val="22"/>
          <w:szCs w:val="18"/>
        </w:rPr>
        <w:t>with</w:t>
      </w:r>
      <w:r w:rsidR="00F76B2E" w:rsidRPr="00C94F3A">
        <w:rPr>
          <w:sz w:val="22"/>
          <w:szCs w:val="18"/>
        </w:rPr>
        <w:t xml:space="preserve"> </w:t>
      </w:r>
      <w:r w:rsidR="005A27C3" w:rsidRPr="00C94F3A">
        <w:rPr>
          <w:sz w:val="22"/>
          <w:szCs w:val="18"/>
        </w:rPr>
        <w:t xml:space="preserve">registered supporters </w:t>
      </w:r>
      <w:r w:rsidR="00A147B6" w:rsidRPr="00C94F3A">
        <w:rPr>
          <w:sz w:val="22"/>
          <w:szCs w:val="18"/>
        </w:rPr>
        <w:t>under</w:t>
      </w:r>
      <w:r w:rsidR="005A27C3" w:rsidRPr="00C94F3A">
        <w:rPr>
          <w:sz w:val="22"/>
          <w:szCs w:val="18"/>
        </w:rPr>
        <w:t xml:space="preserve"> with </w:t>
      </w:r>
      <w:r w:rsidR="00CB4735" w:rsidRPr="00C94F3A">
        <w:rPr>
          <w:sz w:val="22"/>
          <w:szCs w:val="18"/>
        </w:rPr>
        <w:t>the</w:t>
      </w:r>
      <w:r w:rsidRPr="00C94F3A">
        <w:rPr>
          <w:sz w:val="22"/>
          <w:szCs w:val="18"/>
        </w:rPr>
        <w:t xml:space="preserve"> </w:t>
      </w:r>
      <w:r w:rsidRPr="00C94F3A">
        <w:rPr>
          <w:i/>
          <w:sz w:val="22"/>
          <w:szCs w:val="18"/>
        </w:rPr>
        <w:t>Aged Care Act 2024 (Cth)</w:t>
      </w:r>
      <w:r w:rsidRPr="00C94F3A">
        <w:rPr>
          <w:sz w:val="22"/>
          <w:szCs w:val="18"/>
        </w:rPr>
        <w:t xml:space="preserve"> (the Act)</w:t>
      </w:r>
      <w:r w:rsidR="00CB4735" w:rsidRPr="00C94F3A">
        <w:rPr>
          <w:sz w:val="22"/>
          <w:szCs w:val="18"/>
        </w:rPr>
        <w:t>.</w:t>
      </w:r>
      <w:r w:rsidR="004A5697" w:rsidRPr="00C94F3A">
        <w:rPr>
          <w:sz w:val="22"/>
          <w:szCs w:val="18"/>
        </w:rPr>
        <w:t xml:space="preserve"> </w:t>
      </w:r>
    </w:p>
    <w:p w14:paraId="7AD37096" w14:textId="3DCDD0E2" w:rsidR="00C33D2D" w:rsidRPr="00C94F3A" w:rsidRDefault="004A5697" w:rsidP="003B1617">
      <w:pPr>
        <w:pStyle w:val="NormalText"/>
        <w:rPr>
          <w:sz w:val="22"/>
          <w:szCs w:val="18"/>
        </w:rPr>
      </w:pPr>
      <w:r w:rsidRPr="00C94F3A">
        <w:rPr>
          <w:sz w:val="22"/>
          <w:szCs w:val="18"/>
        </w:rPr>
        <w:t>Th</w:t>
      </w:r>
      <w:r w:rsidR="00076F1D" w:rsidRPr="00C94F3A">
        <w:rPr>
          <w:sz w:val="22"/>
          <w:szCs w:val="18"/>
        </w:rPr>
        <w:t xml:space="preserve">e policy also </w:t>
      </w:r>
      <w:r w:rsidR="007803B5" w:rsidRPr="00C94F3A">
        <w:rPr>
          <w:sz w:val="22"/>
          <w:szCs w:val="18"/>
        </w:rPr>
        <w:t>explores</w:t>
      </w:r>
      <w:r w:rsidR="00076F1D" w:rsidRPr="00C94F3A">
        <w:rPr>
          <w:sz w:val="22"/>
          <w:szCs w:val="18"/>
        </w:rPr>
        <w:t xml:space="preserve"> </w:t>
      </w:r>
      <w:r w:rsidR="00F76B2E" w:rsidRPr="00C94F3A">
        <w:rPr>
          <w:sz w:val="22"/>
          <w:szCs w:val="18"/>
        </w:rPr>
        <w:t xml:space="preserve">examples of how aged care providers </w:t>
      </w:r>
      <w:r w:rsidR="00076F1D" w:rsidRPr="00C94F3A">
        <w:rPr>
          <w:sz w:val="22"/>
          <w:szCs w:val="18"/>
        </w:rPr>
        <w:t>can</w:t>
      </w:r>
      <w:r w:rsidR="00F76B2E" w:rsidRPr="00C94F3A">
        <w:rPr>
          <w:sz w:val="22"/>
          <w:szCs w:val="18"/>
        </w:rPr>
        <w:t xml:space="preserve"> adopt</w:t>
      </w:r>
      <w:r w:rsidR="00DD66FF" w:rsidRPr="00C94F3A">
        <w:rPr>
          <w:sz w:val="22"/>
          <w:szCs w:val="18"/>
        </w:rPr>
        <w:t xml:space="preserve"> principles of supported decision-making</w:t>
      </w:r>
      <w:r w:rsidR="00F76B2E" w:rsidRPr="00C94F3A">
        <w:rPr>
          <w:sz w:val="22"/>
          <w:szCs w:val="18"/>
        </w:rPr>
        <w:t xml:space="preserve"> </w:t>
      </w:r>
      <w:r w:rsidR="00076F1D" w:rsidRPr="00C94F3A">
        <w:rPr>
          <w:sz w:val="22"/>
          <w:szCs w:val="18"/>
        </w:rPr>
        <w:t>when engaging with the older people they provide care and services to.</w:t>
      </w:r>
    </w:p>
    <w:p w14:paraId="7C0D846E" w14:textId="77777777" w:rsidR="00827CE7" w:rsidRPr="009765CD" w:rsidRDefault="00827CE7" w:rsidP="00827CE7">
      <w:pPr>
        <w:pStyle w:val="PolicyStatement"/>
        <w:rPr>
          <w:b/>
          <w:bCs/>
          <w:sz w:val="44"/>
          <w:szCs w:val="48"/>
        </w:rPr>
      </w:pPr>
      <w:r w:rsidRPr="009765CD">
        <w:rPr>
          <w:b/>
          <w:bCs/>
          <w:sz w:val="44"/>
          <w:szCs w:val="48"/>
        </w:rPr>
        <w:t>Disclaimer</w:t>
      </w:r>
    </w:p>
    <w:p w14:paraId="30ABB65A" w14:textId="41A24B38" w:rsidR="0003408A" w:rsidRDefault="0003408A" w:rsidP="00827CE7">
      <w:pPr>
        <w:pStyle w:val="PolicyStatement"/>
      </w:pPr>
      <w:r w:rsidRPr="0003408A">
        <w:t>This policy was published to support commencement of the </w:t>
      </w:r>
      <w:r w:rsidRPr="0003408A">
        <w:rPr>
          <w:i/>
          <w:iCs/>
        </w:rPr>
        <w:t>Aged Care Act 2024 (Cth)</w:t>
      </w:r>
      <w:r w:rsidRPr="0003408A">
        <w:t> (the Act). The information in this policy is applicable from 1 November 2025. </w:t>
      </w:r>
    </w:p>
    <w:p w14:paraId="30AC7F51" w14:textId="3BB45681" w:rsidR="00827CE7" w:rsidRPr="00A11F4B" w:rsidRDefault="00827CE7" w:rsidP="00827CE7">
      <w:pPr>
        <w:pStyle w:val="PolicyStatement"/>
      </w:pPr>
      <w:r w:rsidRPr="00A11F4B">
        <w:t xml:space="preserve">The Act and related </w:t>
      </w:r>
      <w:r w:rsidRPr="1A2058E8">
        <w:t>rules</w:t>
      </w:r>
      <w:r w:rsidRPr="00A11F4B">
        <w:t xml:space="preserve"> take precedence over </w:t>
      </w:r>
      <w:r>
        <w:t>this policy</w:t>
      </w:r>
      <w:r w:rsidR="009004E0">
        <w:t>,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 </w:t>
      </w:r>
    </w:p>
    <w:p w14:paraId="39DEC080" w14:textId="77777777" w:rsidR="00C84945" w:rsidRDefault="00827CE7" w:rsidP="00827CE7">
      <w:pPr>
        <w:pStyle w:val="PolicyStatement"/>
      </w:pPr>
      <w:r w:rsidRPr="00A11F4B">
        <w:t xml:space="preserve">The Department </w:t>
      </w:r>
      <w:r>
        <w:t xml:space="preserve">of Health, Disability and Ageing </w:t>
      </w:r>
      <w:r w:rsidRPr="00A11F4B">
        <w:t xml:space="preserve">will update </w:t>
      </w:r>
      <w:r>
        <w:t>this policy</w:t>
      </w:r>
      <w:r w:rsidRPr="00A11F4B">
        <w:t xml:space="preserve">, periodically and/or as required. </w:t>
      </w:r>
    </w:p>
    <w:p w14:paraId="649D0D02" w14:textId="7983E621" w:rsidR="00827CE7" w:rsidRPr="00145BC6" w:rsidRDefault="00C84945" w:rsidP="00C84945">
      <w:pPr>
        <w:pStyle w:val="PolicyStatement"/>
      </w:pPr>
      <w:r w:rsidRPr="00C84945">
        <w:t xml:space="preserve">This policy is one part of the </w:t>
      </w:r>
      <w:hyperlink r:id="rId11" w:history="1">
        <w:r w:rsidRPr="00D16AB6">
          <w:rPr>
            <w:rStyle w:val="Hyperlink"/>
          </w:rPr>
          <w:t>registered supporter</w:t>
        </w:r>
        <w:r w:rsidR="00D322EF">
          <w:rPr>
            <w:rStyle w:val="Hyperlink"/>
          </w:rPr>
          <w:t>s</w:t>
        </w:r>
        <w:r w:rsidRPr="00D16AB6">
          <w:rPr>
            <w:rStyle w:val="Hyperlink"/>
          </w:rPr>
          <w:t xml:space="preserve"> policy library</w:t>
        </w:r>
      </w:hyperlink>
      <w:r w:rsidRPr="00C84945">
        <w:t xml:space="preserve">. </w:t>
      </w:r>
      <w:r w:rsidR="00827CE7" w:rsidRPr="00A11F4B">
        <w:t xml:space="preserve">Please refer to the online version of the policies in the </w:t>
      </w:r>
      <w:r w:rsidR="00827CE7">
        <w:t>registered supporter p</w:t>
      </w:r>
      <w:r w:rsidR="00827CE7" w:rsidRPr="00A11F4B">
        <w:t xml:space="preserve">olicy </w:t>
      </w:r>
      <w:r w:rsidR="00827CE7">
        <w:t>l</w:t>
      </w:r>
      <w:r w:rsidR="00827CE7" w:rsidRPr="00A11F4B">
        <w:t xml:space="preserve">ibrary located on the </w:t>
      </w:r>
      <w:r w:rsidR="008B2A4F">
        <w:t>d</w:t>
      </w:r>
      <w:r w:rsidR="00827CE7" w:rsidRPr="00A11F4B">
        <w:t xml:space="preserve">epartment’s website to ensure you have the most recent version. </w:t>
      </w:r>
    </w:p>
    <w:p w14:paraId="327BCFA6" w14:textId="77777777" w:rsidR="00C66400" w:rsidRPr="00247F9C" w:rsidRDefault="00C66400" w:rsidP="00C66400">
      <w:pPr>
        <w:pStyle w:val="Heading1"/>
      </w:pPr>
      <w:bookmarkStart w:id="1" w:name="_Toc227330311"/>
      <w:r>
        <w:t>Version history</w:t>
      </w:r>
      <w:bookmarkEnd w:id="1"/>
      <w:r>
        <w:t xml:space="preserve"> </w:t>
      </w:r>
    </w:p>
    <w:tbl>
      <w:tblPr>
        <w:tblStyle w:val="TableGridLight"/>
        <w:tblW w:w="9351"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in September 2025. "/>
      </w:tblPr>
      <w:tblGrid>
        <w:gridCol w:w="1838"/>
        <w:gridCol w:w="3544"/>
        <w:gridCol w:w="3969"/>
      </w:tblGrid>
      <w:tr w:rsidR="00C66400" w14:paraId="6CB62E93" w14:textId="77777777" w:rsidTr="00C66400">
        <w:tc>
          <w:tcPr>
            <w:tcW w:w="1838" w:type="dxa"/>
          </w:tcPr>
          <w:p w14:paraId="52D9D8EA" w14:textId="089D7ED9" w:rsidR="00CE4B6D" w:rsidRPr="003D1709" w:rsidRDefault="00C66400" w:rsidP="00C66400">
            <w:pPr>
              <w:rPr>
                <w:rFonts w:cs="Arial"/>
                <w:b/>
                <w:bCs/>
              </w:rPr>
            </w:pPr>
            <w:r w:rsidRPr="003D1709">
              <w:rPr>
                <w:rFonts w:cs="Arial"/>
                <w:b/>
                <w:bCs/>
              </w:rPr>
              <w:t xml:space="preserve">Version </w:t>
            </w:r>
          </w:p>
        </w:tc>
        <w:tc>
          <w:tcPr>
            <w:tcW w:w="3544" w:type="dxa"/>
          </w:tcPr>
          <w:p w14:paraId="0A635909" w14:textId="77777777" w:rsidR="00C66400" w:rsidRPr="003D1709" w:rsidRDefault="00C66400" w:rsidP="00C66400">
            <w:pPr>
              <w:rPr>
                <w:rFonts w:cs="Arial"/>
                <w:b/>
                <w:bCs/>
              </w:rPr>
            </w:pPr>
            <w:r w:rsidRPr="003D1709">
              <w:rPr>
                <w:rFonts w:cs="Arial"/>
                <w:b/>
                <w:bCs/>
              </w:rPr>
              <w:t xml:space="preserve">Date published </w:t>
            </w:r>
          </w:p>
        </w:tc>
        <w:tc>
          <w:tcPr>
            <w:tcW w:w="3969" w:type="dxa"/>
          </w:tcPr>
          <w:p w14:paraId="205B6173" w14:textId="77777777" w:rsidR="00C66400" w:rsidRPr="006F54C6" w:rsidRDefault="00C66400" w:rsidP="00C66400">
            <w:pPr>
              <w:rPr>
                <w:rFonts w:cs="Arial"/>
                <w:b/>
                <w:bCs/>
              </w:rPr>
            </w:pPr>
            <w:r>
              <w:rPr>
                <w:rFonts w:cs="Arial"/>
                <w:b/>
                <w:bCs/>
              </w:rPr>
              <w:t>Commentary on changes</w:t>
            </w:r>
          </w:p>
        </w:tc>
      </w:tr>
      <w:tr w:rsidR="00C66400" w14:paraId="293D1518" w14:textId="77777777" w:rsidTr="00C66400">
        <w:tc>
          <w:tcPr>
            <w:tcW w:w="1838" w:type="dxa"/>
          </w:tcPr>
          <w:p w14:paraId="2425A747" w14:textId="77777777" w:rsidR="00C66400" w:rsidRDefault="00C66400" w:rsidP="00C66400">
            <w:pPr>
              <w:rPr>
                <w:rFonts w:cs="Arial"/>
              </w:rPr>
            </w:pPr>
            <w:r>
              <w:rPr>
                <w:rFonts w:cs="Arial"/>
              </w:rPr>
              <w:t xml:space="preserve">1 </w:t>
            </w:r>
          </w:p>
        </w:tc>
        <w:tc>
          <w:tcPr>
            <w:tcW w:w="3544" w:type="dxa"/>
          </w:tcPr>
          <w:p w14:paraId="538F1B98" w14:textId="77777777" w:rsidR="00C66400" w:rsidRDefault="00C66400" w:rsidP="00C66400">
            <w:pPr>
              <w:rPr>
                <w:rFonts w:cs="Arial"/>
              </w:rPr>
            </w:pPr>
            <w:r>
              <w:rPr>
                <w:rFonts w:cs="Arial"/>
              </w:rPr>
              <w:t>September 2025</w:t>
            </w:r>
          </w:p>
        </w:tc>
        <w:tc>
          <w:tcPr>
            <w:tcW w:w="3969" w:type="dxa"/>
          </w:tcPr>
          <w:p w14:paraId="34227707" w14:textId="3F59CD19" w:rsidR="00C66400" w:rsidRDefault="000E1434" w:rsidP="00C66400">
            <w:pPr>
              <w:rPr>
                <w:rFonts w:cs="Arial"/>
              </w:rPr>
            </w:pPr>
            <w:r>
              <w:rPr>
                <w:rFonts w:cs="Arial"/>
              </w:rPr>
              <w:t>First version published.</w:t>
            </w:r>
          </w:p>
        </w:tc>
      </w:tr>
      <w:tr w:rsidR="0003408A" w14:paraId="3BA3EDDF" w14:textId="77777777" w:rsidTr="00C66400">
        <w:tc>
          <w:tcPr>
            <w:tcW w:w="1838" w:type="dxa"/>
          </w:tcPr>
          <w:p w14:paraId="63CD5F24" w14:textId="41EE842C" w:rsidR="0003408A" w:rsidRDefault="0003408A" w:rsidP="00C66400">
            <w:pPr>
              <w:rPr>
                <w:rFonts w:cs="Arial"/>
              </w:rPr>
            </w:pPr>
            <w:r>
              <w:rPr>
                <w:rFonts w:cs="Arial"/>
              </w:rPr>
              <w:t>2</w:t>
            </w:r>
          </w:p>
        </w:tc>
        <w:tc>
          <w:tcPr>
            <w:tcW w:w="3544" w:type="dxa"/>
          </w:tcPr>
          <w:p w14:paraId="58C7DFBD" w14:textId="03CE2938" w:rsidR="0003408A" w:rsidRDefault="006B57C9" w:rsidP="00C66400">
            <w:pPr>
              <w:rPr>
                <w:rFonts w:cs="Arial"/>
              </w:rPr>
            </w:pPr>
            <w:r>
              <w:rPr>
                <w:rFonts w:cs="Arial"/>
              </w:rPr>
              <w:t>April</w:t>
            </w:r>
            <w:r w:rsidR="0003408A">
              <w:rPr>
                <w:rFonts w:cs="Arial"/>
              </w:rPr>
              <w:t xml:space="preserve"> 2026</w:t>
            </w:r>
          </w:p>
        </w:tc>
        <w:tc>
          <w:tcPr>
            <w:tcW w:w="3969" w:type="dxa"/>
          </w:tcPr>
          <w:p w14:paraId="06DF3293" w14:textId="4F3C8EE5" w:rsidR="0003408A" w:rsidRDefault="00173D3F" w:rsidP="00173D3F">
            <w:pPr>
              <w:rPr>
                <w:rFonts w:cs="Arial"/>
              </w:rPr>
            </w:pPr>
            <w:r w:rsidRPr="00173D3F">
              <w:rPr>
                <w:rFonts w:cs="Arial"/>
              </w:rPr>
              <w:t>Review of key terms and concepts to ensure consistency across the registered supporters policy library</w:t>
            </w:r>
            <w:r w:rsidR="005C581F">
              <w:rPr>
                <w:rFonts w:cs="Arial"/>
              </w:rPr>
              <w:t xml:space="preserve">. </w:t>
            </w:r>
            <w:r w:rsidR="000C1BBD">
              <w:rPr>
                <w:rFonts w:cs="Arial"/>
              </w:rPr>
              <w:lastRenderedPageBreak/>
              <w:t>Inclusion of information on the Aged Care Rules 2025 (Cth).</w:t>
            </w:r>
            <w:r w:rsidRPr="00173D3F">
              <w:rPr>
                <w:rFonts w:cs="Arial"/>
              </w:rPr>
              <w:t xml:space="preserve"> </w:t>
            </w:r>
          </w:p>
        </w:tc>
      </w:tr>
    </w:tbl>
    <w:p w14:paraId="29CAC01B" w14:textId="77777777" w:rsidR="000F7ECC" w:rsidRDefault="000F7ECC">
      <w:pPr>
        <w:pStyle w:val="TOCHeading"/>
        <w:rPr>
          <w:rFonts w:ascii="Arial" w:eastAsia="Times New Roman" w:hAnsi="Arial" w:cs="Times New Roman"/>
          <w:color w:val="000000" w:themeColor="text1"/>
          <w:sz w:val="22"/>
          <w:szCs w:val="24"/>
          <w:lang w:val="en-GB" w:eastAsia="en-US"/>
        </w:rPr>
      </w:pPr>
    </w:p>
    <w:p w14:paraId="2EB10B96" w14:textId="77777777" w:rsidR="000F7ECC" w:rsidRDefault="000F7ECC">
      <w:pPr>
        <w:spacing w:before="0" w:after="0" w:line="240" w:lineRule="auto"/>
        <w:rPr>
          <w:lang w:val="en-GB"/>
        </w:rPr>
      </w:pPr>
      <w:r>
        <w:rPr>
          <w:lang w:val="en-GB"/>
        </w:rPr>
        <w:br w:type="page"/>
      </w:r>
    </w:p>
    <w:sdt>
      <w:sdtPr>
        <w:rPr>
          <w:rFonts w:ascii="Arial" w:eastAsia="Times New Roman" w:hAnsi="Arial" w:cs="Times New Roman"/>
          <w:color w:val="000000" w:themeColor="text1"/>
          <w:sz w:val="22"/>
          <w:szCs w:val="24"/>
          <w:lang w:val="en-GB" w:eastAsia="en-US"/>
        </w:rPr>
        <w:id w:val="2078164128"/>
        <w:docPartObj>
          <w:docPartGallery w:val="Table of Contents"/>
          <w:docPartUnique/>
        </w:docPartObj>
      </w:sdtPr>
      <w:sdtEndPr>
        <w:rPr>
          <w:b/>
          <w:bCs/>
          <w:szCs w:val="22"/>
        </w:rPr>
      </w:sdtEndPr>
      <w:sdtContent>
        <w:p w14:paraId="7A772FD2" w14:textId="62388E1E" w:rsidR="00122700" w:rsidRDefault="00122700">
          <w:pPr>
            <w:pStyle w:val="TOCHeading"/>
          </w:pPr>
          <w:r>
            <w:rPr>
              <w:lang w:val="en-GB"/>
            </w:rPr>
            <w:t>Contents</w:t>
          </w:r>
        </w:p>
        <w:p w14:paraId="4C5FBC6A" w14:textId="71E850F8" w:rsidR="00744E5D" w:rsidRDefault="001227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27330310" w:history="1">
            <w:r w:rsidR="00744E5D" w:rsidRPr="00D30A06">
              <w:rPr>
                <w:rStyle w:val="Hyperlink"/>
                <w:noProof/>
              </w:rPr>
              <w:t>Summary</w:t>
            </w:r>
            <w:r w:rsidR="00744E5D">
              <w:rPr>
                <w:noProof/>
                <w:webHidden/>
              </w:rPr>
              <w:tab/>
            </w:r>
            <w:r w:rsidR="00744E5D">
              <w:rPr>
                <w:noProof/>
                <w:webHidden/>
              </w:rPr>
              <w:fldChar w:fldCharType="begin"/>
            </w:r>
            <w:r w:rsidR="00744E5D">
              <w:rPr>
                <w:noProof/>
                <w:webHidden/>
              </w:rPr>
              <w:instrText xml:space="preserve"> PAGEREF _Toc227330310 \h </w:instrText>
            </w:r>
            <w:r w:rsidR="00744E5D">
              <w:rPr>
                <w:noProof/>
                <w:webHidden/>
              </w:rPr>
            </w:r>
            <w:r w:rsidR="00744E5D">
              <w:rPr>
                <w:noProof/>
                <w:webHidden/>
              </w:rPr>
              <w:fldChar w:fldCharType="separate"/>
            </w:r>
            <w:r w:rsidR="00744E5D">
              <w:rPr>
                <w:noProof/>
                <w:webHidden/>
              </w:rPr>
              <w:t>1</w:t>
            </w:r>
            <w:r w:rsidR="00744E5D">
              <w:rPr>
                <w:noProof/>
                <w:webHidden/>
              </w:rPr>
              <w:fldChar w:fldCharType="end"/>
            </w:r>
          </w:hyperlink>
        </w:p>
        <w:p w14:paraId="0FCC1ED4" w14:textId="119400E5" w:rsidR="00744E5D" w:rsidRDefault="00744E5D">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11" w:history="1">
            <w:r w:rsidRPr="00D30A06">
              <w:rPr>
                <w:rStyle w:val="Hyperlink"/>
                <w:noProof/>
              </w:rPr>
              <w:t>Version history</w:t>
            </w:r>
            <w:r>
              <w:rPr>
                <w:noProof/>
                <w:webHidden/>
              </w:rPr>
              <w:tab/>
            </w:r>
            <w:r>
              <w:rPr>
                <w:noProof/>
                <w:webHidden/>
              </w:rPr>
              <w:fldChar w:fldCharType="begin"/>
            </w:r>
            <w:r>
              <w:rPr>
                <w:noProof/>
                <w:webHidden/>
              </w:rPr>
              <w:instrText xml:space="preserve"> PAGEREF _Toc227330311 \h </w:instrText>
            </w:r>
            <w:r>
              <w:rPr>
                <w:noProof/>
                <w:webHidden/>
              </w:rPr>
            </w:r>
            <w:r>
              <w:rPr>
                <w:noProof/>
                <w:webHidden/>
              </w:rPr>
              <w:fldChar w:fldCharType="separate"/>
            </w:r>
            <w:r>
              <w:rPr>
                <w:noProof/>
                <w:webHidden/>
              </w:rPr>
              <w:t>1</w:t>
            </w:r>
            <w:r>
              <w:rPr>
                <w:noProof/>
                <w:webHidden/>
              </w:rPr>
              <w:fldChar w:fldCharType="end"/>
            </w:r>
          </w:hyperlink>
        </w:p>
        <w:p w14:paraId="24C76935" w14:textId="05E1B2FD" w:rsidR="00744E5D" w:rsidRDefault="00744E5D">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12" w:history="1">
            <w:r w:rsidRPr="00D30A06">
              <w:rPr>
                <w:rStyle w:val="Hyperlink"/>
                <w:noProof/>
              </w:rPr>
              <w:t>Policy</w:t>
            </w:r>
            <w:r>
              <w:rPr>
                <w:noProof/>
                <w:webHidden/>
              </w:rPr>
              <w:tab/>
            </w:r>
            <w:r>
              <w:rPr>
                <w:noProof/>
                <w:webHidden/>
              </w:rPr>
              <w:fldChar w:fldCharType="begin"/>
            </w:r>
            <w:r>
              <w:rPr>
                <w:noProof/>
                <w:webHidden/>
              </w:rPr>
              <w:instrText xml:space="preserve"> PAGEREF _Toc227330312 \h </w:instrText>
            </w:r>
            <w:r>
              <w:rPr>
                <w:noProof/>
                <w:webHidden/>
              </w:rPr>
            </w:r>
            <w:r>
              <w:rPr>
                <w:noProof/>
                <w:webHidden/>
              </w:rPr>
              <w:fldChar w:fldCharType="separate"/>
            </w:r>
            <w:r>
              <w:rPr>
                <w:noProof/>
                <w:webHidden/>
              </w:rPr>
              <w:t>4</w:t>
            </w:r>
            <w:r>
              <w:rPr>
                <w:noProof/>
                <w:webHidden/>
              </w:rPr>
              <w:fldChar w:fldCharType="end"/>
            </w:r>
          </w:hyperlink>
        </w:p>
        <w:p w14:paraId="111BE6F4" w14:textId="0C1AF643"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13" w:history="1">
            <w:r w:rsidRPr="00D30A06">
              <w:rPr>
                <w:rStyle w:val="Hyperlink"/>
                <w:noProof/>
              </w:rPr>
              <w:t>Supported decision-making</w:t>
            </w:r>
            <w:r>
              <w:rPr>
                <w:noProof/>
                <w:webHidden/>
              </w:rPr>
              <w:tab/>
            </w:r>
            <w:r>
              <w:rPr>
                <w:noProof/>
                <w:webHidden/>
              </w:rPr>
              <w:fldChar w:fldCharType="begin"/>
            </w:r>
            <w:r>
              <w:rPr>
                <w:noProof/>
                <w:webHidden/>
              </w:rPr>
              <w:instrText xml:space="preserve"> PAGEREF _Toc227330313 \h </w:instrText>
            </w:r>
            <w:r>
              <w:rPr>
                <w:noProof/>
                <w:webHidden/>
              </w:rPr>
            </w:r>
            <w:r>
              <w:rPr>
                <w:noProof/>
                <w:webHidden/>
              </w:rPr>
              <w:fldChar w:fldCharType="separate"/>
            </w:r>
            <w:r>
              <w:rPr>
                <w:noProof/>
                <w:webHidden/>
              </w:rPr>
              <w:t>4</w:t>
            </w:r>
            <w:r>
              <w:rPr>
                <w:noProof/>
                <w:webHidden/>
              </w:rPr>
              <w:fldChar w:fldCharType="end"/>
            </w:r>
          </w:hyperlink>
        </w:p>
        <w:p w14:paraId="7677EA2A" w14:textId="454032DB"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14" w:history="1">
            <w:r w:rsidRPr="00D30A06">
              <w:rPr>
                <w:rStyle w:val="Hyperlink"/>
                <w:noProof/>
              </w:rPr>
              <w:t>Registered supporter role</w:t>
            </w:r>
            <w:r>
              <w:rPr>
                <w:noProof/>
                <w:webHidden/>
              </w:rPr>
              <w:tab/>
            </w:r>
            <w:r>
              <w:rPr>
                <w:noProof/>
                <w:webHidden/>
              </w:rPr>
              <w:fldChar w:fldCharType="begin"/>
            </w:r>
            <w:r>
              <w:rPr>
                <w:noProof/>
                <w:webHidden/>
              </w:rPr>
              <w:instrText xml:space="preserve"> PAGEREF _Toc227330314 \h </w:instrText>
            </w:r>
            <w:r>
              <w:rPr>
                <w:noProof/>
                <w:webHidden/>
              </w:rPr>
            </w:r>
            <w:r>
              <w:rPr>
                <w:noProof/>
                <w:webHidden/>
              </w:rPr>
              <w:fldChar w:fldCharType="separate"/>
            </w:r>
            <w:r>
              <w:rPr>
                <w:noProof/>
                <w:webHidden/>
              </w:rPr>
              <w:t>4</w:t>
            </w:r>
            <w:r>
              <w:rPr>
                <w:noProof/>
                <w:webHidden/>
              </w:rPr>
              <w:fldChar w:fldCharType="end"/>
            </w:r>
          </w:hyperlink>
        </w:p>
        <w:p w14:paraId="715F510E" w14:textId="559179BD"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15" w:history="1">
            <w:r w:rsidRPr="00D30A06">
              <w:rPr>
                <w:rStyle w:val="Hyperlink"/>
                <w:noProof/>
              </w:rPr>
              <w:t>Regulatory context</w:t>
            </w:r>
            <w:r>
              <w:rPr>
                <w:noProof/>
                <w:webHidden/>
              </w:rPr>
              <w:tab/>
            </w:r>
            <w:r>
              <w:rPr>
                <w:noProof/>
                <w:webHidden/>
              </w:rPr>
              <w:fldChar w:fldCharType="begin"/>
            </w:r>
            <w:r>
              <w:rPr>
                <w:noProof/>
                <w:webHidden/>
              </w:rPr>
              <w:instrText xml:space="preserve"> PAGEREF _Toc227330315 \h </w:instrText>
            </w:r>
            <w:r>
              <w:rPr>
                <w:noProof/>
                <w:webHidden/>
              </w:rPr>
            </w:r>
            <w:r>
              <w:rPr>
                <w:noProof/>
                <w:webHidden/>
              </w:rPr>
              <w:fldChar w:fldCharType="separate"/>
            </w:r>
            <w:r>
              <w:rPr>
                <w:noProof/>
                <w:webHidden/>
              </w:rPr>
              <w:t>4</w:t>
            </w:r>
            <w:r>
              <w:rPr>
                <w:noProof/>
                <w:webHidden/>
              </w:rPr>
              <w:fldChar w:fldCharType="end"/>
            </w:r>
          </w:hyperlink>
        </w:p>
        <w:p w14:paraId="70B57367" w14:textId="75A7F4F3" w:rsidR="00744E5D" w:rsidRDefault="00744E5D">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16" w:history="1">
            <w:r w:rsidRPr="00D30A06">
              <w:rPr>
                <w:rStyle w:val="Hyperlink"/>
                <w:noProof/>
              </w:rPr>
              <w:t>Relevant authorities</w:t>
            </w:r>
            <w:r>
              <w:rPr>
                <w:noProof/>
                <w:webHidden/>
              </w:rPr>
              <w:tab/>
            </w:r>
            <w:r>
              <w:rPr>
                <w:noProof/>
                <w:webHidden/>
              </w:rPr>
              <w:fldChar w:fldCharType="begin"/>
            </w:r>
            <w:r>
              <w:rPr>
                <w:noProof/>
                <w:webHidden/>
              </w:rPr>
              <w:instrText xml:space="preserve"> PAGEREF _Toc227330316 \h </w:instrText>
            </w:r>
            <w:r>
              <w:rPr>
                <w:noProof/>
                <w:webHidden/>
              </w:rPr>
            </w:r>
            <w:r>
              <w:rPr>
                <w:noProof/>
                <w:webHidden/>
              </w:rPr>
              <w:fldChar w:fldCharType="separate"/>
            </w:r>
            <w:r>
              <w:rPr>
                <w:noProof/>
                <w:webHidden/>
              </w:rPr>
              <w:t>5</w:t>
            </w:r>
            <w:r>
              <w:rPr>
                <w:noProof/>
                <w:webHidden/>
              </w:rPr>
              <w:fldChar w:fldCharType="end"/>
            </w:r>
          </w:hyperlink>
        </w:p>
        <w:p w14:paraId="7C193737" w14:textId="3B675229" w:rsidR="00744E5D" w:rsidRDefault="00744E5D">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17" w:history="1">
            <w:r w:rsidRPr="00D30A06">
              <w:rPr>
                <w:rStyle w:val="Hyperlink"/>
                <w:noProof/>
              </w:rPr>
              <w:t>Supported decision-making in the regulatory context</w:t>
            </w:r>
            <w:r>
              <w:rPr>
                <w:noProof/>
                <w:webHidden/>
              </w:rPr>
              <w:tab/>
            </w:r>
            <w:r>
              <w:rPr>
                <w:noProof/>
                <w:webHidden/>
              </w:rPr>
              <w:fldChar w:fldCharType="begin"/>
            </w:r>
            <w:r>
              <w:rPr>
                <w:noProof/>
                <w:webHidden/>
              </w:rPr>
              <w:instrText xml:space="preserve"> PAGEREF _Toc227330317 \h </w:instrText>
            </w:r>
            <w:r>
              <w:rPr>
                <w:noProof/>
                <w:webHidden/>
              </w:rPr>
            </w:r>
            <w:r>
              <w:rPr>
                <w:noProof/>
                <w:webHidden/>
              </w:rPr>
              <w:fldChar w:fldCharType="separate"/>
            </w:r>
            <w:r>
              <w:rPr>
                <w:noProof/>
                <w:webHidden/>
              </w:rPr>
              <w:t>6</w:t>
            </w:r>
            <w:r>
              <w:rPr>
                <w:noProof/>
                <w:webHidden/>
              </w:rPr>
              <w:fldChar w:fldCharType="end"/>
            </w:r>
          </w:hyperlink>
        </w:p>
        <w:p w14:paraId="6E684279" w14:textId="5CE84068"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18" w:history="1">
            <w:r w:rsidRPr="00D30A06">
              <w:rPr>
                <w:rStyle w:val="Hyperlink"/>
                <w:noProof/>
              </w:rPr>
              <w:t>Provider awareness of registered supporters</w:t>
            </w:r>
            <w:r>
              <w:rPr>
                <w:noProof/>
                <w:webHidden/>
              </w:rPr>
              <w:tab/>
            </w:r>
            <w:r>
              <w:rPr>
                <w:noProof/>
                <w:webHidden/>
              </w:rPr>
              <w:fldChar w:fldCharType="begin"/>
            </w:r>
            <w:r>
              <w:rPr>
                <w:noProof/>
                <w:webHidden/>
              </w:rPr>
              <w:instrText xml:space="preserve"> PAGEREF _Toc227330318 \h </w:instrText>
            </w:r>
            <w:r>
              <w:rPr>
                <w:noProof/>
                <w:webHidden/>
              </w:rPr>
            </w:r>
            <w:r>
              <w:rPr>
                <w:noProof/>
                <w:webHidden/>
              </w:rPr>
              <w:fldChar w:fldCharType="separate"/>
            </w:r>
            <w:r>
              <w:rPr>
                <w:noProof/>
                <w:webHidden/>
              </w:rPr>
              <w:t>10</w:t>
            </w:r>
            <w:r>
              <w:rPr>
                <w:noProof/>
                <w:webHidden/>
              </w:rPr>
              <w:fldChar w:fldCharType="end"/>
            </w:r>
          </w:hyperlink>
        </w:p>
        <w:p w14:paraId="30CB01C9" w14:textId="58AC7FFD" w:rsidR="00744E5D" w:rsidRDefault="00744E5D">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19" w:history="1">
            <w:r w:rsidRPr="00D30A06">
              <w:rPr>
                <w:rStyle w:val="Hyperlink"/>
                <w:noProof/>
              </w:rPr>
              <w:t>My Aged Care Service and Support Portal</w:t>
            </w:r>
            <w:r>
              <w:rPr>
                <w:noProof/>
                <w:webHidden/>
              </w:rPr>
              <w:tab/>
            </w:r>
            <w:r>
              <w:rPr>
                <w:noProof/>
                <w:webHidden/>
              </w:rPr>
              <w:fldChar w:fldCharType="begin"/>
            </w:r>
            <w:r>
              <w:rPr>
                <w:noProof/>
                <w:webHidden/>
              </w:rPr>
              <w:instrText xml:space="preserve"> PAGEREF _Toc227330319 \h </w:instrText>
            </w:r>
            <w:r>
              <w:rPr>
                <w:noProof/>
                <w:webHidden/>
              </w:rPr>
            </w:r>
            <w:r>
              <w:rPr>
                <w:noProof/>
                <w:webHidden/>
              </w:rPr>
              <w:fldChar w:fldCharType="separate"/>
            </w:r>
            <w:r>
              <w:rPr>
                <w:noProof/>
                <w:webHidden/>
              </w:rPr>
              <w:t>10</w:t>
            </w:r>
            <w:r>
              <w:rPr>
                <w:noProof/>
                <w:webHidden/>
              </w:rPr>
              <w:fldChar w:fldCharType="end"/>
            </w:r>
          </w:hyperlink>
        </w:p>
        <w:p w14:paraId="77105029" w14:textId="43B01807"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0" w:history="1">
            <w:r w:rsidRPr="00D30A06">
              <w:rPr>
                <w:rStyle w:val="Hyperlink"/>
                <w:noProof/>
              </w:rPr>
              <w:t>Intersection with Commonwealth, state and territory arrangements</w:t>
            </w:r>
            <w:r>
              <w:rPr>
                <w:noProof/>
                <w:webHidden/>
              </w:rPr>
              <w:tab/>
            </w:r>
            <w:r>
              <w:rPr>
                <w:noProof/>
                <w:webHidden/>
              </w:rPr>
              <w:fldChar w:fldCharType="begin"/>
            </w:r>
            <w:r>
              <w:rPr>
                <w:noProof/>
                <w:webHidden/>
              </w:rPr>
              <w:instrText xml:space="preserve"> PAGEREF _Toc227330320 \h </w:instrText>
            </w:r>
            <w:r>
              <w:rPr>
                <w:noProof/>
                <w:webHidden/>
              </w:rPr>
            </w:r>
            <w:r>
              <w:rPr>
                <w:noProof/>
                <w:webHidden/>
              </w:rPr>
              <w:fldChar w:fldCharType="separate"/>
            </w:r>
            <w:r>
              <w:rPr>
                <w:noProof/>
                <w:webHidden/>
              </w:rPr>
              <w:t>11</w:t>
            </w:r>
            <w:r>
              <w:rPr>
                <w:noProof/>
                <w:webHidden/>
              </w:rPr>
              <w:fldChar w:fldCharType="end"/>
            </w:r>
          </w:hyperlink>
        </w:p>
        <w:p w14:paraId="47E0346C" w14:textId="0FEA9465"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1" w:history="1">
            <w:r w:rsidRPr="00D30A06">
              <w:rPr>
                <w:rStyle w:val="Hyperlink"/>
                <w:noProof/>
              </w:rPr>
              <w:t>Access and information sharing</w:t>
            </w:r>
            <w:r>
              <w:rPr>
                <w:noProof/>
                <w:webHidden/>
              </w:rPr>
              <w:tab/>
            </w:r>
            <w:r>
              <w:rPr>
                <w:noProof/>
                <w:webHidden/>
              </w:rPr>
              <w:fldChar w:fldCharType="begin"/>
            </w:r>
            <w:r>
              <w:rPr>
                <w:noProof/>
                <w:webHidden/>
              </w:rPr>
              <w:instrText xml:space="preserve"> PAGEREF _Toc227330321 \h </w:instrText>
            </w:r>
            <w:r>
              <w:rPr>
                <w:noProof/>
                <w:webHidden/>
              </w:rPr>
            </w:r>
            <w:r>
              <w:rPr>
                <w:noProof/>
                <w:webHidden/>
              </w:rPr>
              <w:fldChar w:fldCharType="separate"/>
            </w:r>
            <w:r>
              <w:rPr>
                <w:noProof/>
                <w:webHidden/>
              </w:rPr>
              <w:t>13</w:t>
            </w:r>
            <w:r>
              <w:rPr>
                <w:noProof/>
                <w:webHidden/>
              </w:rPr>
              <w:fldChar w:fldCharType="end"/>
            </w:r>
          </w:hyperlink>
        </w:p>
        <w:p w14:paraId="7F47F310" w14:textId="3226A11F"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2" w:history="1">
            <w:r w:rsidRPr="00D30A06">
              <w:rPr>
                <w:rStyle w:val="Hyperlink"/>
                <w:noProof/>
              </w:rPr>
              <w:t>Documentation</w:t>
            </w:r>
            <w:r>
              <w:rPr>
                <w:noProof/>
                <w:webHidden/>
              </w:rPr>
              <w:tab/>
            </w:r>
            <w:r>
              <w:rPr>
                <w:noProof/>
                <w:webHidden/>
              </w:rPr>
              <w:fldChar w:fldCharType="begin"/>
            </w:r>
            <w:r>
              <w:rPr>
                <w:noProof/>
                <w:webHidden/>
              </w:rPr>
              <w:instrText xml:space="preserve"> PAGEREF _Toc227330322 \h </w:instrText>
            </w:r>
            <w:r>
              <w:rPr>
                <w:noProof/>
                <w:webHidden/>
              </w:rPr>
            </w:r>
            <w:r>
              <w:rPr>
                <w:noProof/>
                <w:webHidden/>
              </w:rPr>
              <w:fldChar w:fldCharType="separate"/>
            </w:r>
            <w:r>
              <w:rPr>
                <w:noProof/>
                <w:webHidden/>
              </w:rPr>
              <w:t>16</w:t>
            </w:r>
            <w:r>
              <w:rPr>
                <w:noProof/>
                <w:webHidden/>
              </w:rPr>
              <w:fldChar w:fldCharType="end"/>
            </w:r>
          </w:hyperlink>
        </w:p>
        <w:p w14:paraId="0644B93B" w14:textId="090AB613"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3" w:history="1">
            <w:r w:rsidRPr="00D30A06">
              <w:rPr>
                <w:rStyle w:val="Hyperlink"/>
                <w:noProof/>
              </w:rPr>
              <w:t>Conflicts of interest</w:t>
            </w:r>
            <w:r>
              <w:rPr>
                <w:noProof/>
                <w:webHidden/>
              </w:rPr>
              <w:tab/>
            </w:r>
            <w:r>
              <w:rPr>
                <w:noProof/>
                <w:webHidden/>
              </w:rPr>
              <w:fldChar w:fldCharType="begin"/>
            </w:r>
            <w:r>
              <w:rPr>
                <w:noProof/>
                <w:webHidden/>
              </w:rPr>
              <w:instrText xml:space="preserve"> PAGEREF _Toc227330323 \h </w:instrText>
            </w:r>
            <w:r>
              <w:rPr>
                <w:noProof/>
                <w:webHidden/>
              </w:rPr>
            </w:r>
            <w:r>
              <w:rPr>
                <w:noProof/>
                <w:webHidden/>
              </w:rPr>
              <w:fldChar w:fldCharType="separate"/>
            </w:r>
            <w:r>
              <w:rPr>
                <w:noProof/>
                <w:webHidden/>
              </w:rPr>
              <w:t>16</w:t>
            </w:r>
            <w:r>
              <w:rPr>
                <w:noProof/>
                <w:webHidden/>
              </w:rPr>
              <w:fldChar w:fldCharType="end"/>
            </w:r>
          </w:hyperlink>
        </w:p>
        <w:p w14:paraId="1582CF33" w14:textId="0C1C0839"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4" w:history="1">
            <w:r w:rsidRPr="00D30A06">
              <w:rPr>
                <w:rStyle w:val="Hyperlink"/>
                <w:noProof/>
              </w:rPr>
              <w:t>Safeguards against abuse</w:t>
            </w:r>
            <w:r>
              <w:rPr>
                <w:noProof/>
                <w:webHidden/>
              </w:rPr>
              <w:tab/>
            </w:r>
            <w:r>
              <w:rPr>
                <w:noProof/>
                <w:webHidden/>
              </w:rPr>
              <w:fldChar w:fldCharType="begin"/>
            </w:r>
            <w:r>
              <w:rPr>
                <w:noProof/>
                <w:webHidden/>
              </w:rPr>
              <w:instrText xml:space="preserve"> PAGEREF _Toc227330324 \h </w:instrText>
            </w:r>
            <w:r>
              <w:rPr>
                <w:noProof/>
                <w:webHidden/>
              </w:rPr>
            </w:r>
            <w:r>
              <w:rPr>
                <w:noProof/>
                <w:webHidden/>
              </w:rPr>
              <w:fldChar w:fldCharType="separate"/>
            </w:r>
            <w:r>
              <w:rPr>
                <w:noProof/>
                <w:webHidden/>
              </w:rPr>
              <w:t>17</w:t>
            </w:r>
            <w:r>
              <w:rPr>
                <w:noProof/>
                <w:webHidden/>
              </w:rPr>
              <w:fldChar w:fldCharType="end"/>
            </w:r>
          </w:hyperlink>
        </w:p>
        <w:p w14:paraId="565384EF" w14:textId="43CA37AE" w:rsidR="00744E5D" w:rsidRDefault="00744E5D">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5" w:history="1">
            <w:r w:rsidRPr="00D30A06">
              <w:rPr>
                <w:rStyle w:val="Hyperlink"/>
                <w:noProof/>
              </w:rPr>
              <w:t>Moving to a registered supporter relationship under the Act</w:t>
            </w:r>
            <w:r>
              <w:rPr>
                <w:noProof/>
                <w:webHidden/>
              </w:rPr>
              <w:tab/>
            </w:r>
            <w:r>
              <w:rPr>
                <w:noProof/>
                <w:webHidden/>
              </w:rPr>
              <w:fldChar w:fldCharType="begin"/>
            </w:r>
            <w:r>
              <w:rPr>
                <w:noProof/>
                <w:webHidden/>
              </w:rPr>
              <w:instrText xml:space="preserve"> PAGEREF _Toc227330325 \h </w:instrText>
            </w:r>
            <w:r>
              <w:rPr>
                <w:noProof/>
                <w:webHidden/>
              </w:rPr>
            </w:r>
            <w:r>
              <w:rPr>
                <w:noProof/>
                <w:webHidden/>
              </w:rPr>
              <w:fldChar w:fldCharType="separate"/>
            </w:r>
            <w:r>
              <w:rPr>
                <w:noProof/>
                <w:webHidden/>
              </w:rPr>
              <w:t>18</w:t>
            </w:r>
            <w:r>
              <w:rPr>
                <w:noProof/>
                <w:webHidden/>
              </w:rPr>
              <w:fldChar w:fldCharType="end"/>
            </w:r>
          </w:hyperlink>
        </w:p>
        <w:p w14:paraId="5D1FA182" w14:textId="4B345E3E" w:rsidR="00744E5D" w:rsidRDefault="00744E5D">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6" w:history="1">
            <w:r w:rsidRPr="00D30A06">
              <w:rPr>
                <w:rStyle w:val="Hyperlink"/>
                <w:noProof/>
              </w:rPr>
              <w:t>Audience</w:t>
            </w:r>
            <w:r>
              <w:rPr>
                <w:noProof/>
                <w:webHidden/>
              </w:rPr>
              <w:tab/>
            </w:r>
            <w:r>
              <w:rPr>
                <w:noProof/>
                <w:webHidden/>
              </w:rPr>
              <w:fldChar w:fldCharType="begin"/>
            </w:r>
            <w:r>
              <w:rPr>
                <w:noProof/>
                <w:webHidden/>
              </w:rPr>
              <w:instrText xml:space="preserve"> PAGEREF _Toc227330326 \h </w:instrText>
            </w:r>
            <w:r>
              <w:rPr>
                <w:noProof/>
                <w:webHidden/>
              </w:rPr>
            </w:r>
            <w:r>
              <w:rPr>
                <w:noProof/>
                <w:webHidden/>
              </w:rPr>
              <w:fldChar w:fldCharType="separate"/>
            </w:r>
            <w:r>
              <w:rPr>
                <w:noProof/>
                <w:webHidden/>
              </w:rPr>
              <w:t>19</w:t>
            </w:r>
            <w:r>
              <w:rPr>
                <w:noProof/>
                <w:webHidden/>
              </w:rPr>
              <w:fldChar w:fldCharType="end"/>
            </w:r>
          </w:hyperlink>
        </w:p>
        <w:p w14:paraId="2183EC84" w14:textId="11EDAFE0" w:rsidR="00744E5D" w:rsidRDefault="00744E5D">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7" w:history="1">
            <w:r w:rsidRPr="00D30A06">
              <w:rPr>
                <w:rStyle w:val="Hyperlink"/>
                <w:noProof/>
              </w:rPr>
              <w:t>Roles and responsibilities</w:t>
            </w:r>
            <w:r>
              <w:rPr>
                <w:noProof/>
                <w:webHidden/>
              </w:rPr>
              <w:tab/>
            </w:r>
            <w:r>
              <w:rPr>
                <w:noProof/>
                <w:webHidden/>
              </w:rPr>
              <w:fldChar w:fldCharType="begin"/>
            </w:r>
            <w:r>
              <w:rPr>
                <w:noProof/>
                <w:webHidden/>
              </w:rPr>
              <w:instrText xml:space="preserve"> PAGEREF _Toc227330327 \h </w:instrText>
            </w:r>
            <w:r>
              <w:rPr>
                <w:noProof/>
                <w:webHidden/>
              </w:rPr>
            </w:r>
            <w:r>
              <w:rPr>
                <w:noProof/>
                <w:webHidden/>
              </w:rPr>
              <w:fldChar w:fldCharType="separate"/>
            </w:r>
            <w:r>
              <w:rPr>
                <w:noProof/>
                <w:webHidden/>
              </w:rPr>
              <w:t>19</w:t>
            </w:r>
            <w:r>
              <w:rPr>
                <w:noProof/>
                <w:webHidden/>
              </w:rPr>
              <w:fldChar w:fldCharType="end"/>
            </w:r>
          </w:hyperlink>
        </w:p>
        <w:p w14:paraId="5D155A32" w14:textId="79A043F3" w:rsidR="00744E5D" w:rsidRDefault="00744E5D">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8" w:history="1">
            <w:r w:rsidRPr="00D30A06">
              <w:rPr>
                <w:rStyle w:val="Hyperlink"/>
                <w:noProof/>
              </w:rPr>
              <w:t>Contact</w:t>
            </w:r>
            <w:r>
              <w:rPr>
                <w:noProof/>
                <w:webHidden/>
              </w:rPr>
              <w:tab/>
            </w:r>
            <w:r>
              <w:rPr>
                <w:noProof/>
                <w:webHidden/>
              </w:rPr>
              <w:fldChar w:fldCharType="begin"/>
            </w:r>
            <w:r>
              <w:rPr>
                <w:noProof/>
                <w:webHidden/>
              </w:rPr>
              <w:instrText xml:space="preserve"> PAGEREF _Toc227330328 \h </w:instrText>
            </w:r>
            <w:r>
              <w:rPr>
                <w:noProof/>
                <w:webHidden/>
              </w:rPr>
            </w:r>
            <w:r>
              <w:rPr>
                <w:noProof/>
                <w:webHidden/>
              </w:rPr>
              <w:fldChar w:fldCharType="separate"/>
            </w:r>
            <w:r>
              <w:rPr>
                <w:noProof/>
                <w:webHidden/>
              </w:rPr>
              <w:t>20</w:t>
            </w:r>
            <w:r>
              <w:rPr>
                <w:noProof/>
                <w:webHidden/>
              </w:rPr>
              <w:fldChar w:fldCharType="end"/>
            </w:r>
          </w:hyperlink>
        </w:p>
        <w:p w14:paraId="17320CA1" w14:textId="1BEA0229" w:rsidR="00744E5D" w:rsidRDefault="00744E5D">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29" w:history="1">
            <w:r w:rsidRPr="00D30A06">
              <w:rPr>
                <w:rStyle w:val="Hyperlink"/>
                <w:noProof/>
              </w:rPr>
              <w:t>Definitions</w:t>
            </w:r>
            <w:r>
              <w:rPr>
                <w:noProof/>
                <w:webHidden/>
              </w:rPr>
              <w:tab/>
            </w:r>
            <w:r>
              <w:rPr>
                <w:noProof/>
                <w:webHidden/>
              </w:rPr>
              <w:fldChar w:fldCharType="begin"/>
            </w:r>
            <w:r>
              <w:rPr>
                <w:noProof/>
                <w:webHidden/>
              </w:rPr>
              <w:instrText xml:space="preserve"> PAGEREF _Toc227330329 \h </w:instrText>
            </w:r>
            <w:r>
              <w:rPr>
                <w:noProof/>
                <w:webHidden/>
              </w:rPr>
            </w:r>
            <w:r>
              <w:rPr>
                <w:noProof/>
                <w:webHidden/>
              </w:rPr>
              <w:fldChar w:fldCharType="separate"/>
            </w:r>
            <w:r>
              <w:rPr>
                <w:noProof/>
                <w:webHidden/>
              </w:rPr>
              <w:t>20</w:t>
            </w:r>
            <w:r>
              <w:rPr>
                <w:noProof/>
                <w:webHidden/>
              </w:rPr>
              <w:fldChar w:fldCharType="end"/>
            </w:r>
          </w:hyperlink>
        </w:p>
        <w:p w14:paraId="761B3581" w14:textId="6D1E8B4E" w:rsidR="00744E5D" w:rsidRDefault="00744E5D">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27330330" w:history="1">
            <w:r w:rsidRPr="00D30A06">
              <w:rPr>
                <w:rStyle w:val="Hyperlink"/>
                <w:noProof/>
              </w:rPr>
              <w:t>Related legislation</w:t>
            </w:r>
            <w:r>
              <w:rPr>
                <w:noProof/>
                <w:webHidden/>
              </w:rPr>
              <w:tab/>
            </w:r>
            <w:r>
              <w:rPr>
                <w:noProof/>
                <w:webHidden/>
              </w:rPr>
              <w:fldChar w:fldCharType="begin"/>
            </w:r>
            <w:r>
              <w:rPr>
                <w:noProof/>
                <w:webHidden/>
              </w:rPr>
              <w:instrText xml:space="preserve"> PAGEREF _Toc227330330 \h </w:instrText>
            </w:r>
            <w:r>
              <w:rPr>
                <w:noProof/>
                <w:webHidden/>
              </w:rPr>
            </w:r>
            <w:r>
              <w:rPr>
                <w:noProof/>
                <w:webHidden/>
              </w:rPr>
              <w:fldChar w:fldCharType="separate"/>
            </w:r>
            <w:r>
              <w:rPr>
                <w:noProof/>
                <w:webHidden/>
              </w:rPr>
              <w:t>20</w:t>
            </w:r>
            <w:r>
              <w:rPr>
                <w:noProof/>
                <w:webHidden/>
              </w:rPr>
              <w:fldChar w:fldCharType="end"/>
            </w:r>
          </w:hyperlink>
        </w:p>
        <w:p w14:paraId="7C1EF4B7" w14:textId="0CE09ED6" w:rsidR="000F7ECC" w:rsidRDefault="00122700" w:rsidP="000F7ECC">
          <w:pPr>
            <w:rPr>
              <w:b/>
              <w:bCs/>
              <w:lang w:val="en-GB"/>
            </w:rPr>
          </w:pPr>
          <w:r>
            <w:rPr>
              <w:b/>
              <w:bCs/>
              <w:lang w:val="en-GB"/>
            </w:rPr>
            <w:fldChar w:fldCharType="end"/>
          </w:r>
        </w:p>
      </w:sdtContent>
    </w:sdt>
    <w:p w14:paraId="4C64CB15" w14:textId="11E0E788" w:rsidR="00156BF1" w:rsidRPr="000F7ECC" w:rsidRDefault="00156BF1" w:rsidP="000F7ECC">
      <w:r>
        <w:br w:type="page"/>
      </w:r>
    </w:p>
    <w:p w14:paraId="46CB46C5" w14:textId="23AD8B35" w:rsidR="002E2C12" w:rsidRDefault="00841914" w:rsidP="002E2C12">
      <w:pPr>
        <w:pStyle w:val="Heading1"/>
      </w:pPr>
      <w:bookmarkStart w:id="2" w:name="_Toc227330312"/>
      <w:r>
        <w:lastRenderedPageBreak/>
        <w:t>Policy</w:t>
      </w:r>
      <w:bookmarkEnd w:id="2"/>
      <w:r>
        <w:t xml:space="preserve"> </w:t>
      </w:r>
    </w:p>
    <w:p w14:paraId="0177808E" w14:textId="13751C41" w:rsidR="006458E6" w:rsidRDefault="006458E6" w:rsidP="001571C7">
      <w:pPr>
        <w:pStyle w:val="Heading2"/>
      </w:pPr>
      <w:bookmarkStart w:id="3" w:name="_Toc227330313"/>
      <w:r>
        <w:t>Supported decision-making</w:t>
      </w:r>
      <w:bookmarkEnd w:id="3"/>
    </w:p>
    <w:p w14:paraId="4CF72FED" w14:textId="77777777" w:rsidR="002E0D3B" w:rsidRPr="002E0D3B" w:rsidRDefault="002E0D3B" w:rsidP="002E0D3B">
      <w:r w:rsidRPr="002E0D3B">
        <w:t>Everyone has the right to make decisions about their life, including the support and services they receive from aged care. Some older people may want or need support to make these decisions.  </w:t>
      </w:r>
    </w:p>
    <w:p w14:paraId="63C861BD" w14:textId="77777777" w:rsidR="00E91127" w:rsidRDefault="002E0D3B" w:rsidP="77186228">
      <w:pPr>
        <w:shd w:val="clear" w:color="auto" w:fill="D0EAED" w:themeFill="accent2" w:themeFillTint="33"/>
        <w:jc w:val="center"/>
        <w:rPr>
          <w:b/>
          <w:bCs/>
        </w:rPr>
      </w:pPr>
      <w:r w:rsidRPr="31DFA4C5">
        <w:rPr>
          <w:b/>
          <w:bCs/>
        </w:rPr>
        <w:t xml:space="preserve">Supported decision-making </w:t>
      </w:r>
      <w:r w:rsidR="00587599" w:rsidRPr="31DFA4C5">
        <w:rPr>
          <w:b/>
          <w:bCs/>
        </w:rPr>
        <w:t>refers to processes and approaches that enable people to exercise their legal capacity, including making or communicating their decisions, will and preferences, by provision of the support they may want or need to do so. This support may involve a range of persons, services, and assistive technologies.</w:t>
      </w:r>
      <w:r w:rsidR="2C817B8A" w:rsidRPr="31DFA4C5">
        <w:rPr>
          <w:b/>
          <w:bCs/>
        </w:rPr>
        <w:t xml:space="preserve"> </w:t>
      </w:r>
    </w:p>
    <w:p w14:paraId="41F6786E" w14:textId="09A0401E" w:rsidR="002E0D3B" w:rsidRPr="002E0D3B" w:rsidRDefault="00587599" w:rsidP="77186228">
      <w:pPr>
        <w:shd w:val="clear" w:color="auto" w:fill="D0EAED" w:themeFill="accent2" w:themeFillTint="33"/>
        <w:jc w:val="center"/>
        <w:rPr>
          <w:b/>
          <w:bCs/>
        </w:rPr>
      </w:pPr>
      <w:r w:rsidRPr="31DFA4C5">
        <w:rPr>
          <w:b/>
          <w:bCs/>
        </w:rPr>
        <w:t xml:space="preserve">Supported decision-making does not mean </w:t>
      </w:r>
      <w:proofErr w:type="gramStart"/>
      <w:r w:rsidRPr="31DFA4C5">
        <w:rPr>
          <w:b/>
          <w:bCs/>
        </w:rPr>
        <w:t>making a decision</w:t>
      </w:r>
      <w:proofErr w:type="gramEnd"/>
      <w:r w:rsidRPr="31DFA4C5">
        <w:rPr>
          <w:b/>
          <w:bCs/>
        </w:rPr>
        <w:t xml:space="preserve"> for, or on behalf of, another person.</w:t>
      </w:r>
    </w:p>
    <w:p w14:paraId="0ACD572E" w14:textId="3B761EBE" w:rsidR="00CE6502" w:rsidRDefault="00B07022" w:rsidP="001571C7">
      <w:pPr>
        <w:pStyle w:val="Heading2"/>
      </w:pPr>
      <w:bookmarkStart w:id="4" w:name="_Toc227330314"/>
      <w:r>
        <w:t>R</w:t>
      </w:r>
      <w:r w:rsidR="00355929">
        <w:t>egistered supporter role</w:t>
      </w:r>
      <w:bookmarkEnd w:id="4"/>
    </w:p>
    <w:p w14:paraId="253FA75D" w14:textId="7E7400B9" w:rsidR="00095E04" w:rsidRPr="00335FC1" w:rsidRDefault="0022464B" w:rsidP="00095E04">
      <w:bookmarkStart w:id="5" w:name="_Hlk193278280"/>
      <w:bookmarkStart w:id="6" w:name="_Hlk193278240"/>
      <w:r w:rsidRPr="66E88A25">
        <w:rPr>
          <w:rFonts w:cs="Arial"/>
        </w:rPr>
        <w:t>The</w:t>
      </w:r>
      <w:r w:rsidRPr="66E88A25" w:rsidDel="00C34E85">
        <w:rPr>
          <w:rFonts w:cs="Arial"/>
        </w:rPr>
        <w:t xml:space="preserve"> </w:t>
      </w:r>
      <w:r w:rsidRPr="66E88A25">
        <w:rPr>
          <w:rFonts w:cs="Arial"/>
        </w:rPr>
        <w:t xml:space="preserve">Act establishes a </w:t>
      </w:r>
      <w:r>
        <w:rPr>
          <w:rFonts w:cs="Arial"/>
        </w:rPr>
        <w:t xml:space="preserve">legal </w:t>
      </w:r>
      <w:r w:rsidRPr="66E88A25">
        <w:rPr>
          <w:rFonts w:cs="Arial"/>
        </w:rPr>
        <w:t xml:space="preserve">framework </w:t>
      </w:r>
      <w:r>
        <w:rPr>
          <w:rFonts w:cs="Arial"/>
        </w:rPr>
        <w:t xml:space="preserve">for the registration of supporters, which will help </w:t>
      </w:r>
      <w:r w:rsidRPr="66E88A25">
        <w:rPr>
          <w:rFonts w:cs="Arial"/>
        </w:rPr>
        <w:t xml:space="preserve">embed supported decision-making across the aged care system. </w:t>
      </w:r>
      <w:bookmarkEnd w:id="5"/>
      <w:r w:rsidR="00095E04" w:rsidRPr="00335FC1">
        <w:t xml:space="preserve">The registered supporter role is one of the changes under the Act that </w:t>
      </w:r>
      <w:r w:rsidR="00D54F19">
        <w:t xml:space="preserve">aims to </w:t>
      </w:r>
      <w:r w:rsidR="00095E04" w:rsidRPr="00335FC1">
        <w:t>promote older peoples</w:t>
      </w:r>
      <w:r w:rsidR="00150F29">
        <w:t>’</w:t>
      </w:r>
      <w:r w:rsidR="00095E04" w:rsidRPr="00335FC1">
        <w:t xml:space="preserve"> right</w:t>
      </w:r>
      <w:r w:rsidR="00150F29">
        <w:t>s</w:t>
      </w:r>
      <w:r w:rsidR="00095E04" w:rsidRPr="00335FC1">
        <w:t xml:space="preserve"> to be supported to make their own decisions.</w:t>
      </w:r>
      <w:bookmarkEnd w:id="6"/>
    </w:p>
    <w:p w14:paraId="4CE642A3" w14:textId="15AA0ABA" w:rsidR="00C54AAA" w:rsidRPr="00C54AAA" w:rsidRDefault="00C54AAA" w:rsidP="00083C3A">
      <w:r w:rsidRPr="00C54AAA">
        <w:t>From 1</w:t>
      </w:r>
      <w:r w:rsidRPr="00C54AAA" w:rsidDel="003E149C">
        <w:t xml:space="preserve"> </w:t>
      </w:r>
      <w:r w:rsidR="003E149C">
        <w:t>November</w:t>
      </w:r>
      <w:r w:rsidR="003E149C" w:rsidRPr="00C54AAA">
        <w:t xml:space="preserve"> </w:t>
      </w:r>
      <w:r w:rsidRPr="00C54AAA">
        <w:t xml:space="preserve">2025, older people </w:t>
      </w:r>
      <w:r w:rsidR="00D90249">
        <w:t xml:space="preserve">can have registered supporters who </w:t>
      </w:r>
      <w:r w:rsidR="00E501E8">
        <w:t>can support them to make decisions, if they want or need this support.</w:t>
      </w:r>
      <w:r w:rsidR="00BA391F" w:rsidRPr="00BA391F">
        <w:t xml:space="preserve"> Registered supporters help older people to make and communicate their own decisions about their aged care services and needs</w:t>
      </w:r>
      <w:r w:rsidR="00B065E9">
        <w:t xml:space="preserve">. This may </w:t>
      </w:r>
      <w:r w:rsidR="00BA391F" w:rsidRPr="00BA391F">
        <w:t>includ</w:t>
      </w:r>
      <w:r w:rsidR="00B065E9">
        <w:t xml:space="preserve">e </w:t>
      </w:r>
      <w:r w:rsidR="00BA391F" w:rsidRPr="00BA391F">
        <w:t>speaking to My Aged Care, aged care assessors, aged care providers, and the Aged Care Quality and Safety Commission. Registered supporters can also request, access and receive information about the older person they support.</w:t>
      </w:r>
    </w:p>
    <w:p w14:paraId="0C8A2A6E" w14:textId="06F79C58" w:rsidR="00872386" w:rsidRDefault="00C54AAA" w:rsidP="00C54AAA">
      <w:r w:rsidRPr="00C54AAA">
        <w:t>An older person’s ability to make decisions and communicate their will and preferences may change from day to day, or over time</w:t>
      </w:r>
      <w:r w:rsidR="003E149C">
        <w:t>,</w:t>
      </w:r>
      <w:r w:rsidRPr="00C54AAA">
        <w:t xml:space="preserve"> so understanding who their registered supporters are and the role they can perform is essential in respecting the older person’s rights. </w:t>
      </w:r>
    </w:p>
    <w:p w14:paraId="42CDD7B9" w14:textId="1C06D4E7" w:rsidR="000A665C" w:rsidRDefault="000A665C" w:rsidP="000A665C">
      <w:r>
        <w:t>Having a registered supporter does not stop an older person from being able to receive information, make decisions, or communicate directly with others including aged care providers, My Aged Care and assessors. Older people can keep requesting, receiving and communicating information and making decisions.</w:t>
      </w:r>
    </w:p>
    <w:p w14:paraId="2808A4F8" w14:textId="6DD999BD" w:rsidR="000A665C" w:rsidRDefault="000A665C" w:rsidP="000A665C">
      <w:r>
        <w:t>Similarly, aged care providers and workers must continue to go directly to the older person for decisions, even when there is a registered supporter. An older person can, however, ask a registered supporter to communicate their decisions.</w:t>
      </w:r>
    </w:p>
    <w:p w14:paraId="5BA62ECE" w14:textId="5B143367" w:rsidR="005727C6" w:rsidRDefault="005727C6" w:rsidP="00083C3A">
      <w:pPr>
        <w:pStyle w:val="Heading2"/>
      </w:pPr>
      <w:bookmarkStart w:id="7" w:name="_Regulatory_context"/>
      <w:bookmarkStart w:id="8" w:name="_Toc227330315"/>
      <w:bookmarkEnd w:id="7"/>
      <w:r>
        <w:t>Regulatory context</w:t>
      </w:r>
      <w:bookmarkEnd w:id="8"/>
    </w:p>
    <w:p w14:paraId="6F7D1D71" w14:textId="64A242A8" w:rsidR="00FA6915" w:rsidRDefault="00BD386A" w:rsidP="00DB0C18">
      <w:r>
        <w:t>As part of the Act, t</w:t>
      </w:r>
      <w:r w:rsidR="00AE435D">
        <w:t>he</w:t>
      </w:r>
      <w:r w:rsidR="005F6D6F">
        <w:t>re is a new</w:t>
      </w:r>
      <w:r w:rsidR="00AE435D">
        <w:t xml:space="preserve"> regulatory </w:t>
      </w:r>
      <w:r w:rsidR="005F6D6F">
        <w:t>model</w:t>
      </w:r>
      <w:r w:rsidR="00AE435D">
        <w:t xml:space="preserve"> </w:t>
      </w:r>
      <w:r w:rsidR="007D6520">
        <w:t xml:space="preserve">in </w:t>
      </w:r>
      <w:r w:rsidR="00880090">
        <w:t>aged care</w:t>
      </w:r>
      <w:r w:rsidR="00F07830">
        <w:t xml:space="preserve"> </w:t>
      </w:r>
      <w:r w:rsidR="005F6D6F">
        <w:t>which is</w:t>
      </w:r>
      <w:r w:rsidR="00F21462">
        <w:t xml:space="preserve"> governed by</w:t>
      </w:r>
      <w:r w:rsidR="00880090">
        <w:t xml:space="preserve"> </w:t>
      </w:r>
      <w:r w:rsidR="0073152A">
        <w:t xml:space="preserve">different laws and </w:t>
      </w:r>
      <w:r w:rsidR="007D6520">
        <w:t>regulations</w:t>
      </w:r>
      <w:r w:rsidR="00DF172C">
        <w:t xml:space="preserve">. </w:t>
      </w:r>
      <w:r w:rsidR="005F6D6F">
        <w:t>This</w:t>
      </w:r>
      <w:r w:rsidR="00E57750">
        <w:t xml:space="preserve"> </w:t>
      </w:r>
      <w:r w:rsidR="00EB388A">
        <w:t>include</w:t>
      </w:r>
      <w:r>
        <w:t>s</w:t>
      </w:r>
      <w:r w:rsidR="00EB388A">
        <w:t>:</w:t>
      </w:r>
    </w:p>
    <w:p w14:paraId="1254C58A" w14:textId="77777777" w:rsidR="00B22ACD" w:rsidRDefault="00F071AA" w:rsidP="00112233">
      <w:pPr>
        <w:pStyle w:val="ListParagraph"/>
        <w:numPr>
          <w:ilvl w:val="0"/>
          <w:numId w:val="52"/>
        </w:numPr>
        <w:ind w:left="357" w:hanging="357"/>
        <w:contextualSpacing w:val="0"/>
      </w:pPr>
      <w:r>
        <w:t xml:space="preserve">The </w:t>
      </w:r>
      <w:r w:rsidRPr="000F2148">
        <w:rPr>
          <w:b/>
          <w:bCs/>
        </w:rPr>
        <w:t>Statement of Rights</w:t>
      </w:r>
      <w:r>
        <w:t xml:space="preserve"> </w:t>
      </w:r>
      <w:r w:rsidR="00E57750">
        <w:t xml:space="preserve">under the Act </w:t>
      </w:r>
      <w:r w:rsidR="00641294" w:rsidRPr="00641294">
        <w:t>recognises the rights inherent to older people accessing or seeking to access</w:t>
      </w:r>
      <w:r w:rsidR="00C34E85">
        <w:t xml:space="preserve"> Australian Government-</w:t>
      </w:r>
      <w:r w:rsidR="00641294" w:rsidRPr="00641294">
        <w:t xml:space="preserve">funded aged care services. </w:t>
      </w:r>
      <w:r w:rsidR="00641294">
        <w:t xml:space="preserve">The Statement </w:t>
      </w:r>
      <w:r w:rsidR="008D0ACB">
        <w:t>provides</w:t>
      </w:r>
      <w:r w:rsidR="00C34E85">
        <w:t xml:space="preserve"> that</w:t>
      </w:r>
      <w:r w:rsidR="008D0ACB">
        <w:t xml:space="preserve"> </w:t>
      </w:r>
      <w:r w:rsidR="00CA46C7">
        <w:t>o</w:t>
      </w:r>
      <w:r w:rsidR="00A35EC8">
        <w:t xml:space="preserve">lder people have </w:t>
      </w:r>
      <w:r w:rsidR="005727C6">
        <w:t>a right to</w:t>
      </w:r>
      <w:r w:rsidR="008D0ACB">
        <w:t xml:space="preserve"> be supported</w:t>
      </w:r>
      <w:r w:rsidR="00B83429">
        <w:t xml:space="preserve">, </w:t>
      </w:r>
      <w:r w:rsidR="00CA46C7">
        <w:t>if necessary</w:t>
      </w:r>
      <w:r w:rsidR="00B83429">
        <w:t>,</w:t>
      </w:r>
      <w:r w:rsidR="00CA46C7">
        <w:t xml:space="preserve"> to make</w:t>
      </w:r>
      <w:r w:rsidR="00AC6455">
        <w:t xml:space="preserve"> </w:t>
      </w:r>
      <w:r w:rsidR="00AC6455">
        <w:lastRenderedPageBreak/>
        <w:t>decisions</w:t>
      </w:r>
      <w:r w:rsidR="008D0ACB">
        <w:t xml:space="preserve">, have those decisions respected, and take personal risks. </w:t>
      </w:r>
      <w:r w:rsidR="00405D4C">
        <w:t xml:space="preserve">As a condition of registration under the Act, </w:t>
      </w:r>
      <w:r w:rsidR="000F2148">
        <w:t xml:space="preserve">aged care </w:t>
      </w:r>
      <w:r w:rsidR="00405D4C">
        <w:t xml:space="preserve">providers must understand the Statement of Rights and implement practices designed to ensure their delivery of </w:t>
      </w:r>
      <w:r w:rsidR="00E57750">
        <w:t>Australian Government-</w:t>
      </w:r>
      <w:r w:rsidR="00405D4C">
        <w:t>funded aged care services align with those rights.</w:t>
      </w:r>
    </w:p>
    <w:p w14:paraId="190DE728" w14:textId="3ED27EC2" w:rsidR="00F03111" w:rsidRDefault="00405D4C" w:rsidP="00112233">
      <w:pPr>
        <w:pStyle w:val="ListParagraph"/>
        <w:numPr>
          <w:ilvl w:val="0"/>
          <w:numId w:val="52"/>
        </w:numPr>
        <w:ind w:left="357" w:hanging="357"/>
        <w:contextualSpacing w:val="0"/>
      </w:pPr>
      <w:r>
        <w:t xml:space="preserve">The </w:t>
      </w:r>
      <w:r w:rsidRPr="00B22ACD">
        <w:rPr>
          <w:b/>
          <w:bCs/>
        </w:rPr>
        <w:t>Code of Conduct for Aged Care</w:t>
      </w:r>
      <w:r>
        <w:t xml:space="preserve"> continues to apply to aged care providers, their aged care workers, and responsible persons of providers. The Code </w:t>
      </w:r>
      <w:r w:rsidR="009E04CF">
        <w:t>describes how aged care providers, their governing persons (for example, board members), and workers</w:t>
      </w:r>
      <w:r w:rsidR="008D6A00">
        <w:t xml:space="preserve"> (</w:t>
      </w:r>
      <w:r w:rsidR="009E04CF">
        <w:t>including volunteers</w:t>
      </w:r>
      <w:r w:rsidR="008D6A00">
        <w:t>)</w:t>
      </w:r>
      <w:r w:rsidR="009E04CF">
        <w:t xml:space="preserve"> must behave and treat people receiving </w:t>
      </w:r>
      <w:r w:rsidR="008D6A00">
        <w:t>Australian Government-funded aged care services</w:t>
      </w:r>
      <w:r w:rsidR="009E04CF">
        <w:t xml:space="preserve">. This </w:t>
      </w:r>
      <w:r>
        <w:t xml:space="preserve">includes a requirement to act with respect for people’s right to freedom of expression, self-determination, and decision-making. </w:t>
      </w:r>
    </w:p>
    <w:p w14:paraId="16C22905" w14:textId="1FEB2298" w:rsidR="00A70146" w:rsidRDefault="00D45413" w:rsidP="00112233">
      <w:pPr>
        <w:pStyle w:val="ListParagraph"/>
        <w:numPr>
          <w:ilvl w:val="0"/>
          <w:numId w:val="52"/>
        </w:numPr>
        <w:ind w:left="363"/>
      </w:pPr>
      <w:r>
        <w:t>The</w:t>
      </w:r>
      <w:r w:rsidR="008F2697">
        <w:t xml:space="preserve"> </w:t>
      </w:r>
      <w:r w:rsidRPr="373E1184">
        <w:rPr>
          <w:b/>
          <w:bCs/>
        </w:rPr>
        <w:t>Aged Care Quality Standards</w:t>
      </w:r>
      <w:r>
        <w:t xml:space="preserve"> </w:t>
      </w:r>
      <w:r w:rsidR="00E5362E">
        <w:t>set out</w:t>
      </w:r>
      <w:r>
        <w:t xml:space="preserve"> the expectations </w:t>
      </w:r>
      <w:r w:rsidR="005D35E4">
        <w:t xml:space="preserve">on </w:t>
      </w:r>
      <w:r w:rsidR="00C81F0B">
        <w:t>certain</w:t>
      </w:r>
      <w:r>
        <w:t xml:space="preserve"> aged care providers. </w:t>
      </w:r>
      <w:r w:rsidR="00137ACC">
        <w:t xml:space="preserve">The Standards have been revised and strengthened as part of the Act. </w:t>
      </w:r>
      <w:r w:rsidR="00D4440F">
        <w:t xml:space="preserve">The Standards ensure that the care and services an aged care provider delivers are safe, high quality and meet the needs and preferences of the people under their care. </w:t>
      </w:r>
      <w:r>
        <w:t xml:space="preserve">Supported decision-making </w:t>
      </w:r>
      <w:r w:rsidR="00E5362E">
        <w:t>and registered supporters are</w:t>
      </w:r>
      <w:r>
        <w:t xml:space="preserve"> included </w:t>
      </w:r>
      <w:r w:rsidR="004B2BC5">
        <w:t xml:space="preserve">in the Standards </w:t>
      </w:r>
      <w:r>
        <w:t xml:space="preserve">as a key element of </w:t>
      </w:r>
      <w:r w:rsidR="00485AA7">
        <w:t xml:space="preserve">Australian Government-funded </w:t>
      </w:r>
      <w:r w:rsidR="004B2BC5">
        <w:t>aged care service delivery</w:t>
      </w:r>
      <w:r w:rsidR="000E1FF4">
        <w:t xml:space="preserve">. </w:t>
      </w:r>
      <w:r w:rsidR="00A70146">
        <w:t>For example</w:t>
      </w:r>
      <w:r w:rsidR="003F6C25">
        <w:t>:</w:t>
      </w:r>
    </w:p>
    <w:p w14:paraId="0CC76132" w14:textId="5A530FD9" w:rsidR="00A70146" w:rsidRDefault="00A70146" w:rsidP="00112233">
      <w:pPr>
        <w:pStyle w:val="ListParagraph"/>
        <w:numPr>
          <w:ilvl w:val="1"/>
          <w:numId w:val="52"/>
        </w:numPr>
        <w:ind w:left="851" w:hanging="425"/>
      </w:pPr>
      <w:r>
        <w:t>S</w:t>
      </w:r>
      <w:r w:rsidR="004B2BC5">
        <w:t>tandard 1 (Choice, Independence and Quality of Life)</w:t>
      </w:r>
      <w:r>
        <w:t xml:space="preserve"> states that the relationship between</w:t>
      </w:r>
      <w:r w:rsidR="00931DD5">
        <w:t xml:space="preserve"> older people</w:t>
      </w:r>
      <w:r>
        <w:t xml:space="preserve"> and </w:t>
      </w:r>
      <w:r w:rsidR="004A5B41">
        <w:t>their supporters</w:t>
      </w:r>
      <w:r>
        <w:t xml:space="preserve"> is recognised and respected, </w:t>
      </w:r>
    </w:p>
    <w:p w14:paraId="7A97EA7B" w14:textId="7CB576EA" w:rsidR="00BC0454" w:rsidRDefault="00BC0454" w:rsidP="00112233">
      <w:pPr>
        <w:pStyle w:val="ListParagraph"/>
        <w:numPr>
          <w:ilvl w:val="1"/>
          <w:numId w:val="52"/>
        </w:numPr>
        <w:ind w:left="851" w:hanging="425"/>
      </w:pPr>
      <w:r>
        <w:t>Standard 2 (</w:t>
      </w:r>
      <w:r w:rsidR="003F6C25">
        <w:t xml:space="preserve">The Organisation) states that the provider encourages and supports </w:t>
      </w:r>
      <w:r w:rsidR="00244943">
        <w:t>older people</w:t>
      </w:r>
      <w:r w:rsidR="003F6C25">
        <w:t xml:space="preserve">, their </w:t>
      </w:r>
      <w:r w:rsidR="00C50C8D">
        <w:t xml:space="preserve">registered </w:t>
      </w:r>
      <w:r w:rsidR="003F6C25">
        <w:t xml:space="preserve">supporters, and others to make complaints and give feedback, and </w:t>
      </w:r>
    </w:p>
    <w:p w14:paraId="5DE9073C" w14:textId="7FC60A2C" w:rsidR="00925D12" w:rsidRDefault="004B2BC5" w:rsidP="00112233">
      <w:pPr>
        <w:pStyle w:val="ListParagraph"/>
        <w:numPr>
          <w:ilvl w:val="1"/>
          <w:numId w:val="52"/>
        </w:numPr>
        <w:ind w:left="851" w:hanging="425"/>
      </w:pPr>
      <w:r>
        <w:t>Standard 3 (Care and Services)</w:t>
      </w:r>
      <w:r w:rsidR="004A5B41">
        <w:t xml:space="preserve"> states that </w:t>
      </w:r>
      <w:r w:rsidR="00C50C8D">
        <w:t xml:space="preserve">registered </w:t>
      </w:r>
      <w:r w:rsidR="004A5B41">
        <w:t xml:space="preserve">supporters and other persons supporting </w:t>
      </w:r>
      <w:r w:rsidR="00C50C8D">
        <w:t>an older person</w:t>
      </w:r>
      <w:r w:rsidR="004A5B41">
        <w:t xml:space="preserve"> are recognised as partners in the </w:t>
      </w:r>
      <w:r w:rsidR="00244943">
        <w:t>older person</w:t>
      </w:r>
      <w:r w:rsidR="004A5B41">
        <w:t>’s care and involved in the coordination of funded aged care services.</w:t>
      </w:r>
    </w:p>
    <w:p w14:paraId="43C4069E" w14:textId="4A9FAE30" w:rsidR="00200770" w:rsidRDefault="00200770" w:rsidP="00112233">
      <w:pPr>
        <w:ind w:left="363"/>
      </w:pPr>
      <w:r>
        <w:t xml:space="preserve">Providers should </w:t>
      </w:r>
      <w:r w:rsidR="0048406A">
        <w:t xml:space="preserve">review the Aged Care Quality Standards and guidance materials for further information, at </w:t>
      </w:r>
      <w:hyperlink r:id="rId12" w:history="1">
        <w:r w:rsidR="0048406A" w:rsidRPr="00300A83">
          <w:rPr>
            <w:rStyle w:val="Hyperlink"/>
          </w:rPr>
          <w:t>https://www.agedcarequality.gov.au/providers/quality-standards</w:t>
        </w:r>
      </w:hyperlink>
      <w:r w:rsidR="0048406A">
        <w:t xml:space="preserve">. </w:t>
      </w:r>
    </w:p>
    <w:p w14:paraId="7035B9AB" w14:textId="18AD9E30" w:rsidR="00BA391F" w:rsidRDefault="00F1486E" w:rsidP="00BA391F">
      <w:pPr>
        <w:pStyle w:val="Heading3"/>
      </w:pPr>
      <w:bookmarkStart w:id="9" w:name="_Toc227330316"/>
      <w:r>
        <w:t>Relevant authorities</w:t>
      </w:r>
      <w:bookmarkEnd w:id="9"/>
      <w:r>
        <w:t xml:space="preserve"> </w:t>
      </w:r>
    </w:p>
    <w:p w14:paraId="6133745C" w14:textId="756ADA9D" w:rsidR="00DF172C" w:rsidRDefault="00DF172C" w:rsidP="00DB0C18">
      <w:r>
        <w:t xml:space="preserve">Responsibility for </w:t>
      </w:r>
      <w:r w:rsidR="00F30A96">
        <w:t>regulation and oversight of</w:t>
      </w:r>
      <w:r>
        <w:t xml:space="preserve"> older people’s rights</w:t>
      </w:r>
      <w:r w:rsidR="00F30A96">
        <w:t xml:space="preserve">, safety and </w:t>
      </w:r>
      <w:r w:rsidR="00712365">
        <w:t>wellbeing</w:t>
      </w:r>
      <w:r w:rsidR="00F30A96">
        <w:t xml:space="preserve"> </w:t>
      </w:r>
      <w:r>
        <w:t>in aged care is split across different Australian Government agencies or bodies.</w:t>
      </w:r>
    </w:p>
    <w:p w14:paraId="62289531" w14:textId="6E4E7FFC" w:rsidR="005112B4" w:rsidRDefault="005112B4" w:rsidP="004707D0">
      <w:pPr>
        <w:pStyle w:val="Heading4"/>
      </w:pPr>
      <w:r>
        <w:t xml:space="preserve">Aged Care Quality and Safety Commission </w:t>
      </w:r>
    </w:p>
    <w:p w14:paraId="64716F1B" w14:textId="6AB4AFA4" w:rsidR="007D4056" w:rsidRPr="007D4056" w:rsidRDefault="005112B4" w:rsidP="005112B4">
      <w:r>
        <w:t xml:space="preserve">The </w:t>
      </w:r>
      <w:r w:rsidRPr="004707D0">
        <w:t>Aged Care Quality and Safety Commission</w:t>
      </w:r>
      <w:r w:rsidR="007D4056">
        <w:t xml:space="preserve"> (</w:t>
      </w:r>
      <w:r w:rsidR="007D4056" w:rsidRPr="004707D0">
        <w:rPr>
          <w:b/>
          <w:bCs/>
        </w:rPr>
        <w:t>the Commission</w:t>
      </w:r>
      <w:r w:rsidR="007D4056">
        <w:t xml:space="preserve">) is the national regulator of </w:t>
      </w:r>
      <w:r w:rsidR="00A00A26">
        <w:t xml:space="preserve">Australian Government-funded </w:t>
      </w:r>
      <w:r w:rsidR="007D4056">
        <w:t xml:space="preserve">aged care services. The Commission is made up of the staff of the Commission, the </w:t>
      </w:r>
      <w:r w:rsidR="007D4056" w:rsidRPr="004707D0">
        <w:t>Commissioner of the Aged Care Quality and Safety Commission</w:t>
      </w:r>
      <w:r w:rsidR="007D4056">
        <w:t xml:space="preserve"> (</w:t>
      </w:r>
      <w:r w:rsidR="007D4056" w:rsidRPr="004707D0">
        <w:rPr>
          <w:b/>
          <w:bCs/>
        </w:rPr>
        <w:t>the Commissioner</w:t>
      </w:r>
      <w:r w:rsidR="007D4056">
        <w:t xml:space="preserve">), and </w:t>
      </w:r>
      <w:r w:rsidR="007D4056" w:rsidRPr="007D4056">
        <w:t xml:space="preserve">the </w:t>
      </w:r>
      <w:r w:rsidR="007D4056" w:rsidRPr="004707D0">
        <w:t>Complaints Commissioner of the Aged Care Quality and Safety Commission (</w:t>
      </w:r>
      <w:r w:rsidR="007D4056" w:rsidRPr="007D4056">
        <w:rPr>
          <w:b/>
          <w:bCs/>
        </w:rPr>
        <w:t>the Complaints Commissioner</w:t>
      </w:r>
      <w:r w:rsidR="007D4056" w:rsidRPr="004707D0">
        <w:t>)</w:t>
      </w:r>
      <w:r w:rsidR="007D4056" w:rsidRPr="007D4056">
        <w:t>.</w:t>
      </w:r>
      <w:r w:rsidR="00065F6C">
        <w:t xml:space="preserve"> To perform their functions, the Commissioner and Complaints Commissioner may consult with the System Governor, the Inspector-General of Aged Care, and the Pricing Authority.</w:t>
      </w:r>
      <w:r w:rsidR="00B23C60">
        <w:t xml:space="preserve"> </w:t>
      </w:r>
      <w:r w:rsidR="0009298B">
        <w:t>The Commission builds the capability of older people and those who support them, including registered supporters, to make complaints and give feedback.</w:t>
      </w:r>
    </w:p>
    <w:p w14:paraId="07230B0D" w14:textId="0C18B4C8" w:rsidR="006B5239" w:rsidRPr="000A19FA" w:rsidRDefault="006B5239" w:rsidP="00231592">
      <w:pPr>
        <w:pStyle w:val="IntroPara"/>
        <w:spacing w:before="120"/>
        <w:rPr>
          <w:szCs w:val="28"/>
        </w:rPr>
      </w:pPr>
      <w:r w:rsidRPr="000A19FA">
        <w:rPr>
          <w:szCs w:val="28"/>
        </w:rPr>
        <w:t>The Commissioner</w:t>
      </w:r>
    </w:p>
    <w:p w14:paraId="4BF10F2E" w14:textId="5B19C839" w:rsidR="004C7D8A" w:rsidRDefault="004A7BAE" w:rsidP="00DB0C18">
      <w:r>
        <w:t xml:space="preserve">The Act provides certain functions for </w:t>
      </w:r>
      <w:r w:rsidRPr="00231592">
        <w:t>the</w:t>
      </w:r>
      <w:r w:rsidR="004C7D8A" w:rsidRPr="00231592">
        <w:t xml:space="preserve"> </w:t>
      </w:r>
      <w:r w:rsidR="00701625" w:rsidRPr="00231592">
        <w:t>Commissioner</w:t>
      </w:r>
      <w:r>
        <w:t xml:space="preserve">. These include: </w:t>
      </w:r>
    </w:p>
    <w:p w14:paraId="4D15B466" w14:textId="77777777" w:rsidR="00B22ACD" w:rsidRDefault="004A7BAE" w:rsidP="00112233">
      <w:pPr>
        <w:pStyle w:val="ListParagraph"/>
        <w:numPr>
          <w:ilvl w:val="0"/>
          <w:numId w:val="49"/>
        </w:numPr>
        <w:ind w:left="426" w:hanging="357"/>
        <w:contextualSpacing w:val="0"/>
      </w:pPr>
      <w:r>
        <w:lastRenderedPageBreak/>
        <w:t xml:space="preserve">Safeguarding functions, </w:t>
      </w:r>
      <w:r w:rsidR="00157FBB">
        <w:t xml:space="preserve">including </w:t>
      </w:r>
      <w:r w:rsidR="00410746">
        <w:t xml:space="preserve">to </w:t>
      </w:r>
      <w:r w:rsidR="00157FBB">
        <w:t>uphold the Statement of Right</w:t>
      </w:r>
      <w:r w:rsidR="00410746">
        <w:t xml:space="preserve">s, promote continuous improvement for </w:t>
      </w:r>
      <w:r w:rsidR="00963F94">
        <w:t>aged care</w:t>
      </w:r>
      <w:r w:rsidR="00410746">
        <w:t xml:space="preserve"> providers and their workers, </w:t>
      </w:r>
      <w:r w:rsidR="00ED00A5">
        <w:t xml:space="preserve">ensure </w:t>
      </w:r>
      <w:r w:rsidR="00963F94">
        <w:t>aged care</w:t>
      </w:r>
      <w:r w:rsidR="00ED00A5">
        <w:t xml:space="preserve"> providers’ compliance with the Act, and </w:t>
      </w:r>
      <w:r w:rsidR="00703A70">
        <w:t xml:space="preserve">ensure </w:t>
      </w:r>
      <w:r w:rsidR="00ED00A5">
        <w:t>aged care workers comply with their obligations under the Act (including the Code of Conduct for Aged Care).</w:t>
      </w:r>
      <w:r w:rsidR="00285394">
        <w:t xml:space="preserve"> The C</w:t>
      </w:r>
      <w:r w:rsidR="00786D58">
        <w:t xml:space="preserve">ommissioner monitors the delivery of </w:t>
      </w:r>
      <w:r w:rsidR="00B13BC8">
        <w:t>Australian Government-funded</w:t>
      </w:r>
      <w:r w:rsidR="00786D58">
        <w:t xml:space="preserve"> aged care services, including through a complaints and feedback function (including whistleblowers), and can take enforcement actions where required when providers and/or aged care workers do not meet their legislated obligations. </w:t>
      </w:r>
    </w:p>
    <w:p w14:paraId="356B496D" w14:textId="77777777" w:rsidR="00B22ACD" w:rsidRDefault="004A7BAE" w:rsidP="00112233">
      <w:pPr>
        <w:pStyle w:val="ListParagraph"/>
        <w:numPr>
          <w:ilvl w:val="0"/>
          <w:numId w:val="49"/>
        </w:numPr>
        <w:ind w:left="426" w:hanging="357"/>
        <w:contextualSpacing w:val="0"/>
      </w:pPr>
      <w:r>
        <w:t xml:space="preserve">Engagement and education functions, </w:t>
      </w:r>
      <w:r w:rsidR="00ED00A5">
        <w:t>including engaging with older people and their supporters to lea</w:t>
      </w:r>
      <w:r w:rsidR="00703A70">
        <w:t>r</w:t>
      </w:r>
      <w:r w:rsidR="00ED00A5">
        <w:t>n about their experiences with aged care services</w:t>
      </w:r>
      <w:r w:rsidR="00894AF7">
        <w:t>, and to de</w:t>
      </w:r>
      <w:r w:rsidR="00206667">
        <w:t>velop</w:t>
      </w:r>
      <w:r w:rsidR="00894AF7">
        <w:t xml:space="preserve"> best practice models for </w:t>
      </w:r>
      <w:r w:rsidR="00963F94">
        <w:t>aged care</w:t>
      </w:r>
      <w:r w:rsidR="00894AF7">
        <w:t xml:space="preserve"> providers and workers.</w:t>
      </w:r>
    </w:p>
    <w:p w14:paraId="4AEC7D8A" w14:textId="20674914" w:rsidR="004A7BAE" w:rsidRDefault="00285394" w:rsidP="00112233">
      <w:pPr>
        <w:pStyle w:val="ListParagraph"/>
        <w:numPr>
          <w:ilvl w:val="0"/>
          <w:numId w:val="49"/>
        </w:numPr>
        <w:ind w:left="426" w:hanging="357"/>
        <w:contextualSpacing w:val="0"/>
      </w:pPr>
      <w:r>
        <w:t>Registration of providers functions</w:t>
      </w:r>
      <w:r w:rsidR="00894AF7">
        <w:t xml:space="preserve">, </w:t>
      </w:r>
      <w:r w:rsidR="008A68DE">
        <w:t xml:space="preserve">including </w:t>
      </w:r>
      <w:r w:rsidR="005B29E1">
        <w:t>registrati</w:t>
      </w:r>
      <w:r w:rsidR="00206667">
        <w:t>on</w:t>
      </w:r>
      <w:r w:rsidR="005B29E1">
        <w:t xml:space="preserve">, </w:t>
      </w:r>
      <w:r w:rsidR="008A68DE">
        <w:t xml:space="preserve">variation, suspension and revocation of the registration of </w:t>
      </w:r>
      <w:r w:rsidR="00963F94">
        <w:t>aged care</w:t>
      </w:r>
      <w:r w:rsidR="008A68DE">
        <w:t xml:space="preserve"> providers, </w:t>
      </w:r>
      <w:r w:rsidR="00574446">
        <w:t xml:space="preserve">and </w:t>
      </w:r>
      <w:r w:rsidR="008A68DE">
        <w:t xml:space="preserve">monitoring the </w:t>
      </w:r>
      <w:r w:rsidR="00060DC4">
        <w:t>delivery</w:t>
      </w:r>
      <w:r w:rsidR="008A68DE">
        <w:t xml:space="preserve"> of funded aged care services.</w:t>
      </w:r>
      <w:r w:rsidR="004A7BAE">
        <w:t xml:space="preserve"> </w:t>
      </w:r>
    </w:p>
    <w:p w14:paraId="4ECFA1A7" w14:textId="6747CEE8" w:rsidR="00571F50" w:rsidRPr="000A19FA" w:rsidRDefault="00571F50" w:rsidP="00231592">
      <w:pPr>
        <w:pStyle w:val="IntroPara"/>
        <w:spacing w:before="120"/>
        <w:rPr>
          <w:szCs w:val="28"/>
        </w:rPr>
      </w:pPr>
      <w:r w:rsidRPr="000A19FA">
        <w:rPr>
          <w:szCs w:val="28"/>
        </w:rPr>
        <w:t>The Complaints Commissioner</w:t>
      </w:r>
    </w:p>
    <w:p w14:paraId="25B80694" w14:textId="6FB3376D" w:rsidR="004C7D8A" w:rsidRDefault="002C2B44" w:rsidP="00DB0C18">
      <w:r>
        <w:t xml:space="preserve">The Act sets out </w:t>
      </w:r>
      <w:r w:rsidR="00B6528B">
        <w:t xml:space="preserve">the </w:t>
      </w:r>
      <w:r>
        <w:t xml:space="preserve">complaint functions </w:t>
      </w:r>
      <w:r w:rsidR="00B6528B">
        <w:t>of</w:t>
      </w:r>
      <w:r>
        <w:t xml:space="preserve"> the</w:t>
      </w:r>
      <w:r w:rsidR="007D4056">
        <w:t xml:space="preserve"> </w:t>
      </w:r>
      <w:r w:rsidR="007D4056" w:rsidRPr="004707D0">
        <w:rPr>
          <w:b/>
          <w:bCs/>
        </w:rPr>
        <w:t>Complaints Commissioner</w:t>
      </w:r>
      <w:r>
        <w:t>.</w:t>
      </w:r>
      <w:r w:rsidR="00BA5D69">
        <w:t xml:space="preserve"> These functions include that the</w:t>
      </w:r>
      <w:r>
        <w:t xml:space="preserve"> Complaints Commissioner</w:t>
      </w:r>
      <w:r w:rsidR="00DF33DE">
        <w:t xml:space="preserve"> upholds the Statement of Rights by maintaining processes for </w:t>
      </w:r>
      <w:r w:rsidR="00206667">
        <w:t>complaint-making</w:t>
      </w:r>
      <w:r w:rsidR="00DF33DE">
        <w:t xml:space="preserve"> about </w:t>
      </w:r>
      <w:r w:rsidR="00BA5D69">
        <w:t>the compliance of a</w:t>
      </w:r>
      <w:r w:rsidR="00963F94">
        <w:t>n</w:t>
      </w:r>
      <w:r w:rsidR="00BA5D69">
        <w:t xml:space="preserve"> </w:t>
      </w:r>
      <w:r w:rsidR="00963F94">
        <w:t>aged care</w:t>
      </w:r>
      <w:r w:rsidR="00BA5D69">
        <w:t xml:space="preserve"> provider, responsible person, or aged care worker with the Act. </w:t>
      </w:r>
      <w:r w:rsidR="00B8262D">
        <w:t>The Complaints Commissioner may also deal with and resolve complaints.</w:t>
      </w:r>
      <w:r w:rsidR="007D4056">
        <w:t xml:space="preserve"> </w:t>
      </w:r>
    </w:p>
    <w:p w14:paraId="6DB199A6" w14:textId="000B9584" w:rsidR="00FA0805" w:rsidDel="005112B4" w:rsidRDefault="530F028B" w:rsidP="004707D0">
      <w:pPr>
        <w:pStyle w:val="Heading4"/>
      </w:pPr>
      <w:r>
        <w:t xml:space="preserve">The </w:t>
      </w:r>
      <w:r w:rsidR="12B994BC">
        <w:t>System Governor</w:t>
      </w:r>
    </w:p>
    <w:p w14:paraId="2B30CF45" w14:textId="7233F4AC" w:rsidR="00925D12" w:rsidRDefault="004C7D8A" w:rsidP="00DB0C18">
      <w:r>
        <w:t xml:space="preserve">The </w:t>
      </w:r>
      <w:r w:rsidRPr="00DB6407">
        <w:t>System Governor</w:t>
      </w:r>
      <w:r w:rsidR="002E5D32">
        <w:t xml:space="preserve"> undertakes many functions under the Act</w:t>
      </w:r>
      <w:r>
        <w:t xml:space="preserve"> </w:t>
      </w:r>
      <w:r w:rsidR="002E5D32">
        <w:t xml:space="preserve">and is </w:t>
      </w:r>
      <w:r w:rsidR="00E44A45">
        <w:t xml:space="preserve">performed by the Secretary of the Department of Health, </w:t>
      </w:r>
      <w:r w:rsidR="004435E9">
        <w:t>Disability, and</w:t>
      </w:r>
      <w:r w:rsidR="00E44A45">
        <w:t xml:space="preserve"> Ag</w:t>
      </w:r>
      <w:r w:rsidR="00F14EDD">
        <w:t>e</w:t>
      </w:r>
      <w:r w:rsidR="00E44A45">
        <w:t xml:space="preserve">ing (the </w:t>
      </w:r>
      <w:r w:rsidR="00D726A9">
        <w:t>d</w:t>
      </w:r>
      <w:r w:rsidR="00E44A45">
        <w:t>epartment</w:t>
      </w:r>
      <w:r w:rsidR="00406DC0">
        <w:t>)</w:t>
      </w:r>
      <w:r w:rsidR="00E44A45">
        <w:t xml:space="preserve"> and its delegates</w:t>
      </w:r>
      <w:r w:rsidR="0067225A">
        <w:t xml:space="preserve">. </w:t>
      </w:r>
      <w:r w:rsidR="00D726A9">
        <w:t xml:space="preserve">The System Governor, in tandem with </w:t>
      </w:r>
      <w:r w:rsidR="00BE3452">
        <w:t xml:space="preserve">the </w:t>
      </w:r>
      <w:r w:rsidR="00D726A9">
        <w:t xml:space="preserve">department, is responsible for the operations and oversight of the aged care system. This includes </w:t>
      </w:r>
      <w:r w:rsidR="00D726A9" w:rsidRPr="00EA65E0">
        <w:t>facilitating equitable access to funded aged care services for older people</w:t>
      </w:r>
      <w:r w:rsidR="00D726A9">
        <w:t xml:space="preserve">, </w:t>
      </w:r>
      <w:r w:rsidR="00D726A9" w:rsidRPr="00EA65E0">
        <w:t>protecting</w:t>
      </w:r>
      <w:r w:rsidR="00D726A9">
        <w:t xml:space="preserve"> </w:t>
      </w:r>
      <w:r w:rsidR="00D726A9" w:rsidRPr="00EA65E0">
        <w:t>and upholding the integrity of the aged care system</w:t>
      </w:r>
      <w:r w:rsidR="00D726A9" w:rsidRPr="00183EBD">
        <w:t xml:space="preserve"> and </w:t>
      </w:r>
      <w:r w:rsidR="00D726A9" w:rsidRPr="00EA65E0">
        <w:t>reviewing the Australian Government’s administration of the system.</w:t>
      </w:r>
      <w:r w:rsidR="00D726A9">
        <w:t xml:space="preserve"> </w:t>
      </w:r>
    </w:p>
    <w:p w14:paraId="45F87571" w14:textId="19F5428E" w:rsidR="004C7D8A" w:rsidRDefault="00D726A9" w:rsidP="00DB0C18">
      <w:r>
        <w:t>The System Governor also r</w:t>
      </w:r>
      <w:r w:rsidR="0067225A">
        <w:t>egis</w:t>
      </w:r>
      <w:r>
        <w:t>ters</w:t>
      </w:r>
      <w:r w:rsidR="0067225A">
        <w:t xml:space="preserve"> supporters</w:t>
      </w:r>
      <w:r>
        <w:t>, including</w:t>
      </w:r>
      <w:r w:rsidR="0067225A">
        <w:t xml:space="preserve"> suspen</w:t>
      </w:r>
      <w:r>
        <w:t>ding</w:t>
      </w:r>
      <w:r w:rsidR="0067225A">
        <w:t xml:space="preserve"> and cancel</w:t>
      </w:r>
      <w:r>
        <w:t>ling</w:t>
      </w:r>
      <w:r w:rsidR="0067225A">
        <w:t xml:space="preserve"> supporter registrations.</w:t>
      </w:r>
      <w:r w:rsidR="00D52FEB">
        <w:t xml:space="preserve"> </w:t>
      </w:r>
      <w:r w:rsidR="00FA0805">
        <w:t xml:space="preserve">The main </w:t>
      </w:r>
      <w:r w:rsidR="001021DC">
        <w:t xml:space="preserve">pathway to provide information to the System Governor is through </w:t>
      </w:r>
      <w:r w:rsidR="001021DC" w:rsidRPr="004707D0">
        <w:rPr>
          <w:b/>
          <w:bCs/>
        </w:rPr>
        <w:t>My Aged Care</w:t>
      </w:r>
      <w:r w:rsidR="001021DC">
        <w:t>.</w:t>
      </w:r>
    </w:p>
    <w:p w14:paraId="4FBE5FEA" w14:textId="12733233" w:rsidR="0084603D" w:rsidRDefault="00C97E4C" w:rsidP="00083C3A">
      <w:pPr>
        <w:pStyle w:val="Heading3"/>
      </w:pPr>
      <w:bookmarkStart w:id="10" w:name="_Toc227330317"/>
      <w:r>
        <w:t>S</w:t>
      </w:r>
      <w:r w:rsidR="0084603D">
        <w:t>upported decision-making in the regulatory context</w:t>
      </w:r>
      <w:bookmarkEnd w:id="10"/>
    </w:p>
    <w:p w14:paraId="2AC8C4A0" w14:textId="334D86EB" w:rsidR="00151FAE" w:rsidRDefault="00151FAE" w:rsidP="00151FAE">
      <w:r>
        <w:t>The role of a registered supporter is informed by principles of supported decision-making. This is because r</w:t>
      </w:r>
      <w:r w:rsidRPr="00251BE9">
        <w:t>egistered supporters help older people to make and communicate their own aged care decisions</w:t>
      </w:r>
      <w:r w:rsidR="00C96A00">
        <w:t>. Regist</w:t>
      </w:r>
      <w:r w:rsidR="00042D70">
        <w:t>ered</w:t>
      </w:r>
      <w:r w:rsidR="00C96A00">
        <w:t xml:space="preserve"> supporters </w:t>
      </w:r>
      <w:r w:rsidR="00042D70">
        <w:t xml:space="preserve">must also act to promote </w:t>
      </w:r>
      <w:r>
        <w:t>the older person’s will and preferences. Registered supporters provide support only when requested by the older person, and to the extent necessary for the older person to make their own decisions</w:t>
      </w:r>
      <w:r w:rsidRPr="00251BE9">
        <w:t>.</w:t>
      </w:r>
      <w:r>
        <w:t xml:space="preserve"> </w:t>
      </w:r>
    </w:p>
    <w:p w14:paraId="4B68AADC" w14:textId="14D020DD" w:rsidR="00412FB4" w:rsidRDefault="00151FAE" w:rsidP="004E3AFD">
      <w:r>
        <w:t>To this end, the registered supporter role complements the broader regulatory elements that support an older person’s right to exercise choice and control in decisions that affect their life.</w:t>
      </w:r>
    </w:p>
    <w:p w14:paraId="1F4AFDA7" w14:textId="02262427" w:rsidR="00412FB4" w:rsidRDefault="00412FB4" w:rsidP="00591A9F">
      <w:pPr>
        <w:pStyle w:val="Heading4"/>
      </w:pPr>
      <w:r>
        <w:lastRenderedPageBreak/>
        <w:t xml:space="preserve">Supported decision-making </w:t>
      </w:r>
      <w:r w:rsidR="008F581F">
        <w:t xml:space="preserve">is </w:t>
      </w:r>
      <w:r w:rsidR="008B5374">
        <w:t>not</w:t>
      </w:r>
      <w:r>
        <w:t xml:space="preserve"> depend</w:t>
      </w:r>
      <w:r w:rsidR="008B5374">
        <w:t>ent</w:t>
      </w:r>
      <w:r>
        <w:t xml:space="preserve"> on registered supporters</w:t>
      </w:r>
    </w:p>
    <w:p w14:paraId="47DFEC0D" w14:textId="48F2C7CE" w:rsidR="00F24526" w:rsidRDefault="00412FB4" w:rsidP="00412FB4">
      <w:r w:rsidRPr="00740609">
        <w:t xml:space="preserve">A key change under the Act is that every older person is presumed to have the ability to make </w:t>
      </w:r>
      <w:r>
        <w:t xml:space="preserve">their own aged care </w:t>
      </w:r>
      <w:r w:rsidRPr="00740609">
        <w:t>decisions</w:t>
      </w:r>
      <w:r w:rsidR="00234632">
        <w:t xml:space="preserve"> and to have those decisions respected and recognised by law. This is known as the presumption of capacity.</w:t>
      </w:r>
    </w:p>
    <w:p w14:paraId="4403C8FE" w14:textId="1E748A70" w:rsidR="00412FB4" w:rsidRDefault="00412FB4" w:rsidP="00412FB4">
      <w:r>
        <w:t xml:space="preserve">An older person does not have to register a supporter. </w:t>
      </w:r>
      <w:r w:rsidR="00450768">
        <w:t xml:space="preserve">Some older people might feel they are already supported by their </w:t>
      </w:r>
      <w:proofErr w:type="spellStart"/>
      <w:r w:rsidR="00450768">
        <w:t>carers</w:t>
      </w:r>
      <w:proofErr w:type="spellEnd"/>
      <w:r w:rsidR="00450768">
        <w:t xml:space="preserve"> and other significant people in their lives, without needing any of them to register</w:t>
      </w:r>
      <w:r w:rsidR="00DE269C">
        <w:t xml:space="preserve"> as a</w:t>
      </w:r>
      <w:r w:rsidR="00450768">
        <w:t xml:space="preserve"> supporter. These people can continue to play an important role in supporting an older person, regardless of whether they are a registered supporter. </w:t>
      </w:r>
      <w:r>
        <w:t>Likewise, an older person does not need to receive decision-making support from any person</w:t>
      </w:r>
      <w:r w:rsidR="0095157A">
        <w:t>,</w:t>
      </w:r>
      <w:r>
        <w:t xml:space="preserve"> service</w:t>
      </w:r>
      <w:r w:rsidR="0095157A">
        <w:t xml:space="preserve"> or </w:t>
      </w:r>
      <w:r w:rsidR="00B3581A">
        <w:t>ass</w:t>
      </w:r>
      <w:r w:rsidR="0095157A">
        <w:t>i</w:t>
      </w:r>
      <w:r w:rsidR="00B3581A">
        <w:t>stive technology</w:t>
      </w:r>
      <w:r>
        <w:t xml:space="preserve"> if they do not want or need it.</w:t>
      </w:r>
    </w:p>
    <w:p w14:paraId="60428885" w14:textId="2BB5E8CD" w:rsidR="00412FB4" w:rsidRDefault="00412FB4" w:rsidP="00412FB4">
      <w:r>
        <w:t>Supported decision-making principles and processes do not depend on an older person having a registered supporter. Aged care providers, responsible persons, and aged care workers should implement supported decision-making principles and processes, where appropriate, regardless of the presence or absence of a registered supporter or other person supporting an older person.</w:t>
      </w:r>
    </w:p>
    <w:p w14:paraId="737C44C2" w14:textId="6A539736" w:rsidR="00412FB4" w:rsidRDefault="00412FB4" w:rsidP="00412FB4">
      <w:r>
        <w:t>Older people should remain the centre of decision-making and decisions about their aged care</w:t>
      </w:r>
      <w:r w:rsidR="00F41329">
        <w:t>.</w:t>
      </w:r>
    </w:p>
    <w:p w14:paraId="6E9519D5" w14:textId="57C95E34" w:rsidR="007359A9" w:rsidRDefault="0048406A" w:rsidP="007359A9">
      <w:pPr>
        <w:pStyle w:val="IntroPara"/>
        <w:spacing w:before="120"/>
      </w:pPr>
      <w:r>
        <w:t xml:space="preserve">Carers </w:t>
      </w:r>
    </w:p>
    <w:p w14:paraId="017EDD03" w14:textId="6D971F36" w:rsidR="00D949D0" w:rsidRDefault="007359A9" w:rsidP="007359A9">
      <w:pPr>
        <w:rPr>
          <w:rFonts w:cs="Arial"/>
          <w:bCs/>
        </w:rPr>
      </w:pPr>
      <w:r>
        <w:t>Carers are</w:t>
      </w:r>
      <w:r>
        <w:rPr>
          <w:rFonts w:cs="Arial"/>
        </w:rPr>
        <w:t xml:space="preserve"> recognised </w:t>
      </w:r>
      <w:r>
        <w:t xml:space="preserve">under the Act. A </w:t>
      </w:r>
      <w:r>
        <w:rPr>
          <w:rFonts w:cs="Arial"/>
          <w:bCs/>
        </w:rPr>
        <w:t>carer means a person who provides personal care, support and assistance to another individual who needs it because that other individual is an older individual. A carer is not a person who provides the personal care, support and assistance to the individual</w:t>
      </w:r>
      <w:r w:rsidR="00D949D0">
        <w:rPr>
          <w:rFonts w:cs="Arial"/>
          <w:bCs/>
        </w:rPr>
        <w:t>:</w:t>
      </w:r>
      <w:r w:rsidR="00942D4B">
        <w:rPr>
          <w:rFonts w:cs="Arial"/>
          <w:bCs/>
        </w:rPr>
        <w:t xml:space="preserve"> </w:t>
      </w:r>
    </w:p>
    <w:p w14:paraId="0F19B0FA" w14:textId="77777777" w:rsidR="00D949D0" w:rsidRPr="00D949D0" w:rsidRDefault="007359A9" w:rsidP="00D949D0">
      <w:pPr>
        <w:pStyle w:val="ListParagraph"/>
        <w:numPr>
          <w:ilvl w:val="0"/>
          <w:numId w:val="66"/>
        </w:numPr>
      </w:pPr>
      <w:r w:rsidRPr="00D949D0">
        <w:rPr>
          <w:rFonts w:cs="Arial"/>
          <w:bCs/>
        </w:rPr>
        <w:t xml:space="preserve">as an aged care worker of a registered provider, or </w:t>
      </w:r>
    </w:p>
    <w:p w14:paraId="08D5BABF" w14:textId="3F13394C" w:rsidR="00D949D0" w:rsidRPr="00D949D0" w:rsidRDefault="007359A9" w:rsidP="00D949D0">
      <w:pPr>
        <w:pStyle w:val="ListParagraph"/>
        <w:numPr>
          <w:ilvl w:val="0"/>
          <w:numId w:val="66"/>
        </w:numPr>
      </w:pPr>
      <w:proofErr w:type="gramStart"/>
      <w:r w:rsidRPr="00D949D0">
        <w:rPr>
          <w:rFonts w:cs="Arial"/>
          <w:bCs/>
        </w:rPr>
        <w:t>in the course of</w:t>
      </w:r>
      <w:proofErr w:type="gramEnd"/>
      <w:r w:rsidRPr="00D949D0">
        <w:rPr>
          <w:rFonts w:cs="Arial"/>
          <w:bCs/>
        </w:rPr>
        <w:t xml:space="preserve"> doing voluntary work for a charitable, welfare or community organisation, including as an aged care volunteer visitor, or </w:t>
      </w:r>
    </w:p>
    <w:p w14:paraId="1F6D3A64" w14:textId="51AA2EE4" w:rsidR="007359A9" w:rsidRPr="007359A9" w:rsidRDefault="007359A9" w:rsidP="0040560D">
      <w:pPr>
        <w:pStyle w:val="ListParagraph"/>
        <w:numPr>
          <w:ilvl w:val="0"/>
          <w:numId w:val="66"/>
        </w:numPr>
      </w:pPr>
      <w:r w:rsidRPr="00D949D0">
        <w:rPr>
          <w:rFonts w:cs="Arial"/>
          <w:bCs/>
        </w:rPr>
        <w:t>as part of the requirements of a course of education or training.</w:t>
      </w:r>
    </w:p>
    <w:p w14:paraId="71505CD7" w14:textId="25FD6485" w:rsidR="00BF5FB3" w:rsidRDefault="00BF5FB3" w:rsidP="00BF5FB3">
      <w:r>
        <w:t xml:space="preserve">The Statement of Principles </w:t>
      </w:r>
      <w:r w:rsidR="00BB2B82">
        <w:t xml:space="preserve">under the Act </w:t>
      </w:r>
      <w:r w:rsidR="00572632">
        <w:t xml:space="preserve">provides that the </w:t>
      </w:r>
      <w:r w:rsidR="00572632" w:rsidRPr="00572632">
        <w:t xml:space="preserve">Commonwealth aged care system recognises the valuable contribution carers make to society, consistent with the </w:t>
      </w:r>
      <w:r w:rsidR="00572632" w:rsidRPr="004707D0">
        <w:rPr>
          <w:i/>
          <w:iCs/>
        </w:rPr>
        <w:t>Carer Recognition Act 2010</w:t>
      </w:r>
      <w:r w:rsidR="00F444AD">
        <w:rPr>
          <w:i/>
          <w:iCs/>
        </w:rPr>
        <w:t xml:space="preserve"> </w:t>
      </w:r>
      <w:r w:rsidR="00F444AD" w:rsidRPr="00B61318">
        <w:t>(Cth)</w:t>
      </w:r>
      <w:r w:rsidR="00572632" w:rsidRPr="00B61318">
        <w:t>,</w:t>
      </w:r>
      <w:r w:rsidR="00572632" w:rsidRPr="00572632">
        <w:t xml:space="preserve"> and </w:t>
      </w:r>
      <w:r w:rsidR="00A36014">
        <w:t xml:space="preserve">that </w:t>
      </w:r>
      <w:r w:rsidR="00572632" w:rsidRPr="00572632">
        <w:t xml:space="preserve">carers should be considered partners with registered providers who deliver </w:t>
      </w:r>
      <w:r w:rsidR="00A36014">
        <w:t>Australian Government-</w:t>
      </w:r>
      <w:r w:rsidR="00572632" w:rsidRPr="00572632">
        <w:t>funded aged care services.</w:t>
      </w:r>
    </w:p>
    <w:p w14:paraId="051FAB26" w14:textId="55286EB1" w:rsidR="00EB015C" w:rsidRDefault="00AD3198" w:rsidP="00BF5FB3">
      <w:r>
        <w:t>Carers may be captured where</w:t>
      </w:r>
      <w:r w:rsidR="00EB015C">
        <w:t xml:space="preserve"> the Act</w:t>
      </w:r>
      <w:r>
        <w:t xml:space="preserve">, rules </w:t>
      </w:r>
      <w:r w:rsidR="00F41329">
        <w:t xml:space="preserve">under </w:t>
      </w:r>
      <w:r>
        <w:t xml:space="preserve">the Act, and Quality Standards refer to other persons supporting an older person. </w:t>
      </w:r>
      <w:r w:rsidR="003D37B1">
        <w:t xml:space="preserve">Providers should </w:t>
      </w:r>
      <w:r w:rsidR="00295D6D">
        <w:t>engage with carers</w:t>
      </w:r>
      <w:r w:rsidR="00EF1AE3">
        <w:t xml:space="preserve"> consistent with </w:t>
      </w:r>
      <w:r w:rsidR="00D9677A">
        <w:t xml:space="preserve">these </w:t>
      </w:r>
      <w:r w:rsidR="004D7647">
        <w:t xml:space="preserve">obligations and expectations. </w:t>
      </w:r>
    </w:p>
    <w:p w14:paraId="37DE954E" w14:textId="6131E7E6" w:rsidR="00407A89" w:rsidRDefault="00407A89" w:rsidP="00591A9F">
      <w:pPr>
        <w:pStyle w:val="Heading4"/>
      </w:pPr>
      <w:r>
        <w:t>Supported decision-making should be everyday practice</w:t>
      </w:r>
      <w:r w:rsidR="006B4370">
        <w:t xml:space="preserve"> for all</w:t>
      </w:r>
      <w:r>
        <w:t xml:space="preserve"> </w:t>
      </w:r>
    </w:p>
    <w:p w14:paraId="26F58777" w14:textId="77777777" w:rsidR="005732A1" w:rsidRDefault="00BB08CF" w:rsidP="007725A8">
      <w:r>
        <w:t xml:space="preserve">Aged care providers </w:t>
      </w:r>
      <w:r w:rsidR="00FD6908">
        <w:t>can embed effective supported decision-making processes by making</w:t>
      </w:r>
      <w:r w:rsidR="00F20BF6">
        <w:t xml:space="preserve"> supported decision-making </w:t>
      </w:r>
      <w:r w:rsidR="00F53D4E">
        <w:t xml:space="preserve">and accessibility </w:t>
      </w:r>
      <w:r w:rsidR="00F20BF6">
        <w:t xml:space="preserve">a core </w:t>
      </w:r>
      <w:r w:rsidR="00F53D4E">
        <w:t>principle</w:t>
      </w:r>
      <w:r w:rsidR="00F20BF6">
        <w:t xml:space="preserve"> of everyday service delivery.</w:t>
      </w:r>
      <w:r w:rsidR="006604F1">
        <w:t xml:space="preserve"> </w:t>
      </w:r>
    </w:p>
    <w:p w14:paraId="55706F8D" w14:textId="0965F1AF" w:rsidR="007725A8" w:rsidRDefault="007725A8" w:rsidP="007725A8">
      <w:r>
        <w:t xml:space="preserve">By designing accessibility into processes and service delivery from the outset rather than as an addition for a select group of people, aged care providers can ensure that all older people they provide care and services to benefit from supported decision-making processes, while promoting consistent compliance with the regulatory model for the aged care workforce. </w:t>
      </w:r>
    </w:p>
    <w:p w14:paraId="2414FF88" w14:textId="3FEBC63A" w:rsidR="00B05033" w:rsidRDefault="00B05033" w:rsidP="00412FB4">
      <w:r>
        <w:lastRenderedPageBreak/>
        <w:t>In practice, this might look like</w:t>
      </w:r>
      <w:r w:rsidR="002D7C63">
        <w:t xml:space="preserve"> an aged care provider who</w:t>
      </w:r>
      <w:r>
        <w:t xml:space="preserve">: </w:t>
      </w:r>
    </w:p>
    <w:p w14:paraId="21D53BD1" w14:textId="7F272318" w:rsidR="000A333E" w:rsidRDefault="000A333E" w:rsidP="000A333E">
      <w:pPr>
        <w:pStyle w:val="ListParagraph"/>
        <w:numPr>
          <w:ilvl w:val="0"/>
          <w:numId w:val="65"/>
        </w:numPr>
      </w:pPr>
      <w:r>
        <w:t xml:space="preserve">Applies policies for safety, </w:t>
      </w:r>
      <w:r w:rsidR="00B458D3">
        <w:t xml:space="preserve">privacy, </w:t>
      </w:r>
      <w:r>
        <w:t xml:space="preserve">respect, and support </w:t>
      </w:r>
      <w:r w:rsidR="00E114FB">
        <w:t>to</w:t>
      </w:r>
      <w:r>
        <w:t xml:space="preserve"> all older people they provide care and services to.</w:t>
      </w:r>
    </w:p>
    <w:p w14:paraId="2F98DEE3" w14:textId="5ED7CD44" w:rsidR="00407A89" w:rsidRDefault="00B3581A" w:rsidP="00B05033">
      <w:pPr>
        <w:pStyle w:val="ListParagraph"/>
        <w:numPr>
          <w:ilvl w:val="0"/>
          <w:numId w:val="65"/>
        </w:numPr>
      </w:pPr>
      <w:r>
        <w:t>Accepts</w:t>
      </w:r>
      <w:r w:rsidR="00E36E84">
        <w:t xml:space="preserve"> </w:t>
      </w:r>
      <w:r>
        <w:t>and encourages different</w:t>
      </w:r>
      <w:r w:rsidR="00A450AA">
        <w:t xml:space="preserve"> ways </w:t>
      </w:r>
      <w:r>
        <w:t>of</w:t>
      </w:r>
      <w:r w:rsidR="00A450AA">
        <w:t xml:space="preserve"> receiv</w:t>
      </w:r>
      <w:r>
        <w:t>ing,</w:t>
      </w:r>
      <w:r w:rsidR="00A450AA">
        <w:t xml:space="preserve"> understand</w:t>
      </w:r>
      <w:r>
        <w:t>ing</w:t>
      </w:r>
      <w:r w:rsidR="00A450AA">
        <w:t>, and communicat</w:t>
      </w:r>
      <w:r>
        <w:t>ing</w:t>
      </w:r>
      <w:r w:rsidR="00A450AA">
        <w:t xml:space="preserve"> information </w:t>
      </w:r>
      <w:r>
        <w:t>by</w:t>
      </w:r>
      <w:r w:rsidR="00A450AA">
        <w:t xml:space="preserve"> all </w:t>
      </w:r>
      <w:r w:rsidR="002D7C63">
        <w:t>older people they provide care and services to.</w:t>
      </w:r>
      <w:r w:rsidR="00164A9C">
        <w:t xml:space="preserve"> This includes respect for </w:t>
      </w:r>
      <w:r w:rsidR="00A37995">
        <w:t xml:space="preserve">all kinds of communication, including written, verbal, and non-verbal communication, and communication </w:t>
      </w:r>
      <w:r w:rsidR="00E36E84">
        <w:t>using</w:t>
      </w:r>
      <w:r w:rsidR="00A37995">
        <w:t xml:space="preserve"> assistive technology.</w:t>
      </w:r>
    </w:p>
    <w:p w14:paraId="53CA9AF5" w14:textId="5A9D874E" w:rsidR="002314B9" w:rsidRDefault="00536C65" w:rsidP="00B05033">
      <w:pPr>
        <w:pStyle w:val="ListParagraph"/>
        <w:numPr>
          <w:ilvl w:val="0"/>
          <w:numId w:val="65"/>
        </w:numPr>
      </w:pPr>
      <w:r>
        <w:t xml:space="preserve">Designs </w:t>
      </w:r>
      <w:r w:rsidR="00474389">
        <w:t xml:space="preserve">service delivery </w:t>
      </w:r>
      <w:r w:rsidR="001352FD">
        <w:t>to</w:t>
      </w:r>
      <w:r w:rsidR="00474389">
        <w:t xml:space="preserve"> minimise unnecessary complexity </w:t>
      </w:r>
      <w:r w:rsidR="005334DA">
        <w:t xml:space="preserve">and friction points for all older </w:t>
      </w:r>
      <w:r w:rsidR="002314B9">
        <w:t>people</w:t>
      </w:r>
      <w:r w:rsidR="005334DA">
        <w:t xml:space="preserve"> they provide care and services to</w:t>
      </w:r>
      <w:r w:rsidR="0015759D">
        <w:t>, regardless of cognitive or physical ability.</w:t>
      </w:r>
      <w:r w:rsidR="002314B9">
        <w:t xml:space="preserve"> This </w:t>
      </w:r>
      <w:r w:rsidR="5E1ABBC9">
        <w:t>could include</w:t>
      </w:r>
      <w:r w:rsidR="002314B9">
        <w:t xml:space="preserve"> </w:t>
      </w:r>
    </w:p>
    <w:p w14:paraId="79B748A4" w14:textId="13F3B56B" w:rsidR="00800D0F" w:rsidRDefault="002314B9" w:rsidP="00112233">
      <w:pPr>
        <w:pStyle w:val="ListParagraph"/>
        <w:numPr>
          <w:ilvl w:val="1"/>
          <w:numId w:val="65"/>
        </w:numPr>
        <w:ind w:left="851" w:hanging="425"/>
      </w:pPr>
      <w:r>
        <w:t>Clear communication</w:t>
      </w:r>
      <w:r w:rsidR="00E36E84">
        <w:t xml:space="preserve">, </w:t>
      </w:r>
      <w:r w:rsidR="00346002">
        <w:t>decision-making processes and options that are simple and intuitive</w:t>
      </w:r>
      <w:r w:rsidR="00E36E84">
        <w:t>.</w:t>
      </w:r>
      <w:r w:rsidR="00346002">
        <w:t xml:space="preserve"> </w:t>
      </w:r>
    </w:p>
    <w:p w14:paraId="77D02BA9" w14:textId="5FE9A7BA" w:rsidR="0083326A" w:rsidRDefault="0083326A" w:rsidP="00112233">
      <w:pPr>
        <w:pStyle w:val="ListParagraph"/>
        <w:numPr>
          <w:ilvl w:val="1"/>
          <w:numId w:val="65"/>
        </w:numPr>
        <w:ind w:left="851" w:hanging="425"/>
      </w:pPr>
      <w:r>
        <w:t>Easy</w:t>
      </w:r>
      <w:r w:rsidR="003D390C">
        <w:t>-</w:t>
      </w:r>
      <w:r>
        <w:t>to</w:t>
      </w:r>
      <w:r w:rsidR="003D390C">
        <w:t>-</w:t>
      </w:r>
      <w:r>
        <w:t>understand information that can be presented in formats that suit different needs</w:t>
      </w:r>
      <w:r w:rsidR="005F4BEF">
        <w:t xml:space="preserve">, </w:t>
      </w:r>
      <w:r w:rsidR="00BA7E0C">
        <w:t>such as</w:t>
      </w:r>
      <w:r w:rsidR="005F4BEF">
        <w:t xml:space="preserve"> large print, audio, or tactile formats.</w:t>
      </w:r>
    </w:p>
    <w:p w14:paraId="1795BE87" w14:textId="706A02B7" w:rsidR="00B458D3" w:rsidRDefault="00464B8A" w:rsidP="00112233">
      <w:pPr>
        <w:pStyle w:val="ListParagraph"/>
        <w:numPr>
          <w:ilvl w:val="1"/>
          <w:numId w:val="65"/>
        </w:numPr>
        <w:ind w:left="851" w:hanging="425"/>
      </w:pPr>
      <w:r>
        <w:t>F</w:t>
      </w:r>
      <w:r w:rsidR="003E0B20">
        <w:t>lexibility</w:t>
      </w:r>
      <w:r w:rsidR="00B3581A">
        <w:t xml:space="preserve"> automatically</w:t>
      </w:r>
      <w:r w:rsidR="003E0B20">
        <w:t xml:space="preserve"> </w:t>
      </w:r>
      <w:r>
        <w:t xml:space="preserve">built into </w:t>
      </w:r>
      <w:r w:rsidR="00B458D3">
        <w:t xml:space="preserve">options and timeframes for </w:t>
      </w:r>
      <w:r w:rsidR="00786725">
        <w:t>the older person to make decisions</w:t>
      </w:r>
      <w:r w:rsidR="00B458D3">
        <w:t xml:space="preserve">, </w:t>
      </w:r>
      <w:r w:rsidR="00786725">
        <w:t>not only when explicitly requested</w:t>
      </w:r>
      <w:r w:rsidR="00B458D3">
        <w:t xml:space="preserve"> </w:t>
      </w:r>
      <w:r w:rsidR="00786725">
        <w:t>by</w:t>
      </w:r>
      <w:r w:rsidR="00E36E84">
        <w:t xml:space="preserve"> an</w:t>
      </w:r>
      <w:r w:rsidR="00B458D3">
        <w:t xml:space="preserve"> </w:t>
      </w:r>
      <w:r w:rsidR="00786725">
        <w:t>older person</w:t>
      </w:r>
      <w:r w:rsidR="00E36E84">
        <w:t>.</w:t>
      </w:r>
    </w:p>
    <w:p w14:paraId="380F0A28" w14:textId="666F5B9E" w:rsidR="00151764" w:rsidRDefault="00BB0062" w:rsidP="00112233">
      <w:pPr>
        <w:pStyle w:val="ListParagraph"/>
        <w:numPr>
          <w:ilvl w:val="1"/>
          <w:numId w:val="65"/>
        </w:numPr>
        <w:ind w:left="851" w:hanging="425"/>
      </w:pPr>
      <w:r>
        <w:t>Recognition</w:t>
      </w:r>
      <w:r w:rsidR="00D60135">
        <w:t xml:space="preserve"> of</w:t>
      </w:r>
      <w:r>
        <w:t xml:space="preserve"> </w:t>
      </w:r>
      <w:r w:rsidR="00E36E84">
        <w:t xml:space="preserve">and </w:t>
      </w:r>
      <w:r w:rsidR="005A1FD5">
        <w:t>opportunit</w:t>
      </w:r>
      <w:r w:rsidR="00E36E84">
        <w:t>ies for people to</w:t>
      </w:r>
      <w:r w:rsidR="005A1FD5">
        <w:t xml:space="preserve"> change </w:t>
      </w:r>
      <w:r w:rsidR="00E36E84">
        <w:t xml:space="preserve">their </w:t>
      </w:r>
      <w:r w:rsidR="005A1FD5">
        <w:t>decisions</w:t>
      </w:r>
      <w:r w:rsidR="0002215C">
        <w:t>, will and preferences</w:t>
      </w:r>
      <w:r w:rsidR="00E36E84">
        <w:t xml:space="preserve"> if they wish to do so.</w:t>
      </w:r>
    </w:p>
    <w:p w14:paraId="32B615BE" w14:textId="42CC5624" w:rsidR="00800D0F" w:rsidRDefault="00B3581A" w:rsidP="00112233">
      <w:pPr>
        <w:pStyle w:val="ListParagraph"/>
        <w:numPr>
          <w:ilvl w:val="1"/>
          <w:numId w:val="65"/>
        </w:numPr>
        <w:ind w:left="851" w:hanging="425"/>
      </w:pPr>
      <w:r>
        <w:t>Foundational training</w:t>
      </w:r>
      <w:r w:rsidR="00C555C3">
        <w:t xml:space="preserve"> and ongoing uplift or refreshers for all staff who provide care and services to older people</w:t>
      </w:r>
      <w:r w:rsidR="00E36E84">
        <w:t>.</w:t>
      </w:r>
    </w:p>
    <w:p w14:paraId="3737A920" w14:textId="72A0A158" w:rsidR="00C555C3" w:rsidRDefault="00D16116" w:rsidP="00591A9F">
      <w:r>
        <w:t xml:space="preserve">Effective universal and accessible design </w:t>
      </w:r>
      <w:r w:rsidR="00A962F0">
        <w:t>enables aged care provide</w:t>
      </w:r>
      <w:r w:rsidR="00B3581A">
        <w:t>rs</w:t>
      </w:r>
      <w:r w:rsidR="00A962F0">
        <w:t xml:space="preserve"> </w:t>
      </w:r>
      <w:r w:rsidR="00E36E84">
        <w:t xml:space="preserve">to </w:t>
      </w:r>
      <w:r w:rsidR="00B661B4">
        <w:t xml:space="preserve">embed supported decision-making as part of </w:t>
      </w:r>
      <w:r w:rsidR="000B16A2">
        <w:t>normal day-to-day service delivery and helps to</w:t>
      </w:r>
      <w:r w:rsidR="00A962F0">
        <w:t xml:space="preserve"> support the rights of </w:t>
      </w:r>
      <w:r w:rsidR="00E36E84">
        <w:t xml:space="preserve">all </w:t>
      </w:r>
      <w:r w:rsidR="00A962F0">
        <w:t>older people to make their own aged care decisions</w:t>
      </w:r>
      <w:r w:rsidR="00B3581A">
        <w:t>, with support if necessary.</w:t>
      </w:r>
      <w:r w:rsidR="00A962F0">
        <w:t xml:space="preserve"> </w:t>
      </w:r>
      <w:r w:rsidR="003816F4">
        <w:t>Setting this foundation through procedures, training, and environments</w:t>
      </w:r>
      <w:r w:rsidR="00A962F0">
        <w:t xml:space="preserve"> provides a </w:t>
      </w:r>
      <w:r w:rsidR="002D3A1D">
        <w:t xml:space="preserve">springboard from which to adapt to further supports that each </w:t>
      </w:r>
      <w:r w:rsidR="005D05A5">
        <w:t xml:space="preserve">older </w:t>
      </w:r>
      <w:r w:rsidR="002D3A1D">
        <w:t>person may want or need.</w:t>
      </w:r>
    </w:p>
    <w:p w14:paraId="0166BCA5" w14:textId="77777777" w:rsidR="00412FB4" w:rsidRDefault="00412FB4" w:rsidP="00412FB4">
      <w:pPr>
        <w:pStyle w:val="Heading4"/>
      </w:pPr>
      <w:r>
        <w:t xml:space="preserve">Supported and substitute decision-making </w:t>
      </w:r>
    </w:p>
    <w:p w14:paraId="5D5FA449" w14:textId="0249DDD6" w:rsidR="00412FB4" w:rsidRDefault="00412FB4" w:rsidP="00412FB4">
      <w:r w:rsidRPr="00BC706B">
        <w:t xml:space="preserve">The Act </w:t>
      </w:r>
      <w:r w:rsidR="00774B79">
        <w:t>also</w:t>
      </w:r>
      <w:r w:rsidRPr="00BC706B">
        <w:t xml:space="preserve"> recognises that </w:t>
      </w:r>
      <w:r w:rsidR="001A2BE1">
        <w:t xml:space="preserve">an older person’s </w:t>
      </w:r>
      <w:r w:rsidR="000734A8">
        <w:t>decision-making ability</w:t>
      </w:r>
      <w:r w:rsidR="000734A8" w:rsidRPr="00BC706B">
        <w:t xml:space="preserve"> </w:t>
      </w:r>
      <w:r w:rsidRPr="00BC706B">
        <w:t xml:space="preserve">can fluctuate and seeks to maintain an older person’s </w:t>
      </w:r>
      <w:r w:rsidR="00166A13">
        <w:t>involvement in</w:t>
      </w:r>
      <w:r w:rsidRPr="00BC706B">
        <w:t xml:space="preserve"> their decision-making for as long as possible. </w:t>
      </w:r>
    </w:p>
    <w:p w14:paraId="392E7404" w14:textId="1BCA474E" w:rsidR="00412FB4" w:rsidRDefault="00412FB4" w:rsidP="00412FB4">
      <w:r>
        <w:t xml:space="preserve">Aged care providers should continue to implement supported decision-making practices even if </w:t>
      </w:r>
      <w:r w:rsidR="00774B79">
        <w:t xml:space="preserve">someone else has </w:t>
      </w:r>
      <w:r w:rsidR="00076F62">
        <w:t>authority</w:t>
      </w:r>
      <w:r>
        <w:t xml:space="preserve"> to make decision</w:t>
      </w:r>
      <w:r w:rsidR="005B2B57">
        <w:t>s</w:t>
      </w:r>
      <w:r>
        <w:t xml:space="preserve"> on behalf of the older person. </w:t>
      </w:r>
      <w:r w:rsidR="00774B79">
        <w:t xml:space="preserve">More information about active, appointed decision makers is outlined </w:t>
      </w:r>
      <w:hyperlink w:anchor="_Training" w:history="1">
        <w:r w:rsidR="00774B79" w:rsidRPr="00F831B4">
          <w:rPr>
            <w:rStyle w:val="Hyperlink"/>
          </w:rPr>
          <w:t>below</w:t>
        </w:r>
      </w:hyperlink>
      <w:r w:rsidR="00774B79">
        <w:t xml:space="preserve">. </w:t>
      </w:r>
    </w:p>
    <w:p w14:paraId="08FF815F" w14:textId="297777DA" w:rsidR="002241A4" w:rsidRDefault="002241A4" w:rsidP="00412FB4">
      <w:r>
        <w:t xml:space="preserve">In contrast to supported decision-making, substitute decision-making </w:t>
      </w:r>
      <w:r w:rsidR="00FE5166">
        <w:t>includes a</w:t>
      </w:r>
      <w:r>
        <w:t xml:space="preserve"> range of processes and regimes that involve a person making decisions on another person’s behalf. </w:t>
      </w:r>
      <w:r w:rsidR="00FE5166">
        <w:t>This</w:t>
      </w:r>
      <w:r>
        <w:t xml:space="preserve"> includes</w:t>
      </w:r>
      <w:r w:rsidR="00FE5166">
        <w:t xml:space="preserve"> the</w:t>
      </w:r>
      <w:r>
        <w:t xml:space="preserve"> </w:t>
      </w:r>
      <w:r w:rsidR="00E87772">
        <w:t xml:space="preserve">legal </w:t>
      </w:r>
      <w:r>
        <w:t xml:space="preserve">appointment of guardians, administrators and financial managers to make </w:t>
      </w:r>
      <w:r w:rsidR="686C148B">
        <w:t xml:space="preserve">a particular </w:t>
      </w:r>
      <w:r>
        <w:t>decision on another person’s behalf</w:t>
      </w:r>
      <w:r w:rsidR="00E87772">
        <w:t xml:space="preserve"> under </w:t>
      </w:r>
      <w:r w:rsidR="00E87772" w:rsidRPr="3FB5215F">
        <w:rPr>
          <w:rFonts w:cs="Arial"/>
        </w:rPr>
        <w:t>Commonwealth, state or territory arrangements</w:t>
      </w:r>
      <w:r w:rsidR="00FE5166">
        <w:t>.</w:t>
      </w:r>
    </w:p>
    <w:p w14:paraId="47859223" w14:textId="53E28A4F" w:rsidR="00FE5166" w:rsidRDefault="00412FB4" w:rsidP="00412FB4">
      <w:r>
        <w:t xml:space="preserve">Substitute decision-making should only be used as a last resort, when the older person has experienced or is experiencing a loss in </w:t>
      </w:r>
      <w:r w:rsidR="000734A8">
        <w:t xml:space="preserve">decision-making </w:t>
      </w:r>
      <w:r w:rsidR="00C665EF">
        <w:t xml:space="preserve">capacity </w:t>
      </w:r>
      <w:r>
        <w:t>and cannot make or communicate decisions for themselves</w:t>
      </w:r>
      <w:r w:rsidR="00232E9B">
        <w:t>, despite provision of support</w:t>
      </w:r>
      <w:r>
        <w:t xml:space="preserve">. </w:t>
      </w:r>
    </w:p>
    <w:p w14:paraId="247D1BD0" w14:textId="05A9EEF3" w:rsidR="00B536FB" w:rsidRDefault="006D0C5D" w:rsidP="00412FB4">
      <w:r w:rsidRPr="006D0C5D">
        <w:t xml:space="preserve">The </w:t>
      </w:r>
      <w:r>
        <w:t xml:space="preserve">decision-making </w:t>
      </w:r>
      <w:r w:rsidRPr="006D0C5D">
        <w:t xml:space="preserve">capacity of each person is specific to the decision they are making. This means that the decision-making ability of a person, and their capacity, should be considered in each circumstance. If an active, appointed decision maker seeks to </w:t>
      </w:r>
      <w:proofErr w:type="gramStart"/>
      <w:r w:rsidRPr="006D0C5D">
        <w:t xml:space="preserve">make a </w:t>
      </w:r>
      <w:r w:rsidRPr="006D0C5D">
        <w:lastRenderedPageBreak/>
        <w:t>decision</w:t>
      </w:r>
      <w:proofErr w:type="gramEnd"/>
      <w:r w:rsidRPr="006D0C5D">
        <w:t xml:space="preserve"> on behalf of an older person, they must be able to provide proof that their authority is active and they are acting within the scope of their authority. This may necessitate them providing proof that they have legal decision-making authority for that </w:t>
      </w:r>
      <w:proofErr w:type="gramStart"/>
      <w:r w:rsidRPr="006D0C5D">
        <w:t>particular decision</w:t>
      </w:r>
      <w:proofErr w:type="gramEnd"/>
      <w:r w:rsidRPr="006D0C5D">
        <w:t xml:space="preserve">. Sometimes, they may also be asked to provide medical evidence that the older person does not currently </w:t>
      </w:r>
      <w:proofErr w:type="gramStart"/>
      <w:r w:rsidRPr="006D0C5D">
        <w:t>have the ability to</w:t>
      </w:r>
      <w:proofErr w:type="gramEnd"/>
      <w:r w:rsidRPr="006D0C5D">
        <w:t xml:space="preserve"> make that decision.</w:t>
      </w:r>
    </w:p>
    <w:p w14:paraId="200752DB" w14:textId="02B19561" w:rsidR="006D0C5D" w:rsidRDefault="006D0C5D" w:rsidP="00412FB4">
      <w:r>
        <w:t xml:space="preserve">Further detail on decision-making capacity is available in the policy for </w:t>
      </w:r>
      <w:hyperlink r:id="rId13" w:history="1">
        <w:r w:rsidRPr="00FD093E">
          <w:rPr>
            <w:rStyle w:val="Hyperlink"/>
          </w:rPr>
          <w:t>Capacity in the registered supporter context.</w:t>
        </w:r>
      </w:hyperlink>
    </w:p>
    <w:p w14:paraId="4625872F" w14:textId="32685092" w:rsidR="00412FB4" w:rsidRDefault="00412FB4" w:rsidP="00412FB4">
      <w:r>
        <w:t xml:space="preserve">Even when another person </w:t>
      </w:r>
      <w:proofErr w:type="gramStart"/>
      <w:r>
        <w:t>makes a decision</w:t>
      </w:r>
      <w:proofErr w:type="gramEnd"/>
      <w:r>
        <w:t xml:space="preserve"> on behalf of the older person, the older person should remain involved and </w:t>
      </w:r>
      <w:r w:rsidR="001975AD">
        <w:t>central to</w:t>
      </w:r>
      <w:r>
        <w:t xml:space="preserve"> decisions that affect them, as far as practicable. Doing so will enable aged care providers and their workforce to give effect to their obligations under </w:t>
      </w:r>
      <w:r w:rsidR="00037523">
        <w:t xml:space="preserve">the </w:t>
      </w:r>
      <w:r>
        <w:t>new regulatory model in the Act.</w:t>
      </w:r>
    </w:p>
    <w:p w14:paraId="2A1AB442" w14:textId="77777777" w:rsidR="0084603D" w:rsidRPr="007D1797" w:rsidRDefault="0084603D" w:rsidP="000F470F">
      <w:pPr>
        <w:pStyle w:val="Heading4"/>
      </w:pPr>
      <w:bookmarkStart w:id="11" w:name="_Training"/>
      <w:bookmarkEnd w:id="11"/>
      <w:r>
        <w:t xml:space="preserve">Training </w:t>
      </w:r>
    </w:p>
    <w:p w14:paraId="1E6970F1" w14:textId="77777777" w:rsidR="006044AC" w:rsidRDefault="005F6154" w:rsidP="004E3AFD">
      <w:r>
        <w:t xml:space="preserve">To operate </w:t>
      </w:r>
      <w:r w:rsidR="00ED4537">
        <w:t xml:space="preserve">under the new </w:t>
      </w:r>
      <w:r w:rsidR="00937FDD">
        <w:t>regulatory model, a</w:t>
      </w:r>
      <w:r w:rsidR="004E3AFD" w:rsidRPr="007D1797">
        <w:t xml:space="preserve">ged care providers should ensure that </w:t>
      </w:r>
      <w:r w:rsidR="004E3AFD">
        <w:t>their workforce is trained to confidently and effectively facilitate supported decision-making as appropriate to their role in service delivery. This may include</w:t>
      </w:r>
      <w:r w:rsidR="006044AC">
        <w:t>:</w:t>
      </w:r>
    </w:p>
    <w:p w14:paraId="070D4E66" w14:textId="3273E1EE" w:rsidR="006044AC" w:rsidRDefault="004E3AFD" w:rsidP="00D34396">
      <w:pPr>
        <w:pStyle w:val="ListParagraph"/>
        <w:numPr>
          <w:ilvl w:val="0"/>
          <w:numId w:val="63"/>
        </w:numPr>
      </w:pPr>
      <w:r>
        <w:t xml:space="preserve">understanding what </w:t>
      </w:r>
      <w:r w:rsidR="001060F5">
        <w:t>the</w:t>
      </w:r>
      <w:r>
        <w:t xml:space="preserve"> </w:t>
      </w:r>
      <w:r w:rsidR="00834792">
        <w:t xml:space="preserve">principles of </w:t>
      </w:r>
      <w:r>
        <w:t xml:space="preserve">supported decision-making </w:t>
      </w:r>
      <w:r w:rsidR="00834792">
        <w:t>are</w:t>
      </w:r>
    </w:p>
    <w:p w14:paraId="3E290B2F" w14:textId="6E920750" w:rsidR="006044AC" w:rsidRDefault="004E3AFD" w:rsidP="00D34396">
      <w:pPr>
        <w:pStyle w:val="ListParagraph"/>
        <w:numPr>
          <w:ilvl w:val="0"/>
          <w:numId w:val="63"/>
        </w:numPr>
      </w:pPr>
      <w:r>
        <w:t>respecting an older person’s right to make their own decisions</w:t>
      </w:r>
      <w:r w:rsidR="00F311E5">
        <w:t>,</w:t>
      </w:r>
      <w:r w:rsidR="00C64977">
        <w:t xml:space="preserve"> including those that involve risk</w:t>
      </w:r>
    </w:p>
    <w:p w14:paraId="6E807E9E" w14:textId="18A8EDEB" w:rsidR="006B4370" w:rsidRDefault="006B4370" w:rsidP="006B4370">
      <w:pPr>
        <w:pStyle w:val="ListParagraph"/>
        <w:numPr>
          <w:ilvl w:val="0"/>
          <w:numId w:val="63"/>
        </w:numPr>
      </w:pPr>
      <w:r>
        <w:t>knowing who in an older person’s life is providing support</w:t>
      </w:r>
      <w:r w:rsidR="000678F3">
        <w:t>,</w:t>
      </w:r>
      <w:r>
        <w:t xml:space="preserve"> including an older person’s registered supporter/s (if any)</w:t>
      </w:r>
      <w:r w:rsidR="00CC0C33">
        <w:t>, as well as other people significant to the older person or supporting them</w:t>
      </w:r>
    </w:p>
    <w:p w14:paraId="5D71C98C" w14:textId="131F520D" w:rsidR="006044AC" w:rsidRDefault="00C91A00" w:rsidP="00D34396">
      <w:pPr>
        <w:pStyle w:val="ListParagraph"/>
        <w:numPr>
          <w:ilvl w:val="0"/>
          <w:numId w:val="63"/>
        </w:numPr>
      </w:pPr>
      <w:r>
        <w:t xml:space="preserve">embracing </w:t>
      </w:r>
      <w:r w:rsidR="004E3AFD">
        <w:t xml:space="preserve">how older people can be supported to make decisions, </w:t>
      </w:r>
      <w:r>
        <w:t xml:space="preserve">and </w:t>
      </w:r>
    </w:p>
    <w:p w14:paraId="61E87373" w14:textId="0459ACA9" w:rsidR="006B4370" w:rsidRDefault="006B4370" w:rsidP="00D34396">
      <w:pPr>
        <w:pStyle w:val="ListParagraph"/>
        <w:numPr>
          <w:ilvl w:val="0"/>
          <w:numId w:val="63"/>
        </w:numPr>
      </w:pPr>
      <w:r>
        <w:t>applying supported decision-making principle</w:t>
      </w:r>
      <w:r w:rsidR="300B69AB">
        <w:t xml:space="preserve">s </w:t>
      </w:r>
      <w:r>
        <w:t xml:space="preserve">and practices in everyday service delivery, including: </w:t>
      </w:r>
    </w:p>
    <w:p w14:paraId="14541059" w14:textId="5CACAAD9" w:rsidR="006B4370" w:rsidRDefault="008D105A" w:rsidP="00112233">
      <w:pPr>
        <w:pStyle w:val="ListParagraph"/>
        <w:numPr>
          <w:ilvl w:val="1"/>
          <w:numId w:val="63"/>
        </w:numPr>
        <w:ind w:left="709" w:hanging="425"/>
      </w:pPr>
      <w:r>
        <w:t xml:space="preserve">utilising environments and processes designed to be accessible for all </w:t>
      </w:r>
    </w:p>
    <w:p w14:paraId="111B83DD" w14:textId="2A2F41CC" w:rsidR="008D105A" w:rsidRDefault="009C60C0" w:rsidP="00112233">
      <w:pPr>
        <w:pStyle w:val="ListParagraph"/>
        <w:numPr>
          <w:ilvl w:val="1"/>
          <w:numId w:val="63"/>
        </w:numPr>
        <w:ind w:left="709" w:hanging="425"/>
      </w:pPr>
      <w:r>
        <w:t>offering, accepting, and encouraging different ways of decision-making and communication</w:t>
      </w:r>
    </w:p>
    <w:p w14:paraId="7DCB2F94" w14:textId="2997506A" w:rsidR="005A57C7" w:rsidRDefault="005A57C7" w:rsidP="00112233">
      <w:pPr>
        <w:pStyle w:val="ListParagraph"/>
        <w:numPr>
          <w:ilvl w:val="1"/>
          <w:numId w:val="63"/>
        </w:numPr>
        <w:ind w:left="709" w:hanging="425"/>
      </w:pPr>
      <w:r>
        <w:t xml:space="preserve">adapting to the supports </w:t>
      </w:r>
      <w:r w:rsidR="004032FC">
        <w:t>that individuals want or need for making and communicating their decisions, where possible</w:t>
      </w:r>
      <w:r w:rsidR="27EDBF83">
        <w:t>.</w:t>
      </w:r>
    </w:p>
    <w:p w14:paraId="19D7A241" w14:textId="60BCE687" w:rsidR="004E3AFD" w:rsidRDefault="004E3AFD" w:rsidP="004E3AFD">
      <w:r>
        <w:t xml:space="preserve">Section 152 </w:t>
      </w:r>
      <w:r w:rsidR="00FE50A9">
        <w:t xml:space="preserve">of the Act </w:t>
      </w:r>
      <w:r>
        <w:t>sets out requirements relating to the aged care workforce, including that aged care workers meet any qualifications and training requirements prescribed by the rules.</w:t>
      </w:r>
      <w:r w:rsidR="00AE3274">
        <w:t xml:space="preserve"> The Aged Care Rules 2025 (Cth) </w:t>
      </w:r>
      <w:r w:rsidR="00117C00">
        <w:t xml:space="preserve">(the Rules) </w:t>
      </w:r>
      <w:r w:rsidR="00AE3274">
        <w:t xml:space="preserve">detail </w:t>
      </w:r>
      <w:r w:rsidR="00AE3274" w:rsidRPr="00AE3274">
        <w:t xml:space="preserve">that </w:t>
      </w:r>
      <w:r w:rsidR="00AE3274">
        <w:t xml:space="preserve">an </w:t>
      </w:r>
      <w:r w:rsidR="00AE3274" w:rsidRPr="00AE3274">
        <w:t xml:space="preserve">aged care worker of a registered provider must have appropriate qualifications, skills or experience to provide the funded aged care services that the provider delivers to </w:t>
      </w:r>
      <w:r w:rsidR="00AE3274">
        <w:t>older people</w:t>
      </w:r>
      <w:r w:rsidR="00AE3274" w:rsidRPr="00AE3274">
        <w:t>.</w:t>
      </w:r>
    </w:p>
    <w:p w14:paraId="7C25B78E" w14:textId="4B1F3314" w:rsidR="002B7346" w:rsidRDefault="002B7346" w:rsidP="000F470F">
      <w:pPr>
        <w:pStyle w:val="IntroPara"/>
        <w:spacing w:before="120"/>
      </w:pPr>
      <w:r>
        <w:t>Resources</w:t>
      </w:r>
    </w:p>
    <w:p w14:paraId="40D608DC" w14:textId="084877F2" w:rsidR="005456FF" w:rsidRDefault="005456FF" w:rsidP="004E3AFD">
      <w:r>
        <w:t xml:space="preserve">There are public resources that can assist </w:t>
      </w:r>
      <w:r w:rsidR="00963F94">
        <w:t>aged care</w:t>
      </w:r>
      <w:r>
        <w:t xml:space="preserve"> providers</w:t>
      </w:r>
      <w:r w:rsidR="009520B6">
        <w:t xml:space="preserve"> and their workers</w:t>
      </w:r>
      <w:r>
        <w:t xml:space="preserve"> </w:t>
      </w:r>
      <w:r w:rsidR="00756BDE">
        <w:t xml:space="preserve">to understand, reflect on, and embed supported decision-making in their service delivery. These include: </w:t>
      </w:r>
    </w:p>
    <w:p w14:paraId="6FDE44BE" w14:textId="0F792291" w:rsidR="00756BDE" w:rsidRDefault="0028018B" w:rsidP="00756BDE">
      <w:pPr>
        <w:pStyle w:val="ListParagraph"/>
        <w:numPr>
          <w:ilvl w:val="0"/>
          <w:numId w:val="51"/>
        </w:numPr>
      </w:pPr>
      <w:r>
        <w:t xml:space="preserve">Older Persons Advocacy Network (OPAN) Supported Decision-Making Toolkit: </w:t>
      </w:r>
      <w:hyperlink r:id="rId14" w:history="1">
        <w:r w:rsidRPr="00DF1D3E">
          <w:rPr>
            <w:rStyle w:val="Hyperlink"/>
          </w:rPr>
          <w:t>https://opan.org.au/toolkit/supported-decision-making/</w:t>
        </w:r>
      </w:hyperlink>
    </w:p>
    <w:p w14:paraId="44056E6B" w14:textId="5B6254BA" w:rsidR="00A80F2C" w:rsidRPr="00627053" w:rsidRDefault="00EA091A" w:rsidP="00A80F2C">
      <w:pPr>
        <w:pStyle w:val="ListParagraph"/>
        <w:numPr>
          <w:ilvl w:val="0"/>
          <w:numId w:val="51"/>
        </w:numPr>
        <w:rPr>
          <w:rStyle w:val="Hyperlink"/>
          <w:rFonts w:eastAsia="Arial" w:cs="Arial"/>
          <w:szCs w:val="22"/>
        </w:rPr>
      </w:pPr>
      <w:r>
        <w:lastRenderedPageBreak/>
        <w:t>La Trobe University</w:t>
      </w:r>
      <w:r w:rsidR="00544485">
        <w:t xml:space="preserve">, </w:t>
      </w:r>
      <w:r>
        <w:t>Living with Disability Research Centre</w:t>
      </w:r>
      <w:r w:rsidR="008F49FD">
        <w:t xml:space="preserve">’s Support for Decision Making Practice Framework </w:t>
      </w:r>
      <w:r w:rsidR="00CE25B5">
        <w:t>Learning</w:t>
      </w:r>
      <w:r w:rsidR="008F49FD">
        <w:t xml:space="preserve"> Resource: </w:t>
      </w:r>
      <w:r w:rsidR="00627053">
        <w:fldChar w:fldCharType="begin"/>
      </w:r>
      <w:r w:rsidR="00627053">
        <w:instrText>HYPERLINK "https://www.supportfordecisionmakingresource.com.au/"</w:instrText>
      </w:r>
      <w:r w:rsidR="00627053">
        <w:fldChar w:fldCharType="separate"/>
      </w:r>
      <w:r w:rsidR="008F49FD" w:rsidRPr="00627053">
        <w:rPr>
          <w:rStyle w:val="Hyperlink"/>
        </w:rPr>
        <w:t>https://www.supportfordecisionmakingresource.com.au/</w:t>
      </w:r>
      <w:r w:rsidR="00544485" w:rsidRPr="00627053">
        <w:rPr>
          <w:rStyle w:val="Hyperlink"/>
        </w:rPr>
        <w:t xml:space="preserve"> </w:t>
      </w:r>
    </w:p>
    <w:p w14:paraId="641F04FD" w14:textId="75E9014A" w:rsidR="0028018B" w:rsidRDefault="00627053" w:rsidP="00756BDE">
      <w:pPr>
        <w:pStyle w:val="ListParagraph"/>
        <w:numPr>
          <w:ilvl w:val="0"/>
          <w:numId w:val="51"/>
        </w:numPr>
      </w:pPr>
      <w:r>
        <w:fldChar w:fldCharType="end"/>
      </w:r>
      <w:r w:rsidR="00F440DC">
        <w:t>University of Sydney</w:t>
      </w:r>
      <w:r w:rsidR="004032FC">
        <w:t>,</w:t>
      </w:r>
      <w:r w:rsidR="00F440DC">
        <w:t xml:space="preserve"> </w:t>
      </w:r>
      <w:r w:rsidR="00495C75">
        <w:t xml:space="preserve">Cognitive Decline Partnership Centre: </w:t>
      </w:r>
      <w:hyperlink r:id="rId15" w:history="1">
        <w:r w:rsidR="006A72D0" w:rsidRPr="00DF1D3E">
          <w:rPr>
            <w:rStyle w:val="Hyperlink"/>
          </w:rPr>
          <w:t>https://cdpc.sydney.edu.au/research/planning-decision-making-and-risk/supported-decision-making/</w:t>
        </w:r>
      </w:hyperlink>
      <w:r w:rsidR="006A72D0">
        <w:t xml:space="preserve">. </w:t>
      </w:r>
    </w:p>
    <w:p w14:paraId="2227B38C" w14:textId="33A1FBB9" w:rsidR="006A72D0" w:rsidRDefault="00F148B8" w:rsidP="00083C3A">
      <w:pPr>
        <w:pStyle w:val="ListParagraph"/>
        <w:numPr>
          <w:ilvl w:val="0"/>
          <w:numId w:val="51"/>
        </w:numPr>
      </w:pPr>
      <w:r>
        <w:t>Disability Gateway</w:t>
      </w:r>
      <w:r w:rsidR="002B7346">
        <w:t xml:space="preserve">, Supported Decision-making Hub: </w:t>
      </w:r>
      <w:hyperlink r:id="rId16" w:history="1">
        <w:r w:rsidR="002B7346" w:rsidRPr="00DF1D3E">
          <w:rPr>
            <w:rStyle w:val="Hyperlink"/>
          </w:rPr>
          <w:t>https://www.disabilitygateway.gov.au/sdmhub</w:t>
        </w:r>
      </w:hyperlink>
      <w:r w:rsidR="002B7346">
        <w:t xml:space="preserve">. </w:t>
      </w:r>
    </w:p>
    <w:p w14:paraId="4CBBD80D" w14:textId="5AAF57F1" w:rsidR="00716352" w:rsidRDefault="00716352" w:rsidP="00083C3A">
      <w:pPr>
        <w:pStyle w:val="ListParagraph"/>
        <w:numPr>
          <w:ilvl w:val="0"/>
          <w:numId w:val="51"/>
        </w:numPr>
      </w:pPr>
      <w:r>
        <w:t xml:space="preserve">Learning modules on the Aged Care Act, developed by the Department of Health, Disability and Ageing: </w:t>
      </w:r>
      <w:hyperlink r:id="rId17">
        <w:r w:rsidR="00E45084" w:rsidRPr="7DDDB5ED">
          <w:rPr>
            <w:rStyle w:val="Hyperlink"/>
          </w:rPr>
          <w:t>https://www.health.gov.au/our-work/aged-care-act/prepare/elearning</w:t>
        </w:r>
      </w:hyperlink>
      <w:r w:rsidR="00E45084">
        <w:t xml:space="preserve">. </w:t>
      </w:r>
    </w:p>
    <w:p w14:paraId="2A5D9226" w14:textId="166989A6" w:rsidR="007F3273" w:rsidRDefault="007F3273" w:rsidP="00083C3A">
      <w:pPr>
        <w:pStyle w:val="ListParagraph"/>
        <w:numPr>
          <w:ilvl w:val="0"/>
          <w:numId w:val="51"/>
        </w:numPr>
      </w:pPr>
      <w:r>
        <w:t>Learning module on supported decision-making</w:t>
      </w:r>
      <w:r w:rsidR="000E4284">
        <w:t>,</w:t>
      </w:r>
      <w:r>
        <w:t xml:space="preserve"> developed by the Older</w:t>
      </w:r>
      <w:r w:rsidR="00055FC2">
        <w:t xml:space="preserve"> Persons Advocacy Network</w:t>
      </w:r>
      <w:r w:rsidR="005C1C0C">
        <w:t xml:space="preserve">: </w:t>
      </w:r>
      <w:hyperlink r:id="rId18" w:history="1">
        <w:r w:rsidR="005C1C0C" w:rsidRPr="7DDDB5ED">
          <w:rPr>
            <w:rStyle w:val="Hyperlink"/>
          </w:rPr>
          <w:t>https://opan.org.au/education/training-for-aged-care-professionals/</w:t>
        </w:r>
      </w:hyperlink>
      <w:r w:rsidR="005C1C0C">
        <w:t xml:space="preserve"> </w:t>
      </w:r>
    </w:p>
    <w:p w14:paraId="18AA5F00" w14:textId="204A9399" w:rsidR="00AD6932" w:rsidRPr="00052E2A" w:rsidRDefault="00841914" w:rsidP="00AD6932">
      <w:pPr>
        <w:pStyle w:val="Heading2"/>
        <w:spacing w:line="259" w:lineRule="auto"/>
      </w:pPr>
      <w:bookmarkStart w:id="12" w:name="_Toc227330318"/>
      <w:r>
        <w:t>Provider a</w:t>
      </w:r>
      <w:r w:rsidR="0062013E">
        <w:t>wareness of registered supporters</w:t>
      </w:r>
      <w:bookmarkEnd w:id="12"/>
      <w:r w:rsidR="0062013E">
        <w:t xml:space="preserve"> </w:t>
      </w:r>
    </w:p>
    <w:p w14:paraId="5BC9B35F" w14:textId="4DB83661" w:rsidR="00DE02E9" w:rsidRPr="00A50E2C" w:rsidRDefault="00DE02E9" w:rsidP="00DE02E9">
      <w:r w:rsidRPr="00A50E2C">
        <w:t xml:space="preserve">By understanding who an older person’s registered supporters are, </w:t>
      </w:r>
      <w:r>
        <w:t xml:space="preserve">aged care </w:t>
      </w:r>
      <w:r w:rsidRPr="00A50E2C">
        <w:t>providers can:</w:t>
      </w:r>
    </w:p>
    <w:p w14:paraId="63F32451" w14:textId="77777777" w:rsidR="00DE02E9" w:rsidRPr="00A50E2C" w:rsidRDefault="00DE02E9" w:rsidP="00DE02E9">
      <w:pPr>
        <w:numPr>
          <w:ilvl w:val="0"/>
          <w:numId w:val="59"/>
        </w:numPr>
      </w:pPr>
      <w:r w:rsidRPr="00A50E2C">
        <w:t>help older people in</w:t>
      </w:r>
      <w:r>
        <w:t xml:space="preserve"> their</w:t>
      </w:r>
      <w:r w:rsidRPr="00A50E2C">
        <w:t xml:space="preserve"> care be supported to make their own decisions, if they want support</w:t>
      </w:r>
    </w:p>
    <w:p w14:paraId="01C52B58" w14:textId="020CA3FA" w:rsidR="00DE02E9" w:rsidRPr="00A50E2C" w:rsidRDefault="00DE02E9" w:rsidP="00DE02E9">
      <w:pPr>
        <w:numPr>
          <w:ilvl w:val="0"/>
          <w:numId w:val="59"/>
        </w:numPr>
      </w:pPr>
      <w:r w:rsidRPr="00A50E2C">
        <w:t xml:space="preserve">respect an older person’s </w:t>
      </w:r>
      <w:r w:rsidR="00EE2897">
        <w:t xml:space="preserve">will, preferences and </w:t>
      </w:r>
      <w:r w:rsidR="002F49EA">
        <w:t>decisions</w:t>
      </w:r>
      <w:r w:rsidRPr="00A50E2C">
        <w:t>, including who they want to be supported by and how</w:t>
      </w:r>
      <w:r w:rsidR="00367CBA">
        <w:t xml:space="preserve">, and </w:t>
      </w:r>
      <w:r w:rsidRPr="00A50E2C">
        <w:t xml:space="preserve"> </w:t>
      </w:r>
    </w:p>
    <w:p w14:paraId="041C8260" w14:textId="22E523EC" w:rsidR="00DE02E9" w:rsidRPr="00A50E2C" w:rsidRDefault="00DE02E9" w:rsidP="00DE02E9">
      <w:pPr>
        <w:numPr>
          <w:ilvl w:val="0"/>
          <w:numId w:val="59"/>
        </w:numPr>
      </w:pPr>
      <w:r w:rsidRPr="00A50E2C">
        <w:t>help registered supporters to perform their roles, including</w:t>
      </w:r>
      <w:r>
        <w:t xml:space="preserve"> shar</w:t>
      </w:r>
      <w:r w:rsidR="00263164">
        <w:t>ing</w:t>
      </w:r>
      <w:r w:rsidRPr="00A50E2C">
        <w:t xml:space="preserve"> information with, and receiving information from, registered supporters </w:t>
      </w:r>
      <w:r w:rsidR="00263164">
        <w:t>as</w:t>
      </w:r>
      <w:r w:rsidRPr="00A50E2C">
        <w:t xml:space="preserve"> authorised under the Act.</w:t>
      </w:r>
    </w:p>
    <w:p w14:paraId="3207609B" w14:textId="4EB592E3" w:rsidR="00020E37" w:rsidRDefault="0006491E" w:rsidP="00020E37">
      <w:r>
        <w:t>T</w:t>
      </w:r>
      <w:r w:rsidR="00020E37" w:rsidRPr="004077C4">
        <w:t xml:space="preserve">here is no set timeframe in which to ascertain </w:t>
      </w:r>
      <w:r w:rsidR="00020E37">
        <w:t xml:space="preserve">who </w:t>
      </w:r>
      <w:r w:rsidR="00020E37" w:rsidRPr="004077C4">
        <w:t>an older person</w:t>
      </w:r>
      <w:r w:rsidR="00F82F86">
        <w:t xml:space="preserve"> wants to support them</w:t>
      </w:r>
      <w:r w:rsidR="00514CDD">
        <w:t xml:space="preserve">. It </w:t>
      </w:r>
      <w:r w:rsidR="00020E37" w:rsidRPr="004077C4">
        <w:t xml:space="preserve">should be a continuous </w:t>
      </w:r>
      <w:r w:rsidR="00020E37">
        <w:t>practice</w:t>
      </w:r>
      <w:r w:rsidR="00020E37" w:rsidRPr="004077C4">
        <w:t xml:space="preserve">, as part of </w:t>
      </w:r>
      <w:r w:rsidR="008841A2">
        <w:t xml:space="preserve">an older person’s </w:t>
      </w:r>
      <w:r w:rsidR="00020E37" w:rsidRPr="004077C4">
        <w:t>daily care.</w:t>
      </w:r>
      <w:r w:rsidR="007327C4">
        <w:t xml:space="preserve"> The best way to find out </w:t>
      </w:r>
      <w:r w:rsidR="005502B6">
        <w:t xml:space="preserve">how </w:t>
      </w:r>
      <w:r w:rsidR="005502B6" w:rsidRPr="005F6D6F">
        <w:t>an older person wants to be supported and by whom</w:t>
      </w:r>
      <w:r w:rsidR="007327C4">
        <w:t>, including</w:t>
      </w:r>
      <w:r w:rsidR="00F82F86">
        <w:t xml:space="preserve"> </w:t>
      </w:r>
      <w:r w:rsidR="00BC7EDB">
        <w:t xml:space="preserve">any registered supporters, is by asking the older person. </w:t>
      </w:r>
    </w:p>
    <w:p w14:paraId="3B970A1E" w14:textId="77777777" w:rsidR="0062013E" w:rsidRDefault="0062013E" w:rsidP="000F470F">
      <w:pPr>
        <w:pStyle w:val="Heading3"/>
      </w:pPr>
      <w:bookmarkStart w:id="13" w:name="_Toc227330319"/>
      <w:r>
        <w:t>My Aged Care Service and Support Portal</w:t>
      </w:r>
      <w:bookmarkEnd w:id="13"/>
      <w:r w:rsidRPr="00C54AAA">
        <w:t xml:space="preserve"> </w:t>
      </w:r>
    </w:p>
    <w:p w14:paraId="57E225C4" w14:textId="5AF0A3EA" w:rsidR="007C10AF" w:rsidRDefault="00031C2E" w:rsidP="004077C4">
      <w:r>
        <w:t>Aged care providers</w:t>
      </w:r>
      <w:r w:rsidR="00020E37" w:rsidRPr="00C54AAA">
        <w:t xml:space="preserve"> will need to be aware if an older person in </w:t>
      </w:r>
      <w:r>
        <w:t>their</w:t>
      </w:r>
      <w:r w:rsidR="00020E37" w:rsidRPr="00C54AAA">
        <w:t xml:space="preserve"> care has registered supporters</w:t>
      </w:r>
      <w:r w:rsidR="00FA5E16">
        <w:t>, and if the status of this registration changes</w:t>
      </w:r>
      <w:r w:rsidR="00020E37">
        <w:t xml:space="preserve">. </w:t>
      </w:r>
    </w:p>
    <w:p w14:paraId="45C41F58" w14:textId="20BF4FD7" w:rsidR="005C1072" w:rsidRDefault="004077C4" w:rsidP="004077C4">
      <w:r w:rsidRPr="002766EA">
        <w:t xml:space="preserve">From 1 </w:t>
      </w:r>
      <w:r w:rsidR="00283579">
        <w:t>November</w:t>
      </w:r>
      <w:r w:rsidR="005402A7">
        <w:t xml:space="preserve"> 2025</w:t>
      </w:r>
      <w:r w:rsidRPr="002766EA">
        <w:t>,</w:t>
      </w:r>
      <w:r w:rsidR="00031C2E" w:rsidRPr="002766EA">
        <w:t xml:space="preserve"> </w:t>
      </w:r>
      <w:r w:rsidR="009D092C">
        <w:t xml:space="preserve">Commonwealth-funded </w:t>
      </w:r>
      <w:r w:rsidR="00031C2E" w:rsidRPr="002766EA">
        <w:t>aged care providers</w:t>
      </w:r>
      <w:r w:rsidRPr="002766EA">
        <w:t xml:space="preserve"> </w:t>
      </w:r>
      <w:r w:rsidR="009D092C">
        <w:t>can set up and maintain access to the My Aged Care Service and Support Portal</w:t>
      </w:r>
      <w:r w:rsidR="00B65C2C">
        <w:t xml:space="preserve"> (the Service and Support Portal)</w:t>
      </w:r>
      <w:r w:rsidR="009D092C">
        <w:t>. This means they can c</w:t>
      </w:r>
      <w:r w:rsidRPr="002766EA">
        <w:t xml:space="preserve">heck whether an older person who </w:t>
      </w:r>
      <w:r w:rsidR="00031C2E" w:rsidRPr="002766EA">
        <w:t>they</w:t>
      </w:r>
      <w:r w:rsidRPr="002766EA">
        <w:t xml:space="preserve"> provide care and services to has registered supporters </w:t>
      </w:r>
      <w:r w:rsidR="005C1072" w:rsidRPr="002766EA">
        <w:t xml:space="preserve">by accessing information from </w:t>
      </w:r>
      <w:r w:rsidR="00B65C2C">
        <w:t>the Service and Support Portal</w:t>
      </w:r>
      <w:r w:rsidR="005C1072" w:rsidRPr="002766EA">
        <w:t>.</w:t>
      </w:r>
    </w:p>
    <w:p w14:paraId="0156D41E" w14:textId="6666AB51" w:rsidR="009D092C" w:rsidRDefault="009D092C" w:rsidP="009D092C">
      <w:r w:rsidRPr="002766EA">
        <w:t>The Service and Support Portal</w:t>
      </w:r>
      <w:r w:rsidRPr="002766EA" w:rsidDel="00C93E30">
        <w:t xml:space="preserve"> </w:t>
      </w:r>
      <w:proofErr w:type="gramStart"/>
      <w:r w:rsidRPr="002766EA">
        <w:t>contain</w:t>
      </w:r>
      <w:r>
        <w:t>s</w:t>
      </w:r>
      <w:proofErr w:type="gramEnd"/>
      <w:r w:rsidRPr="002766EA">
        <w:t xml:space="preserve"> the following</w:t>
      </w:r>
      <w:r>
        <w:t xml:space="preserve"> information relating to registered supporters: </w:t>
      </w:r>
    </w:p>
    <w:p w14:paraId="7B142C7B" w14:textId="77777777" w:rsidR="009D092C" w:rsidRDefault="009D092C" w:rsidP="009D092C">
      <w:pPr>
        <w:pStyle w:val="ListParagraph"/>
        <w:numPr>
          <w:ilvl w:val="0"/>
          <w:numId w:val="42"/>
        </w:numPr>
      </w:pPr>
      <w:r>
        <w:t xml:space="preserve">name </w:t>
      </w:r>
    </w:p>
    <w:p w14:paraId="4FFB639E" w14:textId="77777777" w:rsidR="009D092C" w:rsidRDefault="009D092C" w:rsidP="009D092C">
      <w:pPr>
        <w:pStyle w:val="ListParagraph"/>
        <w:numPr>
          <w:ilvl w:val="0"/>
          <w:numId w:val="42"/>
        </w:numPr>
      </w:pPr>
      <w:r>
        <w:t>relationship to the older person</w:t>
      </w:r>
    </w:p>
    <w:p w14:paraId="7A299038" w14:textId="77777777" w:rsidR="009D092C" w:rsidRDefault="009D092C" w:rsidP="009D092C">
      <w:pPr>
        <w:pStyle w:val="ListParagraph"/>
        <w:numPr>
          <w:ilvl w:val="0"/>
          <w:numId w:val="42"/>
        </w:numPr>
      </w:pPr>
      <w:r>
        <w:t>status as a registered supporter</w:t>
      </w:r>
    </w:p>
    <w:p w14:paraId="278E9CCC" w14:textId="77777777" w:rsidR="009D092C" w:rsidRDefault="009D092C" w:rsidP="009D092C">
      <w:pPr>
        <w:pStyle w:val="ListParagraph"/>
        <w:numPr>
          <w:ilvl w:val="0"/>
          <w:numId w:val="42"/>
        </w:numPr>
      </w:pPr>
      <w:r>
        <w:t xml:space="preserve">date registered  </w:t>
      </w:r>
    </w:p>
    <w:p w14:paraId="2521F9AE" w14:textId="0BC735D2" w:rsidR="009D092C" w:rsidRDefault="009D092C" w:rsidP="009D092C">
      <w:pPr>
        <w:pStyle w:val="ListParagraph"/>
        <w:numPr>
          <w:ilvl w:val="0"/>
          <w:numId w:val="42"/>
        </w:numPr>
      </w:pPr>
      <w:r>
        <w:t xml:space="preserve">aged </w:t>
      </w:r>
      <w:r w:rsidR="005839EF">
        <w:t>c</w:t>
      </w:r>
      <w:r>
        <w:t>are ID</w:t>
      </w:r>
    </w:p>
    <w:p w14:paraId="23744B33" w14:textId="77777777" w:rsidR="009D092C" w:rsidRDefault="009D092C" w:rsidP="009D092C">
      <w:pPr>
        <w:pStyle w:val="ListParagraph"/>
        <w:numPr>
          <w:ilvl w:val="0"/>
          <w:numId w:val="42"/>
        </w:numPr>
      </w:pPr>
      <w:r>
        <w:lastRenderedPageBreak/>
        <w:t xml:space="preserve">address, and </w:t>
      </w:r>
    </w:p>
    <w:p w14:paraId="3F75A5D7" w14:textId="77777777" w:rsidR="009D092C" w:rsidRDefault="009D092C" w:rsidP="009D092C">
      <w:pPr>
        <w:pStyle w:val="ListParagraph"/>
        <w:numPr>
          <w:ilvl w:val="0"/>
          <w:numId w:val="42"/>
        </w:numPr>
      </w:pPr>
      <w:r>
        <w:t>contact details.</w:t>
      </w:r>
    </w:p>
    <w:p w14:paraId="1F41AF06" w14:textId="77777777" w:rsidR="001E74C2" w:rsidRDefault="009D092C" w:rsidP="009D092C">
      <w:r>
        <w:t xml:space="preserve">There are four service provider roles in the Service and Support Portal, with varied functionality for client-focussed and organisation-focussed tasks. These roles are Organisation Administrator, Outlet Administrator, Team Leader, and Staff Member. </w:t>
      </w:r>
    </w:p>
    <w:p w14:paraId="232E904D" w14:textId="53DCC494" w:rsidR="009D092C" w:rsidRDefault="009D092C" w:rsidP="009D092C">
      <w:r>
        <w:t xml:space="preserve">Team Leaders and Staff Members can search for and view client records (for referred clients). </w:t>
      </w:r>
      <w:r w:rsidR="001E74C2">
        <w:t>Aged care</w:t>
      </w:r>
      <w:r>
        <w:t xml:space="preserve"> providers </w:t>
      </w:r>
      <w:r w:rsidR="001E74C2">
        <w:t xml:space="preserve">are encouraged </w:t>
      </w:r>
      <w:r>
        <w:t xml:space="preserve">to review the role types they are using to access the Service and Support Portal, to ensure their role aligns with their intended functionality.  </w:t>
      </w:r>
    </w:p>
    <w:p w14:paraId="5EF7D5AC" w14:textId="055ABEB5" w:rsidR="00283579" w:rsidRPr="002766EA" w:rsidRDefault="00283579" w:rsidP="005402A7">
      <w:r w:rsidRPr="002766EA">
        <w:t>Whil</w:t>
      </w:r>
      <w:r w:rsidR="00B45975">
        <w:t>e</w:t>
      </w:r>
      <w:r w:rsidRPr="002766EA">
        <w:t xml:space="preserve"> all aged care providers should check the portal to establish a foundational understanding of who is supporting an older person, they should also engage in ongoing discussions with the older person as </w:t>
      </w:r>
      <w:r w:rsidR="008B0E94">
        <w:t xml:space="preserve">at any time </w:t>
      </w:r>
      <w:r w:rsidRPr="002766EA">
        <w:t xml:space="preserve">there may be changes </w:t>
      </w:r>
      <w:r w:rsidR="008B0E94">
        <w:t>to</w:t>
      </w:r>
      <w:r w:rsidRPr="002766EA">
        <w:t xml:space="preserve"> who an older person is supported by and how. </w:t>
      </w:r>
    </w:p>
    <w:p w14:paraId="25B45654" w14:textId="55955CCD" w:rsidR="00283579" w:rsidRPr="002766EA" w:rsidRDefault="00283579" w:rsidP="005402A7">
      <w:r>
        <w:t xml:space="preserve">My Aged Care will not automatically notify aged care providers if an older person has a registered supporter, or if there are changes to the status of a registered supporter. </w:t>
      </w:r>
      <w:r w:rsidR="00E23324">
        <w:t xml:space="preserve">This includes where a registered supporter has been suspended or cancelled. </w:t>
      </w:r>
    </w:p>
    <w:p w14:paraId="5B6544E0" w14:textId="447DE7EC" w:rsidR="00874001" w:rsidRDefault="00333C17" w:rsidP="00F90B8C">
      <w:r>
        <w:t xml:space="preserve">The </w:t>
      </w:r>
      <w:r w:rsidR="0022600F">
        <w:t xml:space="preserve">My Aged Care </w:t>
      </w:r>
      <w:r>
        <w:t xml:space="preserve">Service and Support Portal will </w:t>
      </w:r>
      <w:r w:rsidR="003E1D74">
        <w:t>only</w:t>
      </w:r>
      <w:r>
        <w:t xml:space="preserve"> display an older person’s </w:t>
      </w:r>
      <w:r w:rsidR="003E1D74">
        <w:t>active</w:t>
      </w:r>
      <w:r>
        <w:t xml:space="preserve"> relationships.</w:t>
      </w:r>
    </w:p>
    <w:p w14:paraId="708BFD69" w14:textId="223C592B" w:rsidR="00136134" w:rsidRDefault="00FF1EC9" w:rsidP="00F90B8C">
      <w:r>
        <w:t xml:space="preserve">Further information on how to access and </w:t>
      </w:r>
      <w:r w:rsidR="00136134">
        <w:t>use</w:t>
      </w:r>
      <w:r>
        <w:t xml:space="preserve"> the My Aged Care Service and Support Portal </w:t>
      </w:r>
      <w:r w:rsidR="00136134">
        <w:t xml:space="preserve">is available on the </w:t>
      </w:r>
      <w:r w:rsidR="00CE054D">
        <w:t>d</w:t>
      </w:r>
      <w:r w:rsidR="00136134">
        <w:t xml:space="preserve">epartment’s website at </w:t>
      </w:r>
      <w:hyperlink r:id="rId19" w:history="1">
        <w:r w:rsidR="00136134" w:rsidRPr="00DF1D3E">
          <w:rPr>
            <w:rStyle w:val="Hyperlink"/>
          </w:rPr>
          <w:t>www.health.gov.au/resources/apps-and-tools/my-aged-care-service-and-support-portal</w:t>
        </w:r>
      </w:hyperlink>
      <w:r w:rsidR="00136134">
        <w:t>.</w:t>
      </w:r>
    </w:p>
    <w:p w14:paraId="15F37B7C" w14:textId="5E7DB381" w:rsidR="00502566" w:rsidRDefault="00502566" w:rsidP="00502566">
      <w:pPr>
        <w:pStyle w:val="Heading2"/>
      </w:pPr>
      <w:bookmarkStart w:id="14" w:name="_Toc227330320"/>
      <w:r>
        <w:t xml:space="preserve">Intersection with </w:t>
      </w:r>
      <w:r w:rsidR="00DB6BC4">
        <w:t xml:space="preserve">Commonwealth, </w:t>
      </w:r>
      <w:r>
        <w:t>state and territory arrangements</w:t>
      </w:r>
      <w:bookmarkEnd w:id="14"/>
      <w:r>
        <w:t xml:space="preserve"> </w:t>
      </w:r>
    </w:p>
    <w:p w14:paraId="38D5066F" w14:textId="77777777" w:rsidR="00502566" w:rsidRPr="00EF73B8" w:rsidRDefault="00502566" w:rsidP="00502566">
      <w:pPr>
        <w:pStyle w:val="Heading4"/>
      </w:pPr>
      <w:r>
        <w:t xml:space="preserve">Active, appointed decision makers </w:t>
      </w:r>
    </w:p>
    <w:p w14:paraId="5F64A79D" w14:textId="304FA26C" w:rsidR="00502566" w:rsidRDefault="00502566" w:rsidP="00502566">
      <w:r w:rsidRPr="00BE5A79">
        <w:t xml:space="preserve">The </w:t>
      </w:r>
      <w:r>
        <w:t>role of a registered supporter</w:t>
      </w:r>
      <w:r w:rsidRPr="00BE5A79">
        <w:t xml:space="preserve"> is intended to operate in parallel with existing </w:t>
      </w:r>
      <w:r w:rsidR="00DB6BC4">
        <w:t xml:space="preserve">Commonwealth, </w:t>
      </w:r>
      <w:r w:rsidRPr="00053763">
        <w:t>state and territory</w:t>
      </w:r>
      <w:r w:rsidR="009F48C1">
        <w:t xml:space="preserve"> decision-making</w:t>
      </w:r>
      <w:r w:rsidR="009F48C1" w:rsidRPr="00BE5A79">
        <w:t xml:space="preserve"> arrangements</w:t>
      </w:r>
      <w:r w:rsidRPr="00BE5A79">
        <w:t>.</w:t>
      </w:r>
      <w:r w:rsidRPr="00BE5A79" w:rsidDel="00BE5A79">
        <w:t xml:space="preserve"> </w:t>
      </w:r>
      <w:r>
        <w:t xml:space="preserve"> </w:t>
      </w:r>
    </w:p>
    <w:p w14:paraId="475C5C9E" w14:textId="41F3EB74" w:rsidR="008764EF" w:rsidRDefault="008764EF" w:rsidP="008764EF">
      <w:r w:rsidRPr="005002F0">
        <w:t>Some registered supporters also have guardianship, enduring power of attorney or similar</w:t>
      </w:r>
      <w:r w:rsidR="009B4443">
        <w:t xml:space="preserve"> legal authority for the older person</w:t>
      </w:r>
      <w:r w:rsidRPr="005002F0">
        <w:t xml:space="preserve">. These people are appointed decision makers for the older person and can make decisions on </w:t>
      </w:r>
      <w:r>
        <w:t xml:space="preserve">their </w:t>
      </w:r>
      <w:r w:rsidRPr="005002F0">
        <w:t xml:space="preserve">behalf under </w:t>
      </w:r>
      <w:r w:rsidR="00DB6BC4">
        <w:t xml:space="preserve">Commonwealth, </w:t>
      </w:r>
      <w:r w:rsidRPr="00053763">
        <w:t>state or territory arrangements.</w:t>
      </w:r>
      <w:r w:rsidRPr="005002F0">
        <w:t xml:space="preserve"> </w:t>
      </w:r>
      <w:r w:rsidR="003C2886">
        <w:t>They can only</w:t>
      </w:r>
      <w:r w:rsidRPr="005002F0">
        <w:t xml:space="preserve"> make decisions on the older person’s behalf in line with their legal authority and if that legal authority is active.</w:t>
      </w:r>
      <w:r w:rsidR="0099065F">
        <w:t xml:space="preserve"> </w:t>
      </w:r>
    </w:p>
    <w:p w14:paraId="337F2354" w14:textId="3C844A63" w:rsidR="00502566" w:rsidRDefault="009D76E4" w:rsidP="00502566">
      <w:r>
        <w:t>These people may be referred to as substitute decision makers or</w:t>
      </w:r>
      <w:r w:rsidR="000E0E4C">
        <w:t xml:space="preserve"> as</w:t>
      </w:r>
      <w:r>
        <w:t xml:space="preserve"> exercising substitute decision-making authority.</w:t>
      </w:r>
      <w:r w:rsidR="00CE025D">
        <w:t xml:space="preserve"> </w:t>
      </w:r>
      <w:r w:rsidR="000A38B6">
        <w:t>Under</w:t>
      </w:r>
      <w:r w:rsidR="00502566">
        <w:t xml:space="preserve"> the Act, these people </w:t>
      </w:r>
      <w:r w:rsidR="007D4A05">
        <w:t>may be</w:t>
      </w:r>
      <w:r w:rsidR="007D4A05" w:rsidRPr="00E7780E">
        <w:t xml:space="preserve"> </w:t>
      </w:r>
      <w:r w:rsidR="00502566" w:rsidRPr="00E7780E">
        <w:t xml:space="preserve">referred to as </w:t>
      </w:r>
      <w:r w:rsidR="00502566">
        <w:t>‘</w:t>
      </w:r>
      <w:r w:rsidR="00502566" w:rsidRPr="00E7780E">
        <w:t xml:space="preserve">guardians </w:t>
      </w:r>
      <w:r w:rsidR="004844B2">
        <w:t>etc</w:t>
      </w:r>
      <w:r w:rsidR="00502566">
        <w:t>’</w:t>
      </w:r>
      <w:r w:rsidR="00502566" w:rsidRPr="00E7780E">
        <w:t>.</w:t>
      </w:r>
      <w:r w:rsidR="00502566">
        <w:t xml:space="preserve"> In policy guidance, these individuals are referred to as ‘</w:t>
      </w:r>
      <w:r w:rsidR="00502566" w:rsidRPr="00083C3A">
        <w:rPr>
          <w:b/>
          <w:bCs/>
        </w:rPr>
        <w:t xml:space="preserve">active, appointed decision </w:t>
      </w:r>
      <w:proofErr w:type="gramStart"/>
      <w:r w:rsidR="00502566" w:rsidRPr="00083C3A">
        <w:rPr>
          <w:b/>
          <w:bCs/>
        </w:rPr>
        <w:t>makers</w:t>
      </w:r>
      <w:r w:rsidR="00502566" w:rsidRPr="00521F28">
        <w:rPr>
          <w:b/>
          <w:bCs/>
        </w:rPr>
        <w:t>’</w:t>
      </w:r>
      <w:proofErr w:type="gramEnd"/>
      <w:r w:rsidR="00502566">
        <w:t xml:space="preserve">. </w:t>
      </w:r>
    </w:p>
    <w:p w14:paraId="2F7B1992" w14:textId="1B7EB350" w:rsidR="00502566" w:rsidRDefault="00502566" w:rsidP="00502566">
      <w:r>
        <w:t xml:space="preserve">Under the Act, a person may </w:t>
      </w:r>
      <w:r w:rsidR="00147FB5">
        <w:t>be</w:t>
      </w:r>
      <w:r>
        <w:t xml:space="preserve"> an appointed decision</w:t>
      </w:r>
      <w:r w:rsidR="00857D5A">
        <w:t xml:space="preserve"> </w:t>
      </w:r>
      <w:r>
        <w:t>maker for an older person if they:</w:t>
      </w:r>
    </w:p>
    <w:p w14:paraId="2090B787" w14:textId="74DD6F60" w:rsidR="00502566" w:rsidRDefault="00502566" w:rsidP="00502566">
      <w:pPr>
        <w:pStyle w:val="ListParagraph"/>
        <w:numPr>
          <w:ilvl w:val="0"/>
          <w:numId w:val="43"/>
        </w:numPr>
      </w:pPr>
      <w:r>
        <w:t xml:space="preserve">have guardianship of the older person under a law of the Commonwealth, a state or a territory </w:t>
      </w:r>
    </w:p>
    <w:p w14:paraId="6ADD8670" w14:textId="3A2691CE" w:rsidR="00502566" w:rsidRDefault="00502566" w:rsidP="00502566">
      <w:pPr>
        <w:pStyle w:val="ListParagraph"/>
        <w:numPr>
          <w:ilvl w:val="0"/>
          <w:numId w:val="43"/>
        </w:numPr>
      </w:pPr>
      <w:r>
        <w:lastRenderedPageBreak/>
        <w:t xml:space="preserve">were appointed by a court, tribunal, board or panel (however described) under a law of the Commonwealth, a state or a territory, and have power to make decisions for the older person </w:t>
      </w:r>
    </w:p>
    <w:p w14:paraId="3B7CE58E" w14:textId="77777777" w:rsidR="00ED46E7" w:rsidRDefault="00502566" w:rsidP="00502566">
      <w:pPr>
        <w:pStyle w:val="ListParagraph"/>
        <w:numPr>
          <w:ilvl w:val="0"/>
          <w:numId w:val="43"/>
        </w:numPr>
      </w:pPr>
      <w:r>
        <w:t>hold an enduring power of attorney or like power, granted by the older person</w:t>
      </w:r>
      <w:r w:rsidR="00ED46E7">
        <w:t>, or</w:t>
      </w:r>
    </w:p>
    <w:p w14:paraId="4F7B7311" w14:textId="32BD73D7" w:rsidR="00502566" w:rsidRDefault="00ED46E7" w:rsidP="00502566">
      <w:pPr>
        <w:pStyle w:val="ListParagraph"/>
        <w:numPr>
          <w:ilvl w:val="0"/>
          <w:numId w:val="43"/>
        </w:numPr>
      </w:pPr>
      <w:r>
        <w:t>are included</w:t>
      </w:r>
      <w:r w:rsidR="004A7B00">
        <w:t xml:space="preserve"> in a prescribed</w:t>
      </w:r>
      <w:r>
        <w:t xml:space="preserve"> class of persons in the Rules</w:t>
      </w:r>
      <w:r w:rsidR="004A7B00">
        <w:t xml:space="preserve">, such as </w:t>
      </w:r>
      <w:r w:rsidR="004A7B00" w:rsidRPr="004A7B00">
        <w:t>restrictive practices substitute decision-makers</w:t>
      </w:r>
      <w:r w:rsidR="00502566">
        <w:t>.</w:t>
      </w:r>
    </w:p>
    <w:p w14:paraId="58EA490E" w14:textId="5C6EA29B" w:rsidR="002D1ECE" w:rsidRDefault="002D1ECE" w:rsidP="000F470F">
      <w:r w:rsidRPr="0090532C">
        <w:t xml:space="preserve">Generally, </w:t>
      </w:r>
      <w:r>
        <w:t>an appointed decision maker’s</w:t>
      </w:r>
      <w:r w:rsidRPr="0090532C">
        <w:t xml:space="preserve"> legal authority becomes active when the older person has </w:t>
      </w:r>
      <w:proofErr w:type="gramStart"/>
      <w:r w:rsidRPr="0090532C">
        <w:t>lost</w:t>
      </w:r>
      <w:r w:rsidR="00D91FFF">
        <w:t>, or</w:t>
      </w:r>
      <w:proofErr w:type="gramEnd"/>
      <w:r w:rsidR="00D91FFF">
        <w:t xml:space="preserve"> is experiencing a loss of</w:t>
      </w:r>
      <w:r w:rsidRPr="0090532C">
        <w:t xml:space="preserve"> </w:t>
      </w:r>
      <w:r w:rsidR="00184207">
        <w:t>capacity</w:t>
      </w:r>
      <w:r w:rsidRPr="0090532C">
        <w:t xml:space="preserve">. This means that, at times, </w:t>
      </w:r>
      <w:r>
        <w:t>the older person</w:t>
      </w:r>
      <w:r w:rsidRPr="0090532C">
        <w:t xml:space="preserve"> may need more intensive decision-making support. </w:t>
      </w:r>
    </w:p>
    <w:p w14:paraId="243008A6" w14:textId="626C5CA6" w:rsidR="0042510A" w:rsidRDefault="0042510A" w:rsidP="000F470F">
      <w:pPr>
        <w:pStyle w:val="IntroPara"/>
        <w:spacing w:before="120"/>
      </w:pPr>
      <w:r>
        <w:t>Registration as a supporter</w:t>
      </w:r>
    </w:p>
    <w:p w14:paraId="4DFA4118" w14:textId="75562E39" w:rsidR="00502566" w:rsidRDefault="00871B73" w:rsidP="00502566">
      <w:r>
        <w:t xml:space="preserve">Active, appointed decision makers </w:t>
      </w:r>
      <w:r w:rsidR="00502566" w:rsidRPr="52AF34F9">
        <w:rPr>
          <w:b/>
          <w:bCs/>
        </w:rPr>
        <w:t>are not required</w:t>
      </w:r>
      <w:r w:rsidR="00502566">
        <w:t xml:space="preserve"> to be registered </w:t>
      </w:r>
      <w:r w:rsidR="006F558F">
        <w:t xml:space="preserve">as a </w:t>
      </w:r>
      <w:r w:rsidR="00502566">
        <w:t>supporter</w:t>
      </w:r>
      <w:r w:rsidR="00E23324">
        <w:t xml:space="preserve"> under the Act</w:t>
      </w:r>
      <w:r w:rsidR="00502566">
        <w:t xml:space="preserve"> to exercise their </w:t>
      </w:r>
      <w:r w:rsidR="006F73CC">
        <w:t xml:space="preserve">Commonwealth, </w:t>
      </w:r>
      <w:r w:rsidR="00502566">
        <w:t xml:space="preserve">state or territory decision-making authority. </w:t>
      </w:r>
      <w:r w:rsidR="00F07E72">
        <w:t xml:space="preserve">However, </w:t>
      </w:r>
      <w:r w:rsidR="006F558F">
        <w:t>register</w:t>
      </w:r>
      <w:r w:rsidR="00571D77">
        <w:t>ing as a</w:t>
      </w:r>
      <w:r w:rsidR="006F558F">
        <w:t xml:space="preserve"> supporter</w:t>
      </w:r>
      <w:r w:rsidR="00265725">
        <w:t xml:space="preserve"> enables</w:t>
      </w:r>
      <w:r w:rsidR="00F07E72">
        <w:t xml:space="preserve"> </w:t>
      </w:r>
      <w:r w:rsidR="00147FB5">
        <w:t>people</w:t>
      </w:r>
      <w:r w:rsidR="00AD07FF">
        <w:t xml:space="preserve"> across the aged care system</w:t>
      </w:r>
      <w:r w:rsidR="00147FB5">
        <w:t xml:space="preserve">, </w:t>
      </w:r>
      <w:r w:rsidR="006F558F">
        <w:t>such as</w:t>
      </w:r>
      <w:r w:rsidR="00147FB5">
        <w:t xml:space="preserve"> aged care providers and workers, </w:t>
      </w:r>
      <w:r w:rsidR="00F66C8A">
        <w:t xml:space="preserve">to </w:t>
      </w:r>
      <w:r w:rsidR="00147FB5">
        <w:t xml:space="preserve">know that the older person </w:t>
      </w:r>
      <w:r w:rsidR="00AD07FF">
        <w:t>is</w:t>
      </w:r>
      <w:r w:rsidR="00147FB5">
        <w:t xml:space="preserve"> supported by them.</w:t>
      </w:r>
    </w:p>
    <w:p w14:paraId="679B9EE0" w14:textId="477E728D" w:rsidR="00954D52" w:rsidRDefault="00954D52" w:rsidP="00954D52">
      <w:pPr>
        <w:pStyle w:val="IntroPara"/>
        <w:spacing w:before="120"/>
      </w:pPr>
      <w:r>
        <w:t>C</w:t>
      </w:r>
      <w:r w:rsidRPr="00954D52">
        <w:t>onsent</w:t>
      </w:r>
      <w:r>
        <w:t xml:space="preserve"> to registering</w:t>
      </w:r>
    </w:p>
    <w:p w14:paraId="08E4516E" w14:textId="1C1BE9B6" w:rsidR="00954D52" w:rsidRDefault="00E135C8" w:rsidP="00954D52">
      <w:r w:rsidRPr="00E135C8">
        <w:t xml:space="preserve">Most supporter relationships are registered with the consent of both the older person and </w:t>
      </w:r>
      <w:r w:rsidR="005D16C2">
        <w:t xml:space="preserve">prospective </w:t>
      </w:r>
      <w:r w:rsidRPr="00E135C8">
        <w:t>supporter.</w:t>
      </w:r>
    </w:p>
    <w:p w14:paraId="71C03C0B" w14:textId="71B98CAC" w:rsidR="00D40D33" w:rsidRPr="00954D52" w:rsidRDefault="009514D4" w:rsidP="000F470F">
      <w:r>
        <w:t>I</w:t>
      </w:r>
      <w:r w:rsidR="00D40D33" w:rsidRPr="00D40D33">
        <w:t xml:space="preserve">f </w:t>
      </w:r>
      <w:r w:rsidR="00D40D33">
        <w:t>a person</w:t>
      </w:r>
      <w:r w:rsidR="00D40D33" w:rsidRPr="00D40D33">
        <w:t xml:space="preserve"> </w:t>
      </w:r>
      <w:r>
        <w:t>wishes to rely on their authority as an</w:t>
      </w:r>
      <w:r w:rsidR="00D40D33">
        <w:t xml:space="preserve"> active, appointed decision maker</w:t>
      </w:r>
      <w:r w:rsidR="00D40D33" w:rsidRPr="00D40D33">
        <w:t xml:space="preserve"> for an older person</w:t>
      </w:r>
      <w:r>
        <w:t xml:space="preserve"> recognised under the Act</w:t>
      </w:r>
      <w:r w:rsidR="00D40D33" w:rsidRPr="00D40D33">
        <w:t>,</w:t>
      </w:r>
      <w:r w:rsidR="00B85A07">
        <w:t xml:space="preserve"> they</w:t>
      </w:r>
      <w:r w:rsidR="00D40D33" w:rsidRPr="00D40D33">
        <w:t xml:space="preserve"> can become a registered supporter without </w:t>
      </w:r>
      <w:r w:rsidR="00B85A07">
        <w:t>the older person’s</w:t>
      </w:r>
      <w:r w:rsidR="00D40D33" w:rsidRPr="00D40D33">
        <w:t xml:space="preserve"> consent.</w:t>
      </w:r>
    </w:p>
    <w:p w14:paraId="510367C3" w14:textId="4BC88766" w:rsidR="000112B4" w:rsidRDefault="000112B4" w:rsidP="000F470F">
      <w:pPr>
        <w:pStyle w:val="IntroPara"/>
        <w:spacing w:before="120"/>
      </w:pPr>
      <w:r>
        <w:t>Limitations of authority</w:t>
      </w:r>
    </w:p>
    <w:p w14:paraId="66D6C16D" w14:textId="3A2479AC" w:rsidR="00FA3ADE" w:rsidRDefault="00321C8A" w:rsidP="00502566">
      <w:r>
        <w:t>A</w:t>
      </w:r>
      <w:r w:rsidR="00502566">
        <w:t>n active, appointed decision</w:t>
      </w:r>
      <w:r w:rsidR="00FA3ADE">
        <w:t xml:space="preserve"> </w:t>
      </w:r>
      <w:r w:rsidR="00502566">
        <w:t xml:space="preserve">maker must only act in accordance with the relevant </w:t>
      </w:r>
      <w:r w:rsidR="006F73CC" w:rsidRPr="00053763">
        <w:t xml:space="preserve">Commonwealth, </w:t>
      </w:r>
      <w:r w:rsidR="00502566" w:rsidRPr="00053763">
        <w:t>state or territory arrangement and comply with any duties and obligations attached to that arrangement</w:t>
      </w:r>
      <w:r>
        <w:t>, regardless of their status as a registered supporter</w:t>
      </w:r>
      <w:r w:rsidR="00502566" w:rsidRPr="00053763">
        <w:t>. This means that an</w:t>
      </w:r>
      <w:r w:rsidR="00502566" w:rsidRPr="00C54AAA">
        <w:t xml:space="preserve"> appointed decision maker can only make decisions on behalf of the older person in line with their active, legal authority</w:t>
      </w:r>
      <w:r w:rsidR="00502566">
        <w:t>.</w:t>
      </w:r>
      <w:r w:rsidR="00FA3ADE">
        <w:t xml:space="preserve"> </w:t>
      </w:r>
    </w:p>
    <w:p w14:paraId="14A02178" w14:textId="7C267808" w:rsidR="00502566" w:rsidRDefault="00FA3ADE" w:rsidP="00502566">
      <w:r>
        <w:t>For example, a</w:t>
      </w:r>
      <w:r w:rsidR="004C15AF">
        <w:t>n appointed decision maker</w:t>
      </w:r>
      <w:r>
        <w:t xml:space="preserve"> </w:t>
      </w:r>
      <w:r w:rsidR="00131369">
        <w:t>with</w:t>
      </w:r>
      <w:r>
        <w:t xml:space="preserve"> authority to make</w:t>
      </w:r>
      <w:r w:rsidRPr="0099065F">
        <w:t xml:space="preserve"> financial decisions </w:t>
      </w:r>
      <w:r w:rsidR="00D971A5">
        <w:t xml:space="preserve">only </w:t>
      </w:r>
      <w:r>
        <w:t>for the older person cannot make decisions about</w:t>
      </w:r>
      <w:r w:rsidRPr="0099065F">
        <w:t xml:space="preserve"> their daily lifestyle and preferences.</w:t>
      </w:r>
      <w:r w:rsidR="00605965">
        <w:t xml:space="preserve"> Similarly,</w:t>
      </w:r>
      <w:r w:rsidR="00800D0D">
        <w:t xml:space="preserve"> if</w:t>
      </w:r>
      <w:r w:rsidR="00605965">
        <w:t xml:space="preserve"> a</w:t>
      </w:r>
      <w:r w:rsidR="004C15AF">
        <w:t>n appointed decision maker’s</w:t>
      </w:r>
      <w:r w:rsidR="00605965">
        <w:t xml:space="preserve"> authority </w:t>
      </w:r>
      <w:r w:rsidR="009B4443">
        <w:t xml:space="preserve">is </w:t>
      </w:r>
      <w:r w:rsidR="007634CD">
        <w:t xml:space="preserve">only </w:t>
      </w:r>
      <w:r w:rsidR="00CC1064">
        <w:t xml:space="preserve">active </w:t>
      </w:r>
      <w:r w:rsidR="009B4443">
        <w:t>when</w:t>
      </w:r>
      <w:r w:rsidR="00CC1064">
        <w:t xml:space="preserve"> the older person </w:t>
      </w:r>
      <w:r w:rsidR="006F5D0D">
        <w:t xml:space="preserve">is experiencing a loss of </w:t>
      </w:r>
      <w:r w:rsidR="00073882">
        <w:t xml:space="preserve">decision-making </w:t>
      </w:r>
      <w:r w:rsidR="005C12D8">
        <w:t>ability</w:t>
      </w:r>
      <w:r w:rsidR="005A7326">
        <w:t xml:space="preserve"> – </w:t>
      </w:r>
      <w:r w:rsidR="004C15AF">
        <w:t xml:space="preserve">they cannot </w:t>
      </w:r>
      <w:proofErr w:type="gramStart"/>
      <w:r w:rsidR="004C15AF">
        <w:t>make a decision</w:t>
      </w:r>
      <w:proofErr w:type="gramEnd"/>
      <w:r w:rsidR="004C15AF">
        <w:t xml:space="preserve"> when the older person is able to make that decision themselves. </w:t>
      </w:r>
    </w:p>
    <w:p w14:paraId="75FFBEF8" w14:textId="52802478" w:rsidR="004436E2" w:rsidRDefault="004436E2" w:rsidP="000F470F">
      <w:pPr>
        <w:pStyle w:val="IntroPara"/>
        <w:spacing w:before="120"/>
      </w:pPr>
      <w:r>
        <w:t>Role description in My Aged Care Service and Support Portal</w:t>
      </w:r>
      <w:r w:rsidRPr="00C54AAA">
        <w:t xml:space="preserve"> </w:t>
      </w:r>
    </w:p>
    <w:p w14:paraId="3932A253" w14:textId="466EA59F" w:rsidR="006332C1" w:rsidRDefault="00502566" w:rsidP="00502566">
      <w:r>
        <w:t xml:space="preserve">Providers can check the </w:t>
      </w:r>
      <w:r w:rsidR="005911C3">
        <w:t>role description</w:t>
      </w:r>
      <w:r>
        <w:t xml:space="preserve"> of registered supporter</w:t>
      </w:r>
      <w:r w:rsidR="006F5D0D">
        <w:t>s</w:t>
      </w:r>
      <w:r>
        <w:t xml:space="preserve"> on the My Aged Care Service and Support Portal. </w:t>
      </w:r>
    </w:p>
    <w:p w14:paraId="1F012392" w14:textId="725DB1C8" w:rsidR="00380504" w:rsidRDefault="0034351B" w:rsidP="0034351B">
      <w:r>
        <w:t xml:space="preserve">All supporters are registered under </w:t>
      </w:r>
      <w:r w:rsidR="00C27934">
        <w:t xml:space="preserve">section 37(1) of the Act. However, </w:t>
      </w:r>
      <w:r w:rsidR="000717FC">
        <w:t xml:space="preserve">some </w:t>
      </w:r>
      <w:r w:rsidR="00380504">
        <w:t xml:space="preserve">registered </w:t>
      </w:r>
      <w:r w:rsidR="000717FC">
        <w:t>supporters</w:t>
      </w:r>
      <w:r w:rsidR="00512631">
        <w:t xml:space="preserve"> also</w:t>
      </w:r>
      <w:r w:rsidR="000717FC">
        <w:t xml:space="preserve"> have legal authority </w:t>
      </w:r>
      <w:r w:rsidR="00380504">
        <w:t xml:space="preserve">under </w:t>
      </w:r>
      <w:r w:rsidR="006F73CC">
        <w:t xml:space="preserve">Commonwealth, </w:t>
      </w:r>
      <w:r w:rsidR="00380504">
        <w:t>state and territory arrangement</w:t>
      </w:r>
      <w:r w:rsidR="0057102F">
        <w:t>s</w:t>
      </w:r>
      <w:r w:rsidR="00380504">
        <w:t xml:space="preserve"> </w:t>
      </w:r>
      <w:r w:rsidR="000D2778">
        <w:t xml:space="preserve">(and have relied on that legal authority to become registered as a supporter without the older person’s consent) </w:t>
      </w:r>
      <w:r w:rsidR="000717FC">
        <w:t>and</w:t>
      </w:r>
      <w:r w:rsidR="0057102F">
        <w:t>/or</w:t>
      </w:r>
      <w:r w:rsidR="000717FC">
        <w:t xml:space="preserve"> </w:t>
      </w:r>
      <w:r w:rsidR="000D2778">
        <w:t xml:space="preserve">hold </w:t>
      </w:r>
      <w:r w:rsidR="0006493B">
        <w:t xml:space="preserve">information </w:t>
      </w:r>
      <w:r w:rsidR="000717FC">
        <w:t>entitlements</w:t>
      </w:r>
      <w:r w:rsidR="00380504">
        <w:t xml:space="preserve"> under the Act</w:t>
      </w:r>
      <w:r w:rsidR="000717FC">
        <w:t>.</w:t>
      </w:r>
      <w:r w:rsidR="0076556F">
        <w:t xml:space="preserve"> </w:t>
      </w:r>
      <w:r w:rsidR="00EF5034">
        <w:t>To reflect this, registered supporters are described differently</w:t>
      </w:r>
      <w:r w:rsidR="00380504">
        <w:t xml:space="preserve"> in the My Aged Care Service and Support Portal.</w:t>
      </w:r>
    </w:p>
    <w:p w14:paraId="6BF778B3" w14:textId="55105DCC" w:rsidR="0034351B" w:rsidRDefault="00B92933" w:rsidP="0034351B">
      <w:r>
        <w:lastRenderedPageBreak/>
        <w:t xml:space="preserve">There are three possible descriptions for registered supporters. </w:t>
      </w:r>
      <w:r w:rsidR="000717FC">
        <w:t>Th</w:t>
      </w:r>
      <w:r>
        <w:t>ese</w:t>
      </w:r>
      <w:r w:rsidR="000717FC">
        <w:t xml:space="preserve"> include:</w:t>
      </w:r>
    </w:p>
    <w:p w14:paraId="6759C1EA" w14:textId="37C70AEA" w:rsidR="000717FC" w:rsidRDefault="00986D90" w:rsidP="00AF6804">
      <w:pPr>
        <w:pStyle w:val="ListParagraph"/>
        <w:numPr>
          <w:ilvl w:val="0"/>
          <w:numId w:val="61"/>
        </w:numPr>
        <w:ind w:left="426" w:hanging="426"/>
        <w:contextualSpacing w:val="0"/>
      </w:pPr>
      <w:r>
        <w:t xml:space="preserve">If a </w:t>
      </w:r>
      <w:r w:rsidR="00D81104">
        <w:t>supporter was registered with the consent of the older person</w:t>
      </w:r>
      <w:r w:rsidR="006F5D0D">
        <w:t xml:space="preserve"> and the older person has also consented to certain information </w:t>
      </w:r>
      <w:r w:rsidR="00BB2D24">
        <w:t xml:space="preserve">about them being given automatically to the </w:t>
      </w:r>
      <w:r w:rsidR="005E382A">
        <w:t xml:space="preserve">registered </w:t>
      </w:r>
      <w:r w:rsidR="00BB2D24">
        <w:t>supporter</w:t>
      </w:r>
      <w:r w:rsidR="00D81104">
        <w:t xml:space="preserve">, </w:t>
      </w:r>
      <w:r w:rsidR="000717FC">
        <w:t>they are labelled as a ‘supporter’</w:t>
      </w:r>
      <w:r w:rsidR="00380504">
        <w:t xml:space="preserve"> in the portal.</w:t>
      </w:r>
    </w:p>
    <w:p w14:paraId="057D553F" w14:textId="05F8EBB1" w:rsidR="006F5D0D" w:rsidRDefault="006F5D0D" w:rsidP="00AF6804">
      <w:pPr>
        <w:pStyle w:val="ListParagraph"/>
        <w:numPr>
          <w:ilvl w:val="0"/>
          <w:numId w:val="61"/>
        </w:numPr>
        <w:ind w:left="426" w:hanging="426"/>
        <w:contextualSpacing w:val="0"/>
      </w:pPr>
      <w:r>
        <w:t>If a supporter was registered with the consent of the older person</w:t>
      </w:r>
      <w:r w:rsidR="00BB2D24">
        <w:t xml:space="preserve"> and the older person has </w:t>
      </w:r>
      <w:r w:rsidR="00BB2D24" w:rsidRPr="00BB492A">
        <w:rPr>
          <w:b/>
        </w:rPr>
        <w:t>not</w:t>
      </w:r>
      <w:r w:rsidR="00BB2D24">
        <w:t xml:space="preserve"> consented to certain information about them being given automatically to the </w:t>
      </w:r>
      <w:r w:rsidR="005E382A">
        <w:t xml:space="preserve">registered </w:t>
      </w:r>
      <w:r w:rsidR="00BB2D24">
        <w:t>supporter,</w:t>
      </w:r>
      <w:r w:rsidR="00BB2D24" w:rsidRPr="00BB2D24">
        <w:t xml:space="preserve"> </w:t>
      </w:r>
      <w:r w:rsidR="00BB2D24">
        <w:t>they are labelled as a ‘supporter lite’ in the portal.</w:t>
      </w:r>
    </w:p>
    <w:p w14:paraId="5E30B3B6" w14:textId="6FEB3B2A" w:rsidR="00502566" w:rsidRDefault="00502566" w:rsidP="00AF6804">
      <w:pPr>
        <w:pStyle w:val="ListParagraph"/>
        <w:numPr>
          <w:ilvl w:val="0"/>
          <w:numId w:val="61"/>
        </w:numPr>
        <w:ind w:left="426" w:hanging="426"/>
        <w:contextualSpacing w:val="0"/>
      </w:pPr>
      <w:r>
        <w:t xml:space="preserve">If a person is a registered supporter and </w:t>
      </w:r>
      <w:r w:rsidR="003A1285">
        <w:t xml:space="preserve">relied on their authority as </w:t>
      </w:r>
      <w:r>
        <w:t>an active, appointed decision maker</w:t>
      </w:r>
      <w:r w:rsidR="003A1285">
        <w:t xml:space="preserve"> to become registered</w:t>
      </w:r>
      <w:r w:rsidR="005E382A">
        <w:t xml:space="preserve"> without the older person’s consent,</w:t>
      </w:r>
      <w:r>
        <w:t xml:space="preserve"> </w:t>
      </w:r>
      <w:r w:rsidR="000717FC">
        <w:t>they are labelled as a</w:t>
      </w:r>
      <w:r>
        <w:t xml:space="preserve"> ‘supporter guardian’</w:t>
      </w:r>
      <w:r w:rsidR="000717FC">
        <w:t xml:space="preserve"> in </w:t>
      </w:r>
      <w:r w:rsidR="00CB66B9">
        <w:t xml:space="preserve">the </w:t>
      </w:r>
      <w:r w:rsidR="00380504">
        <w:t>portal</w:t>
      </w:r>
      <w:r w:rsidR="000717FC">
        <w:t>.</w:t>
      </w:r>
    </w:p>
    <w:p w14:paraId="62B0F0C5" w14:textId="3C1EE50C" w:rsidR="00DC14C9" w:rsidRDefault="00DC14C9" w:rsidP="00DC14C9">
      <w:r>
        <w:t xml:space="preserve">More </w:t>
      </w:r>
      <w:r w:rsidR="00375188">
        <w:t xml:space="preserve">information on the information sharing entitlements of registered supporters and their labelling in the </w:t>
      </w:r>
      <w:r w:rsidR="00375188" w:rsidRPr="00083C3A">
        <w:t>My Aged Care Service and Support Portal</w:t>
      </w:r>
      <w:r w:rsidR="00375188">
        <w:t xml:space="preserve"> is set out </w:t>
      </w:r>
      <w:hyperlink w:anchor="_Access_and_information" w:history="1">
        <w:r w:rsidR="00375188" w:rsidRPr="004042EA">
          <w:rPr>
            <w:rStyle w:val="Hyperlink"/>
          </w:rPr>
          <w:t>below</w:t>
        </w:r>
      </w:hyperlink>
      <w:r w:rsidR="00375188">
        <w:t>.</w:t>
      </w:r>
    </w:p>
    <w:p w14:paraId="61537572" w14:textId="17A9A939" w:rsidR="00A57198" w:rsidRDefault="00E51350" w:rsidP="00502566">
      <w:r>
        <w:t xml:space="preserve">The </w:t>
      </w:r>
      <w:r w:rsidR="00502566">
        <w:t xml:space="preserve">portal </w:t>
      </w:r>
      <w:r>
        <w:t>does</w:t>
      </w:r>
      <w:r w:rsidR="00502566">
        <w:t xml:space="preserve"> not provide </w:t>
      </w:r>
      <w:r w:rsidR="00D37864">
        <w:t>visibility of a</w:t>
      </w:r>
      <w:r w:rsidR="00502566">
        <w:t xml:space="preserve"> registered supporter’s legal documentation </w:t>
      </w:r>
      <w:r w:rsidR="00D37864">
        <w:t xml:space="preserve">demonstrating </w:t>
      </w:r>
      <w:r w:rsidR="005B5AAD">
        <w:t xml:space="preserve">that </w:t>
      </w:r>
      <w:r w:rsidR="00D37864">
        <w:t>they are an appointed decision maker</w:t>
      </w:r>
      <w:r w:rsidR="00014EF5">
        <w:t xml:space="preserve">. It also </w:t>
      </w:r>
      <w:r w:rsidR="005B5AAD">
        <w:t xml:space="preserve">does </w:t>
      </w:r>
      <w:r w:rsidR="00014EF5">
        <w:t xml:space="preserve">not </w:t>
      </w:r>
      <w:r w:rsidR="00A8581B">
        <w:t>provide visibility of</w:t>
      </w:r>
      <w:r w:rsidR="00B17777">
        <w:t xml:space="preserve"> </w:t>
      </w:r>
      <w:r w:rsidR="005108A4">
        <w:t xml:space="preserve">any </w:t>
      </w:r>
      <w:r w:rsidR="00A8581B">
        <w:t>m</w:t>
      </w:r>
      <w:r w:rsidR="00D167C8">
        <w:t xml:space="preserve">edical evidence about the older person’s </w:t>
      </w:r>
      <w:r w:rsidR="009078A2">
        <w:t xml:space="preserve">decision-making </w:t>
      </w:r>
      <w:r w:rsidR="005C12D8">
        <w:t>ab</w:t>
      </w:r>
      <w:r w:rsidR="00ED3B8F">
        <w:t>i</w:t>
      </w:r>
      <w:r w:rsidR="005C12D8">
        <w:t>lity</w:t>
      </w:r>
      <w:r w:rsidR="00D167C8">
        <w:t xml:space="preserve"> </w:t>
      </w:r>
      <w:r w:rsidR="00A8581B">
        <w:t>use</w:t>
      </w:r>
      <w:r w:rsidR="00D13DCE">
        <w:t>d</w:t>
      </w:r>
      <w:r w:rsidR="00A8581B">
        <w:t xml:space="preserve"> to demonstrate </w:t>
      </w:r>
      <w:r w:rsidR="00B17777">
        <w:t xml:space="preserve">that </w:t>
      </w:r>
      <w:r w:rsidR="00A8581B">
        <w:t>the appointed decision maker’s</w:t>
      </w:r>
      <w:r w:rsidR="00D167C8">
        <w:t xml:space="preserve"> legal authority is active</w:t>
      </w:r>
      <w:r w:rsidR="00502566">
        <w:t xml:space="preserve">. </w:t>
      </w:r>
    </w:p>
    <w:p w14:paraId="0D6B3306" w14:textId="64E6E21B" w:rsidR="00502566" w:rsidRDefault="00502566" w:rsidP="00502566">
      <w:r>
        <w:t xml:space="preserve">Providers must confirm the legal authority of </w:t>
      </w:r>
      <w:r w:rsidR="003876EF">
        <w:t xml:space="preserve">all </w:t>
      </w:r>
      <w:r>
        <w:t>pe</w:t>
      </w:r>
      <w:r w:rsidR="003876EF">
        <w:t>ople</w:t>
      </w:r>
      <w:r>
        <w:t xml:space="preserve"> who seek to make decisions for an older person, regardless of whether they are a registered supporter. T</w:t>
      </w:r>
      <w:r w:rsidR="00126C5B">
        <w:t>o do so</w:t>
      </w:r>
      <w:r w:rsidR="00CA4C77">
        <w:t>,</w:t>
      </w:r>
      <w:r w:rsidR="006F7836">
        <w:t xml:space="preserve"> </w:t>
      </w:r>
      <w:r w:rsidR="00CA4C77">
        <w:t xml:space="preserve">aged care providers must check the scope of </w:t>
      </w:r>
      <w:r w:rsidR="00FF4C80">
        <w:t>a</w:t>
      </w:r>
      <w:r w:rsidR="00CA4C77">
        <w:t xml:space="preserve"> person’s legal authority and whether that legal authority is active </w:t>
      </w:r>
      <w:r w:rsidR="00B67BFC" w:rsidRPr="00CC3AAB">
        <w:rPr>
          <w:b/>
          <w:bCs/>
        </w:rPr>
        <w:t>before</w:t>
      </w:r>
      <w:r w:rsidR="00B67BFC">
        <w:t xml:space="preserve"> action</w:t>
      </w:r>
      <w:r w:rsidR="006F7836">
        <w:t>ing</w:t>
      </w:r>
      <w:r w:rsidR="00B67BFC">
        <w:t xml:space="preserve"> a decision </w:t>
      </w:r>
      <w:r w:rsidR="006F73CC">
        <w:t xml:space="preserve">made by </w:t>
      </w:r>
      <w:r w:rsidR="008B1E7E">
        <w:t>that</w:t>
      </w:r>
      <w:r w:rsidR="00C90AE8">
        <w:t xml:space="preserve"> person </w:t>
      </w:r>
      <w:r w:rsidR="006F73CC">
        <w:t>on behalf of</w:t>
      </w:r>
      <w:r w:rsidR="00C90AE8">
        <w:t xml:space="preserve"> the older person</w:t>
      </w:r>
      <w:r>
        <w:t>.</w:t>
      </w:r>
    </w:p>
    <w:p w14:paraId="649121DA" w14:textId="413EF5AA" w:rsidR="00502566" w:rsidRDefault="00502566" w:rsidP="00502566">
      <w:r w:rsidRPr="00C54AAA">
        <w:t>Wherever possible, providers must continue to ask</w:t>
      </w:r>
      <w:r w:rsidR="00524699">
        <w:t xml:space="preserve"> </w:t>
      </w:r>
      <w:r w:rsidR="00043337">
        <w:t>and</w:t>
      </w:r>
      <w:r w:rsidR="00524699">
        <w:t xml:space="preserve"> support</w:t>
      </w:r>
      <w:r w:rsidRPr="00C54AAA">
        <w:t xml:space="preserve"> the older person to make decisions about their aged care services and needs, even when there is a registered supporter. </w:t>
      </w:r>
      <w:r w:rsidR="00301DCF">
        <w:t>F</w:t>
      </w:r>
      <w:r w:rsidR="00301DCF" w:rsidRPr="00301DCF">
        <w:t xml:space="preserve">or decisions within the scope of </w:t>
      </w:r>
      <w:r w:rsidR="00301DCF">
        <w:t>any</w:t>
      </w:r>
      <w:r w:rsidR="00301DCF" w:rsidRPr="00301DCF">
        <w:t xml:space="preserve"> active, appointed decision maker’s authority, </w:t>
      </w:r>
      <w:r w:rsidR="00DC0EE0">
        <w:t>provider</w:t>
      </w:r>
      <w:r w:rsidR="0033048E">
        <w:t>s</w:t>
      </w:r>
      <w:r w:rsidR="00DC0EE0">
        <w:t xml:space="preserve"> may need to involve </w:t>
      </w:r>
      <w:r w:rsidR="00301DCF" w:rsidRPr="00301DCF">
        <w:t>the appointed decision maker as well.</w:t>
      </w:r>
    </w:p>
    <w:p w14:paraId="2ECC9CA3" w14:textId="77777777" w:rsidR="00502566" w:rsidRPr="00083C3A" w:rsidRDefault="00502566" w:rsidP="00502566">
      <w:pPr>
        <w:shd w:val="clear" w:color="auto" w:fill="D0EAED" w:themeFill="accent2" w:themeFillTint="33"/>
        <w:jc w:val="center"/>
        <w:rPr>
          <w:b/>
          <w:bCs/>
        </w:rPr>
      </w:pPr>
      <w:r w:rsidRPr="00083C3A">
        <w:rPr>
          <w:rFonts w:cs="Arial"/>
          <w:b/>
          <w:bCs/>
        </w:rPr>
        <w:t>Becoming</w:t>
      </w:r>
      <w:r w:rsidRPr="00083C3A">
        <w:rPr>
          <w:b/>
          <w:bCs/>
        </w:rPr>
        <w:t xml:space="preserve"> a registered supporter does not grant someone decision-making authority</w:t>
      </w:r>
      <w:r>
        <w:rPr>
          <w:b/>
          <w:bCs/>
        </w:rPr>
        <w:t xml:space="preserve"> for an older person</w:t>
      </w:r>
      <w:r w:rsidRPr="00083C3A">
        <w:rPr>
          <w:b/>
          <w:bCs/>
        </w:rPr>
        <w:t xml:space="preserve">. </w:t>
      </w:r>
    </w:p>
    <w:p w14:paraId="3C7306C3" w14:textId="7A38C827" w:rsidR="00BF107C" w:rsidRDefault="002242FD" w:rsidP="00083C3A">
      <w:pPr>
        <w:pStyle w:val="Heading2"/>
      </w:pPr>
      <w:bookmarkStart w:id="15" w:name="_Access_and_information"/>
      <w:bookmarkStart w:id="16" w:name="_Toc227330321"/>
      <w:bookmarkEnd w:id="15"/>
      <w:r>
        <w:t>Access and i</w:t>
      </w:r>
      <w:r w:rsidR="00BF107C">
        <w:t>nformation sharing</w:t>
      </w:r>
      <w:bookmarkEnd w:id="16"/>
    </w:p>
    <w:p w14:paraId="2CC9C454" w14:textId="38FB6FB7" w:rsidR="00D0256A" w:rsidRDefault="00D0256A" w:rsidP="00D0256A">
      <w:r>
        <w:t xml:space="preserve">Aged care providers have obligations to ensure an older person can have access </w:t>
      </w:r>
      <w:r w:rsidR="0012617F">
        <w:t xml:space="preserve">to </w:t>
      </w:r>
      <w:r w:rsidR="00CA1F6E">
        <w:t xml:space="preserve">their registered supporters. Aged care providers may also have obligations to </w:t>
      </w:r>
      <w:r>
        <w:t xml:space="preserve">share information with </w:t>
      </w:r>
      <w:r w:rsidR="00CA1F6E">
        <w:t xml:space="preserve">the </w:t>
      </w:r>
      <w:r>
        <w:t>registered supporter</w:t>
      </w:r>
      <w:r w:rsidR="00CA1F6E">
        <w:t>/</w:t>
      </w:r>
      <w:r>
        <w:t>s</w:t>
      </w:r>
      <w:r w:rsidR="00CA1F6E">
        <w:t xml:space="preserve"> of an older person</w:t>
      </w:r>
      <w:r>
        <w:t xml:space="preserve">. </w:t>
      </w:r>
    </w:p>
    <w:p w14:paraId="12922C77" w14:textId="4317EA1A" w:rsidR="00F242CF" w:rsidRPr="00F242CF" w:rsidRDefault="00F242CF" w:rsidP="00F242CF">
      <w:pPr>
        <w:pStyle w:val="Heading4"/>
      </w:pPr>
      <w:r>
        <w:t>Access</w:t>
      </w:r>
      <w:r w:rsidR="00A87D49">
        <w:t xml:space="preserve"> of registered supporters to an older person </w:t>
      </w:r>
      <w:r>
        <w:t xml:space="preserve"> </w:t>
      </w:r>
    </w:p>
    <w:p w14:paraId="1F2CAD88" w14:textId="4FE0CBFC" w:rsidR="0075368E" w:rsidRDefault="0075368E" w:rsidP="00F30F2A">
      <w:r>
        <w:t xml:space="preserve">Section 156 of the Act </w:t>
      </w:r>
      <w:r w:rsidR="00FF6810">
        <w:t xml:space="preserve">requires that </w:t>
      </w:r>
      <w:r w:rsidR="00963F94">
        <w:t>aged care</w:t>
      </w:r>
      <w:r w:rsidR="00FF6810">
        <w:t xml:space="preserve"> providers, of a kind prescribed by the rules</w:t>
      </w:r>
      <w:r w:rsidR="005668F5">
        <w:t xml:space="preserve"> and in accordance with the rules</w:t>
      </w:r>
      <w:r w:rsidR="00FF6810">
        <w:t xml:space="preserve">, must allow and facilitate access to an </w:t>
      </w:r>
      <w:r w:rsidR="00B930FB">
        <w:t>older person</w:t>
      </w:r>
      <w:r w:rsidR="00FF6810">
        <w:t xml:space="preserve"> by</w:t>
      </w:r>
      <w:r w:rsidR="009020E0">
        <w:t xml:space="preserve"> the older</w:t>
      </w:r>
      <w:r w:rsidR="00FF6810">
        <w:t xml:space="preserve"> </w:t>
      </w:r>
      <w:r w:rsidR="009020E0">
        <w:t xml:space="preserve">person’s </w:t>
      </w:r>
      <w:r w:rsidR="00FF6810">
        <w:t>registered supporters</w:t>
      </w:r>
      <w:r w:rsidR="005668F5">
        <w:t xml:space="preserve">. </w:t>
      </w:r>
    </w:p>
    <w:p w14:paraId="3E2507F5" w14:textId="77777777" w:rsidR="00B20879" w:rsidRPr="00D36A99" w:rsidRDefault="00117C00" w:rsidP="00F30F2A">
      <w:r w:rsidRPr="00D36A99">
        <w:t xml:space="preserve">The Rules </w:t>
      </w:r>
      <w:r w:rsidR="00DA77FA" w:rsidRPr="00D36A99">
        <w:t xml:space="preserve">provide that this captures </w:t>
      </w:r>
      <w:r w:rsidR="00215ED0" w:rsidRPr="00D36A99">
        <w:t>every kind of registered provider</w:t>
      </w:r>
      <w:r w:rsidR="00DA77FA" w:rsidRPr="00D36A99">
        <w:t xml:space="preserve">. </w:t>
      </w:r>
    </w:p>
    <w:p w14:paraId="3B5CF391" w14:textId="7DFE62E7" w:rsidR="00711FA2" w:rsidRDefault="007F1841" w:rsidP="00F30F2A">
      <w:r>
        <w:t>The Statement of Rights also</w:t>
      </w:r>
      <w:r w:rsidR="00450DF5">
        <w:t xml:space="preserve"> provides that an </w:t>
      </w:r>
      <w:r w:rsidR="00B930FB">
        <w:t>older person</w:t>
      </w:r>
      <w:r w:rsidR="00450DF5">
        <w:t xml:space="preserve"> has a right to access, at any time the </w:t>
      </w:r>
      <w:r w:rsidR="004F72CB">
        <w:t xml:space="preserve">older person </w:t>
      </w:r>
      <w:r w:rsidR="00450DF5">
        <w:t>chooses</w:t>
      </w:r>
      <w:r w:rsidR="00711FA2">
        <w:t xml:space="preserve">: </w:t>
      </w:r>
    </w:p>
    <w:p w14:paraId="6D049DB4" w14:textId="15A8445E" w:rsidR="00711FA2" w:rsidRDefault="00450DF5" w:rsidP="00711FA2">
      <w:pPr>
        <w:pStyle w:val="ListParagraph"/>
        <w:numPr>
          <w:ilvl w:val="0"/>
          <w:numId w:val="46"/>
        </w:numPr>
      </w:pPr>
      <w:r>
        <w:t xml:space="preserve">a person designated by the </w:t>
      </w:r>
      <w:r w:rsidR="00711FA2">
        <w:t>older person</w:t>
      </w:r>
      <w:r w:rsidR="00891A23">
        <w:t>,</w:t>
      </w:r>
      <w:r>
        <w:t xml:space="preserve"> or </w:t>
      </w:r>
    </w:p>
    <w:p w14:paraId="75A9C571" w14:textId="77777777" w:rsidR="00711FA2" w:rsidRDefault="00711FA2" w:rsidP="00711FA2">
      <w:pPr>
        <w:pStyle w:val="ListParagraph"/>
        <w:numPr>
          <w:ilvl w:val="0"/>
          <w:numId w:val="46"/>
        </w:numPr>
      </w:pPr>
      <w:r>
        <w:t xml:space="preserve">a </w:t>
      </w:r>
      <w:r w:rsidR="00450DF5">
        <w:t>person designated by an appropriate authority</w:t>
      </w:r>
      <w:r w:rsidR="00BA388A">
        <w:t xml:space="preserve">. </w:t>
      </w:r>
    </w:p>
    <w:p w14:paraId="3FA891BE" w14:textId="6067208B" w:rsidR="007F1841" w:rsidRDefault="00450DF5" w:rsidP="00711FA2">
      <w:r>
        <w:lastRenderedPageBreak/>
        <w:t xml:space="preserve">This </w:t>
      </w:r>
      <w:r w:rsidR="00BA388A">
        <w:t xml:space="preserve">‘designated person’ </w:t>
      </w:r>
      <w:r>
        <w:t xml:space="preserve">could be a registered supporter. </w:t>
      </w:r>
    </w:p>
    <w:p w14:paraId="19C23094" w14:textId="71BF3C64" w:rsidR="00F242CF" w:rsidRDefault="00F242CF" w:rsidP="00F242CF">
      <w:pPr>
        <w:pStyle w:val="Heading4"/>
      </w:pPr>
      <w:r>
        <w:t>Information sharing</w:t>
      </w:r>
      <w:r w:rsidR="00A87D49">
        <w:t xml:space="preserve"> with registered supporters</w:t>
      </w:r>
    </w:p>
    <w:p w14:paraId="4B9348C2" w14:textId="3F8D8DB3" w:rsidR="0019003D" w:rsidRDefault="00924EA4" w:rsidP="00C870B3">
      <w:r>
        <w:t xml:space="preserve">Section 29 </w:t>
      </w:r>
      <w:r w:rsidR="00140E93">
        <w:t xml:space="preserve">of the Act </w:t>
      </w:r>
      <w:r>
        <w:t>explains that a</w:t>
      </w:r>
      <w:r w:rsidR="006C122D">
        <w:t xml:space="preserve">ny information or document that is required or authorised </w:t>
      </w:r>
      <w:r w:rsidR="00550208">
        <w:t xml:space="preserve">to be given to an older person </w:t>
      </w:r>
      <w:r w:rsidR="006C122D">
        <w:t xml:space="preserve">under, or for the purposes of, the Act must also be given to their </w:t>
      </w:r>
      <w:r w:rsidR="00B930FB">
        <w:t xml:space="preserve">registered </w:t>
      </w:r>
      <w:r w:rsidR="006C122D">
        <w:t>supporters if</w:t>
      </w:r>
      <w:r w:rsidR="0019003D">
        <w:t>:</w:t>
      </w:r>
    </w:p>
    <w:p w14:paraId="21EF6840" w14:textId="7A3601F3" w:rsidR="0019003D" w:rsidRDefault="64A7CC95" w:rsidP="003A1BDE">
      <w:pPr>
        <w:pStyle w:val="ListParagraph"/>
        <w:numPr>
          <w:ilvl w:val="0"/>
          <w:numId w:val="60"/>
        </w:numPr>
      </w:pPr>
      <w:r>
        <w:t>a</w:t>
      </w:r>
      <w:r w:rsidR="35B94E58">
        <w:t>t the point of registration,</w:t>
      </w:r>
      <w:r w:rsidR="5D527C24">
        <w:t xml:space="preserve"> </w:t>
      </w:r>
      <w:r w:rsidR="00C30CA9">
        <w:t>t</w:t>
      </w:r>
      <w:r w:rsidR="006C122D">
        <w:t xml:space="preserve">he </w:t>
      </w:r>
      <w:r w:rsidR="00DE3735">
        <w:t xml:space="preserve">older person consented to </w:t>
      </w:r>
      <w:r w:rsidR="6483ECEB">
        <w:t xml:space="preserve">automatically </w:t>
      </w:r>
      <w:r w:rsidR="00DE3735">
        <w:t xml:space="preserve">sharing this information </w:t>
      </w:r>
      <w:r w:rsidR="0019003D">
        <w:t>with</w:t>
      </w:r>
      <w:r w:rsidR="00DE3735">
        <w:t xml:space="preserve"> their </w:t>
      </w:r>
      <w:r w:rsidR="00891A23">
        <w:t xml:space="preserve">registered </w:t>
      </w:r>
      <w:r w:rsidR="00DE3735">
        <w:t>supporter</w:t>
      </w:r>
      <w:r w:rsidR="00944F13" w:rsidRPr="00944F13">
        <w:t xml:space="preserve"> </w:t>
      </w:r>
      <w:r w:rsidR="00944F13">
        <w:t>(labelled as a ‘supporter’ in the My Aged Care Service and Support Portal)</w:t>
      </w:r>
      <w:r w:rsidR="00C30CA9">
        <w:t>, or</w:t>
      </w:r>
      <w:r w:rsidR="00FA0F7F">
        <w:t xml:space="preserve"> </w:t>
      </w:r>
    </w:p>
    <w:p w14:paraId="5349C89C" w14:textId="40EB5ED2" w:rsidR="006C122D" w:rsidRDefault="00C30CA9" w:rsidP="000F470F">
      <w:pPr>
        <w:pStyle w:val="ListParagraph"/>
        <w:numPr>
          <w:ilvl w:val="0"/>
          <w:numId w:val="60"/>
        </w:numPr>
      </w:pPr>
      <w:r>
        <w:t>t</w:t>
      </w:r>
      <w:r w:rsidR="00DE3735">
        <w:t xml:space="preserve">he </w:t>
      </w:r>
      <w:r w:rsidR="00891A23">
        <w:t xml:space="preserve">registered </w:t>
      </w:r>
      <w:r w:rsidR="00DE3735">
        <w:t xml:space="preserve">supporter is also an active, appointed decision maker </w:t>
      </w:r>
      <w:r w:rsidR="00711FA2">
        <w:t>for</w:t>
      </w:r>
      <w:r w:rsidR="00DE3735">
        <w:t xml:space="preserve"> the older person</w:t>
      </w:r>
      <w:r w:rsidR="00944F13">
        <w:t xml:space="preserve"> (labelled as a ‘supporter guardian’ in the My Aged Care Service and Support Portal)</w:t>
      </w:r>
      <w:r w:rsidR="00891A23">
        <w:t xml:space="preserve">. </w:t>
      </w:r>
    </w:p>
    <w:p w14:paraId="1C41329F" w14:textId="2F57B0F2" w:rsidR="005861E4" w:rsidRDefault="005861E4" w:rsidP="005861E4">
      <w:r>
        <w:t xml:space="preserve">If an older person has multiple registered supporters, </w:t>
      </w:r>
      <w:r w:rsidRPr="00083C3A">
        <w:t xml:space="preserve">and </w:t>
      </w:r>
      <w:r w:rsidRPr="00DC018F">
        <w:t>they</w:t>
      </w:r>
      <w:r>
        <w:t xml:space="preserve"> are all </w:t>
      </w:r>
      <w:r w:rsidR="006F29EA">
        <w:t xml:space="preserve">authorised </w:t>
      </w:r>
      <w:r>
        <w:t>to receive the information or document, each registered supporter must be given the information or document.</w:t>
      </w:r>
    </w:p>
    <w:p w14:paraId="2A5F9D9E" w14:textId="61DDD690" w:rsidR="007E7AC0" w:rsidRDefault="00F24C79" w:rsidP="00FE05B3">
      <w:r w:rsidRPr="00F24C79">
        <w:t xml:space="preserve">Examples of information or documents that may be provided to an older person, and any registered supporters authorised to automatically receive the older person’s information, from an aged care provider include: </w:t>
      </w:r>
    </w:p>
    <w:p w14:paraId="642D1497" w14:textId="77777777" w:rsidR="007E7AC0" w:rsidRPr="00D36A99" w:rsidRDefault="00F24C79" w:rsidP="00FE05B3">
      <w:pPr>
        <w:rPr>
          <w:b/>
          <w:bCs/>
        </w:rPr>
      </w:pPr>
      <w:r w:rsidRPr="00D36A99">
        <w:rPr>
          <w:b/>
          <w:bCs/>
        </w:rPr>
        <w:t xml:space="preserve">Information about formal agreements </w:t>
      </w:r>
    </w:p>
    <w:p w14:paraId="47D1BEF7" w14:textId="77777777" w:rsidR="007E7AC0" w:rsidRDefault="00F24C79" w:rsidP="00D36A99">
      <w:pPr>
        <w:pStyle w:val="ListParagraph"/>
        <w:numPr>
          <w:ilvl w:val="0"/>
          <w:numId w:val="69"/>
        </w:numPr>
      </w:pPr>
      <w:r w:rsidRPr="00F24C79">
        <w:t>Before a provider enters into an accommodation agreement with an individual, the proposed accommodation agreement and the published accommodation payments for the home (expressed as both a refundable accommodation deposit amount and a daily accommodation payment amount).</w:t>
      </w:r>
    </w:p>
    <w:p w14:paraId="30ADCB6D" w14:textId="1D5F7DC5" w:rsidR="007E7AC0" w:rsidRDefault="00F24C79" w:rsidP="00D36A99">
      <w:pPr>
        <w:pStyle w:val="ListParagraph"/>
        <w:numPr>
          <w:ilvl w:val="0"/>
          <w:numId w:val="69"/>
        </w:numPr>
      </w:pPr>
      <w:r w:rsidRPr="00F24C79">
        <w:t xml:space="preserve">Information to assist an older person to choose, in accordance with the older person’s access approval, the funded aged care services that best meet the older person’s goals and assessed needs and preferences within the limits of the resources available. </w:t>
      </w:r>
    </w:p>
    <w:p w14:paraId="33433B5B" w14:textId="77777777" w:rsidR="007E7AC0" w:rsidRDefault="00F24C79" w:rsidP="00D36A99">
      <w:pPr>
        <w:pStyle w:val="ListParagraph"/>
        <w:numPr>
          <w:ilvl w:val="0"/>
          <w:numId w:val="69"/>
        </w:numPr>
      </w:pPr>
      <w:r w:rsidRPr="00F24C79">
        <w:t xml:space="preserve">Information about the circumstances in which the provider may cease delivery of funded aged care services and the development of a care and services plan for the older person. </w:t>
      </w:r>
    </w:p>
    <w:p w14:paraId="7FB1CE71" w14:textId="77777777" w:rsidR="007E7AC0" w:rsidRDefault="00F24C79" w:rsidP="00D36A99">
      <w:pPr>
        <w:pStyle w:val="ListParagraph"/>
        <w:numPr>
          <w:ilvl w:val="0"/>
          <w:numId w:val="69"/>
        </w:numPr>
      </w:pPr>
      <w:r w:rsidRPr="00F24C79">
        <w:t xml:space="preserve">Information about the circumstances in which an older person may be asked to leave an approved residential care home and any policies or protocols of the approved residential care home that are relevant to the older person. </w:t>
      </w:r>
    </w:p>
    <w:p w14:paraId="00DC3C90" w14:textId="0A0F1553" w:rsidR="007E7AC0" w:rsidRPr="00D36A99" w:rsidRDefault="00F24C79" w:rsidP="00FE05B3">
      <w:pPr>
        <w:rPr>
          <w:b/>
          <w:bCs/>
        </w:rPr>
      </w:pPr>
      <w:r w:rsidRPr="00D36A99">
        <w:rPr>
          <w:b/>
          <w:bCs/>
        </w:rPr>
        <w:t xml:space="preserve">Information about health and care services </w:t>
      </w:r>
    </w:p>
    <w:p w14:paraId="264C45BD" w14:textId="77777777" w:rsidR="007E7AC0" w:rsidRDefault="00F24C79" w:rsidP="00D36A99">
      <w:pPr>
        <w:pStyle w:val="ListParagraph"/>
        <w:numPr>
          <w:ilvl w:val="0"/>
          <w:numId w:val="69"/>
        </w:numPr>
      </w:pPr>
      <w:r w:rsidRPr="00F24C79">
        <w:t xml:space="preserve">Copies of the older person’s care and services plan, provided: </w:t>
      </w:r>
    </w:p>
    <w:p w14:paraId="07FD56FF" w14:textId="77777777" w:rsidR="00AE3FFA" w:rsidRDefault="00F24C79" w:rsidP="00D36A99">
      <w:pPr>
        <w:pStyle w:val="ListParagraph"/>
        <w:numPr>
          <w:ilvl w:val="0"/>
          <w:numId w:val="70"/>
        </w:numPr>
      </w:pPr>
      <w:r w:rsidRPr="00F24C79">
        <w:t xml:space="preserve">once the plan is developed </w:t>
      </w:r>
    </w:p>
    <w:p w14:paraId="0000168D" w14:textId="772CAD32" w:rsidR="007E7AC0" w:rsidRDefault="00F24C79" w:rsidP="00D36A99">
      <w:pPr>
        <w:pStyle w:val="ListParagraph"/>
        <w:numPr>
          <w:ilvl w:val="0"/>
          <w:numId w:val="70"/>
        </w:numPr>
      </w:pPr>
      <w:r w:rsidRPr="00F24C79">
        <w:t xml:space="preserve">any time the plan is updated, and </w:t>
      </w:r>
    </w:p>
    <w:p w14:paraId="6D287F6E" w14:textId="77777777" w:rsidR="00AE3FFA" w:rsidRDefault="00F24C79" w:rsidP="00D36A99">
      <w:pPr>
        <w:pStyle w:val="ListParagraph"/>
        <w:numPr>
          <w:ilvl w:val="0"/>
          <w:numId w:val="70"/>
        </w:numPr>
      </w:pPr>
      <w:r w:rsidRPr="00F24C79">
        <w:t xml:space="preserve">upon request from the older person. </w:t>
      </w:r>
    </w:p>
    <w:p w14:paraId="33B8F9F6" w14:textId="77777777" w:rsidR="00134DD1" w:rsidRDefault="00F24C79" w:rsidP="00AE3FFA">
      <w:pPr>
        <w:ind w:left="360"/>
      </w:pPr>
      <w:r w:rsidRPr="00F24C79">
        <w:t xml:space="preserve">A care and services plan will describe the current care needs, goals and preferences of the older person and strategies for risk management and preventative care. </w:t>
      </w:r>
    </w:p>
    <w:p w14:paraId="42AFF695" w14:textId="5C9FBFBC" w:rsidR="00AE3FFA" w:rsidRDefault="00F24C79" w:rsidP="00D36A99">
      <w:pPr>
        <w:ind w:left="360"/>
      </w:pPr>
      <w:r w:rsidRPr="00F24C79">
        <w:t>If behaviour support is needed for the older person, the care and services plan will include a behaviour support plan. A behaviour support plan will include information about the older person’s behaviours of concern, including relevant assessments and</w:t>
      </w:r>
      <w:r w:rsidR="00FD31EE">
        <w:t xml:space="preserve"> </w:t>
      </w:r>
      <w:r w:rsidR="00FD31EE" w:rsidRPr="00FD31EE">
        <w:t xml:space="preserve">background information, strategies for addressing the behaviour (as alternatives to </w:t>
      </w:r>
      <w:r w:rsidR="00FD31EE" w:rsidRPr="00FD31EE">
        <w:lastRenderedPageBreak/>
        <w:t xml:space="preserve">restrictive practices), and any details relating to the assessed need for, planning, and use of </w:t>
      </w:r>
      <w:hyperlink r:id="rId20" w:history="1">
        <w:r w:rsidR="00FD31EE" w:rsidRPr="00134DD1">
          <w:rPr>
            <w:rStyle w:val="Hyperlink"/>
          </w:rPr>
          <w:t>restrictive practices</w:t>
        </w:r>
      </w:hyperlink>
      <w:r w:rsidR="00FD31EE" w:rsidRPr="00FD31EE">
        <w:t xml:space="preserve">. </w:t>
      </w:r>
    </w:p>
    <w:p w14:paraId="2E6B9ACF" w14:textId="77777777" w:rsidR="00AE3FFA" w:rsidRPr="00D36A99" w:rsidRDefault="00FD31EE" w:rsidP="00FE05B3">
      <w:pPr>
        <w:rPr>
          <w:b/>
          <w:bCs/>
        </w:rPr>
      </w:pPr>
      <w:r w:rsidRPr="00D36A99">
        <w:rPr>
          <w:b/>
          <w:bCs/>
        </w:rPr>
        <w:t xml:space="preserve">Financial information </w:t>
      </w:r>
    </w:p>
    <w:p w14:paraId="58CA7176" w14:textId="77777777" w:rsidR="00134DD1" w:rsidRDefault="00FD31EE" w:rsidP="00D36A99">
      <w:pPr>
        <w:pStyle w:val="ListParagraph"/>
        <w:numPr>
          <w:ilvl w:val="0"/>
          <w:numId w:val="72"/>
        </w:numPr>
      </w:pPr>
      <w:r w:rsidRPr="00FD31EE">
        <w:t xml:space="preserve">Monthly statements and final monthly statements (not residential care). </w:t>
      </w:r>
    </w:p>
    <w:p w14:paraId="35898C35" w14:textId="77777777" w:rsidR="00134DD1" w:rsidRDefault="00FD31EE" w:rsidP="00D36A99">
      <w:pPr>
        <w:pStyle w:val="ListParagraph"/>
        <w:numPr>
          <w:ilvl w:val="0"/>
          <w:numId w:val="72"/>
        </w:numPr>
      </w:pPr>
      <w:r w:rsidRPr="00FD31EE">
        <w:t xml:space="preserve">Invoices that are clear and in a format that is understandable. </w:t>
      </w:r>
    </w:p>
    <w:p w14:paraId="4E8C3FA4" w14:textId="77777777" w:rsidR="00134DD1" w:rsidRDefault="00FD31EE" w:rsidP="00D36A99">
      <w:pPr>
        <w:pStyle w:val="ListParagraph"/>
        <w:numPr>
          <w:ilvl w:val="0"/>
          <w:numId w:val="72"/>
        </w:numPr>
      </w:pPr>
      <w:r w:rsidRPr="00FD31EE">
        <w:t xml:space="preserve">Information about a registered provider’s management and use of refundable deposits. </w:t>
      </w:r>
    </w:p>
    <w:p w14:paraId="0711D95A" w14:textId="77777777" w:rsidR="00134DD1" w:rsidRDefault="00FD31EE" w:rsidP="00D36A99">
      <w:pPr>
        <w:pStyle w:val="ListParagraph"/>
        <w:numPr>
          <w:ilvl w:val="0"/>
          <w:numId w:val="72"/>
        </w:numPr>
      </w:pPr>
      <w:r w:rsidRPr="00FD31EE">
        <w:t xml:space="preserve">Statements of audited accounts. </w:t>
      </w:r>
    </w:p>
    <w:p w14:paraId="0E3EE9FB" w14:textId="77777777" w:rsidR="00134DD1" w:rsidRDefault="00FD31EE" w:rsidP="00D36A99">
      <w:pPr>
        <w:pStyle w:val="ListParagraph"/>
        <w:numPr>
          <w:ilvl w:val="0"/>
          <w:numId w:val="72"/>
        </w:numPr>
      </w:pPr>
      <w:r w:rsidRPr="00FD31EE">
        <w:t xml:space="preserve">An individualised budget. </w:t>
      </w:r>
    </w:p>
    <w:p w14:paraId="470E926C" w14:textId="77777777" w:rsidR="00134DD1" w:rsidRDefault="00FD31EE" w:rsidP="00D36A99">
      <w:pPr>
        <w:pStyle w:val="ListParagraph"/>
        <w:numPr>
          <w:ilvl w:val="0"/>
          <w:numId w:val="72"/>
        </w:numPr>
      </w:pPr>
      <w:r w:rsidRPr="00FD31EE">
        <w:t xml:space="preserve">An explanation of means testing. </w:t>
      </w:r>
    </w:p>
    <w:p w14:paraId="04852090" w14:textId="77777777" w:rsidR="00134DD1" w:rsidRDefault="00FD31EE" w:rsidP="00D36A99">
      <w:pPr>
        <w:pStyle w:val="ListParagraph"/>
        <w:numPr>
          <w:ilvl w:val="0"/>
          <w:numId w:val="72"/>
        </w:numPr>
      </w:pPr>
      <w:r w:rsidRPr="00FD31EE">
        <w:t>Information about the financial position of a registered aged care provider.</w:t>
      </w:r>
    </w:p>
    <w:p w14:paraId="576EECDE" w14:textId="77777777" w:rsidR="00134DD1" w:rsidRPr="00D36A99" w:rsidRDefault="00FD31EE" w:rsidP="00FE05B3">
      <w:pPr>
        <w:rPr>
          <w:b/>
          <w:bCs/>
        </w:rPr>
      </w:pPr>
      <w:r w:rsidRPr="00D36A99">
        <w:rPr>
          <w:b/>
          <w:bCs/>
        </w:rPr>
        <w:t xml:space="preserve">Information about rights and complaints </w:t>
      </w:r>
    </w:p>
    <w:p w14:paraId="2F6FAB21" w14:textId="77777777" w:rsidR="00274FF3" w:rsidRDefault="00FD31EE" w:rsidP="00D36A99">
      <w:pPr>
        <w:pStyle w:val="ListParagraph"/>
        <w:numPr>
          <w:ilvl w:val="0"/>
          <w:numId w:val="73"/>
        </w:numPr>
      </w:pPr>
      <w:r w:rsidRPr="00FD31EE">
        <w:t xml:space="preserve">A copy of, and information about, the Statement of Rights under the Act. </w:t>
      </w:r>
    </w:p>
    <w:p w14:paraId="7C6BBA10" w14:textId="77777777" w:rsidR="00274FF3" w:rsidRDefault="00FD31EE" w:rsidP="00D36A99">
      <w:pPr>
        <w:pStyle w:val="ListParagraph"/>
        <w:numPr>
          <w:ilvl w:val="0"/>
          <w:numId w:val="73"/>
        </w:numPr>
      </w:pPr>
      <w:r w:rsidRPr="00FD31EE">
        <w:t xml:space="preserve">Information about making complaints and giving feedback, the protection of personal information and the Aged Care Code of Conduct. </w:t>
      </w:r>
    </w:p>
    <w:p w14:paraId="0D3A077A" w14:textId="74AC0900" w:rsidR="00F24C79" w:rsidRDefault="009B1F25" w:rsidP="00FE05B3">
      <w:r>
        <w:t xml:space="preserve">Aged care providers should consider their own circumstances when reading and applying section 29. </w:t>
      </w:r>
      <w:r w:rsidR="00274FF3">
        <w:t xml:space="preserve">Aged care providers should </w:t>
      </w:r>
      <w:r>
        <w:t xml:space="preserve">also </w:t>
      </w:r>
      <w:r w:rsidR="00274FF3">
        <w:t>speak directly with o</w:t>
      </w:r>
      <w:r w:rsidR="00FD31EE" w:rsidRPr="00FD31EE">
        <w:t>lder people and their registered supporters</w:t>
      </w:r>
      <w:r w:rsidR="00274FF3">
        <w:t xml:space="preserve"> </w:t>
      </w:r>
      <w:r w:rsidR="00FD31EE" w:rsidRPr="00FD31EE">
        <w:t>about the information they may or must be provided under the Act.</w:t>
      </w:r>
    </w:p>
    <w:p w14:paraId="6ED34071" w14:textId="108D6787" w:rsidR="003201D0" w:rsidRDefault="003201D0" w:rsidP="000F470F">
      <w:pPr>
        <w:pStyle w:val="IntroPara"/>
        <w:spacing w:before="120"/>
      </w:pPr>
      <w:r>
        <w:t>When the older person does not consent to information being given</w:t>
      </w:r>
    </w:p>
    <w:p w14:paraId="6F3FD54B" w14:textId="5B6B725D" w:rsidR="0037100C" w:rsidRDefault="00CA10C0" w:rsidP="00431A6D">
      <w:r>
        <w:t>If an olde</w:t>
      </w:r>
      <w:r w:rsidR="00850E08">
        <w:t>r</w:t>
      </w:r>
      <w:r>
        <w:t xml:space="preserve"> </w:t>
      </w:r>
      <w:r w:rsidR="00850E08">
        <w:t>person decide</w:t>
      </w:r>
      <w:r w:rsidR="00F61472">
        <w:t>s</w:t>
      </w:r>
      <w:r w:rsidR="00850E08">
        <w:t xml:space="preserve"> not to consent to information and documents</w:t>
      </w:r>
      <w:r w:rsidR="00466E8F">
        <w:t xml:space="preserve"> under the Act</w:t>
      </w:r>
      <w:r w:rsidR="00850E08">
        <w:t xml:space="preserve"> being given to their </w:t>
      </w:r>
      <w:r w:rsidR="003201D0">
        <w:t xml:space="preserve">registered </w:t>
      </w:r>
      <w:r w:rsidR="00850E08">
        <w:t>supporter, this is captured at the time of registration</w:t>
      </w:r>
      <w:r w:rsidR="003201D0">
        <w:t xml:space="preserve">. </w:t>
      </w:r>
    </w:p>
    <w:p w14:paraId="67A69A7E" w14:textId="77777777" w:rsidR="00FA29D7" w:rsidRDefault="003201D0" w:rsidP="00431A6D">
      <w:r>
        <w:t>T</w:t>
      </w:r>
      <w:r w:rsidR="00850E08">
        <w:t>he prospective supporter may</w:t>
      </w:r>
      <w:r>
        <w:t xml:space="preserve"> then</w:t>
      </w:r>
      <w:r w:rsidR="00850E08">
        <w:t xml:space="preserve"> </w:t>
      </w:r>
      <w:r w:rsidR="006E60AF">
        <w:t>be labelled as a</w:t>
      </w:r>
      <w:r w:rsidR="00850E08">
        <w:t xml:space="preserve"> ‘</w:t>
      </w:r>
      <w:r w:rsidR="00372073">
        <w:t>supporter lite’</w:t>
      </w:r>
      <w:r w:rsidR="006E60AF">
        <w:t xml:space="preserve"> in the</w:t>
      </w:r>
      <w:r w:rsidR="00580BB3">
        <w:t xml:space="preserve"> </w:t>
      </w:r>
      <w:r w:rsidR="00580BB3" w:rsidRPr="00083C3A">
        <w:t>My Aged Care Service and Support Portal</w:t>
      </w:r>
      <w:r w:rsidR="00580BB3">
        <w:t>. This would only occur where the</w:t>
      </w:r>
      <w:r w:rsidR="00850E08">
        <w:t xml:space="preserve"> prospective supporter also agrees to the registration. A </w:t>
      </w:r>
      <w:r w:rsidR="00372073">
        <w:t>supporter lite</w:t>
      </w:r>
      <w:r w:rsidR="00850E08">
        <w:t xml:space="preserve"> does not have the older person’s consent to automatically be given information</w:t>
      </w:r>
      <w:r w:rsidR="00341C96">
        <w:t xml:space="preserve"> that may or must be given to the older person under the Act</w:t>
      </w:r>
      <w:r w:rsidR="00850E08">
        <w:t xml:space="preserve">. </w:t>
      </w:r>
    </w:p>
    <w:p w14:paraId="0294B984" w14:textId="1AEA4B67" w:rsidR="00431A6D" w:rsidRDefault="00FA29D7" w:rsidP="00431A6D">
      <w:r>
        <w:t>Aged care providers</w:t>
      </w:r>
      <w:r w:rsidR="00F86736">
        <w:t xml:space="preserve"> </w:t>
      </w:r>
      <w:r>
        <w:t>must</w:t>
      </w:r>
      <w:r w:rsidR="00F86736">
        <w:t xml:space="preserve"> ensure th</w:t>
      </w:r>
      <w:r w:rsidR="001A6AB8">
        <w:t>ey do not share</w:t>
      </w:r>
      <w:r>
        <w:t xml:space="preserve"> certain</w:t>
      </w:r>
      <w:r w:rsidR="001A6AB8">
        <w:t xml:space="preserve"> information automatically with </w:t>
      </w:r>
      <w:r>
        <w:t>a</w:t>
      </w:r>
      <w:r w:rsidR="006F0585">
        <w:t xml:space="preserve"> registered</w:t>
      </w:r>
      <w:r>
        <w:t xml:space="preserve"> supporter </w:t>
      </w:r>
      <w:r w:rsidR="00D1664D">
        <w:t xml:space="preserve">recorded as a </w:t>
      </w:r>
      <w:r w:rsidR="002C5A97">
        <w:t xml:space="preserve">‘supporter </w:t>
      </w:r>
      <w:r>
        <w:t>lite</w:t>
      </w:r>
      <w:r w:rsidR="002C5A97">
        <w:t>’ in the portal</w:t>
      </w:r>
      <w:r>
        <w:t xml:space="preserve">, as it may represent a breach of the older person’s privacy. </w:t>
      </w:r>
    </w:p>
    <w:p w14:paraId="665B3CFA" w14:textId="2DA12603" w:rsidR="00981FAD" w:rsidRDefault="00331813" w:rsidP="000F470F">
      <w:pPr>
        <w:pStyle w:val="IntroPara"/>
        <w:spacing w:before="120"/>
      </w:pPr>
      <w:r>
        <w:t xml:space="preserve">Type and form of information </w:t>
      </w:r>
    </w:p>
    <w:p w14:paraId="15BC1D97" w14:textId="4A7271DA" w:rsidR="00963133" w:rsidRDefault="00C24528" w:rsidP="00237BF8">
      <w:r>
        <w:t xml:space="preserve">When providing information or documents to </w:t>
      </w:r>
      <w:r w:rsidR="00DC018F">
        <w:t xml:space="preserve">registered </w:t>
      </w:r>
      <w:r>
        <w:t>supporters, the information or document does not have to be in the exact form</w:t>
      </w:r>
      <w:r w:rsidR="00657B9A">
        <w:t xml:space="preserve"> or manner</w:t>
      </w:r>
      <w:r w:rsidR="00237BF8">
        <w:t xml:space="preserve"> as the version given to the older person. However, </w:t>
      </w:r>
      <w:r w:rsidR="00734234">
        <w:t xml:space="preserve">the information or </w:t>
      </w:r>
      <w:r w:rsidR="00734234" w:rsidRPr="00DC018F">
        <w:t xml:space="preserve">document </w:t>
      </w:r>
      <w:r w:rsidR="00680F3E" w:rsidRPr="00083C3A">
        <w:t>must</w:t>
      </w:r>
      <w:r w:rsidR="00237BF8" w:rsidRPr="00083C3A">
        <w:t xml:space="preserve"> include the same content</w:t>
      </w:r>
      <w:r w:rsidR="00237BF8" w:rsidRPr="00DC018F">
        <w:t xml:space="preserve"> and </w:t>
      </w:r>
      <w:r w:rsidR="00237BF8" w:rsidRPr="00083C3A">
        <w:t>must be provided as soon as reasonably practica</w:t>
      </w:r>
      <w:r w:rsidR="00C41C33">
        <w:t>l</w:t>
      </w:r>
      <w:r w:rsidR="00237BF8" w:rsidRPr="00DC018F">
        <w:t xml:space="preserve"> after being given to the older person. </w:t>
      </w:r>
    </w:p>
    <w:p w14:paraId="3048FE2C" w14:textId="18948B99" w:rsidR="00995817" w:rsidRDefault="00227B31" w:rsidP="00237BF8">
      <w:r>
        <w:t xml:space="preserve">This means that the </w:t>
      </w:r>
      <w:r w:rsidR="004D0C19">
        <w:t xml:space="preserve">form or </w:t>
      </w:r>
      <w:proofErr w:type="gramStart"/>
      <w:r w:rsidR="004D0C19">
        <w:t>manner in which</w:t>
      </w:r>
      <w:proofErr w:type="gramEnd"/>
      <w:r w:rsidR="004D0C19">
        <w:t xml:space="preserve"> one party to a registered supporter relationship (either an older person or registered supporter) receives information or a document does not have to be the same as</w:t>
      </w:r>
      <w:r w:rsidR="004452B4">
        <w:t xml:space="preserve"> the form or manner of the information or document received by the other party or parties to the relationship.</w:t>
      </w:r>
    </w:p>
    <w:p w14:paraId="500B013B" w14:textId="067ABEDF" w:rsidR="00A605EF" w:rsidRDefault="00237BF8" w:rsidP="00237BF8">
      <w:r w:rsidRPr="00DC018F">
        <w:t>For example:</w:t>
      </w:r>
      <w:r>
        <w:t xml:space="preserve"> </w:t>
      </w:r>
    </w:p>
    <w:p w14:paraId="5571F9B5" w14:textId="5F82EB29" w:rsidR="00237BF8" w:rsidRDefault="006C7A63" w:rsidP="001E3C4B">
      <w:pPr>
        <w:pStyle w:val="ListParagraph"/>
        <w:numPr>
          <w:ilvl w:val="0"/>
          <w:numId w:val="29"/>
        </w:numPr>
        <w:ind w:left="357" w:hanging="357"/>
        <w:contextualSpacing w:val="0"/>
      </w:pPr>
      <w:r>
        <w:t xml:space="preserve">A physical letter </w:t>
      </w:r>
      <w:r w:rsidR="00AC03E4">
        <w:t xml:space="preserve">or report can be </w:t>
      </w:r>
      <w:r>
        <w:t xml:space="preserve">mailed to </w:t>
      </w:r>
      <w:r w:rsidR="004452B4">
        <w:t>one party</w:t>
      </w:r>
      <w:r>
        <w:t>,</w:t>
      </w:r>
      <w:r w:rsidR="00AC03E4">
        <w:t xml:space="preserve"> and</w:t>
      </w:r>
      <w:r>
        <w:t xml:space="preserve"> an electronic copy of the letter</w:t>
      </w:r>
      <w:r w:rsidR="00AC03E4">
        <w:t xml:space="preserve"> or report</w:t>
      </w:r>
      <w:r>
        <w:t xml:space="preserve"> </w:t>
      </w:r>
      <w:r w:rsidR="00412479">
        <w:t xml:space="preserve">may be provided </w:t>
      </w:r>
      <w:r w:rsidR="004452B4">
        <w:t>to another party</w:t>
      </w:r>
      <w:r>
        <w:t xml:space="preserve"> via email.</w:t>
      </w:r>
    </w:p>
    <w:p w14:paraId="34D2473E" w14:textId="1E3CD622" w:rsidR="001E54C8" w:rsidRDefault="004452B4" w:rsidP="001E3C4B">
      <w:pPr>
        <w:pStyle w:val="ListParagraph"/>
        <w:numPr>
          <w:ilvl w:val="0"/>
          <w:numId w:val="29"/>
        </w:numPr>
        <w:ind w:left="357" w:hanging="357"/>
        <w:contextualSpacing w:val="0"/>
      </w:pPr>
      <w:r>
        <w:lastRenderedPageBreak/>
        <w:t>The d</w:t>
      </w:r>
      <w:r w:rsidR="00412479">
        <w:t>ate and time of a meeting with an</w:t>
      </w:r>
      <w:r w:rsidR="002F4671">
        <w:t xml:space="preserve"> older person </w:t>
      </w:r>
      <w:r w:rsidR="006B0017">
        <w:t xml:space="preserve">can be confirmed </w:t>
      </w:r>
      <w:r w:rsidR="002F4671">
        <w:t xml:space="preserve">over the </w:t>
      </w:r>
      <w:r w:rsidR="00412479">
        <w:t>tele</w:t>
      </w:r>
      <w:r w:rsidR="002F4671">
        <w:t>phone</w:t>
      </w:r>
      <w:r w:rsidR="006B0017">
        <w:t xml:space="preserve"> with one party</w:t>
      </w:r>
      <w:r w:rsidR="00412479">
        <w:t>, and confirmation of th</w:t>
      </w:r>
      <w:r w:rsidR="003C5B40">
        <w:t xml:space="preserve">at </w:t>
      </w:r>
      <w:r w:rsidR="00412479">
        <w:t xml:space="preserve">date and time may be provided </w:t>
      </w:r>
      <w:r w:rsidR="000A4DBE">
        <w:t>to another</w:t>
      </w:r>
      <w:r w:rsidR="006B0017">
        <w:t xml:space="preserve"> party</w:t>
      </w:r>
      <w:r w:rsidR="002F4671">
        <w:t xml:space="preserve"> via </w:t>
      </w:r>
      <w:r w:rsidR="00C870B3">
        <w:t>SMS (text</w:t>
      </w:r>
      <w:r w:rsidR="001D1FB3">
        <w:t xml:space="preserve"> message</w:t>
      </w:r>
      <w:r w:rsidR="00C870B3">
        <w:t>)</w:t>
      </w:r>
      <w:r w:rsidR="002F4671">
        <w:t xml:space="preserve">. </w:t>
      </w:r>
    </w:p>
    <w:p w14:paraId="0551993D" w14:textId="583D0464" w:rsidR="002F4671" w:rsidRDefault="00A76EB7" w:rsidP="001E3C4B">
      <w:pPr>
        <w:pStyle w:val="ListParagraph"/>
        <w:numPr>
          <w:ilvl w:val="0"/>
          <w:numId w:val="29"/>
        </w:numPr>
        <w:ind w:left="357" w:hanging="357"/>
        <w:contextualSpacing w:val="0"/>
      </w:pPr>
      <w:r>
        <w:t>F</w:t>
      </w:r>
      <w:r w:rsidR="00A27FB1">
        <w:t xml:space="preserve">orms can be provided to </w:t>
      </w:r>
      <w:r w:rsidR="006B0017">
        <w:t>parties</w:t>
      </w:r>
      <w:r w:rsidR="00A27FB1">
        <w:t xml:space="preserve"> </w:t>
      </w:r>
      <w:r>
        <w:t xml:space="preserve">translated </w:t>
      </w:r>
      <w:r w:rsidR="00A27FB1">
        <w:t xml:space="preserve">in the language they </w:t>
      </w:r>
      <w:r w:rsidR="006B0017">
        <w:t xml:space="preserve">individually </w:t>
      </w:r>
      <w:r w:rsidR="003C5B40">
        <w:t>p</w:t>
      </w:r>
      <w:r w:rsidR="005E6FF1">
        <w:t>r</w:t>
      </w:r>
      <w:r w:rsidR="00A27FB1">
        <w:t>efer</w:t>
      </w:r>
      <w:r w:rsidR="002B0037">
        <w:t xml:space="preserve">, including using a translator </w:t>
      </w:r>
      <w:r w:rsidR="00E4729E">
        <w:t>or AUSLAN</w:t>
      </w:r>
      <w:r w:rsidR="006E393C">
        <w:t xml:space="preserve"> or </w:t>
      </w:r>
      <w:r w:rsidR="00420B03">
        <w:t>D</w:t>
      </w:r>
      <w:r w:rsidR="006E393C">
        <w:t>eaf</w:t>
      </w:r>
      <w:r w:rsidR="00E4729E">
        <w:t xml:space="preserve"> interpreter</w:t>
      </w:r>
      <w:r w:rsidR="00A27FB1">
        <w:t>.</w:t>
      </w:r>
    </w:p>
    <w:p w14:paraId="0191BCA0" w14:textId="559EAA94" w:rsidR="004511B8" w:rsidRDefault="004511B8" w:rsidP="001E3C4B">
      <w:pPr>
        <w:pStyle w:val="ListParagraph"/>
        <w:numPr>
          <w:ilvl w:val="0"/>
          <w:numId w:val="29"/>
        </w:numPr>
        <w:ind w:left="357" w:hanging="357"/>
        <w:contextualSpacing w:val="0"/>
      </w:pPr>
      <w:r>
        <w:t xml:space="preserve">Information can be read </w:t>
      </w:r>
      <w:r w:rsidR="00A76EB7">
        <w:t xml:space="preserve">or provided in Braille </w:t>
      </w:r>
      <w:r>
        <w:t xml:space="preserve">to </w:t>
      </w:r>
      <w:r w:rsidR="006B0017">
        <w:t xml:space="preserve">a party </w:t>
      </w:r>
      <w:r>
        <w:t xml:space="preserve">who </w:t>
      </w:r>
      <w:r w:rsidR="00C870B3">
        <w:t>i</w:t>
      </w:r>
      <w:r w:rsidR="00A76EB7">
        <w:t>dentifies as</w:t>
      </w:r>
      <w:r w:rsidR="00C870B3">
        <w:t xml:space="preserve"> blind or </w:t>
      </w:r>
      <w:r w:rsidR="00F210E0">
        <w:t xml:space="preserve">vision </w:t>
      </w:r>
      <w:proofErr w:type="gramStart"/>
      <w:r w:rsidR="00F210E0">
        <w:t>impaired,</w:t>
      </w:r>
      <w:r>
        <w:t xml:space="preserve"> and</w:t>
      </w:r>
      <w:proofErr w:type="gramEnd"/>
      <w:r>
        <w:t xml:space="preserve"> provided to a</w:t>
      </w:r>
      <w:r w:rsidR="006B0017">
        <w:t xml:space="preserve">nother party </w:t>
      </w:r>
      <w:r>
        <w:t xml:space="preserve">in </w:t>
      </w:r>
      <w:r w:rsidR="00F210E0">
        <w:t xml:space="preserve">a </w:t>
      </w:r>
      <w:r w:rsidR="00104707">
        <w:t>printed</w:t>
      </w:r>
      <w:r>
        <w:t xml:space="preserve"> form. </w:t>
      </w:r>
    </w:p>
    <w:p w14:paraId="3972630B" w14:textId="19648997" w:rsidR="006B0017" w:rsidRDefault="006B0017" w:rsidP="00AC53AE">
      <w:r>
        <w:t xml:space="preserve">Examples in this section are not intended to be exhaustive or prescriptive of what would be expected in any or all cases. Aged care providers should </w:t>
      </w:r>
      <w:r w:rsidR="00963133">
        <w:t>engage with each party to understand their wishes, needs, and preferences.</w:t>
      </w:r>
    </w:p>
    <w:p w14:paraId="3B8FC37E" w14:textId="07341C31" w:rsidR="00A25FAE" w:rsidRDefault="00A25FAE" w:rsidP="00083C3A">
      <w:pPr>
        <w:pStyle w:val="Heading2"/>
      </w:pPr>
      <w:bookmarkStart w:id="17" w:name="_Toc227330322"/>
      <w:r>
        <w:t>Documentation</w:t>
      </w:r>
      <w:bookmarkEnd w:id="17"/>
    </w:p>
    <w:p w14:paraId="26E5D47F" w14:textId="77777777" w:rsidR="00C43483" w:rsidRDefault="00963F94" w:rsidP="00A25FAE">
      <w:r>
        <w:t>Aged care</w:t>
      </w:r>
      <w:r w:rsidR="00F064CA">
        <w:t xml:space="preserve"> </w:t>
      </w:r>
      <w:r w:rsidR="002522DD">
        <w:t>providers should continue to document the decisions that older people make</w:t>
      </w:r>
      <w:r w:rsidR="00DF0525">
        <w:t>. This may include</w:t>
      </w:r>
      <w:r w:rsidR="002522DD">
        <w:t xml:space="preserve"> </w:t>
      </w:r>
      <w:r w:rsidR="00DF0525">
        <w:t>documenting</w:t>
      </w:r>
      <w:r w:rsidR="002522DD">
        <w:t xml:space="preserve"> the</w:t>
      </w:r>
      <w:r w:rsidR="00C43483">
        <w:t>:</w:t>
      </w:r>
    </w:p>
    <w:p w14:paraId="4CECE25A" w14:textId="7FCB2FC4" w:rsidR="00C43483" w:rsidRDefault="00BB6B6B" w:rsidP="00C43483">
      <w:pPr>
        <w:pStyle w:val="ListParagraph"/>
        <w:numPr>
          <w:ilvl w:val="0"/>
          <w:numId w:val="62"/>
        </w:numPr>
      </w:pPr>
      <w:r>
        <w:t xml:space="preserve">older person’s </w:t>
      </w:r>
      <w:r w:rsidR="00792CC4">
        <w:t xml:space="preserve">decision-making process and the </w:t>
      </w:r>
      <w:r>
        <w:t xml:space="preserve">will and preferences </w:t>
      </w:r>
      <w:r w:rsidR="00792CC4">
        <w:t xml:space="preserve">that </w:t>
      </w:r>
      <w:r>
        <w:t>informed the</w:t>
      </w:r>
      <w:r w:rsidR="005B4D53">
        <w:t>ir</w:t>
      </w:r>
      <w:r>
        <w:t xml:space="preserve"> decision</w:t>
      </w:r>
    </w:p>
    <w:p w14:paraId="1A9EE755" w14:textId="77777777" w:rsidR="00C43483" w:rsidRDefault="002522DD" w:rsidP="00C43483">
      <w:pPr>
        <w:pStyle w:val="ListParagraph"/>
        <w:numPr>
          <w:ilvl w:val="0"/>
          <w:numId w:val="62"/>
        </w:numPr>
      </w:pPr>
      <w:r>
        <w:t xml:space="preserve">involvement of any person supporting </w:t>
      </w:r>
      <w:r w:rsidR="00B50DF0">
        <w:t>an older person</w:t>
      </w:r>
      <w:r w:rsidR="00DD5448">
        <w:t xml:space="preserve"> to make or communicate these decisions</w:t>
      </w:r>
    </w:p>
    <w:p w14:paraId="57DF181F" w14:textId="625871C0" w:rsidR="00C43483" w:rsidRDefault="00B50DF0" w:rsidP="00C43483">
      <w:pPr>
        <w:pStyle w:val="ListParagraph"/>
        <w:numPr>
          <w:ilvl w:val="0"/>
          <w:numId w:val="62"/>
        </w:numPr>
      </w:pPr>
      <w:r>
        <w:t xml:space="preserve">information, documents or supports provided to the older person to assist their decision-making, and </w:t>
      </w:r>
    </w:p>
    <w:p w14:paraId="724388FB" w14:textId="7889C1DC" w:rsidR="00F064CA" w:rsidRDefault="00B50DF0" w:rsidP="000F470F">
      <w:pPr>
        <w:pStyle w:val="ListParagraph"/>
        <w:numPr>
          <w:ilvl w:val="0"/>
          <w:numId w:val="62"/>
        </w:numPr>
      </w:pPr>
      <w:r>
        <w:t xml:space="preserve">any risks that have been identified and discussed with the older person. </w:t>
      </w:r>
    </w:p>
    <w:p w14:paraId="2D3D67FD" w14:textId="776AA037" w:rsidR="009D1104" w:rsidRDefault="00B50DF0" w:rsidP="00A25FAE">
      <w:r>
        <w:t>If a registered supporter communicat</w:t>
      </w:r>
      <w:r w:rsidR="0061302E">
        <w:t>es</w:t>
      </w:r>
      <w:r>
        <w:t xml:space="preserve"> a decision of the older person</w:t>
      </w:r>
      <w:r w:rsidR="00554567">
        <w:t xml:space="preserve"> to the aged care provider</w:t>
      </w:r>
      <w:r>
        <w:t>, th</w:t>
      </w:r>
      <w:r w:rsidR="00486BB1">
        <w:t>e</w:t>
      </w:r>
      <w:r>
        <w:t xml:space="preserve"> decision and process of communicating the decision may need to be recorded in specific documents such as a Service Agreement or care plan. </w:t>
      </w:r>
    </w:p>
    <w:p w14:paraId="4D803F4E" w14:textId="29AA6836" w:rsidR="00B50DF0" w:rsidRPr="00A25FAE" w:rsidRDefault="00275794" w:rsidP="00A25FAE">
      <w:r>
        <w:t xml:space="preserve">The rules to the Act may include details on specific </w:t>
      </w:r>
      <w:r w:rsidR="003B0832">
        <w:t>documents but</w:t>
      </w:r>
      <w:r w:rsidR="009D1104">
        <w:t xml:space="preserve"> </w:t>
      </w:r>
      <w:r>
        <w:t>have not been finalised at the time of publication.</w:t>
      </w:r>
      <w:r w:rsidR="006B0031">
        <w:t xml:space="preserve"> Further information will be provided about aged care providers’ obligations to document </w:t>
      </w:r>
      <w:r w:rsidR="005D484A">
        <w:t>their engagement</w:t>
      </w:r>
      <w:r w:rsidR="000617EE">
        <w:t xml:space="preserve"> with</w:t>
      </w:r>
      <w:r w:rsidR="006B0031">
        <w:t xml:space="preserve"> </w:t>
      </w:r>
      <w:r w:rsidR="005D484A">
        <w:t>old</w:t>
      </w:r>
      <w:r w:rsidR="00300932">
        <w:t>er</w:t>
      </w:r>
      <w:r w:rsidR="005D484A">
        <w:t xml:space="preserve"> people and their</w:t>
      </w:r>
      <w:r w:rsidR="006B0031">
        <w:t xml:space="preserve"> registered supporters when it becomes available.</w:t>
      </w:r>
    </w:p>
    <w:p w14:paraId="6E802395" w14:textId="77777777" w:rsidR="00F92B35" w:rsidRDefault="00F92B35" w:rsidP="00F92B35">
      <w:pPr>
        <w:pStyle w:val="Heading2"/>
      </w:pPr>
      <w:bookmarkStart w:id="18" w:name="_Toc227330323"/>
      <w:r>
        <w:t>Conflicts of interest</w:t>
      </w:r>
      <w:bookmarkEnd w:id="18"/>
      <w:r>
        <w:t xml:space="preserve"> </w:t>
      </w:r>
    </w:p>
    <w:p w14:paraId="44E1EE69" w14:textId="10916101" w:rsidR="00F92B35" w:rsidRDefault="008B2076" w:rsidP="00F92B35">
      <w:r>
        <w:t>Under the</w:t>
      </w:r>
      <w:r w:rsidR="00F92B35">
        <w:t xml:space="preserve"> Act</w:t>
      </w:r>
      <w:r>
        <w:t xml:space="preserve">, </w:t>
      </w:r>
      <w:r w:rsidR="00547252">
        <w:t xml:space="preserve">registered </w:t>
      </w:r>
      <w:r>
        <w:t xml:space="preserve">supporters have </w:t>
      </w:r>
      <w:r w:rsidR="00F92B35">
        <w:t>a duty to</w:t>
      </w:r>
      <w:r w:rsidR="002C63B9">
        <w:t xml:space="preserve"> declare and</w:t>
      </w:r>
      <w:r w:rsidR="00F92B35">
        <w:t xml:space="preserve"> avoid </w:t>
      </w:r>
      <w:r w:rsidR="00E40E2C">
        <w:t xml:space="preserve">or </w:t>
      </w:r>
      <w:r w:rsidR="00F92B35">
        <w:t xml:space="preserve">manage conflicts of interest. </w:t>
      </w:r>
    </w:p>
    <w:p w14:paraId="1B25C5CE" w14:textId="094C73FC" w:rsidR="008E6AAE" w:rsidRDefault="00F92B35" w:rsidP="00F92B35">
      <w:r>
        <w:t xml:space="preserve">A conflict of interest </w:t>
      </w:r>
      <w:r w:rsidR="008E6AAE" w:rsidRPr="008E6AAE">
        <w:t xml:space="preserve">arises if a registered supporter’s personal interests or obligations interfere with, could compromise, or may influence the </w:t>
      </w:r>
      <w:r w:rsidR="0009011F">
        <w:t xml:space="preserve">registered </w:t>
      </w:r>
      <w:r w:rsidR="008E6AAE" w:rsidRPr="008E6AAE">
        <w:t xml:space="preserve">supporter’s </w:t>
      </w:r>
      <w:r w:rsidR="00B279E2">
        <w:t>ability to carry out their role under the Act.</w:t>
      </w:r>
      <w:r w:rsidR="008E6AAE" w:rsidRPr="008E6AAE">
        <w:t xml:space="preserve"> This could include a conflict between the </w:t>
      </w:r>
      <w:r w:rsidR="008B4C1D">
        <w:t>older person’s</w:t>
      </w:r>
      <w:r w:rsidR="008E6AAE" w:rsidRPr="008E6AAE">
        <w:t xml:space="preserve"> interests and the registered supporter’s interests.</w:t>
      </w:r>
    </w:p>
    <w:p w14:paraId="24EF69B0" w14:textId="17537C64" w:rsidR="00F92B35" w:rsidRDefault="00F92B35" w:rsidP="00F92B35">
      <w:r>
        <w:t xml:space="preserve">If a </w:t>
      </w:r>
      <w:r w:rsidR="00B32904">
        <w:t xml:space="preserve">real, perceived or potential </w:t>
      </w:r>
      <w:r>
        <w:t>conflict of interest</w:t>
      </w:r>
      <w:r w:rsidRPr="00E561CD">
        <w:t xml:space="preserve"> cannot be avoided</w:t>
      </w:r>
      <w:r>
        <w:t xml:space="preserve">, it </w:t>
      </w:r>
      <w:r w:rsidRPr="00E561CD">
        <w:t>must be able to be managed.</w:t>
      </w:r>
      <w:r>
        <w:t xml:space="preserve"> </w:t>
      </w:r>
      <w:r w:rsidR="00F61EF5">
        <w:t xml:space="preserve">If the System Governor is not satisfied </w:t>
      </w:r>
      <w:r w:rsidR="002D1710">
        <w:t xml:space="preserve">that </w:t>
      </w:r>
      <w:r w:rsidR="004C0862">
        <w:t>a</w:t>
      </w:r>
      <w:r w:rsidR="00F61EF5">
        <w:t xml:space="preserve"> conflict </w:t>
      </w:r>
      <w:r w:rsidR="004C0862">
        <w:t xml:space="preserve">of interest </w:t>
      </w:r>
      <w:r w:rsidR="00F61EF5">
        <w:t xml:space="preserve">can be managed, </w:t>
      </w:r>
      <w:r w:rsidR="00D360D5">
        <w:t xml:space="preserve">the person with the </w:t>
      </w:r>
      <w:r>
        <w:t xml:space="preserve">conflict </w:t>
      </w:r>
      <w:r w:rsidR="00D360D5">
        <w:t>is</w:t>
      </w:r>
      <w:r>
        <w:t xml:space="preserve"> unable to act as a </w:t>
      </w:r>
      <w:r w:rsidR="00123C67">
        <w:t xml:space="preserve">registered </w:t>
      </w:r>
      <w:r>
        <w:t xml:space="preserve">supporter for </w:t>
      </w:r>
      <w:r w:rsidR="00D360D5">
        <w:t>the</w:t>
      </w:r>
      <w:r>
        <w:t xml:space="preserve"> older person. This generally excludes aged care providers and their workforce from registering as a supporter for an older person they provide aged care services to. </w:t>
      </w:r>
    </w:p>
    <w:p w14:paraId="6B27E330" w14:textId="4615A5B3" w:rsidR="005F0B11" w:rsidRDefault="00162EE5" w:rsidP="005F0B11">
      <w:pPr>
        <w:spacing w:before="0" w:after="160" w:line="279" w:lineRule="auto"/>
      </w:pPr>
      <w:r>
        <w:lastRenderedPageBreak/>
        <w:t>Additionally, w</w:t>
      </w:r>
      <w:r w:rsidR="00E87CCF">
        <w:t>hen engaging with registered supporters, a</w:t>
      </w:r>
      <w:r w:rsidR="001C3FD2">
        <w:t>ged care providers and workers should consider</w:t>
      </w:r>
      <w:r w:rsidR="007C633C">
        <w:t xml:space="preserve"> </w:t>
      </w:r>
      <w:r w:rsidR="00B710E7">
        <w:t xml:space="preserve">if the registered supporter in acting in a manner that complies with the duties of a supporter under the Act, including that the registered supporter </w:t>
      </w:r>
      <w:r w:rsidR="00A32EDE">
        <w:t xml:space="preserve">declares, </w:t>
      </w:r>
      <w:r w:rsidR="00B710E7">
        <w:t>avoid</w:t>
      </w:r>
      <w:r w:rsidR="0080177B">
        <w:t>s</w:t>
      </w:r>
      <w:r w:rsidR="00B710E7">
        <w:t xml:space="preserve"> or manage</w:t>
      </w:r>
      <w:r w:rsidR="0080177B">
        <w:t>s</w:t>
      </w:r>
      <w:r w:rsidR="00B710E7">
        <w:t xml:space="preserve"> any conflicts</w:t>
      </w:r>
      <w:r w:rsidR="0080177B">
        <w:t xml:space="preserve"> of interest</w:t>
      </w:r>
      <w:r w:rsidR="00B710E7">
        <w:t>. Conflicts of interest do not have to be financial</w:t>
      </w:r>
      <w:r w:rsidR="002044BD">
        <w:t>. Conflicts</w:t>
      </w:r>
      <w:r w:rsidR="00B710E7">
        <w:t xml:space="preserve"> may also </w:t>
      </w:r>
      <w:r w:rsidR="007C633C">
        <w:t xml:space="preserve">regard the personal nature of a registered supporter’s relationship with the older person. For example, </w:t>
      </w:r>
      <w:r w:rsidR="00A32EDE">
        <w:t xml:space="preserve">an older person’s </w:t>
      </w:r>
      <w:r w:rsidR="002044BD">
        <w:t>family members and loved ones may have</w:t>
      </w:r>
      <w:r w:rsidR="00A32EDE">
        <w:t xml:space="preserve"> a</w:t>
      </w:r>
      <w:r w:rsidR="002044BD">
        <w:t xml:space="preserve"> </w:t>
      </w:r>
      <w:r w:rsidR="005F0B11">
        <w:t>conflict of interest</w:t>
      </w:r>
      <w:r w:rsidR="00A32EDE">
        <w:t xml:space="preserve"> acting as a registered supporter</w:t>
      </w:r>
      <w:r w:rsidR="004F6254">
        <w:t xml:space="preserve">, but may still be registered as a supporter if </w:t>
      </w:r>
      <w:r w:rsidR="00A32EDE">
        <w:t>the System Governor considers that</w:t>
      </w:r>
      <w:r w:rsidR="004F6254">
        <w:t xml:space="preserve"> conflict </w:t>
      </w:r>
      <w:r w:rsidR="002044BD">
        <w:t>can be</w:t>
      </w:r>
      <w:r w:rsidR="000B0053">
        <w:t xml:space="preserve"> avoided or</w:t>
      </w:r>
      <w:r w:rsidR="002044BD">
        <w:t xml:space="preserve"> managed, including if they are:</w:t>
      </w:r>
    </w:p>
    <w:p w14:paraId="319DB6DD" w14:textId="77777777" w:rsidR="005F0B11" w:rsidRDefault="005F0B11" w:rsidP="005F0B11">
      <w:pPr>
        <w:pStyle w:val="ListParagraph"/>
        <w:numPr>
          <w:ilvl w:val="0"/>
          <w:numId w:val="68"/>
        </w:numPr>
        <w:spacing w:before="0" w:after="160" w:line="279" w:lineRule="auto"/>
        <w:rPr>
          <w:szCs w:val="22"/>
        </w:rPr>
      </w:pPr>
      <w:r w:rsidRPr="005F0B11">
        <w:rPr>
          <w:szCs w:val="22"/>
        </w:rPr>
        <w:t xml:space="preserve">potential beneficiaries of an older person’s estate, where the estate assets may be impacted by the provision of aged care services, and </w:t>
      </w:r>
    </w:p>
    <w:p w14:paraId="3EC0F99F" w14:textId="061A15E8" w:rsidR="005F0B11" w:rsidRPr="005F0B11" w:rsidRDefault="005F0B11" w:rsidP="00D36A99">
      <w:pPr>
        <w:pStyle w:val="ListParagraph"/>
        <w:numPr>
          <w:ilvl w:val="0"/>
          <w:numId w:val="68"/>
        </w:numPr>
        <w:spacing w:before="0" w:after="160" w:line="279" w:lineRule="auto"/>
        <w:rPr>
          <w:szCs w:val="22"/>
        </w:rPr>
      </w:pPr>
      <w:r w:rsidRPr="005F0B11">
        <w:rPr>
          <w:szCs w:val="22"/>
        </w:rPr>
        <w:t>adult children and spouses who are dependent on the older person for financial support, housing or other support that may be impacted by the provision of aged care services</w:t>
      </w:r>
      <w:r w:rsidR="00A32EDE">
        <w:rPr>
          <w:szCs w:val="22"/>
        </w:rPr>
        <w:t>.</w:t>
      </w:r>
    </w:p>
    <w:p w14:paraId="1F555C62" w14:textId="572DC1DE" w:rsidR="00712171" w:rsidRDefault="00162EE5" w:rsidP="00F92B35">
      <w:r>
        <w:t>Where an a</w:t>
      </w:r>
      <w:r w:rsidR="00A32EDE">
        <w:t xml:space="preserve">ged care provider </w:t>
      </w:r>
      <w:r w:rsidR="007D22F1">
        <w:t>or</w:t>
      </w:r>
      <w:r w:rsidR="00A32EDE">
        <w:t xml:space="preserve"> worker </w:t>
      </w:r>
      <w:r>
        <w:t>has a</w:t>
      </w:r>
      <w:r w:rsidR="00A32EDE">
        <w:t xml:space="preserve"> complaint or concern about the conduct of a registered supporter</w:t>
      </w:r>
      <w:r w:rsidR="007D22F1">
        <w:t xml:space="preserve"> </w:t>
      </w:r>
      <w:r>
        <w:t>they should raise it with the</w:t>
      </w:r>
      <w:r w:rsidR="00A32EDE">
        <w:t xml:space="preserve"> System Governor, responsible for registered supporters. </w:t>
      </w:r>
      <w:r w:rsidR="007D22F1">
        <w:t xml:space="preserve">This may include that the </w:t>
      </w:r>
      <w:r w:rsidR="008A3476">
        <w:t xml:space="preserve">aged care </w:t>
      </w:r>
      <w:r w:rsidR="007D22F1">
        <w:t xml:space="preserve">provider or worker is concerned the registered supporter is </w:t>
      </w:r>
      <w:r w:rsidR="00FC2040">
        <w:t xml:space="preserve">abusing, </w:t>
      </w:r>
      <w:r w:rsidR="007D22F1">
        <w:t xml:space="preserve">influencing or benefiting from </w:t>
      </w:r>
      <w:r w:rsidR="00FC2040" w:rsidRPr="005F0B11">
        <w:rPr>
          <w:szCs w:val="22"/>
        </w:rPr>
        <w:t>the provision of aged care services</w:t>
      </w:r>
      <w:r w:rsidR="00FC2040">
        <w:rPr>
          <w:szCs w:val="22"/>
        </w:rPr>
        <w:t xml:space="preserve"> to the older person they are registered to support. </w:t>
      </w:r>
    </w:p>
    <w:p w14:paraId="615655DC" w14:textId="77777777" w:rsidR="00F92B35" w:rsidRDefault="00F92B35" w:rsidP="00F92B35">
      <w:pPr>
        <w:pStyle w:val="Heading2"/>
      </w:pPr>
      <w:bookmarkStart w:id="19" w:name="_Toc227330324"/>
      <w:r>
        <w:t>Safeguards against abuse</w:t>
      </w:r>
      <w:bookmarkEnd w:id="19"/>
    </w:p>
    <w:p w14:paraId="4828D42E" w14:textId="1103B21B" w:rsidR="00F92B35" w:rsidRDefault="00963F94" w:rsidP="00F92B35">
      <w:r>
        <w:t>Aged care</w:t>
      </w:r>
      <w:r w:rsidR="00F92B35" w:rsidRPr="00815F63">
        <w:t xml:space="preserve"> providers</w:t>
      </w:r>
      <w:r w:rsidR="00F65FFC">
        <w:t xml:space="preserve">, responsible persons, and aged care workers </w:t>
      </w:r>
      <w:r w:rsidR="00F92B35">
        <w:t>have</w:t>
      </w:r>
      <w:r w:rsidR="00F92B35" w:rsidRPr="00815F63">
        <w:t xml:space="preserve"> obligations under the Act to safeguard against abuse</w:t>
      </w:r>
      <w:r w:rsidR="00F65FFC">
        <w:t xml:space="preserve"> and misconduct</w:t>
      </w:r>
      <w:r w:rsidR="00F92B35" w:rsidRPr="00815F63">
        <w:t>. Th</w:t>
      </w:r>
      <w:r w:rsidR="00F92B35">
        <w:t>is</w:t>
      </w:r>
      <w:r w:rsidR="00F92B35" w:rsidRPr="00815F63">
        <w:t xml:space="preserve"> include</w:t>
      </w:r>
      <w:r w:rsidR="00F92B35">
        <w:t>s</w:t>
      </w:r>
      <w:r w:rsidR="00F92B35" w:rsidRPr="00815F63">
        <w:t xml:space="preserve"> responsibilities </w:t>
      </w:r>
      <w:r w:rsidR="00F92B35">
        <w:t>under</w:t>
      </w:r>
      <w:r w:rsidR="00F92B35" w:rsidRPr="00815F63">
        <w:t xml:space="preserve"> the</w:t>
      </w:r>
      <w:r w:rsidR="00F92B35">
        <w:t xml:space="preserve"> </w:t>
      </w:r>
      <w:r w:rsidR="00860254">
        <w:t xml:space="preserve">new regulatory model in the Act, such as in the </w:t>
      </w:r>
      <w:r w:rsidR="00F92B35">
        <w:t>Statement of Rights,</w:t>
      </w:r>
      <w:r w:rsidR="00F92B35" w:rsidRPr="00815F63">
        <w:t xml:space="preserve"> Aged Care Quality Standards</w:t>
      </w:r>
      <w:r w:rsidR="00F92B35">
        <w:t xml:space="preserve"> and</w:t>
      </w:r>
      <w:r w:rsidR="00F92B35" w:rsidRPr="00815F63">
        <w:t xml:space="preserve"> the Code of Conduct for Aged Care</w:t>
      </w:r>
      <w:r w:rsidR="00F92B35">
        <w:t xml:space="preserve">. These are discussed </w:t>
      </w:r>
      <w:hyperlink w:anchor="_Regulatory_context" w:history="1">
        <w:r w:rsidR="00F92B35" w:rsidRPr="003B2C11">
          <w:rPr>
            <w:rStyle w:val="Hyperlink"/>
          </w:rPr>
          <w:t xml:space="preserve">earlier in this </w:t>
        </w:r>
        <w:r w:rsidR="00860254">
          <w:rPr>
            <w:rStyle w:val="Hyperlink"/>
          </w:rPr>
          <w:t>policy</w:t>
        </w:r>
        <w:r w:rsidR="00F92B35" w:rsidRPr="003B2C11">
          <w:rPr>
            <w:rStyle w:val="Hyperlink"/>
          </w:rPr>
          <w:t>.</w:t>
        </w:r>
      </w:hyperlink>
    </w:p>
    <w:p w14:paraId="6160BAD5" w14:textId="7622F27D" w:rsidR="00F92B35" w:rsidRDefault="00F92B35" w:rsidP="00F92B35">
      <w:r>
        <w:t>Older people should feel comfortable and confident raising concerns relating to their aged care services</w:t>
      </w:r>
      <w:r w:rsidRPr="00347AAA">
        <w:t xml:space="preserve"> </w:t>
      </w:r>
      <w:r>
        <w:t xml:space="preserve">with their aged care provider, including the conduct of their </w:t>
      </w:r>
      <w:r w:rsidR="00860254">
        <w:t xml:space="preserve">registered </w:t>
      </w:r>
      <w:r>
        <w:t xml:space="preserve">supporters. </w:t>
      </w:r>
    </w:p>
    <w:p w14:paraId="6D84C92D" w14:textId="60357239" w:rsidR="00860254" w:rsidRDefault="00860254" w:rsidP="001E3C4B">
      <w:pPr>
        <w:pStyle w:val="ListParagraph"/>
        <w:numPr>
          <w:ilvl w:val="0"/>
          <w:numId w:val="45"/>
        </w:numPr>
        <w:ind w:left="357" w:hanging="357"/>
        <w:contextualSpacing w:val="0"/>
      </w:pPr>
      <w:r>
        <w:rPr>
          <w:b/>
          <w:bCs/>
        </w:rPr>
        <w:t>F</w:t>
      </w:r>
      <w:r w:rsidR="00F92B35" w:rsidRPr="006520C5">
        <w:rPr>
          <w:b/>
          <w:bCs/>
        </w:rPr>
        <w:t>or complaints relating to a registered supporter’s conduct:</w:t>
      </w:r>
      <w:r w:rsidR="00F92B35">
        <w:t xml:space="preserve"> Aged care providers can work directly with </w:t>
      </w:r>
      <w:r w:rsidR="00F65FFC">
        <w:t xml:space="preserve">older people, registered </w:t>
      </w:r>
      <w:r w:rsidR="00F92B35">
        <w:t xml:space="preserve">supporters, advocacy services, or the System Governor to </w:t>
      </w:r>
      <w:r>
        <w:t xml:space="preserve">manage </w:t>
      </w:r>
      <w:r w:rsidR="00F92B35">
        <w:t xml:space="preserve">complaints or allegations of wrongdoing or abuse perpetrated by </w:t>
      </w:r>
      <w:r>
        <w:t xml:space="preserve">registered </w:t>
      </w:r>
      <w:r w:rsidR="00F92B35">
        <w:t>supporters. Any person can raise a complaint or concern</w:t>
      </w:r>
      <w:r w:rsidR="00F65FFC">
        <w:t xml:space="preserve"> with the System Governor</w:t>
      </w:r>
      <w:r w:rsidR="00E46AB9">
        <w:t>, responsible for registered supporters,</w:t>
      </w:r>
      <w:r w:rsidR="00F92B35">
        <w:t xml:space="preserve"> about the conduct of a registered supporter by calling My Aged Care</w:t>
      </w:r>
      <w:r w:rsidR="00427089">
        <w:t xml:space="preserve">, or </w:t>
      </w:r>
      <w:r w:rsidR="00E46AB9">
        <w:t xml:space="preserve">via the </w:t>
      </w:r>
      <w:r w:rsidR="00E46AB9" w:rsidRPr="00E46AB9">
        <w:t xml:space="preserve">online electronic form, accessible on the department’s </w:t>
      </w:r>
      <w:hyperlink r:id="rId21" w:history="1">
        <w:r w:rsidR="00E46AB9" w:rsidRPr="00313110">
          <w:rPr>
            <w:rStyle w:val="Hyperlink"/>
          </w:rPr>
          <w:t>webpage for registered supporters</w:t>
        </w:r>
      </w:hyperlink>
      <w:r w:rsidR="00E46AB9">
        <w:t>.</w:t>
      </w:r>
    </w:p>
    <w:p w14:paraId="1F2ADEE1" w14:textId="18E3778A" w:rsidR="00860254" w:rsidRDefault="00860254" w:rsidP="001E3C4B">
      <w:pPr>
        <w:pStyle w:val="ListParagraph"/>
        <w:numPr>
          <w:ilvl w:val="0"/>
          <w:numId w:val="45"/>
        </w:numPr>
        <w:ind w:left="357" w:hanging="357"/>
        <w:contextualSpacing w:val="0"/>
      </w:pPr>
      <w:r>
        <w:rPr>
          <w:b/>
          <w:bCs/>
        </w:rPr>
        <w:t>F</w:t>
      </w:r>
      <w:r w:rsidR="00F92B35">
        <w:rPr>
          <w:b/>
          <w:bCs/>
        </w:rPr>
        <w:t>or complaints relating to the provision of aged care services:</w:t>
      </w:r>
      <w:r w:rsidR="00F92B35">
        <w:t xml:space="preserve"> Aged care providers can work directly with an older person, their registered supporters, advocacy services</w:t>
      </w:r>
      <w:r w:rsidR="00F65FFC">
        <w:t>, and the Aged Care Quality and Safety Commission.</w:t>
      </w:r>
      <w:r w:rsidR="00F92B35">
        <w:t xml:space="preserve"> Older people and </w:t>
      </w:r>
      <w:r w:rsidR="00F65FFC">
        <w:t>people supporting them</w:t>
      </w:r>
      <w:r w:rsidR="00F92B35">
        <w:t xml:space="preserve"> can raise complaints or concerns about </w:t>
      </w:r>
      <w:r w:rsidR="00963F94">
        <w:t>aged care</w:t>
      </w:r>
      <w:r w:rsidR="00F92B35">
        <w:t xml:space="preserve"> providers</w:t>
      </w:r>
      <w:r w:rsidR="00F65FFC">
        <w:t>,</w:t>
      </w:r>
      <w:r w:rsidR="00F92B35">
        <w:t xml:space="preserve"> including their engagement with registered supporters, with the </w:t>
      </w:r>
      <w:hyperlink r:id="rId22" w:history="1">
        <w:r w:rsidR="00C3217B" w:rsidRPr="00C3217B">
          <w:rPr>
            <w:rStyle w:val="Hyperlink"/>
          </w:rPr>
          <w:t>Aged Care Quality and Safety Commission.</w:t>
        </w:r>
      </w:hyperlink>
    </w:p>
    <w:p w14:paraId="7791EB77" w14:textId="386632BA" w:rsidR="00F92B35" w:rsidRDefault="00F92B35" w:rsidP="001E3C4B">
      <w:pPr>
        <w:pStyle w:val="ListParagraph"/>
        <w:numPr>
          <w:ilvl w:val="0"/>
          <w:numId w:val="45"/>
        </w:numPr>
        <w:ind w:left="357" w:hanging="357"/>
        <w:contextualSpacing w:val="0"/>
      </w:pPr>
      <w:r>
        <w:t xml:space="preserve">If a complaint or concern relates to a </w:t>
      </w:r>
      <w:r w:rsidRPr="006520C5">
        <w:rPr>
          <w:b/>
          <w:bCs/>
        </w:rPr>
        <w:t>reportable incident</w:t>
      </w:r>
      <w:r>
        <w:t xml:space="preserve">, </w:t>
      </w:r>
      <w:r w:rsidR="00963F94">
        <w:t>aged care</w:t>
      </w:r>
      <w:r>
        <w:t xml:space="preserve"> provider</w:t>
      </w:r>
      <w:r w:rsidR="000E4EDB">
        <w:t>s</w:t>
      </w:r>
      <w:r>
        <w:t xml:space="preserve"> continue to have reporting and incident management obligations under the </w:t>
      </w:r>
      <w:hyperlink r:id="rId23" w:history="1">
        <w:r w:rsidRPr="009F48E5">
          <w:rPr>
            <w:rStyle w:val="Hyperlink"/>
          </w:rPr>
          <w:t>Serious Incident Response Scheme</w:t>
        </w:r>
      </w:hyperlink>
      <w:r>
        <w:t xml:space="preserve">. </w:t>
      </w:r>
    </w:p>
    <w:p w14:paraId="340337CE" w14:textId="77777777" w:rsidR="00F92B35" w:rsidRPr="00994A0F" w:rsidRDefault="00F92B35" w:rsidP="00F92B35">
      <w:pPr>
        <w:pStyle w:val="Heading4"/>
      </w:pPr>
      <w:r w:rsidRPr="00994A0F">
        <w:lastRenderedPageBreak/>
        <w:t>Other resources  </w:t>
      </w:r>
    </w:p>
    <w:p w14:paraId="7A80B22C" w14:textId="7A679360" w:rsidR="00F92B35" w:rsidRDefault="00963F94" w:rsidP="00F92B35">
      <w:r>
        <w:t>Aged care</w:t>
      </w:r>
      <w:r w:rsidR="000E4EDB">
        <w:t xml:space="preserve"> p</w:t>
      </w:r>
      <w:r w:rsidR="00F92B35" w:rsidRPr="00815F63">
        <w:t xml:space="preserve">roviders </w:t>
      </w:r>
      <w:r w:rsidR="00F92B35">
        <w:t>should also</w:t>
      </w:r>
      <w:r w:rsidR="00F92B35" w:rsidRPr="00815F63">
        <w:t xml:space="preserve"> </w:t>
      </w:r>
      <w:r w:rsidR="00F92B35">
        <w:t>raise</w:t>
      </w:r>
      <w:r w:rsidR="00F92B35" w:rsidRPr="00815F63">
        <w:t xml:space="preserve"> awareness of other pathways </w:t>
      </w:r>
      <w:r w:rsidR="00EC69CB" w:rsidRPr="00815F63">
        <w:t xml:space="preserve">to respond </w:t>
      </w:r>
      <w:r w:rsidR="00EC69CB">
        <w:t xml:space="preserve">to or raise allegations of </w:t>
      </w:r>
      <w:r w:rsidR="00EC69CB" w:rsidRPr="00815F63">
        <w:t>abuse, neglect or misconduct</w:t>
      </w:r>
      <w:r w:rsidR="00EC69CB">
        <w:t xml:space="preserve"> </w:t>
      </w:r>
      <w:r w:rsidR="00F92B35">
        <w:t xml:space="preserve">that are open to an older person and </w:t>
      </w:r>
      <w:r w:rsidR="00583648">
        <w:t>people supporting them</w:t>
      </w:r>
      <w:r w:rsidR="00F92B35" w:rsidRPr="00815F63">
        <w:t>.</w:t>
      </w:r>
      <w:r w:rsidR="00F92B35">
        <w:t xml:space="preserve"> </w:t>
      </w:r>
    </w:p>
    <w:p w14:paraId="3640481B" w14:textId="77777777" w:rsidR="00F92B35" w:rsidRPr="00994A0F" w:rsidRDefault="00F92B35" w:rsidP="00F92B35">
      <w:r>
        <w:t>These</w:t>
      </w:r>
      <w:r w:rsidRPr="00994A0F">
        <w:t xml:space="preserve"> include: </w:t>
      </w:r>
    </w:p>
    <w:p w14:paraId="5B1B130B" w14:textId="77777777" w:rsidR="00F92B35" w:rsidRPr="00994A0F" w:rsidRDefault="00F92B35" w:rsidP="001E3C4B">
      <w:pPr>
        <w:pStyle w:val="ListParagraph"/>
        <w:numPr>
          <w:ilvl w:val="0"/>
          <w:numId w:val="41"/>
        </w:numPr>
        <w:ind w:left="357" w:hanging="357"/>
        <w:contextualSpacing w:val="0"/>
      </w:pPr>
      <w:r>
        <w:t>t</w:t>
      </w:r>
      <w:r w:rsidRPr="00994A0F">
        <w:t>he Older Persons Advocacy Network (OPAN)</w:t>
      </w:r>
      <w:r>
        <w:t xml:space="preserve"> at </w:t>
      </w:r>
      <w:r w:rsidRPr="00994A0F">
        <w:t>1800 700 600 </w:t>
      </w:r>
      <w:r>
        <w:t>and</w:t>
      </w:r>
      <w:r w:rsidRPr="00994A0F">
        <w:t xml:space="preserve"> </w:t>
      </w:r>
      <w:hyperlink r:id="rId24" w:tgtFrame="_blank" w:history="1">
        <w:r w:rsidRPr="00994A0F">
          <w:rPr>
            <w:rStyle w:val="Hyperlink"/>
          </w:rPr>
          <w:t>www.opan.org.au</w:t>
        </w:r>
      </w:hyperlink>
      <w:r>
        <w:t xml:space="preserve"> for free, confidential information and advocacy </w:t>
      </w:r>
    </w:p>
    <w:p w14:paraId="38B661AA" w14:textId="77777777" w:rsidR="00F92B35" w:rsidRPr="00994A0F" w:rsidRDefault="00F92B35" w:rsidP="001E3C4B">
      <w:pPr>
        <w:pStyle w:val="ListParagraph"/>
        <w:numPr>
          <w:ilvl w:val="0"/>
          <w:numId w:val="41"/>
        </w:numPr>
        <w:ind w:left="357" w:hanging="357"/>
        <w:contextualSpacing w:val="0"/>
      </w:pPr>
      <w:r w:rsidRPr="00994A0F">
        <w:t xml:space="preserve">Elder Abuse Helpline at 1800 353 373 and </w:t>
      </w:r>
      <w:hyperlink r:id="rId25" w:tgtFrame="_blank" w:history="1">
        <w:r w:rsidRPr="00994A0F">
          <w:rPr>
            <w:rStyle w:val="Hyperlink"/>
          </w:rPr>
          <w:t>www.compass.info</w:t>
        </w:r>
      </w:hyperlink>
      <w:r w:rsidRPr="00994A0F">
        <w:t xml:space="preserve"> for information on elder abuse (an Elder Abuse Action Australia initiative)  </w:t>
      </w:r>
    </w:p>
    <w:p w14:paraId="47CD9A56" w14:textId="77777777" w:rsidR="00F92B35" w:rsidRPr="00994A0F" w:rsidRDefault="00F92B35" w:rsidP="001E3C4B">
      <w:pPr>
        <w:pStyle w:val="ListParagraph"/>
        <w:numPr>
          <w:ilvl w:val="0"/>
          <w:numId w:val="41"/>
        </w:numPr>
        <w:ind w:left="357" w:hanging="357"/>
        <w:contextualSpacing w:val="0"/>
      </w:pPr>
      <w:r w:rsidRPr="00994A0F">
        <w:t xml:space="preserve">1800RESPECT at 1800 737 732 and </w:t>
      </w:r>
      <w:hyperlink r:id="rId26" w:tgtFrame="_blank" w:history="1">
        <w:r w:rsidRPr="00994A0F">
          <w:rPr>
            <w:rStyle w:val="Hyperlink"/>
          </w:rPr>
          <w:t>www.1800respect.org.au</w:t>
        </w:r>
      </w:hyperlink>
      <w:r w:rsidRPr="00994A0F">
        <w:t>  </w:t>
      </w:r>
    </w:p>
    <w:p w14:paraId="35A6BE71" w14:textId="3E82D1FB" w:rsidR="00F92B35" w:rsidRPr="00994A0F" w:rsidRDefault="00F92B35" w:rsidP="001E3C4B">
      <w:pPr>
        <w:pStyle w:val="ListParagraph"/>
        <w:numPr>
          <w:ilvl w:val="0"/>
          <w:numId w:val="41"/>
        </w:numPr>
        <w:ind w:left="357" w:hanging="357"/>
        <w:contextualSpacing w:val="0"/>
      </w:pPr>
      <w:r>
        <w:t>s</w:t>
      </w:r>
      <w:r w:rsidRPr="00994A0F">
        <w:t>tate and territory tribunals (for issues relating to a</w:t>
      </w:r>
      <w:r w:rsidR="00E40E2C">
        <w:t>n</w:t>
      </w:r>
      <w:r w:rsidRPr="00994A0F">
        <w:t xml:space="preserve"> </w:t>
      </w:r>
      <w:r>
        <w:t xml:space="preserve">appointed </w:t>
      </w:r>
      <w:r w:rsidRPr="00994A0F">
        <w:t xml:space="preserve">decision-maker under a </w:t>
      </w:r>
      <w:r w:rsidR="00E40E2C">
        <w:t xml:space="preserve">Commonwealth, </w:t>
      </w:r>
      <w:r w:rsidRPr="00994A0F">
        <w:t>state or territory arrangement), and </w:t>
      </w:r>
    </w:p>
    <w:p w14:paraId="1BBAC72D" w14:textId="17C7B516" w:rsidR="00F92B35" w:rsidRDefault="005D5216" w:rsidP="001E3C4B">
      <w:pPr>
        <w:pStyle w:val="ListParagraph"/>
        <w:numPr>
          <w:ilvl w:val="0"/>
          <w:numId w:val="41"/>
        </w:numPr>
        <w:ind w:left="357" w:hanging="357"/>
        <w:contextualSpacing w:val="0"/>
      </w:pPr>
      <w:r>
        <w:t xml:space="preserve">Commonwealth, </w:t>
      </w:r>
      <w:r w:rsidR="00F92B35">
        <w:t>s</w:t>
      </w:r>
      <w:r w:rsidR="00F92B35" w:rsidRPr="00994A0F">
        <w:t>tate and territory police (for allegations of criminal activity). </w:t>
      </w:r>
    </w:p>
    <w:p w14:paraId="3F202040" w14:textId="087313E0" w:rsidR="00320D04" w:rsidRDefault="005D2FB9" w:rsidP="006B7D64">
      <w:pPr>
        <w:pStyle w:val="Heading2"/>
      </w:pPr>
      <w:bookmarkStart w:id="20" w:name="_Toc227330325"/>
      <w:r>
        <w:t xml:space="preserve">Moving to </w:t>
      </w:r>
      <w:r w:rsidR="00502566">
        <w:t xml:space="preserve">a </w:t>
      </w:r>
      <w:r w:rsidR="006B7D64">
        <w:t xml:space="preserve">registered </w:t>
      </w:r>
      <w:r w:rsidR="00502566">
        <w:t xml:space="preserve">supporter relationship under the </w:t>
      </w:r>
      <w:r>
        <w:t>Act</w:t>
      </w:r>
      <w:bookmarkEnd w:id="20"/>
    </w:p>
    <w:p w14:paraId="1D9B6249" w14:textId="213AD255" w:rsidR="00FF5EE2" w:rsidRDefault="00FF5EE2" w:rsidP="00FF5EE2">
      <w:pPr>
        <w:pStyle w:val="Heading4"/>
      </w:pPr>
      <w:r>
        <w:t>My Aged Care representative arrangements</w:t>
      </w:r>
    </w:p>
    <w:p w14:paraId="2D623534" w14:textId="66315117" w:rsidR="00FF5EE2" w:rsidRDefault="00FF5EE2" w:rsidP="00FF5EE2">
      <w:r>
        <w:t xml:space="preserve">Transition arrangements </w:t>
      </w:r>
      <w:r w:rsidR="00530124">
        <w:t xml:space="preserve">were </w:t>
      </w:r>
      <w:r w:rsidR="00C50564">
        <w:t>in place up to 31</w:t>
      </w:r>
      <w:r w:rsidR="00C50564" w:rsidDel="00432E5A">
        <w:t xml:space="preserve"> </w:t>
      </w:r>
      <w:r w:rsidR="00C50564">
        <w:t xml:space="preserve">October 2025 </w:t>
      </w:r>
      <w:r>
        <w:t xml:space="preserve">for existing regular and authorised representative relationships in My Aged Care to move under the Act as supporter relationships. </w:t>
      </w:r>
      <w:r w:rsidRPr="00800FB4">
        <w:t xml:space="preserve">If an older person </w:t>
      </w:r>
      <w:r w:rsidR="00530124">
        <w:t>had</w:t>
      </w:r>
      <w:r w:rsidR="00530124" w:rsidRPr="00800FB4">
        <w:t xml:space="preserve"> </w:t>
      </w:r>
      <w:r w:rsidRPr="00800FB4">
        <w:t xml:space="preserve">a regular or authorised representative active in My Aged Care on </w:t>
      </w:r>
      <w:r w:rsidR="00432E5A">
        <w:t>31 October</w:t>
      </w:r>
      <w:r w:rsidRPr="00800FB4">
        <w:t xml:space="preserve"> 2025, their</w:t>
      </w:r>
      <w:r w:rsidRPr="00556DB6">
        <w:t xml:space="preserve"> </w:t>
      </w:r>
      <w:r w:rsidRPr="00800FB4">
        <w:t>representative bec</w:t>
      </w:r>
      <w:r w:rsidR="00530124">
        <w:t>a</w:t>
      </w:r>
      <w:r w:rsidRPr="00800FB4">
        <w:t>me a registered supporter under the Act</w:t>
      </w:r>
      <w:r w:rsidR="00432E5A">
        <w:t xml:space="preserve"> on 1 November 2025</w:t>
      </w:r>
      <w:r w:rsidRPr="00800FB4" w:rsidDel="00432E5A">
        <w:t>.</w:t>
      </w:r>
      <w:r w:rsidRPr="00800FB4">
        <w:t xml:space="preserve"> This </w:t>
      </w:r>
      <w:r w:rsidR="00530124">
        <w:t>ensured</w:t>
      </w:r>
      <w:r w:rsidR="00530124" w:rsidRPr="00800FB4">
        <w:t xml:space="preserve"> </w:t>
      </w:r>
      <w:r w:rsidRPr="00800FB4">
        <w:t>continuity of decision-making support for older people seeking or receiving aged care services. </w:t>
      </w:r>
    </w:p>
    <w:p w14:paraId="2B9FE774" w14:textId="70AAE657" w:rsidR="00FF5EE2" w:rsidRPr="007F0604" w:rsidRDefault="00A05FB8" w:rsidP="00FF5EE2">
      <w:r>
        <w:t>From 1 November</w:t>
      </w:r>
      <w:r w:rsidR="00530124">
        <w:t xml:space="preserve"> 2025</w:t>
      </w:r>
      <w:r>
        <w:t>, a</w:t>
      </w:r>
      <w:r w:rsidR="00FF5EE2" w:rsidRPr="0073549A">
        <w:t xml:space="preserve"> registered supporter can help the older person make decisions across aged care and interact with a range of various organisations, including aged care providers. </w:t>
      </w:r>
      <w:r>
        <w:t>Prior to 1 November</w:t>
      </w:r>
      <w:r w:rsidR="00530124">
        <w:t xml:space="preserve"> 2025,</w:t>
      </w:r>
      <w:r>
        <w:t xml:space="preserve"> a</w:t>
      </w:r>
      <w:r w:rsidR="00FF5EE2" w:rsidRPr="0073549A">
        <w:t xml:space="preserve"> representative</w:t>
      </w:r>
      <w:r w:rsidR="00345C7C">
        <w:t xml:space="preserve"> in My Aged Care</w:t>
      </w:r>
      <w:r w:rsidR="00FF5EE2" w:rsidRPr="0073549A">
        <w:t xml:space="preserve"> </w:t>
      </w:r>
      <w:r w:rsidR="00530124">
        <w:t>could</w:t>
      </w:r>
      <w:r w:rsidR="00530124" w:rsidRPr="0073549A">
        <w:t xml:space="preserve"> </w:t>
      </w:r>
      <w:r w:rsidR="00FF5EE2" w:rsidRPr="0073549A">
        <w:t>only talk to, or act in, My Aged Care.</w:t>
      </w:r>
    </w:p>
    <w:p w14:paraId="307F25A2" w14:textId="675384EC" w:rsidR="00FF5EE2" w:rsidRDefault="00FF5EE2" w:rsidP="00FF5EE2">
      <w:r w:rsidRPr="00510DDB">
        <w:t xml:space="preserve">Regular representatives in My Aged Care, authorised representatives in My Aged Care, and older people with regular representatives </w:t>
      </w:r>
      <w:r w:rsidR="00530124">
        <w:t>could</w:t>
      </w:r>
      <w:r w:rsidR="00530124" w:rsidRPr="00510DDB">
        <w:t xml:space="preserve"> </w:t>
      </w:r>
      <w:r w:rsidRPr="00510DDB">
        <w:t>opt out of</w:t>
      </w:r>
      <w:r w:rsidR="00A97D90">
        <w:t xml:space="preserve"> their representative relationships</w:t>
      </w:r>
      <w:r w:rsidRPr="00510DDB">
        <w:t xml:space="preserve"> becoming registered supporter</w:t>
      </w:r>
      <w:r w:rsidR="00A97D90">
        <w:t xml:space="preserve"> relationships</w:t>
      </w:r>
      <w:r>
        <w:t xml:space="preserve"> any time before </w:t>
      </w:r>
      <w:r w:rsidR="00432E5A">
        <w:t>1 November</w:t>
      </w:r>
      <w:r>
        <w:t xml:space="preserve"> 2025.</w:t>
      </w:r>
    </w:p>
    <w:p w14:paraId="0AD80884" w14:textId="2F8DC635" w:rsidR="00FF5EE2" w:rsidRPr="00FF5EE2" w:rsidRDefault="00FF5EE2" w:rsidP="00FF5EE2">
      <w:pPr>
        <w:pStyle w:val="Heading4"/>
      </w:pPr>
      <w:r>
        <w:t xml:space="preserve">Representative arrangements under the </w:t>
      </w:r>
      <w:proofErr w:type="gramStart"/>
      <w:r>
        <w:t>Quality of Care</w:t>
      </w:r>
      <w:proofErr w:type="gramEnd"/>
      <w:r>
        <w:t xml:space="preserve"> Principles</w:t>
      </w:r>
    </w:p>
    <w:p w14:paraId="3C345A3E" w14:textId="35FF2423" w:rsidR="008A4D09" w:rsidRDefault="008A4D09" w:rsidP="00C14843">
      <w:r>
        <w:t xml:space="preserve">Prior to the Act commencing, </w:t>
      </w:r>
      <w:r w:rsidR="00412D3F">
        <w:t xml:space="preserve">people </w:t>
      </w:r>
      <w:r w:rsidR="005F1F2D">
        <w:t>were</w:t>
      </w:r>
      <w:r w:rsidR="00D4320F">
        <w:t xml:space="preserve"> able to establish representative arrangements</w:t>
      </w:r>
      <w:r w:rsidR="00F80D01">
        <w:t xml:space="preserve"> for older people</w:t>
      </w:r>
      <w:r w:rsidR="00D4320F">
        <w:t xml:space="preserve"> </w:t>
      </w:r>
      <w:r w:rsidR="00331E29">
        <w:t xml:space="preserve">directly with </w:t>
      </w:r>
      <w:r w:rsidR="00412D3F">
        <w:t>aged care providers</w:t>
      </w:r>
      <w:r w:rsidR="00331E29">
        <w:t xml:space="preserve"> </w:t>
      </w:r>
      <w:r w:rsidR="00957806">
        <w:t xml:space="preserve">in accordance with the </w:t>
      </w:r>
      <w:proofErr w:type="gramStart"/>
      <w:r w:rsidR="00957806" w:rsidRPr="00012244">
        <w:rPr>
          <w:i/>
          <w:iCs/>
        </w:rPr>
        <w:t>Quality</w:t>
      </w:r>
      <w:r w:rsidR="00267C58">
        <w:rPr>
          <w:i/>
          <w:iCs/>
        </w:rPr>
        <w:t xml:space="preserve"> </w:t>
      </w:r>
      <w:r w:rsidR="00957806" w:rsidRPr="00012244">
        <w:rPr>
          <w:i/>
          <w:iCs/>
        </w:rPr>
        <w:t>of</w:t>
      </w:r>
      <w:r w:rsidR="00267C58">
        <w:rPr>
          <w:i/>
          <w:iCs/>
        </w:rPr>
        <w:t xml:space="preserve"> </w:t>
      </w:r>
      <w:r w:rsidR="00957806" w:rsidRPr="00012244">
        <w:rPr>
          <w:i/>
          <w:iCs/>
        </w:rPr>
        <w:t>Care</w:t>
      </w:r>
      <w:proofErr w:type="gramEnd"/>
      <w:r w:rsidR="00957806" w:rsidRPr="00012244">
        <w:rPr>
          <w:i/>
          <w:iCs/>
        </w:rPr>
        <w:t xml:space="preserve"> Principles</w:t>
      </w:r>
      <w:r w:rsidR="00F80D01" w:rsidRPr="00012244">
        <w:rPr>
          <w:i/>
          <w:iCs/>
        </w:rPr>
        <w:t xml:space="preserve"> 2014 (Cth)</w:t>
      </w:r>
      <w:r w:rsidR="00957806">
        <w:t>.</w:t>
      </w:r>
    </w:p>
    <w:p w14:paraId="60277A11" w14:textId="2C2D6170" w:rsidR="0027255E" w:rsidRPr="0027255E" w:rsidRDefault="0027255E" w:rsidP="0027255E">
      <w:r>
        <w:t xml:space="preserve">From </w:t>
      </w:r>
      <w:r w:rsidRPr="0027255E" w:rsidDel="00432E5A">
        <w:t xml:space="preserve">1 </w:t>
      </w:r>
      <w:r w:rsidR="00432E5A">
        <w:t>November</w:t>
      </w:r>
      <w:r w:rsidR="00530124">
        <w:t xml:space="preserve"> 2025</w:t>
      </w:r>
      <w:r w:rsidRPr="0027255E">
        <w:t xml:space="preserve">, </w:t>
      </w:r>
      <w:r>
        <w:t xml:space="preserve">these </w:t>
      </w:r>
      <w:r w:rsidRPr="0027255E">
        <w:t xml:space="preserve">representative arrangements no longer exist. These arrangements </w:t>
      </w:r>
      <w:r w:rsidR="00530124">
        <w:t>did</w:t>
      </w:r>
      <w:r w:rsidR="00530124" w:rsidRPr="0027255E">
        <w:t xml:space="preserve"> </w:t>
      </w:r>
      <w:r w:rsidRPr="0027255E">
        <w:t>not transition to the Act. </w:t>
      </w:r>
    </w:p>
    <w:p w14:paraId="6582CFB1" w14:textId="68E75E75" w:rsidR="0027255E" w:rsidRPr="0027255E" w:rsidRDefault="0027255E" w:rsidP="0027255E">
      <w:r w:rsidRPr="0027255E">
        <w:t xml:space="preserve">Before 1 </w:t>
      </w:r>
      <w:r w:rsidR="00432E5A">
        <w:t>November</w:t>
      </w:r>
      <w:r w:rsidR="00530124">
        <w:t xml:space="preserve"> 2025</w:t>
      </w:r>
      <w:r w:rsidRPr="0027255E">
        <w:t xml:space="preserve">, an older person and their representative under the </w:t>
      </w:r>
      <w:proofErr w:type="gramStart"/>
      <w:r w:rsidRPr="0027255E">
        <w:t>Quality of Care</w:t>
      </w:r>
      <w:proofErr w:type="gramEnd"/>
      <w:r w:rsidRPr="0027255E">
        <w:t xml:space="preserve"> Principles 2014 </w:t>
      </w:r>
      <w:r w:rsidR="00530124">
        <w:t>were encouraged to</w:t>
      </w:r>
      <w:r w:rsidR="00530124" w:rsidRPr="0027255E">
        <w:t xml:space="preserve"> </w:t>
      </w:r>
      <w:r w:rsidRPr="0027255E">
        <w:t xml:space="preserve">discuss if the representative should become a registered supporter. They </w:t>
      </w:r>
      <w:r w:rsidR="00530124">
        <w:t>could</w:t>
      </w:r>
      <w:r w:rsidR="00530124" w:rsidRPr="0027255E">
        <w:t xml:space="preserve"> </w:t>
      </w:r>
      <w:r w:rsidRPr="0027255E">
        <w:t>do this by: </w:t>
      </w:r>
    </w:p>
    <w:p w14:paraId="66669A42" w14:textId="0F1F9156" w:rsidR="0027255E" w:rsidRPr="0027255E" w:rsidRDefault="0027255E" w:rsidP="0027255E">
      <w:pPr>
        <w:numPr>
          <w:ilvl w:val="0"/>
          <w:numId w:val="44"/>
        </w:numPr>
      </w:pPr>
      <w:r w:rsidRPr="0027255E">
        <w:lastRenderedPageBreak/>
        <w:t xml:space="preserve">registering a regular or authorised representative relationship in My Aged Care by </w:t>
      </w:r>
      <w:r w:rsidR="00432E5A">
        <w:t>31 October 2025</w:t>
      </w:r>
      <w:r w:rsidRPr="0027255E">
        <w:t>. These relationships then transition</w:t>
      </w:r>
      <w:r w:rsidR="00530124">
        <w:t>ed</w:t>
      </w:r>
      <w:r w:rsidRPr="0027255E">
        <w:t xml:space="preserve"> to supporter relationships on 1 </w:t>
      </w:r>
      <w:r w:rsidR="00432E5A">
        <w:t>November 2025</w:t>
      </w:r>
    </w:p>
    <w:p w14:paraId="6C5274DF" w14:textId="21BC6685" w:rsidR="0027255E" w:rsidRDefault="0027255E" w:rsidP="0027255E">
      <w:pPr>
        <w:numPr>
          <w:ilvl w:val="0"/>
          <w:numId w:val="44"/>
        </w:numPr>
      </w:pPr>
      <w:r w:rsidRPr="0027255E">
        <w:t xml:space="preserve">planning to register a supporter relationship </w:t>
      </w:r>
      <w:r w:rsidR="00432E5A">
        <w:t>from</w:t>
      </w:r>
      <w:r w:rsidR="00432E5A" w:rsidRPr="0027255E">
        <w:t xml:space="preserve"> </w:t>
      </w:r>
      <w:r w:rsidRPr="0027255E">
        <w:t xml:space="preserve">1 </w:t>
      </w:r>
      <w:r w:rsidR="00432E5A">
        <w:t>November</w:t>
      </w:r>
      <w:r w:rsidR="00FD3FB2">
        <w:t xml:space="preserve"> 2025</w:t>
      </w:r>
      <w:r w:rsidRPr="0027255E">
        <w:t>.</w:t>
      </w:r>
    </w:p>
    <w:p w14:paraId="4F893340" w14:textId="69279B14" w:rsidR="008723A6" w:rsidRDefault="008723A6" w:rsidP="00083C3A">
      <w:pPr>
        <w:pStyle w:val="Heading4"/>
      </w:pPr>
      <w:r>
        <w:t xml:space="preserve">More information </w:t>
      </w:r>
      <w:r w:rsidR="005661CB">
        <w:t>on transition arrangements</w:t>
      </w:r>
    </w:p>
    <w:p w14:paraId="4EB1FD65" w14:textId="6C20EB5F" w:rsidR="009438AA" w:rsidRDefault="0027255E" w:rsidP="0027255E">
      <w:r>
        <w:t xml:space="preserve">Learn more about the </w:t>
      </w:r>
      <w:r w:rsidR="006404BB">
        <w:t xml:space="preserve">transition arrangements </w:t>
      </w:r>
      <w:r w:rsidR="009438AA">
        <w:t>that were in place before the Act commenced</w:t>
      </w:r>
      <w:r w:rsidR="006404BB">
        <w:t xml:space="preserve"> at </w:t>
      </w:r>
      <w:hyperlink r:id="rId27" w:history="1">
        <w:r w:rsidR="00313B7C" w:rsidRPr="00313B7C">
          <w:rPr>
            <w:rStyle w:val="Hyperlink"/>
          </w:rPr>
          <w:t>www.health.gov.au/our-work/aged-care-act/about/registered-supporters-in-aged-care/transition-arrangements-for-the-new-registered-supporter-role</w:t>
        </w:r>
      </w:hyperlink>
      <w:r w:rsidR="009438AA">
        <w:t>.</w:t>
      </w:r>
    </w:p>
    <w:p w14:paraId="341DD589" w14:textId="2F846FEF" w:rsidR="006404BB" w:rsidRPr="0027255E" w:rsidRDefault="006404BB" w:rsidP="00083C3A">
      <w:r>
        <w:t xml:space="preserve">A guide </w:t>
      </w:r>
      <w:r w:rsidR="008723A6">
        <w:t xml:space="preserve">on the transition arrangements </w:t>
      </w:r>
      <w:r>
        <w:t xml:space="preserve">is also available from the Department’s website at </w:t>
      </w:r>
      <w:hyperlink r:id="rId28">
        <w:r w:rsidR="008723A6" w:rsidRPr="02EE2BE7">
          <w:rPr>
            <w:rStyle w:val="Hyperlink"/>
          </w:rPr>
          <w:t>www.health.gov.au/resources/publications/a-new-registered-supporter-role-for-aged-care-arrangements-for-the-transition-to-the-new-aged-care-act-2024</w:t>
        </w:r>
      </w:hyperlink>
      <w:r w:rsidR="008723A6">
        <w:t xml:space="preserve">. </w:t>
      </w:r>
    </w:p>
    <w:p w14:paraId="0228C0CC" w14:textId="7D15E356" w:rsidR="002E2C12" w:rsidRDefault="002E2C12" w:rsidP="003B1617">
      <w:pPr>
        <w:pStyle w:val="Heading1"/>
      </w:pPr>
      <w:bookmarkStart w:id="21" w:name="_Toc227330326"/>
      <w:r>
        <w:t>Audience</w:t>
      </w:r>
      <w:bookmarkEnd w:id="21"/>
    </w:p>
    <w:p w14:paraId="245C6DA4" w14:textId="6F89B263" w:rsidR="00074668" w:rsidRDefault="00074668" w:rsidP="004B1CC1">
      <w:r>
        <w:t>This policy is intended for aged care providers</w:t>
      </w:r>
      <w:r w:rsidR="00EF7324">
        <w:t xml:space="preserve"> and the aged care workforce.</w:t>
      </w:r>
    </w:p>
    <w:p w14:paraId="5E0E4E48" w14:textId="0BF8CE6E" w:rsidR="002E2C12" w:rsidRDefault="003F2F3C" w:rsidP="003B1617">
      <w:pPr>
        <w:pStyle w:val="Heading1"/>
      </w:pPr>
      <w:bookmarkStart w:id="22" w:name="_Toc227330327"/>
      <w:r>
        <w:t xml:space="preserve">Roles and </w:t>
      </w:r>
      <w:r w:rsidR="00750101">
        <w:t>r</w:t>
      </w:r>
      <w:r w:rsidR="002E2C12">
        <w:t>esponsibilities</w:t>
      </w:r>
      <w:bookmarkEnd w:id="22"/>
    </w:p>
    <w:p w14:paraId="3AAC04FA" w14:textId="6C29E9A2" w:rsidR="00AF46FC" w:rsidRDefault="49A43EF5" w:rsidP="006B7D64">
      <w:r w:rsidRPr="17FF417D">
        <w:t xml:space="preserve">The </w:t>
      </w:r>
      <w:r w:rsidRPr="006B7D64">
        <w:rPr>
          <w:b/>
          <w:bCs/>
          <w:i/>
        </w:rPr>
        <w:t>System Governor</w:t>
      </w:r>
      <w:r w:rsidRPr="17FF417D">
        <w:t xml:space="preserve"> is responsible for </w:t>
      </w:r>
      <w:r w:rsidR="65A8DA74" w:rsidRPr="17FF417D">
        <w:t>managing the registrations of supporters</w:t>
      </w:r>
      <w:r w:rsidR="00CB23C1">
        <w:t xml:space="preserve">. </w:t>
      </w:r>
      <w:r w:rsidR="7E267612" w:rsidRPr="17FF417D">
        <w:t xml:space="preserve">The System Governor is responsible for receiving and considering any information that might justify the suspension and cancellation of a </w:t>
      </w:r>
      <w:r w:rsidR="00CB23C1">
        <w:t xml:space="preserve">registered </w:t>
      </w:r>
      <w:r w:rsidR="7E267612" w:rsidRPr="17FF417D">
        <w:t xml:space="preserve">supporter’s registration, as well as whether the </w:t>
      </w:r>
      <w:r w:rsidR="00CB23C1">
        <w:t xml:space="preserve">registered </w:t>
      </w:r>
      <w:r w:rsidR="7E267612" w:rsidRPr="17FF417D">
        <w:t xml:space="preserve">supporter’s behaviour would be considered an offence under the Act. This information may be received from aged care providers. </w:t>
      </w:r>
    </w:p>
    <w:p w14:paraId="42D57801" w14:textId="74D6AF24" w:rsidR="00796A2B" w:rsidRDefault="008941EE" w:rsidP="008941EE">
      <w:r w:rsidRPr="373E1184">
        <w:rPr>
          <w:b/>
          <w:bCs/>
          <w:i/>
          <w:iCs/>
        </w:rPr>
        <w:t>Aged care providers</w:t>
      </w:r>
      <w:r w:rsidR="00313100" w:rsidRPr="373E1184">
        <w:rPr>
          <w:b/>
          <w:bCs/>
          <w:i/>
          <w:iCs/>
        </w:rPr>
        <w:t xml:space="preserve">, responsible persons and aged care workers </w:t>
      </w:r>
      <w:r>
        <w:t>play a significant role in championing and facilitating effective supported decision-making</w:t>
      </w:r>
      <w:r w:rsidR="00C72CD0">
        <w:t xml:space="preserve"> in aged care.</w:t>
      </w:r>
      <w:r>
        <w:t xml:space="preserve"> </w:t>
      </w:r>
      <w:r w:rsidR="00796A2B">
        <w:t xml:space="preserve">They do so by implementing </w:t>
      </w:r>
      <w:r w:rsidR="007B6276">
        <w:t xml:space="preserve">principles of </w:t>
      </w:r>
      <w:r w:rsidR="00796A2B">
        <w:t xml:space="preserve">supported decision-making in daily service delivery and </w:t>
      </w:r>
      <w:r w:rsidR="00C72CD0">
        <w:t xml:space="preserve">engaging </w:t>
      </w:r>
      <w:r w:rsidR="00796A2B">
        <w:t>with</w:t>
      </w:r>
      <w:r w:rsidR="00C72CD0">
        <w:t xml:space="preserve"> registered</w:t>
      </w:r>
      <w:r w:rsidR="00796A2B">
        <w:t xml:space="preserve"> supporters </w:t>
      </w:r>
      <w:r w:rsidR="00631005">
        <w:t>as required under the Act and within the regulatory environment</w:t>
      </w:r>
      <w:r w:rsidR="00796A2B">
        <w:t>, including by providing access and information. Providers and the workforce</w:t>
      </w:r>
      <w:r>
        <w:t xml:space="preserve"> are</w:t>
      </w:r>
      <w:r w:rsidR="00796A2B">
        <w:t xml:space="preserve"> also</w:t>
      </w:r>
      <w:r>
        <w:t xml:space="preserve"> responsible for upholding their obligations </w:t>
      </w:r>
      <w:r w:rsidR="007B6276">
        <w:t>under the new regulatory model in the Act.</w:t>
      </w:r>
    </w:p>
    <w:p w14:paraId="284E168C" w14:textId="7A530041" w:rsidR="002957C2" w:rsidRDefault="00C72CD0" w:rsidP="002957C2">
      <w:r>
        <w:rPr>
          <w:b/>
          <w:bCs/>
          <w:i/>
          <w:iCs/>
        </w:rPr>
        <w:t>Registered s</w:t>
      </w:r>
      <w:r w:rsidR="002957C2" w:rsidRPr="00322B4F">
        <w:rPr>
          <w:b/>
          <w:bCs/>
          <w:i/>
          <w:iCs/>
        </w:rPr>
        <w:t>upporters</w:t>
      </w:r>
      <w:r w:rsidR="002957C2">
        <w:t xml:space="preserve"> are responsible for understanding their role and duties</w:t>
      </w:r>
      <w:r w:rsidR="00796A2B">
        <w:t xml:space="preserve"> and</w:t>
      </w:r>
      <w:r w:rsidR="002957C2">
        <w:t xml:space="preserve"> act</w:t>
      </w:r>
      <w:r w:rsidR="00796A2B">
        <w:t>ing</w:t>
      </w:r>
      <w:r w:rsidR="002957C2">
        <w:t xml:space="preserve"> in accordance with the will and preferences of the older person they are supporting. </w:t>
      </w:r>
      <w:r w:rsidR="00796A2B">
        <w:t>This extends to their engagement with aged care providers and</w:t>
      </w:r>
      <w:r w:rsidR="00825CE1">
        <w:t xml:space="preserve"> the</w:t>
      </w:r>
      <w:r w:rsidR="00796A2B">
        <w:t xml:space="preserve"> </w:t>
      </w:r>
      <w:r w:rsidR="00A36EF5">
        <w:t>aged care workforce</w:t>
      </w:r>
      <w:r w:rsidR="00796A2B">
        <w:t>.</w:t>
      </w:r>
      <w:r w:rsidR="00FF6104">
        <w:t xml:space="preserve"> </w:t>
      </w:r>
      <w:r w:rsidR="00FF6104" w:rsidRPr="00FF6104">
        <w:t>There are three labels used to describe registered supporters: supporter, supporter lite, or supporter guardian.</w:t>
      </w:r>
    </w:p>
    <w:p w14:paraId="56C3BA1F" w14:textId="5C6A193B" w:rsidR="002957C2" w:rsidRDefault="002957C2" w:rsidP="002957C2">
      <w:r w:rsidRPr="00FB40BE">
        <w:rPr>
          <w:b/>
          <w:bCs/>
          <w:i/>
          <w:iCs/>
        </w:rPr>
        <w:t>Older people</w:t>
      </w:r>
      <w:r>
        <w:t xml:space="preserve"> are responsible for communicating</w:t>
      </w:r>
      <w:r w:rsidR="00C72CD0">
        <w:t xml:space="preserve"> their decisions and will and preferences</w:t>
      </w:r>
      <w:r>
        <w:t xml:space="preserve"> with their</w:t>
      </w:r>
      <w:r w:rsidR="00C72CD0">
        <w:t xml:space="preserve"> registered</w:t>
      </w:r>
      <w:r>
        <w:t xml:space="preserve"> supporters</w:t>
      </w:r>
      <w:r w:rsidR="009B2145">
        <w:t>, or other people who support them</w:t>
      </w:r>
      <w:r w:rsidR="00C72CD0">
        <w:t xml:space="preserve">. </w:t>
      </w:r>
      <w:r>
        <w:t xml:space="preserve">If an older person is unhappy with the actions of their </w:t>
      </w:r>
      <w:r w:rsidR="009B2145">
        <w:t xml:space="preserve">registered </w:t>
      </w:r>
      <w:r>
        <w:t xml:space="preserve">supporter, they </w:t>
      </w:r>
      <w:r w:rsidR="00C72CD0">
        <w:t xml:space="preserve">can </w:t>
      </w:r>
      <w:r>
        <w:t>raise this with the</w:t>
      </w:r>
      <w:r w:rsidR="009B2145">
        <w:t>ir</w:t>
      </w:r>
      <w:r>
        <w:t xml:space="preserve"> supporter</w:t>
      </w:r>
      <w:r w:rsidR="009B2145">
        <w:t>. I</w:t>
      </w:r>
      <w:r>
        <w:t xml:space="preserve">f they cannot agree on a pathway forward, the older person can escalate a concern, complaint, or request to cancel the </w:t>
      </w:r>
      <w:r w:rsidR="00C72CD0">
        <w:t xml:space="preserve">registered </w:t>
      </w:r>
      <w:r>
        <w:t>supporter’s registration with the System Governor</w:t>
      </w:r>
      <w:r w:rsidR="00C72CD0">
        <w:t xml:space="preserve"> by contacting My Aged Care.</w:t>
      </w:r>
      <w:r w:rsidR="00796A2B">
        <w:t xml:space="preserve"> An older person can also raise any concern or complaint relating to their aged care service with their aged care provider, or the Aged Care Quality and Safety Commission. </w:t>
      </w:r>
    </w:p>
    <w:p w14:paraId="1B4235DA" w14:textId="48DD62FE" w:rsidR="002E2C12" w:rsidRPr="00841914" w:rsidRDefault="002E2C12" w:rsidP="00841914">
      <w:pPr>
        <w:pStyle w:val="Heading1"/>
      </w:pPr>
      <w:bookmarkStart w:id="23" w:name="_Toc227330328"/>
      <w:r w:rsidRPr="00841914">
        <w:lastRenderedPageBreak/>
        <w:t>Contact</w:t>
      </w:r>
      <w:bookmarkEnd w:id="23"/>
    </w:p>
    <w:p w14:paraId="7C180B8D" w14:textId="77777777" w:rsidR="006257E3" w:rsidRDefault="006257E3" w:rsidP="006257E3">
      <w:r>
        <w:t>For any further information on this policy, please contact:</w:t>
      </w:r>
    </w:p>
    <w:p w14:paraId="418026B8" w14:textId="77777777" w:rsidR="006257E3" w:rsidRPr="00235924" w:rsidRDefault="006257E3" w:rsidP="006257E3">
      <w:pPr>
        <w:ind w:left="720" w:hanging="436"/>
      </w:pPr>
      <w:r w:rsidRPr="00235924">
        <w:t>Supported Decision-Making</w:t>
      </w:r>
      <w:r>
        <w:t xml:space="preserve"> Section</w:t>
      </w:r>
    </w:p>
    <w:p w14:paraId="562993BA" w14:textId="7CD196EF" w:rsidR="00C33D2D" w:rsidRDefault="006257E3" w:rsidP="00782057">
      <w:pPr>
        <w:ind w:left="284"/>
      </w:pPr>
      <w:r w:rsidRPr="00A85799">
        <w:rPr>
          <w:b/>
          <w:bCs/>
        </w:rPr>
        <w:t>Email:</w:t>
      </w:r>
      <w:r>
        <w:t xml:space="preserve"> </w:t>
      </w:r>
      <w:hyperlink r:id="rId29" w:history="1">
        <w:r w:rsidR="0008230E" w:rsidRPr="00DF1D3E">
          <w:rPr>
            <w:rStyle w:val="Hyperlink"/>
          </w:rPr>
          <w:t>SupportedDecisionMaking@Health.gov.au</w:t>
        </w:r>
      </w:hyperlink>
    </w:p>
    <w:p w14:paraId="43BB839D" w14:textId="77777777" w:rsidR="0008230E" w:rsidRPr="002E2C12" w:rsidRDefault="0008230E" w:rsidP="003B1617">
      <w:pPr>
        <w:pStyle w:val="Heading1"/>
      </w:pPr>
      <w:bookmarkStart w:id="24" w:name="_Toc227330329"/>
      <w:r w:rsidRPr="002E2C12">
        <w:t>Definitions</w:t>
      </w:r>
      <w:bookmarkEnd w:id="24"/>
    </w:p>
    <w:p w14:paraId="10A28B8B" w14:textId="35C95F0E" w:rsidR="0008230E" w:rsidRPr="0008230E" w:rsidRDefault="0008230E" w:rsidP="006B7D64">
      <w:r w:rsidRPr="000A0E28">
        <w:t xml:space="preserve">To </w:t>
      </w:r>
      <w:r>
        <w:t xml:space="preserve">learn more about some of the terms used in this policy, and across the Policy Library for registered supporters, please go to the </w:t>
      </w:r>
      <w:hyperlink r:id="rId30" w:history="1">
        <w:r w:rsidRPr="00141278">
          <w:rPr>
            <w:rStyle w:val="Hyperlink"/>
          </w:rPr>
          <w:t>Glossary</w:t>
        </w:r>
      </w:hyperlink>
      <w:r>
        <w:t xml:space="preserve">. </w:t>
      </w:r>
    </w:p>
    <w:p w14:paraId="2C568367" w14:textId="77777777" w:rsidR="00C33D2D" w:rsidRDefault="00C33D2D" w:rsidP="003B1617">
      <w:pPr>
        <w:pStyle w:val="Heading1"/>
        <w:rPr>
          <w:rFonts w:cs="Times New Roman"/>
          <w:color w:val="000000" w:themeColor="text1"/>
          <w:sz w:val="22"/>
          <w:szCs w:val="24"/>
        </w:rPr>
      </w:pPr>
      <w:bookmarkStart w:id="25" w:name="_Toc227330330"/>
      <w:r w:rsidRPr="002E2C12">
        <w:t xml:space="preserve">Related </w:t>
      </w:r>
      <w:r>
        <w:t>legislation</w:t>
      </w:r>
      <w:bookmarkEnd w:id="25"/>
    </w:p>
    <w:p w14:paraId="58380158" w14:textId="6EC9859C" w:rsidR="009040E9" w:rsidRDefault="009B76E9" w:rsidP="00502A5F">
      <w:hyperlink r:id="rId31" w:history="1">
        <w:r w:rsidRPr="00F406B7">
          <w:rPr>
            <w:rStyle w:val="Hyperlink"/>
            <w:i/>
            <w:iCs/>
          </w:rPr>
          <w:t>Aged Care Act 2024 (Cth)</w:t>
        </w:r>
      </w:hyperlink>
    </w:p>
    <w:p w14:paraId="353172BD" w14:textId="2A233BE1" w:rsidR="00B82B7A" w:rsidRPr="00502A5F" w:rsidRDefault="00B82B7A" w:rsidP="00502A5F">
      <w:pPr>
        <w:rPr>
          <w:i/>
        </w:rPr>
      </w:pPr>
      <w:hyperlink r:id="rId32" w:history="1">
        <w:r w:rsidRPr="00B82B7A">
          <w:rPr>
            <w:rStyle w:val="Hyperlink"/>
          </w:rPr>
          <w:t>Aged Care Rules 2025 (Cth)</w:t>
        </w:r>
      </w:hyperlink>
    </w:p>
    <w:p w14:paraId="62411249" w14:textId="5791846A" w:rsidR="009B2145" w:rsidRPr="00502A5F" w:rsidRDefault="00907E8C" w:rsidP="5DAC26B7">
      <w:pPr>
        <w:rPr>
          <w:i/>
          <w:iCs/>
        </w:rPr>
      </w:pPr>
      <w:hyperlink r:id="rId33" w:history="1">
        <w:r w:rsidRPr="00B42F6F">
          <w:rPr>
            <w:rStyle w:val="Hyperlink"/>
            <w:i/>
            <w:iCs/>
          </w:rPr>
          <w:t>Aged Care (Consequential and Transitional Provisions) Act 2024</w:t>
        </w:r>
      </w:hyperlink>
    </w:p>
    <w:p w14:paraId="51EDFCCC" w14:textId="5C1CCA42" w:rsidR="00961E55" w:rsidRDefault="001F34E3" w:rsidP="5DAC26B7">
      <w:pPr>
        <w:rPr>
          <w:i/>
          <w:iCs/>
        </w:rPr>
      </w:pPr>
      <w:hyperlink r:id="rId34" w:history="1">
        <w:r w:rsidRPr="00C11E6C">
          <w:rPr>
            <w:rStyle w:val="Hyperlink"/>
            <w:i/>
            <w:iCs/>
          </w:rPr>
          <w:t>Carer Recognition Act 2010</w:t>
        </w:r>
        <w:r w:rsidR="00C12010" w:rsidRPr="00C11E6C">
          <w:rPr>
            <w:rStyle w:val="Hyperlink"/>
            <w:i/>
            <w:iCs/>
          </w:rPr>
          <w:t xml:space="preserve"> (Cth)</w:t>
        </w:r>
      </w:hyperlink>
    </w:p>
    <w:p w14:paraId="5B4E001F" w14:textId="77777777" w:rsidR="001F34E3" w:rsidRPr="00961E55" w:rsidRDefault="001F34E3" w:rsidP="00686130"/>
    <w:sectPr w:rsidR="001F34E3" w:rsidRPr="00961E55" w:rsidSect="001F38CA">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8691" w14:textId="77777777" w:rsidR="00A92C93" w:rsidRDefault="00A92C93" w:rsidP="006B56BB">
      <w:r>
        <w:separator/>
      </w:r>
    </w:p>
    <w:p w14:paraId="70B41C86" w14:textId="77777777" w:rsidR="00A92C93" w:rsidRDefault="00A92C93"/>
  </w:endnote>
  <w:endnote w:type="continuationSeparator" w:id="0">
    <w:p w14:paraId="37808406" w14:textId="77777777" w:rsidR="00A92C93" w:rsidRDefault="00A92C93" w:rsidP="006B56BB">
      <w:r>
        <w:continuationSeparator/>
      </w:r>
    </w:p>
    <w:p w14:paraId="5855B13F" w14:textId="77777777" w:rsidR="00A92C93" w:rsidRDefault="00A92C93"/>
  </w:endnote>
  <w:endnote w:type="continuationNotice" w:id="1">
    <w:p w14:paraId="6F9447D8" w14:textId="77777777" w:rsidR="00A92C93" w:rsidRDefault="00A92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0DDB" w14:textId="4520F0A7" w:rsidR="00F21946" w:rsidRDefault="0041039E">
    <w:pPr>
      <w:pStyle w:val="Footer"/>
    </w:pPr>
    <w:r>
      <w:rPr>
        <w:noProof/>
      </w:rPr>
      <mc:AlternateContent>
        <mc:Choice Requires="wps">
          <w:drawing>
            <wp:anchor distT="0" distB="0" distL="0" distR="0" simplePos="0" relativeHeight="251658244" behindDoc="0" locked="0" layoutInCell="1" allowOverlap="1" wp14:anchorId="1BBD05DF" wp14:editId="78F55A30">
              <wp:simplePos x="635" y="635"/>
              <wp:positionH relativeFrom="page">
                <wp:align>center</wp:align>
              </wp:positionH>
              <wp:positionV relativeFrom="page">
                <wp:align>bottom</wp:align>
              </wp:positionV>
              <wp:extent cx="551815" cy="480695"/>
              <wp:effectExtent l="0" t="0" r="635" b="0"/>
              <wp:wrapNone/>
              <wp:docPr id="10549524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495A158" w14:textId="2B5BA06F" w:rsidR="0041039E" w:rsidRPr="0041039E" w:rsidRDefault="0041039E" w:rsidP="0041039E">
                          <w:pPr>
                            <w:spacing w:after="0"/>
                            <w:rPr>
                              <w:rFonts w:ascii="Calibri" w:eastAsia="Calibri" w:hAnsi="Calibri" w:cs="Calibri"/>
                              <w:noProof/>
                              <w:color w:val="FF0000"/>
                              <w:sz w:val="24"/>
                            </w:rPr>
                          </w:pPr>
                          <w:r w:rsidRPr="0041039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BD05D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7495A158" w14:textId="2B5BA06F" w:rsidR="0041039E" w:rsidRPr="0041039E" w:rsidRDefault="0041039E" w:rsidP="0041039E">
                    <w:pPr>
                      <w:spacing w:after="0"/>
                      <w:rPr>
                        <w:rFonts w:ascii="Calibri" w:eastAsia="Calibri" w:hAnsi="Calibri" w:cs="Calibri"/>
                        <w:noProof/>
                        <w:color w:val="FF0000"/>
                        <w:sz w:val="24"/>
                      </w:rPr>
                    </w:pPr>
                    <w:r w:rsidRPr="0041039E">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C2B1" w14:textId="327AE077" w:rsidR="00D05285" w:rsidRDefault="0041039E">
    <w:pPr>
      <w:pStyle w:val="Footer"/>
    </w:pPr>
    <w:r>
      <w:rPr>
        <w:noProof/>
        <w:lang w:val="en-GB"/>
      </w:rPr>
      <mc:AlternateContent>
        <mc:Choice Requires="wps">
          <w:drawing>
            <wp:anchor distT="0" distB="0" distL="0" distR="0" simplePos="0" relativeHeight="251658752" behindDoc="0" locked="0" layoutInCell="1" allowOverlap="1" wp14:anchorId="2F020016" wp14:editId="02B21CCF">
              <wp:simplePos x="635" y="635"/>
              <wp:positionH relativeFrom="page">
                <wp:align>center</wp:align>
              </wp:positionH>
              <wp:positionV relativeFrom="page">
                <wp:align>bottom</wp:align>
              </wp:positionV>
              <wp:extent cx="551815" cy="480695"/>
              <wp:effectExtent l="0" t="0" r="635" b="0"/>
              <wp:wrapNone/>
              <wp:docPr id="7955200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D34EE7A" w14:textId="5EE60838" w:rsidR="0041039E" w:rsidRPr="0041039E" w:rsidRDefault="0041039E" w:rsidP="0041039E">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20016"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7.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0D34EE7A" w14:textId="5EE60838" w:rsidR="0041039E" w:rsidRPr="0041039E" w:rsidRDefault="0041039E" w:rsidP="0041039E">
                    <w:pPr>
                      <w:spacing w:after="0"/>
                      <w:rPr>
                        <w:rFonts w:ascii="Calibri" w:eastAsia="Calibri" w:hAnsi="Calibri" w:cs="Calibri"/>
                        <w:noProof/>
                        <w:color w:val="FF0000"/>
                        <w:sz w:val="24"/>
                      </w:rPr>
                    </w:pPr>
                  </w:p>
                </w:txbxContent>
              </v:textbox>
              <w10:wrap anchorx="page" anchory="page"/>
            </v:shape>
          </w:pict>
        </mc:Fallback>
      </mc:AlternateContent>
    </w:r>
    <w:sdt>
      <w:sdtPr>
        <w:rPr>
          <w:lang w:val="en-GB"/>
        </w:rPr>
        <w:id w:val="2003691789"/>
        <w:docPartObj>
          <w:docPartGallery w:val="Page Numbers (Bottom of Page)"/>
          <w:docPartUnique/>
        </w:docPartObj>
      </w:sdtPr>
      <w:sdtEndPr>
        <w:rPr>
          <w:lang w:val="en-AU"/>
        </w:rPr>
      </w:sdtEndPr>
      <w:sdtContent>
        <w:r w:rsidR="00D05285">
          <w:rPr>
            <w:lang w:val="en-GB"/>
          </w:rPr>
          <w:t xml:space="preserve">Page | </w:t>
        </w:r>
        <w:r w:rsidR="00D05285">
          <w:fldChar w:fldCharType="begin"/>
        </w:r>
        <w:r w:rsidR="00D05285">
          <w:instrText>PAGE   \* MERGEFORMAT</w:instrText>
        </w:r>
        <w:r w:rsidR="00D05285">
          <w:fldChar w:fldCharType="separate"/>
        </w:r>
        <w:r w:rsidR="00D05285">
          <w:rPr>
            <w:lang w:val="en-GB"/>
          </w:rPr>
          <w:t>2</w:t>
        </w:r>
        <w:r w:rsidR="00D05285">
          <w:fldChar w:fldCharType="end"/>
        </w:r>
      </w:sdtContent>
    </w:sdt>
  </w:p>
  <w:p w14:paraId="6F0DDAED" w14:textId="195E8514" w:rsidR="00B53987" w:rsidRDefault="00D05285" w:rsidP="00D05285">
    <w:pPr>
      <w:pStyle w:val="Footer"/>
      <w:jc w:val="left"/>
    </w:pPr>
    <w:r>
      <w:t>Department of Health, Disability and Ageing –</w:t>
    </w:r>
    <w:r w:rsidR="00C84945">
      <w:t xml:space="preserve"> </w:t>
    </w:r>
    <w:r>
      <w:t>Aged Care Providers Policy V.</w:t>
    </w:r>
    <w:r w:rsidR="00857906">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1064" w14:textId="252E395A" w:rsidR="00D05285" w:rsidRDefault="004A278B" w:rsidP="00173A52">
    <w:pPr>
      <w:pStyle w:val="Footer"/>
    </w:pPr>
    <w:sdt>
      <w:sdtPr>
        <w:rPr>
          <w:lang w:val="en-GB"/>
        </w:rPr>
        <w:id w:val="474501679"/>
        <w:docPartObj>
          <w:docPartGallery w:val="Page Numbers (Bottom of Page)"/>
          <w:docPartUnique/>
        </w:docPartObj>
      </w:sdtPr>
      <w:sdtEndPr>
        <w:rPr>
          <w:lang w:val="en-AU"/>
        </w:rPr>
      </w:sdtEndPr>
      <w:sdtContent>
        <w:r w:rsidR="00D05285">
          <w:rPr>
            <w:lang w:val="en-GB"/>
          </w:rPr>
          <w:t xml:space="preserve">Page | </w:t>
        </w:r>
        <w:r w:rsidR="00D05285">
          <w:fldChar w:fldCharType="begin"/>
        </w:r>
        <w:r w:rsidR="00D05285">
          <w:instrText>PAGE   \* MERGEFORMAT</w:instrText>
        </w:r>
        <w:r w:rsidR="00D05285">
          <w:fldChar w:fldCharType="separate"/>
        </w:r>
        <w:r w:rsidR="00D05285">
          <w:rPr>
            <w:lang w:val="en-GB"/>
          </w:rPr>
          <w:t>2</w:t>
        </w:r>
        <w:r w:rsidR="00D05285">
          <w:fldChar w:fldCharType="end"/>
        </w:r>
      </w:sdtContent>
    </w:sdt>
  </w:p>
  <w:p w14:paraId="01E23974" w14:textId="2C0B7F08" w:rsidR="00B53987" w:rsidRDefault="00AA262B" w:rsidP="00D05285">
    <w:pPr>
      <w:pStyle w:val="Footer"/>
      <w:jc w:val="left"/>
    </w:pPr>
    <w:r>
      <w:t>Department of Health</w:t>
    </w:r>
    <w:r w:rsidR="00313100">
      <w:t xml:space="preserve">, Disability and Ageing </w:t>
    </w:r>
    <w:r w:rsidR="00B53987">
      <w:t>–</w:t>
    </w:r>
    <w:r w:rsidR="00F35F7C">
      <w:t xml:space="preserve"> </w:t>
    </w:r>
    <w:r w:rsidR="00046E2C">
      <w:t xml:space="preserve">Aged </w:t>
    </w:r>
    <w:r w:rsidR="00D05285">
      <w:t>Care Providers</w:t>
    </w:r>
    <w:r w:rsidR="002872D9">
      <w:t xml:space="preserve"> Policy</w:t>
    </w:r>
    <w:r w:rsidR="00D05285">
      <w:t xml:space="preserve"> V.</w:t>
    </w:r>
    <w:r w:rsidR="00173D3F">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D2C0" w14:textId="77777777" w:rsidR="00A92C93" w:rsidRDefault="00A92C93" w:rsidP="006B56BB">
      <w:r>
        <w:separator/>
      </w:r>
    </w:p>
    <w:p w14:paraId="37BAEBC3" w14:textId="77777777" w:rsidR="00A92C93" w:rsidRDefault="00A92C93"/>
  </w:footnote>
  <w:footnote w:type="continuationSeparator" w:id="0">
    <w:p w14:paraId="4EAD6E43" w14:textId="77777777" w:rsidR="00A92C93" w:rsidRDefault="00A92C93" w:rsidP="006B56BB">
      <w:r>
        <w:continuationSeparator/>
      </w:r>
    </w:p>
    <w:p w14:paraId="6E6BD96D" w14:textId="77777777" w:rsidR="00A92C93" w:rsidRDefault="00A92C93"/>
  </w:footnote>
  <w:footnote w:type="continuationNotice" w:id="1">
    <w:p w14:paraId="0828AE17" w14:textId="77777777" w:rsidR="00A92C93" w:rsidRDefault="00A92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AA79" w14:textId="3EBAD495" w:rsidR="003F5C6E" w:rsidRDefault="0041039E">
    <w:pPr>
      <w:pStyle w:val="Header"/>
    </w:pPr>
    <w:r>
      <w:rPr>
        <w:noProof/>
      </w:rPr>
      <mc:AlternateContent>
        <mc:Choice Requires="wps">
          <w:drawing>
            <wp:anchor distT="0" distB="0" distL="0" distR="0" simplePos="0" relativeHeight="251658241" behindDoc="0" locked="0" layoutInCell="1" allowOverlap="1" wp14:anchorId="207A33EB" wp14:editId="01B52906">
              <wp:simplePos x="635" y="635"/>
              <wp:positionH relativeFrom="page">
                <wp:align>center</wp:align>
              </wp:positionH>
              <wp:positionV relativeFrom="page">
                <wp:align>top</wp:align>
              </wp:positionV>
              <wp:extent cx="551815" cy="480695"/>
              <wp:effectExtent l="0" t="0" r="635" b="14605"/>
              <wp:wrapNone/>
              <wp:docPr id="11511291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FD8A1C0" w14:textId="14C21AB8" w:rsidR="0041039E" w:rsidRPr="0041039E" w:rsidRDefault="0041039E" w:rsidP="0041039E">
                          <w:pPr>
                            <w:spacing w:after="0"/>
                            <w:rPr>
                              <w:rFonts w:ascii="Calibri" w:eastAsia="Calibri" w:hAnsi="Calibri" w:cs="Calibri"/>
                              <w:noProof/>
                              <w:color w:val="FF0000"/>
                              <w:sz w:val="24"/>
                            </w:rPr>
                          </w:pPr>
                          <w:r w:rsidRPr="0041039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A33EB"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FD8A1C0" w14:textId="14C21AB8" w:rsidR="0041039E" w:rsidRPr="0041039E" w:rsidRDefault="0041039E" w:rsidP="0041039E">
                    <w:pPr>
                      <w:spacing w:after="0"/>
                      <w:rPr>
                        <w:rFonts w:ascii="Calibri" w:eastAsia="Calibri" w:hAnsi="Calibri" w:cs="Calibri"/>
                        <w:noProof/>
                        <w:color w:val="FF0000"/>
                        <w:sz w:val="24"/>
                      </w:rPr>
                    </w:pPr>
                    <w:r w:rsidRPr="0041039E">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234B8DD1" w:rsidR="008E0C77" w:rsidRDefault="0041039E"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248C546F" wp14:editId="64BFC8BD">
              <wp:simplePos x="635" y="635"/>
              <wp:positionH relativeFrom="page">
                <wp:align>center</wp:align>
              </wp:positionH>
              <wp:positionV relativeFrom="page">
                <wp:align>top</wp:align>
              </wp:positionV>
              <wp:extent cx="551815" cy="480695"/>
              <wp:effectExtent l="0" t="0" r="635" b="14605"/>
              <wp:wrapNone/>
              <wp:docPr id="13720412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8BA329A" w14:textId="39D645F4" w:rsidR="0041039E" w:rsidRPr="0041039E" w:rsidRDefault="0041039E" w:rsidP="0041039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8C546F"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48BA329A" w14:textId="39D645F4" w:rsidR="0041039E" w:rsidRPr="0041039E" w:rsidRDefault="0041039E" w:rsidP="0041039E">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31FB4C4E" w:rsidR="00B53987" w:rsidRDefault="0041039E">
    <w:pPr>
      <w:pStyle w:val="Header"/>
    </w:pPr>
    <w:r>
      <w:rPr>
        <w:noProof/>
      </w:rPr>
      <mc:AlternateContent>
        <mc:Choice Requires="wps">
          <w:drawing>
            <wp:anchor distT="0" distB="0" distL="0" distR="0" simplePos="0" relativeHeight="251658240" behindDoc="0" locked="0" layoutInCell="1" allowOverlap="1" wp14:anchorId="29DBC7D1" wp14:editId="18B7C526">
              <wp:simplePos x="635" y="635"/>
              <wp:positionH relativeFrom="page">
                <wp:align>center</wp:align>
              </wp:positionH>
              <wp:positionV relativeFrom="page">
                <wp:align>top</wp:align>
              </wp:positionV>
              <wp:extent cx="551815" cy="480695"/>
              <wp:effectExtent l="0" t="0" r="635" b="14605"/>
              <wp:wrapNone/>
              <wp:docPr id="14995845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E2107C4" w14:textId="582A1C5B" w:rsidR="0041039E" w:rsidRPr="0041039E" w:rsidRDefault="0041039E" w:rsidP="0041039E">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BC7D1"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1E2107C4" w14:textId="582A1C5B" w:rsidR="0041039E" w:rsidRPr="0041039E" w:rsidRDefault="0041039E" w:rsidP="0041039E">
                    <w:pPr>
                      <w:spacing w:after="0"/>
                      <w:rPr>
                        <w:rFonts w:ascii="Calibri" w:eastAsia="Calibri" w:hAnsi="Calibri" w:cs="Calibri"/>
                        <w:noProof/>
                        <w:color w:val="FF0000"/>
                        <w:sz w:val="24"/>
                      </w:rPr>
                    </w:pPr>
                  </w:p>
                </w:txbxContent>
              </v:textbox>
              <w10:wrap anchorx="page" anchory="page"/>
            </v:shape>
          </w:pict>
        </mc:Fallback>
      </mc:AlternateContent>
    </w:r>
    <w:r w:rsidR="00660660" w:rsidRPr="00660660">
      <w:rPr>
        <w:noProof/>
      </w:rPr>
      <w:t xml:space="preserve"> </w:t>
    </w:r>
    <w:r w:rsidR="00660660">
      <w:rPr>
        <w:noProof/>
      </w:rPr>
      <w:drawing>
        <wp:inline distT="0" distB="0" distL="0" distR="0" wp14:anchorId="4A32CEF0" wp14:editId="37C2D10E">
          <wp:extent cx="5759450" cy="941705"/>
          <wp:effectExtent l="0" t="0" r="0" b="0"/>
          <wp:docPr id="169113250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2E1F2E"/>
    <w:multiLevelType w:val="multilevel"/>
    <w:tmpl w:val="CC64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6D507B"/>
    <w:multiLevelType w:val="hybridMultilevel"/>
    <w:tmpl w:val="81EE00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973F9F"/>
    <w:multiLevelType w:val="hybridMultilevel"/>
    <w:tmpl w:val="09320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2F3AA0"/>
    <w:multiLevelType w:val="multilevel"/>
    <w:tmpl w:val="A250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4F70DF"/>
    <w:multiLevelType w:val="hybridMultilevel"/>
    <w:tmpl w:val="C744F8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FFB493B"/>
    <w:multiLevelType w:val="hybridMultilevel"/>
    <w:tmpl w:val="6666ED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13002D5D"/>
    <w:multiLevelType w:val="hybridMultilevel"/>
    <w:tmpl w:val="0CF21A2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7"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022D89"/>
    <w:multiLevelType w:val="multilevel"/>
    <w:tmpl w:val="43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1163C2"/>
    <w:multiLevelType w:val="hybridMultilevel"/>
    <w:tmpl w:val="5DDC4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226560"/>
    <w:multiLevelType w:val="hybridMultilevel"/>
    <w:tmpl w:val="9FD2B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B4258F7"/>
    <w:multiLevelType w:val="multilevel"/>
    <w:tmpl w:val="6C62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AE6204"/>
    <w:multiLevelType w:val="hybridMultilevel"/>
    <w:tmpl w:val="DA708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E01DFF"/>
    <w:multiLevelType w:val="multilevel"/>
    <w:tmpl w:val="F752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790D5A"/>
    <w:multiLevelType w:val="hybridMultilevel"/>
    <w:tmpl w:val="DE807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FD54A73"/>
    <w:multiLevelType w:val="hybridMultilevel"/>
    <w:tmpl w:val="DD8CF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1332BE3"/>
    <w:multiLevelType w:val="multilevel"/>
    <w:tmpl w:val="CEA6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347C60"/>
    <w:multiLevelType w:val="hybridMultilevel"/>
    <w:tmpl w:val="A57E4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376D028C"/>
    <w:multiLevelType w:val="hybridMultilevel"/>
    <w:tmpl w:val="AE0A2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B6F484E"/>
    <w:multiLevelType w:val="hybridMultilevel"/>
    <w:tmpl w:val="13BC5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C3C044B"/>
    <w:multiLevelType w:val="hybridMultilevel"/>
    <w:tmpl w:val="E01A0A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F207FFB"/>
    <w:multiLevelType w:val="hybridMultilevel"/>
    <w:tmpl w:val="401846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05F505B"/>
    <w:multiLevelType w:val="hybridMultilevel"/>
    <w:tmpl w:val="000AEEFE"/>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3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454E1311"/>
    <w:multiLevelType w:val="multilevel"/>
    <w:tmpl w:val="528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491177"/>
    <w:multiLevelType w:val="hybridMultilevel"/>
    <w:tmpl w:val="318E6B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CA407B5"/>
    <w:multiLevelType w:val="hybridMultilevel"/>
    <w:tmpl w:val="D506F4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D6A3015"/>
    <w:multiLevelType w:val="hybridMultilevel"/>
    <w:tmpl w:val="85F47A2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4D6E318E"/>
    <w:multiLevelType w:val="hybridMultilevel"/>
    <w:tmpl w:val="BAF83968"/>
    <w:lvl w:ilvl="0" w:tplc="D77A0A00">
      <w:start w:val="1"/>
      <w:numFmt w:val="bullet"/>
      <w:lvlText w:val=""/>
      <w:lvlJc w:val="left"/>
      <w:pPr>
        <w:ind w:left="720" w:hanging="360"/>
      </w:pPr>
      <w:rPr>
        <w:rFonts w:ascii="Symbol" w:hAnsi="Symbol"/>
      </w:rPr>
    </w:lvl>
    <w:lvl w:ilvl="1" w:tplc="269A2B96">
      <w:start w:val="1"/>
      <w:numFmt w:val="bullet"/>
      <w:lvlText w:val=""/>
      <w:lvlJc w:val="left"/>
      <w:pPr>
        <w:ind w:left="720" w:hanging="360"/>
      </w:pPr>
      <w:rPr>
        <w:rFonts w:ascii="Symbol" w:hAnsi="Symbol"/>
      </w:rPr>
    </w:lvl>
    <w:lvl w:ilvl="2" w:tplc="92822FCC">
      <w:start w:val="1"/>
      <w:numFmt w:val="bullet"/>
      <w:lvlText w:val=""/>
      <w:lvlJc w:val="left"/>
      <w:pPr>
        <w:ind w:left="720" w:hanging="360"/>
      </w:pPr>
      <w:rPr>
        <w:rFonts w:ascii="Symbol" w:hAnsi="Symbol"/>
      </w:rPr>
    </w:lvl>
    <w:lvl w:ilvl="3" w:tplc="2F0E85BE">
      <w:start w:val="1"/>
      <w:numFmt w:val="bullet"/>
      <w:lvlText w:val=""/>
      <w:lvlJc w:val="left"/>
      <w:pPr>
        <w:ind w:left="720" w:hanging="360"/>
      </w:pPr>
      <w:rPr>
        <w:rFonts w:ascii="Symbol" w:hAnsi="Symbol"/>
      </w:rPr>
    </w:lvl>
    <w:lvl w:ilvl="4" w:tplc="6DEC6762">
      <w:start w:val="1"/>
      <w:numFmt w:val="bullet"/>
      <w:lvlText w:val=""/>
      <w:lvlJc w:val="left"/>
      <w:pPr>
        <w:ind w:left="720" w:hanging="360"/>
      </w:pPr>
      <w:rPr>
        <w:rFonts w:ascii="Symbol" w:hAnsi="Symbol"/>
      </w:rPr>
    </w:lvl>
    <w:lvl w:ilvl="5" w:tplc="965488F6">
      <w:start w:val="1"/>
      <w:numFmt w:val="bullet"/>
      <w:lvlText w:val=""/>
      <w:lvlJc w:val="left"/>
      <w:pPr>
        <w:ind w:left="720" w:hanging="360"/>
      </w:pPr>
      <w:rPr>
        <w:rFonts w:ascii="Symbol" w:hAnsi="Symbol"/>
      </w:rPr>
    </w:lvl>
    <w:lvl w:ilvl="6" w:tplc="AC92EE78">
      <w:start w:val="1"/>
      <w:numFmt w:val="bullet"/>
      <w:lvlText w:val=""/>
      <w:lvlJc w:val="left"/>
      <w:pPr>
        <w:ind w:left="720" w:hanging="360"/>
      </w:pPr>
      <w:rPr>
        <w:rFonts w:ascii="Symbol" w:hAnsi="Symbol"/>
      </w:rPr>
    </w:lvl>
    <w:lvl w:ilvl="7" w:tplc="3B9634BE">
      <w:start w:val="1"/>
      <w:numFmt w:val="bullet"/>
      <w:lvlText w:val=""/>
      <w:lvlJc w:val="left"/>
      <w:pPr>
        <w:ind w:left="720" w:hanging="360"/>
      </w:pPr>
      <w:rPr>
        <w:rFonts w:ascii="Symbol" w:hAnsi="Symbol"/>
      </w:rPr>
    </w:lvl>
    <w:lvl w:ilvl="8" w:tplc="E35E12EA">
      <w:start w:val="1"/>
      <w:numFmt w:val="bullet"/>
      <w:lvlText w:val=""/>
      <w:lvlJc w:val="left"/>
      <w:pPr>
        <w:ind w:left="720" w:hanging="360"/>
      </w:pPr>
      <w:rPr>
        <w:rFonts w:ascii="Symbol" w:hAnsi="Symbol"/>
      </w:rPr>
    </w:lvl>
  </w:abstractNum>
  <w:abstractNum w:abstractNumId="4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352364B"/>
    <w:multiLevelType w:val="hybridMultilevel"/>
    <w:tmpl w:val="256873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5C53850"/>
    <w:multiLevelType w:val="hybridMultilevel"/>
    <w:tmpl w:val="1E54E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60E1C29"/>
    <w:multiLevelType w:val="hybridMultilevel"/>
    <w:tmpl w:val="2EFA94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6C57DE7"/>
    <w:multiLevelType w:val="multilevel"/>
    <w:tmpl w:val="A9E43E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7F11224"/>
    <w:multiLevelType w:val="hybridMultilevel"/>
    <w:tmpl w:val="40BE2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8F509F4"/>
    <w:multiLevelType w:val="hybridMultilevel"/>
    <w:tmpl w:val="DC8A3596"/>
    <w:lvl w:ilvl="0" w:tplc="4E129A5A">
      <w:start w:val="1"/>
      <w:numFmt w:val="bullet"/>
      <w:lvlText w:val=""/>
      <w:lvlJc w:val="left"/>
      <w:pPr>
        <w:ind w:left="360" w:hanging="360"/>
      </w:pPr>
      <w:rPr>
        <w:rFonts w:ascii="Symbol" w:hAnsi="Symbol" w:hint="default"/>
        <w:color w:val="000000" w:themeColor="tex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60210F65"/>
    <w:multiLevelType w:val="hybridMultilevel"/>
    <w:tmpl w:val="986CD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18A40BC"/>
    <w:multiLevelType w:val="hybridMultilevel"/>
    <w:tmpl w:val="EAEE49FA"/>
    <w:lvl w:ilvl="0" w:tplc="67F8F348">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2FC22C1"/>
    <w:multiLevelType w:val="hybridMultilevel"/>
    <w:tmpl w:val="16F03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5CB6081"/>
    <w:multiLevelType w:val="multilevel"/>
    <w:tmpl w:val="F05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5B051F"/>
    <w:multiLevelType w:val="hybridMultilevel"/>
    <w:tmpl w:val="37B229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6FF20D2"/>
    <w:multiLevelType w:val="hybridMultilevel"/>
    <w:tmpl w:val="CC349C8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D7C0CCE"/>
    <w:multiLevelType w:val="multilevel"/>
    <w:tmpl w:val="EC64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BB407C"/>
    <w:multiLevelType w:val="hybridMultilevel"/>
    <w:tmpl w:val="472833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774851BA"/>
    <w:multiLevelType w:val="hybridMultilevel"/>
    <w:tmpl w:val="0DB2A686"/>
    <w:lvl w:ilvl="0" w:tplc="F9C24C52">
      <w:start w:val="1"/>
      <w:numFmt w:val="bullet"/>
      <w:lvlText w:val=""/>
      <w:lvlJc w:val="left"/>
      <w:pPr>
        <w:ind w:left="720" w:hanging="360"/>
      </w:pPr>
      <w:rPr>
        <w:rFonts w:ascii="Symbol" w:hAnsi="Symbol"/>
      </w:rPr>
    </w:lvl>
    <w:lvl w:ilvl="1" w:tplc="5EC66D82">
      <w:start w:val="1"/>
      <w:numFmt w:val="bullet"/>
      <w:lvlText w:val=""/>
      <w:lvlJc w:val="left"/>
      <w:pPr>
        <w:ind w:left="720" w:hanging="360"/>
      </w:pPr>
      <w:rPr>
        <w:rFonts w:ascii="Symbol" w:hAnsi="Symbol"/>
      </w:rPr>
    </w:lvl>
    <w:lvl w:ilvl="2" w:tplc="9D7E8D56">
      <w:start w:val="1"/>
      <w:numFmt w:val="bullet"/>
      <w:lvlText w:val=""/>
      <w:lvlJc w:val="left"/>
      <w:pPr>
        <w:ind w:left="720" w:hanging="360"/>
      </w:pPr>
      <w:rPr>
        <w:rFonts w:ascii="Symbol" w:hAnsi="Symbol"/>
      </w:rPr>
    </w:lvl>
    <w:lvl w:ilvl="3" w:tplc="8842BE10">
      <w:start w:val="1"/>
      <w:numFmt w:val="bullet"/>
      <w:lvlText w:val=""/>
      <w:lvlJc w:val="left"/>
      <w:pPr>
        <w:ind w:left="720" w:hanging="360"/>
      </w:pPr>
      <w:rPr>
        <w:rFonts w:ascii="Symbol" w:hAnsi="Symbol"/>
      </w:rPr>
    </w:lvl>
    <w:lvl w:ilvl="4" w:tplc="22020FCA">
      <w:start w:val="1"/>
      <w:numFmt w:val="bullet"/>
      <w:lvlText w:val=""/>
      <w:lvlJc w:val="left"/>
      <w:pPr>
        <w:ind w:left="720" w:hanging="360"/>
      </w:pPr>
      <w:rPr>
        <w:rFonts w:ascii="Symbol" w:hAnsi="Symbol"/>
      </w:rPr>
    </w:lvl>
    <w:lvl w:ilvl="5" w:tplc="054A3590">
      <w:start w:val="1"/>
      <w:numFmt w:val="bullet"/>
      <w:lvlText w:val=""/>
      <w:lvlJc w:val="left"/>
      <w:pPr>
        <w:ind w:left="720" w:hanging="360"/>
      </w:pPr>
      <w:rPr>
        <w:rFonts w:ascii="Symbol" w:hAnsi="Symbol"/>
      </w:rPr>
    </w:lvl>
    <w:lvl w:ilvl="6" w:tplc="509E239E">
      <w:start w:val="1"/>
      <w:numFmt w:val="bullet"/>
      <w:lvlText w:val=""/>
      <w:lvlJc w:val="left"/>
      <w:pPr>
        <w:ind w:left="720" w:hanging="360"/>
      </w:pPr>
      <w:rPr>
        <w:rFonts w:ascii="Symbol" w:hAnsi="Symbol"/>
      </w:rPr>
    </w:lvl>
    <w:lvl w:ilvl="7" w:tplc="C1241EDC">
      <w:start w:val="1"/>
      <w:numFmt w:val="bullet"/>
      <w:lvlText w:val=""/>
      <w:lvlJc w:val="left"/>
      <w:pPr>
        <w:ind w:left="720" w:hanging="360"/>
      </w:pPr>
      <w:rPr>
        <w:rFonts w:ascii="Symbol" w:hAnsi="Symbol"/>
      </w:rPr>
    </w:lvl>
    <w:lvl w:ilvl="8" w:tplc="1FEE3D88">
      <w:start w:val="1"/>
      <w:numFmt w:val="bullet"/>
      <w:lvlText w:val=""/>
      <w:lvlJc w:val="left"/>
      <w:pPr>
        <w:ind w:left="720" w:hanging="360"/>
      </w:pPr>
      <w:rPr>
        <w:rFonts w:ascii="Symbol" w:hAnsi="Symbol"/>
      </w:rPr>
    </w:lvl>
  </w:abstractNum>
  <w:abstractNum w:abstractNumId="61" w15:restartNumberingAfterBreak="0">
    <w:nsid w:val="7ABC5DE4"/>
    <w:multiLevelType w:val="multilevel"/>
    <w:tmpl w:val="9BD0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FE1187"/>
    <w:multiLevelType w:val="hybridMultilevel"/>
    <w:tmpl w:val="40AC7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CE370B3"/>
    <w:multiLevelType w:val="hybridMultilevel"/>
    <w:tmpl w:val="804EA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5" w15:restartNumberingAfterBreak="0">
    <w:nsid w:val="7F7D30F7"/>
    <w:multiLevelType w:val="hybridMultilevel"/>
    <w:tmpl w:val="32CAFC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5103499">
    <w:abstractNumId w:val="7"/>
  </w:num>
  <w:num w:numId="2" w16cid:durableId="1694376784">
    <w:abstractNumId w:val="42"/>
  </w:num>
  <w:num w:numId="3" w16cid:durableId="99111382">
    <w:abstractNumId w:val="57"/>
  </w:num>
  <w:num w:numId="4" w16cid:durableId="1851481786">
    <w:abstractNumId w:val="9"/>
  </w:num>
  <w:num w:numId="5" w16cid:durableId="210196529">
    <w:abstractNumId w:val="9"/>
    <w:lvlOverride w:ilvl="0">
      <w:startOverride w:val="1"/>
    </w:lvlOverride>
  </w:num>
  <w:num w:numId="6" w16cid:durableId="1810857969">
    <w:abstractNumId w:val="11"/>
  </w:num>
  <w:num w:numId="7" w16cid:durableId="1996758693">
    <w:abstractNumId w:val="35"/>
  </w:num>
  <w:num w:numId="8" w16cid:durableId="1674914654">
    <w:abstractNumId w:val="5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64"/>
  </w:num>
  <w:num w:numId="17" w16cid:durableId="1161384352">
    <w:abstractNumId w:val="17"/>
  </w:num>
  <w:num w:numId="18" w16cid:durableId="1115442587">
    <w:abstractNumId w:val="23"/>
  </w:num>
  <w:num w:numId="19" w16cid:durableId="913049504">
    <w:abstractNumId w:val="29"/>
  </w:num>
  <w:num w:numId="20" w16cid:durableId="1185171215">
    <w:abstractNumId w:val="17"/>
  </w:num>
  <w:num w:numId="21" w16cid:durableId="1306743019">
    <w:abstractNumId w:val="29"/>
  </w:num>
  <w:num w:numId="22" w16cid:durableId="1809544992">
    <w:abstractNumId w:val="64"/>
  </w:num>
  <w:num w:numId="23" w16cid:durableId="638191149">
    <w:abstractNumId w:val="42"/>
  </w:num>
  <w:num w:numId="24" w16cid:durableId="503975017">
    <w:abstractNumId w:val="57"/>
  </w:num>
  <w:num w:numId="25" w16cid:durableId="215359669">
    <w:abstractNumId w:val="9"/>
  </w:num>
  <w:num w:numId="26" w16cid:durableId="352608886">
    <w:abstractNumId w:val="41"/>
  </w:num>
  <w:num w:numId="27" w16cid:durableId="208495381">
    <w:abstractNumId w:val="55"/>
  </w:num>
  <w:num w:numId="28" w16cid:durableId="776412373">
    <w:abstractNumId w:val="37"/>
  </w:num>
  <w:num w:numId="29" w16cid:durableId="1841460766">
    <w:abstractNumId w:val="22"/>
  </w:num>
  <w:num w:numId="30" w16cid:durableId="473761094">
    <w:abstractNumId w:val="62"/>
  </w:num>
  <w:num w:numId="31" w16cid:durableId="1643804294">
    <w:abstractNumId w:val="31"/>
  </w:num>
  <w:num w:numId="32" w16cid:durableId="178859438">
    <w:abstractNumId w:val="30"/>
  </w:num>
  <w:num w:numId="33" w16cid:durableId="371880248">
    <w:abstractNumId w:val="33"/>
  </w:num>
  <w:num w:numId="34" w16cid:durableId="245695181">
    <w:abstractNumId w:val="8"/>
  </w:num>
  <w:num w:numId="35" w16cid:durableId="103696404">
    <w:abstractNumId w:val="27"/>
  </w:num>
  <w:num w:numId="36" w16cid:durableId="432939293">
    <w:abstractNumId w:val="58"/>
  </w:num>
  <w:num w:numId="37" w16cid:durableId="2116946200">
    <w:abstractNumId w:val="61"/>
  </w:num>
  <w:num w:numId="38" w16cid:durableId="575676842">
    <w:abstractNumId w:val="13"/>
  </w:num>
  <w:num w:numId="39" w16cid:durableId="126359409">
    <w:abstractNumId w:val="14"/>
  </w:num>
  <w:num w:numId="40" w16cid:durableId="943266052">
    <w:abstractNumId w:val="59"/>
  </w:num>
  <w:num w:numId="41" w16cid:durableId="1869442809">
    <w:abstractNumId w:val="12"/>
  </w:num>
  <w:num w:numId="42" w16cid:durableId="1068263268">
    <w:abstractNumId w:val="28"/>
  </w:num>
  <w:num w:numId="43" w16cid:durableId="149294416">
    <w:abstractNumId w:val="49"/>
  </w:num>
  <w:num w:numId="44" w16cid:durableId="1123811606">
    <w:abstractNumId w:val="46"/>
  </w:num>
  <w:num w:numId="45" w16cid:durableId="1401438450">
    <w:abstractNumId w:val="45"/>
  </w:num>
  <w:num w:numId="46" w16cid:durableId="668413668">
    <w:abstractNumId w:val="25"/>
  </w:num>
  <w:num w:numId="47" w16cid:durableId="2000452348">
    <w:abstractNumId w:val="51"/>
  </w:num>
  <w:num w:numId="48" w16cid:durableId="1913617548">
    <w:abstractNumId w:val="40"/>
  </w:num>
  <w:num w:numId="49" w16cid:durableId="1800606241">
    <w:abstractNumId w:val="34"/>
  </w:num>
  <w:num w:numId="50" w16cid:durableId="102456469">
    <w:abstractNumId w:val="60"/>
  </w:num>
  <w:num w:numId="51" w16cid:durableId="277296550">
    <w:abstractNumId w:val="50"/>
  </w:num>
  <w:num w:numId="52" w16cid:durableId="296492740">
    <w:abstractNumId w:val="65"/>
  </w:num>
  <w:num w:numId="53" w16cid:durableId="6637475">
    <w:abstractNumId w:val="52"/>
  </w:num>
  <w:num w:numId="54" w16cid:durableId="1441997135">
    <w:abstractNumId w:val="19"/>
  </w:num>
  <w:num w:numId="55" w16cid:durableId="980615216">
    <w:abstractNumId w:val="24"/>
  </w:num>
  <w:num w:numId="56" w16cid:durableId="130441931">
    <w:abstractNumId w:val="18"/>
  </w:num>
  <w:num w:numId="57" w16cid:durableId="1753814530">
    <w:abstractNumId w:val="36"/>
  </w:num>
  <w:num w:numId="58" w16cid:durableId="1358848601">
    <w:abstractNumId w:val="21"/>
  </w:num>
  <w:num w:numId="59" w16cid:durableId="1862930793">
    <w:abstractNumId w:val="15"/>
  </w:num>
  <w:num w:numId="60" w16cid:durableId="1440759942">
    <w:abstractNumId w:val="20"/>
  </w:num>
  <w:num w:numId="61" w16cid:durableId="1881014602">
    <w:abstractNumId w:val="16"/>
  </w:num>
  <w:num w:numId="62" w16cid:durableId="1445154415">
    <w:abstractNumId w:val="26"/>
  </w:num>
  <w:num w:numId="63" w16cid:durableId="88889318">
    <w:abstractNumId w:val="38"/>
  </w:num>
  <w:num w:numId="64" w16cid:durableId="1345739798">
    <w:abstractNumId w:val="63"/>
  </w:num>
  <w:num w:numId="65" w16cid:durableId="588780164">
    <w:abstractNumId w:val="10"/>
  </w:num>
  <w:num w:numId="66" w16cid:durableId="769398997">
    <w:abstractNumId w:val="53"/>
  </w:num>
  <w:num w:numId="67" w16cid:durableId="724304022">
    <w:abstractNumId w:val="48"/>
  </w:num>
  <w:num w:numId="68" w16cid:durableId="1846674933">
    <w:abstractNumId w:val="32"/>
  </w:num>
  <w:num w:numId="69" w16cid:durableId="1391615881">
    <w:abstractNumId w:val="44"/>
  </w:num>
  <w:num w:numId="70" w16cid:durableId="409693126">
    <w:abstractNumId w:val="39"/>
  </w:num>
  <w:num w:numId="71" w16cid:durableId="1655253179">
    <w:abstractNumId w:val="43"/>
  </w:num>
  <w:num w:numId="72" w16cid:durableId="1292592046">
    <w:abstractNumId w:val="54"/>
  </w:num>
  <w:num w:numId="73" w16cid:durableId="844319023">
    <w:abstractNumId w:val="4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106"/>
    <w:rsid w:val="00001141"/>
    <w:rsid w:val="00001770"/>
    <w:rsid w:val="00003533"/>
    <w:rsid w:val="00003743"/>
    <w:rsid w:val="000047B4"/>
    <w:rsid w:val="0000553E"/>
    <w:rsid w:val="00005627"/>
    <w:rsid w:val="00005712"/>
    <w:rsid w:val="00006F29"/>
    <w:rsid w:val="0000729C"/>
    <w:rsid w:val="00007FD8"/>
    <w:rsid w:val="000112B4"/>
    <w:rsid w:val="000117F8"/>
    <w:rsid w:val="00012244"/>
    <w:rsid w:val="0001460F"/>
    <w:rsid w:val="00014EF5"/>
    <w:rsid w:val="000153DA"/>
    <w:rsid w:val="00015518"/>
    <w:rsid w:val="000155A0"/>
    <w:rsid w:val="0001597E"/>
    <w:rsid w:val="00016AB1"/>
    <w:rsid w:val="00017932"/>
    <w:rsid w:val="0002062A"/>
    <w:rsid w:val="00020E37"/>
    <w:rsid w:val="0002175D"/>
    <w:rsid w:val="0002215C"/>
    <w:rsid w:val="00022629"/>
    <w:rsid w:val="00024822"/>
    <w:rsid w:val="00024ABA"/>
    <w:rsid w:val="00026139"/>
    <w:rsid w:val="0002692B"/>
    <w:rsid w:val="00026D5D"/>
    <w:rsid w:val="000274BA"/>
    <w:rsid w:val="00027601"/>
    <w:rsid w:val="00030C81"/>
    <w:rsid w:val="00031C2E"/>
    <w:rsid w:val="00033321"/>
    <w:rsid w:val="000338E5"/>
    <w:rsid w:val="00033ECC"/>
    <w:rsid w:val="0003408A"/>
    <w:rsid w:val="0003422F"/>
    <w:rsid w:val="000344D7"/>
    <w:rsid w:val="00034CD9"/>
    <w:rsid w:val="00035296"/>
    <w:rsid w:val="00037394"/>
    <w:rsid w:val="00037523"/>
    <w:rsid w:val="00040C08"/>
    <w:rsid w:val="00041317"/>
    <w:rsid w:val="00041328"/>
    <w:rsid w:val="00042B89"/>
    <w:rsid w:val="00042CA5"/>
    <w:rsid w:val="00042D70"/>
    <w:rsid w:val="00043337"/>
    <w:rsid w:val="00043DC0"/>
    <w:rsid w:val="00045150"/>
    <w:rsid w:val="00046254"/>
    <w:rsid w:val="0004673A"/>
    <w:rsid w:val="00046E2C"/>
    <w:rsid w:val="00046FF0"/>
    <w:rsid w:val="00047544"/>
    <w:rsid w:val="00047D63"/>
    <w:rsid w:val="00050176"/>
    <w:rsid w:val="00050342"/>
    <w:rsid w:val="00052E2A"/>
    <w:rsid w:val="00053763"/>
    <w:rsid w:val="00053BEA"/>
    <w:rsid w:val="000549D4"/>
    <w:rsid w:val="000554A5"/>
    <w:rsid w:val="00055A45"/>
    <w:rsid w:val="00055C9D"/>
    <w:rsid w:val="00055FC2"/>
    <w:rsid w:val="00057641"/>
    <w:rsid w:val="00057B76"/>
    <w:rsid w:val="00060DC4"/>
    <w:rsid w:val="000615BB"/>
    <w:rsid w:val="000617EE"/>
    <w:rsid w:val="000641A3"/>
    <w:rsid w:val="0006491E"/>
    <w:rsid w:val="0006493B"/>
    <w:rsid w:val="000652B7"/>
    <w:rsid w:val="000656B3"/>
    <w:rsid w:val="00065F6C"/>
    <w:rsid w:val="00067456"/>
    <w:rsid w:val="000678F3"/>
    <w:rsid w:val="00067CFA"/>
    <w:rsid w:val="00070E3A"/>
    <w:rsid w:val="00071506"/>
    <w:rsid w:val="0007154F"/>
    <w:rsid w:val="000717FC"/>
    <w:rsid w:val="000728C0"/>
    <w:rsid w:val="00072BC2"/>
    <w:rsid w:val="0007345D"/>
    <w:rsid w:val="000734A8"/>
    <w:rsid w:val="00073882"/>
    <w:rsid w:val="00074668"/>
    <w:rsid w:val="00075297"/>
    <w:rsid w:val="000753AD"/>
    <w:rsid w:val="00076F1D"/>
    <w:rsid w:val="00076F62"/>
    <w:rsid w:val="0007709D"/>
    <w:rsid w:val="000811EA"/>
    <w:rsid w:val="00081724"/>
    <w:rsid w:val="00081AB1"/>
    <w:rsid w:val="00081F34"/>
    <w:rsid w:val="0008230E"/>
    <w:rsid w:val="000830AB"/>
    <w:rsid w:val="000833A2"/>
    <w:rsid w:val="000834B2"/>
    <w:rsid w:val="00083C3A"/>
    <w:rsid w:val="00085069"/>
    <w:rsid w:val="00085DB6"/>
    <w:rsid w:val="0008718D"/>
    <w:rsid w:val="000877B4"/>
    <w:rsid w:val="0009011F"/>
    <w:rsid w:val="00090316"/>
    <w:rsid w:val="0009298B"/>
    <w:rsid w:val="0009389C"/>
    <w:rsid w:val="00093981"/>
    <w:rsid w:val="00095E04"/>
    <w:rsid w:val="0009615A"/>
    <w:rsid w:val="00096F1D"/>
    <w:rsid w:val="000979A2"/>
    <w:rsid w:val="00097FD8"/>
    <w:rsid w:val="00097FDB"/>
    <w:rsid w:val="000A0CD6"/>
    <w:rsid w:val="000A19FA"/>
    <w:rsid w:val="000A2947"/>
    <w:rsid w:val="000A333E"/>
    <w:rsid w:val="000A365E"/>
    <w:rsid w:val="000A38B6"/>
    <w:rsid w:val="000A46B0"/>
    <w:rsid w:val="000A4C7C"/>
    <w:rsid w:val="000A4DBE"/>
    <w:rsid w:val="000A5A85"/>
    <w:rsid w:val="000A665C"/>
    <w:rsid w:val="000A72CD"/>
    <w:rsid w:val="000B0053"/>
    <w:rsid w:val="000B067A"/>
    <w:rsid w:val="000B1540"/>
    <w:rsid w:val="000B16A2"/>
    <w:rsid w:val="000B18BE"/>
    <w:rsid w:val="000B1E53"/>
    <w:rsid w:val="000B1F2E"/>
    <w:rsid w:val="000B22A2"/>
    <w:rsid w:val="000B279C"/>
    <w:rsid w:val="000B306B"/>
    <w:rsid w:val="000B33FD"/>
    <w:rsid w:val="000B490B"/>
    <w:rsid w:val="000B4ABA"/>
    <w:rsid w:val="000C1249"/>
    <w:rsid w:val="000C12F8"/>
    <w:rsid w:val="000C1BBD"/>
    <w:rsid w:val="000C1CF3"/>
    <w:rsid w:val="000C4B16"/>
    <w:rsid w:val="000C50C3"/>
    <w:rsid w:val="000C5303"/>
    <w:rsid w:val="000C5E14"/>
    <w:rsid w:val="000C6648"/>
    <w:rsid w:val="000D1524"/>
    <w:rsid w:val="000D21F6"/>
    <w:rsid w:val="000D2778"/>
    <w:rsid w:val="000D27CA"/>
    <w:rsid w:val="000D4500"/>
    <w:rsid w:val="000D4AD6"/>
    <w:rsid w:val="000D65E8"/>
    <w:rsid w:val="000D7AEA"/>
    <w:rsid w:val="000D7D2D"/>
    <w:rsid w:val="000E044B"/>
    <w:rsid w:val="000E0E4C"/>
    <w:rsid w:val="000E123E"/>
    <w:rsid w:val="000E1394"/>
    <w:rsid w:val="000E1434"/>
    <w:rsid w:val="000E1FF4"/>
    <w:rsid w:val="000E2C66"/>
    <w:rsid w:val="000E327E"/>
    <w:rsid w:val="000E4284"/>
    <w:rsid w:val="000E4EDB"/>
    <w:rsid w:val="000E5526"/>
    <w:rsid w:val="000F07BB"/>
    <w:rsid w:val="000F123C"/>
    <w:rsid w:val="000F2148"/>
    <w:rsid w:val="000F2FED"/>
    <w:rsid w:val="000F470F"/>
    <w:rsid w:val="000F5B1B"/>
    <w:rsid w:val="000F648C"/>
    <w:rsid w:val="000F66D5"/>
    <w:rsid w:val="000F7ECC"/>
    <w:rsid w:val="001021DC"/>
    <w:rsid w:val="00104386"/>
    <w:rsid w:val="00104707"/>
    <w:rsid w:val="00105C55"/>
    <w:rsid w:val="001060F5"/>
    <w:rsid w:val="0010616D"/>
    <w:rsid w:val="00106936"/>
    <w:rsid w:val="00110478"/>
    <w:rsid w:val="00112233"/>
    <w:rsid w:val="00115B68"/>
    <w:rsid w:val="00115F8F"/>
    <w:rsid w:val="001169E4"/>
    <w:rsid w:val="0011711B"/>
    <w:rsid w:val="00117C00"/>
    <w:rsid w:val="00117F8A"/>
    <w:rsid w:val="00121B9B"/>
    <w:rsid w:val="00122700"/>
    <w:rsid w:val="00122ADC"/>
    <w:rsid w:val="00123C67"/>
    <w:rsid w:val="00124D8D"/>
    <w:rsid w:val="0012522A"/>
    <w:rsid w:val="0012617F"/>
    <w:rsid w:val="00126C5B"/>
    <w:rsid w:val="00127A79"/>
    <w:rsid w:val="00130D1D"/>
    <w:rsid w:val="00130F59"/>
    <w:rsid w:val="00131369"/>
    <w:rsid w:val="00133EC0"/>
    <w:rsid w:val="00134DD1"/>
    <w:rsid w:val="00135052"/>
    <w:rsid w:val="00135069"/>
    <w:rsid w:val="0013517E"/>
    <w:rsid w:val="001352FD"/>
    <w:rsid w:val="00135DAD"/>
    <w:rsid w:val="00136134"/>
    <w:rsid w:val="001378AD"/>
    <w:rsid w:val="00137ACC"/>
    <w:rsid w:val="00140E93"/>
    <w:rsid w:val="00141278"/>
    <w:rsid w:val="0014191E"/>
    <w:rsid w:val="00141B89"/>
    <w:rsid w:val="00141CE5"/>
    <w:rsid w:val="00144908"/>
    <w:rsid w:val="00146CD7"/>
    <w:rsid w:val="00147FB5"/>
    <w:rsid w:val="00147FDD"/>
    <w:rsid w:val="00150F29"/>
    <w:rsid w:val="0015142B"/>
    <w:rsid w:val="00151666"/>
    <w:rsid w:val="00151764"/>
    <w:rsid w:val="00151FAE"/>
    <w:rsid w:val="00153236"/>
    <w:rsid w:val="00154CD7"/>
    <w:rsid w:val="00154EB5"/>
    <w:rsid w:val="00156BF1"/>
    <w:rsid w:val="00156D40"/>
    <w:rsid w:val="00156D96"/>
    <w:rsid w:val="001571C7"/>
    <w:rsid w:val="0015759D"/>
    <w:rsid w:val="00157ABC"/>
    <w:rsid w:val="00157FBB"/>
    <w:rsid w:val="00160FE4"/>
    <w:rsid w:val="00161094"/>
    <w:rsid w:val="00162EE5"/>
    <w:rsid w:val="00163AAD"/>
    <w:rsid w:val="00164A9C"/>
    <w:rsid w:val="0016586B"/>
    <w:rsid w:val="00166A13"/>
    <w:rsid w:val="00167262"/>
    <w:rsid w:val="00167B81"/>
    <w:rsid w:val="00167B96"/>
    <w:rsid w:val="001705BB"/>
    <w:rsid w:val="00171B61"/>
    <w:rsid w:val="00172419"/>
    <w:rsid w:val="00173A52"/>
    <w:rsid w:val="00173D3F"/>
    <w:rsid w:val="00174B5B"/>
    <w:rsid w:val="00174DFD"/>
    <w:rsid w:val="001757E4"/>
    <w:rsid w:val="0017665C"/>
    <w:rsid w:val="00177AD2"/>
    <w:rsid w:val="001814E8"/>
    <w:rsid w:val="001815A8"/>
    <w:rsid w:val="00181624"/>
    <w:rsid w:val="00181760"/>
    <w:rsid w:val="00182F55"/>
    <w:rsid w:val="0018304D"/>
    <w:rsid w:val="001840FA"/>
    <w:rsid w:val="00184207"/>
    <w:rsid w:val="00185657"/>
    <w:rsid w:val="001861E8"/>
    <w:rsid w:val="001875D3"/>
    <w:rsid w:val="00190009"/>
    <w:rsid w:val="0019003D"/>
    <w:rsid w:val="00190079"/>
    <w:rsid w:val="001909B9"/>
    <w:rsid w:val="00190FEB"/>
    <w:rsid w:val="00192892"/>
    <w:rsid w:val="00192A2E"/>
    <w:rsid w:val="00193C31"/>
    <w:rsid w:val="00195914"/>
    <w:rsid w:val="0019622E"/>
    <w:rsid w:val="001966A7"/>
    <w:rsid w:val="001970A1"/>
    <w:rsid w:val="001975AD"/>
    <w:rsid w:val="00197B88"/>
    <w:rsid w:val="001A07A5"/>
    <w:rsid w:val="001A2320"/>
    <w:rsid w:val="001A2BE1"/>
    <w:rsid w:val="001A32B2"/>
    <w:rsid w:val="001A453F"/>
    <w:rsid w:val="001A4627"/>
    <w:rsid w:val="001A4979"/>
    <w:rsid w:val="001A5113"/>
    <w:rsid w:val="001A5725"/>
    <w:rsid w:val="001A5B35"/>
    <w:rsid w:val="001A60D1"/>
    <w:rsid w:val="001A6AB8"/>
    <w:rsid w:val="001A7312"/>
    <w:rsid w:val="001A7E72"/>
    <w:rsid w:val="001B0390"/>
    <w:rsid w:val="001B07C6"/>
    <w:rsid w:val="001B0FFA"/>
    <w:rsid w:val="001B15D3"/>
    <w:rsid w:val="001B250E"/>
    <w:rsid w:val="001B3443"/>
    <w:rsid w:val="001B4097"/>
    <w:rsid w:val="001B4C53"/>
    <w:rsid w:val="001B5705"/>
    <w:rsid w:val="001B77D7"/>
    <w:rsid w:val="001C02FC"/>
    <w:rsid w:val="001C0326"/>
    <w:rsid w:val="001C192F"/>
    <w:rsid w:val="001C1992"/>
    <w:rsid w:val="001C3C42"/>
    <w:rsid w:val="001C3FD2"/>
    <w:rsid w:val="001C6E5C"/>
    <w:rsid w:val="001C6F5F"/>
    <w:rsid w:val="001D1FB3"/>
    <w:rsid w:val="001D1FFF"/>
    <w:rsid w:val="001D34BC"/>
    <w:rsid w:val="001D3DBB"/>
    <w:rsid w:val="001D43BC"/>
    <w:rsid w:val="001D4EE9"/>
    <w:rsid w:val="001D56D3"/>
    <w:rsid w:val="001D5EA9"/>
    <w:rsid w:val="001D7869"/>
    <w:rsid w:val="001E116A"/>
    <w:rsid w:val="001E1247"/>
    <w:rsid w:val="001E27D0"/>
    <w:rsid w:val="001E3C4B"/>
    <w:rsid w:val="001E3F8F"/>
    <w:rsid w:val="001E4B59"/>
    <w:rsid w:val="001E54C8"/>
    <w:rsid w:val="001E56D2"/>
    <w:rsid w:val="001E5876"/>
    <w:rsid w:val="001E62C8"/>
    <w:rsid w:val="001E74C2"/>
    <w:rsid w:val="001F23AE"/>
    <w:rsid w:val="001F263C"/>
    <w:rsid w:val="001F34E3"/>
    <w:rsid w:val="001F38CA"/>
    <w:rsid w:val="001F4C3E"/>
    <w:rsid w:val="001F650C"/>
    <w:rsid w:val="001F747C"/>
    <w:rsid w:val="001F7F6E"/>
    <w:rsid w:val="00200770"/>
    <w:rsid w:val="00201989"/>
    <w:rsid w:val="00201BBC"/>
    <w:rsid w:val="002026CD"/>
    <w:rsid w:val="002030CA"/>
    <w:rsid w:val="002032BA"/>
    <w:rsid w:val="002033FC"/>
    <w:rsid w:val="002044BB"/>
    <w:rsid w:val="002044BD"/>
    <w:rsid w:val="00204610"/>
    <w:rsid w:val="00204C31"/>
    <w:rsid w:val="002052CD"/>
    <w:rsid w:val="00206667"/>
    <w:rsid w:val="00207E14"/>
    <w:rsid w:val="00210B09"/>
    <w:rsid w:val="00210C9E"/>
    <w:rsid w:val="0021140D"/>
    <w:rsid w:val="00211607"/>
    <w:rsid w:val="00211840"/>
    <w:rsid w:val="00212438"/>
    <w:rsid w:val="00213A7B"/>
    <w:rsid w:val="00214380"/>
    <w:rsid w:val="00215ED0"/>
    <w:rsid w:val="00220E5F"/>
    <w:rsid w:val="00220ECE"/>
    <w:rsid w:val="002212B5"/>
    <w:rsid w:val="00221496"/>
    <w:rsid w:val="00221C3B"/>
    <w:rsid w:val="00222091"/>
    <w:rsid w:val="00223949"/>
    <w:rsid w:val="002241A4"/>
    <w:rsid w:val="002242FD"/>
    <w:rsid w:val="0022464B"/>
    <w:rsid w:val="00225677"/>
    <w:rsid w:val="0022600F"/>
    <w:rsid w:val="00226668"/>
    <w:rsid w:val="00226ED4"/>
    <w:rsid w:val="00227B31"/>
    <w:rsid w:val="002314B9"/>
    <w:rsid w:val="00231592"/>
    <w:rsid w:val="00232E9B"/>
    <w:rsid w:val="00233127"/>
    <w:rsid w:val="0023356F"/>
    <w:rsid w:val="00233809"/>
    <w:rsid w:val="00234632"/>
    <w:rsid w:val="002346DE"/>
    <w:rsid w:val="00236968"/>
    <w:rsid w:val="00237BF8"/>
    <w:rsid w:val="00240046"/>
    <w:rsid w:val="0024019C"/>
    <w:rsid w:val="002426F5"/>
    <w:rsid w:val="00244943"/>
    <w:rsid w:val="00246C53"/>
    <w:rsid w:val="0024797F"/>
    <w:rsid w:val="0025087E"/>
    <w:rsid w:val="00250921"/>
    <w:rsid w:val="00250A1F"/>
    <w:rsid w:val="0025119E"/>
    <w:rsid w:val="00251269"/>
    <w:rsid w:val="00251BE9"/>
    <w:rsid w:val="002522DD"/>
    <w:rsid w:val="002535C0"/>
    <w:rsid w:val="002555A7"/>
    <w:rsid w:val="00255DB2"/>
    <w:rsid w:val="002579FE"/>
    <w:rsid w:val="00260010"/>
    <w:rsid w:val="00261B0A"/>
    <w:rsid w:val="0026311C"/>
    <w:rsid w:val="00263164"/>
    <w:rsid w:val="0026375C"/>
    <w:rsid w:val="00265413"/>
    <w:rsid w:val="00265725"/>
    <w:rsid w:val="002659CD"/>
    <w:rsid w:val="0026613D"/>
    <w:rsid w:val="002662BE"/>
    <w:rsid w:val="00266379"/>
    <w:rsid w:val="0026668C"/>
    <w:rsid w:val="002668D9"/>
    <w:rsid w:val="00266AC1"/>
    <w:rsid w:val="00266D31"/>
    <w:rsid w:val="00266F00"/>
    <w:rsid w:val="0026711A"/>
    <w:rsid w:val="00267C58"/>
    <w:rsid w:val="00270D3A"/>
    <w:rsid w:val="0027178C"/>
    <w:rsid w:val="002719FA"/>
    <w:rsid w:val="00271E1B"/>
    <w:rsid w:val="0027255E"/>
    <w:rsid w:val="00272668"/>
    <w:rsid w:val="0027330B"/>
    <w:rsid w:val="00273957"/>
    <w:rsid w:val="00273B4B"/>
    <w:rsid w:val="00274FF3"/>
    <w:rsid w:val="0027571E"/>
    <w:rsid w:val="00275794"/>
    <w:rsid w:val="002763BD"/>
    <w:rsid w:val="002766EA"/>
    <w:rsid w:val="0027738C"/>
    <w:rsid w:val="0028018B"/>
    <w:rsid w:val="002803AD"/>
    <w:rsid w:val="00282052"/>
    <w:rsid w:val="00282669"/>
    <w:rsid w:val="00282813"/>
    <w:rsid w:val="002831A3"/>
    <w:rsid w:val="00283579"/>
    <w:rsid w:val="00283E32"/>
    <w:rsid w:val="00284A57"/>
    <w:rsid w:val="00284CA8"/>
    <w:rsid w:val="0028519E"/>
    <w:rsid w:val="00285394"/>
    <w:rsid w:val="002856A5"/>
    <w:rsid w:val="002856B9"/>
    <w:rsid w:val="00285B62"/>
    <w:rsid w:val="00286587"/>
    <w:rsid w:val="00286659"/>
    <w:rsid w:val="002872D9"/>
    <w:rsid w:val="002872ED"/>
    <w:rsid w:val="002873EA"/>
    <w:rsid w:val="00287733"/>
    <w:rsid w:val="002902B6"/>
    <w:rsid w:val="002905C2"/>
    <w:rsid w:val="00291617"/>
    <w:rsid w:val="00295543"/>
    <w:rsid w:val="002957C2"/>
    <w:rsid w:val="00295AF2"/>
    <w:rsid w:val="00295C91"/>
    <w:rsid w:val="00295D6D"/>
    <w:rsid w:val="00296060"/>
    <w:rsid w:val="00297151"/>
    <w:rsid w:val="002972F1"/>
    <w:rsid w:val="002A0D81"/>
    <w:rsid w:val="002A10A3"/>
    <w:rsid w:val="002A12A6"/>
    <w:rsid w:val="002A20A3"/>
    <w:rsid w:val="002A495C"/>
    <w:rsid w:val="002A5870"/>
    <w:rsid w:val="002A6B3A"/>
    <w:rsid w:val="002A6B80"/>
    <w:rsid w:val="002A79AA"/>
    <w:rsid w:val="002B0037"/>
    <w:rsid w:val="002B0661"/>
    <w:rsid w:val="002B20E6"/>
    <w:rsid w:val="002B25E0"/>
    <w:rsid w:val="002B42A3"/>
    <w:rsid w:val="002B5127"/>
    <w:rsid w:val="002B6EB6"/>
    <w:rsid w:val="002B7346"/>
    <w:rsid w:val="002B7CD5"/>
    <w:rsid w:val="002C0A03"/>
    <w:rsid w:val="002C0CDD"/>
    <w:rsid w:val="002C2B44"/>
    <w:rsid w:val="002C38C4"/>
    <w:rsid w:val="002C4A3A"/>
    <w:rsid w:val="002C58A2"/>
    <w:rsid w:val="002C5A97"/>
    <w:rsid w:val="002C63B9"/>
    <w:rsid w:val="002C6579"/>
    <w:rsid w:val="002C6E0F"/>
    <w:rsid w:val="002C7299"/>
    <w:rsid w:val="002D1710"/>
    <w:rsid w:val="002D1ECE"/>
    <w:rsid w:val="002D2C06"/>
    <w:rsid w:val="002D3A1D"/>
    <w:rsid w:val="002D3BB0"/>
    <w:rsid w:val="002D4771"/>
    <w:rsid w:val="002D5BCD"/>
    <w:rsid w:val="002D640B"/>
    <w:rsid w:val="002D6753"/>
    <w:rsid w:val="002D79A2"/>
    <w:rsid w:val="002D7C63"/>
    <w:rsid w:val="002E0D3B"/>
    <w:rsid w:val="002E14CA"/>
    <w:rsid w:val="002E1A1D"/>
    <w:rsid w:val="002E1F95"/>
    <w:rsid w:val="002E2C12"/>
    <w:rsid w:val="002E38AF"/>
    <w:rsid w:val="002E4081"/>
    <w:rsid w:val="002E5B78"/>
    <w:rsid w:val="002E5D32"/>
    <w:rsid w:val="002E710B"/>
    <w:rsid w:val="002E7C35"/>
    <w:rsid w:val="002F05FF"/>
    <w:rsid w:val="002F24D4"/>
    <w:rsid w:val="002F2B52"/>
    <w:rsid w:val="002F3AE3"/>
    <w:rsid w:val="002F4671"/>
    <w:rsid w:val="002F49EA"/>
    <w:rsid w:val="002F6711"/>
    <w:rsid w:val="002F7C57"/>
    <w:rsid w:val="003000B9"/>
    <w:rsid w:val="003006FD"/>
    <w:rsid w:val="00300932"/>
    <w:rsid w:val="00300E9D"/>
    <w:rsid w:val="00301DCF"/>
    <w:rsid w:val="00302289"/>
    <w:rsid w:val="00302A97"/>
    <w:rsid w:val="00304387"/>
    <w:rsid w:val="0030464B"/>
    <w:rsid w:val="00305DD3"/>
    <w:rsid w:val="0030786C"/>
    <w:rsid w:val="00310B90"/>
    <w:rsid w:val="00313100"/>
    <w:rsid w:val="00313110"/>
    <w:rsid w:val="00313B7C"/>
    <w:rsid w:val="0031435E"/>
    <w:rsid w:val="00314970"/>
    <w:rsid w:val="00315E34"/>
    <w:rsid w:val="0031685E"/>
    <w:rsid w:val="00317591"/>
    <w:rsid w:val="003201D0"/>
    <w:rsid w:val="003202E4"/>
    <w:rsid w:val="00320D04"/>
    <w:rsid w:val="00321C8A"/>
    <w:rsid w:val="003233DE"/>
    <w:rsid w:val="0032466B"/>
    <w:rsid w:val="00325825"/>
    <w:rsid w:val="00325973"/>
    <w:rsid w:val="00326410"/>
    <w:rsid w:val="003266E8"/>
    <w:rsid w:val="0033048E"/>
    <w:rsid w:val="00330E88"/>
    <w:rsid w:val="00331813"/>
    <w:rsid w:val="00331C5A"/>
    <w:rsid w:val="00331E29"/>
    <w:rsid w:val="003330EB"/>
    <w:rsid w:val="0033354E"/>
    <w:rsid w:val="00333575"/>
    <w:rsid w:val="003339E1"/>
    <w:rsid w:val="00333C17"/>
    <w:rsid w:val="00335474"/>
    <w:rsid w:val="003358F2"/>
    <w:rsid w:val="00335C10"/>
    <w:rsid w:val="00335C5A"/>
    <w:rsid w:val="0033789C"/>
    <w:rsid w:val="00337D1A"/>
    <w:rsid w:val="0034036B"/>
    <w:rsid w:val="003415FD"/>
    <w:rsid w:val="00341C96"/>
    <w:rsid w:val="003429F0"/>
    <w:rsid w:val="0034351B"/>
    <w:rsid w:val="003435B1"/>
    <w:rsid w:val="00343F24"/>
    <w:rsid w:val="00343FBE"/>
    <w:rsid w:val="00344A23"/>
    <w:rsid w:val="00345A82"/>
    <w:rsid w:val="00345C7C"/>
    <w:rsid w:val="00346002"/>
    <w:rsid w:val="00347AAA"/>
    <w:rsid w:val="0035097A"/>
    <w:rsid w:val="0035182B"/>
    <w:rsid w:val="00353310"/>
    <w:rsid w:val="00353BB5"/>
    <w:rsid w:val="003540A4"/>
    <w:rsid w:val="00355929"/>
    <w:rsid w:val="00355BDF"/>
    <w:rsid w:val="00356D87"/>
    <w:rsid w:val="00357BCC"/>
    <w:rsid w:val="0036013E"/>
    <w:rsid w:val="00360181"/>
    <w:rsid w:val="00360E4E"/>
    <w:rsid w:val="0036123F"/>
    <w:rsid w:val="00363E4D"/>
    <w:rsid w:val="00364C39"/>
    <w:rsid w:val="003653BE"/>
    <w:rsid w:val="00367CBA"/>
    <w:rsid w:val="00370AAA"/>
    <w:rsid w:val="0037100C"/>
    <w:rsid w:val="00372073"/>
    <w:rsid w:val="00373380"/>
    <w:rsid w:val="00373BD4"/>
    <w:rsid w:val="003741BD"/>
    <w:rsid w:val="0037504E"/>
    <w:rsid w:val="00375188"/>
    <w:rsid w:val="003753A4"/>
    <w:rsid w:val="00375F77"/>
    <w:rsid w:val="003776C1"/>
    <w:rsid w:val="00377D61"/>
    <w:rsid w:val="00380504"/>
    <w:rsid w:val="003816F4"/>
    <w:rsid w:val="00381BBE"/>
    <w:rsid w:val="00382903"/>
    <w:rsid w:val="00382E4A"/>
    <w:rsid w:val="00384189"/>
    <w:rsid w:val="003846FF"/>
    <w:rsid w:val="00385679"/>
    <w:rsid w:val="003857D4"/>
    <w:rsid w:val="00385AD4"/>
    <w:rsid w:val="003871C0"/>
    <w:rsid w:val="003876EF"/>
    <w:rsid w:val="00387924"/>
    <w:rsid w:val="00390C0A"/>
    <w:rsid w:val="00390C70"/>
    <w:rsid w:val="0039182A"/>
    <w:rsid w:val="00391914"/>
    <w:rsid w:val="003936BE"/>
    <w:rsid w:val="0039384D"/>
    <w:rsid w:val="0039387A"/>
    <w:rsid w:val="00393887"/>
    <w:rsid w:val="00395C23"/>
    <w:rsid w:val="003960F8"/>
    <w:rsid w:val="00396FA6"/>
    <w:rsid w:val="00397B84"/>
    <w:rsid w:val="003A1285"/>
    <w:rsid w:val="003A1BDE"/>
    <w:rsid w:val="003A2BBF"/>
    <w:rsid w:val="003A2C7B"/>
    <w:rsid w:val="003A2E4F"/>
    <w:rsid w:val="003A3062"/>
    <w:rsid w:val="003A3C6A"/>
    <w:rsid w:val="003A4438"/>
    <w:rsid w:val="003A5013"/>
    <w:rsid w:val="003A5078"/>
    <w:rsid w:val="003A518A"/>
    <w:rsid w:val="003A5329"/>
    <w:rsid w:val="003A62DD"/>
    <w:rsid w:val="003A775A"/>
    <w:rsid w:val="003B00F6"/>
    <w:rsid w:val="003B0832"/>
    <w:rsid w:val="003B0986"/>
    <w:rsid w:val="003B0DE9"/>
    <w:rsid w:val="003B1617"/>
    <w:rsid w:val="003B213A"/>
    <w:rsid w:val="003B26DB"/>
    <w:rsid w:val="003B2C11"/>
    <w:rsid w:val="003B43AD"/>
    <w:rsid w:val="003B55CE"/>
    <w:rsid w:val="003B601D"/>
    <w:rsid w:val="003B638F"/>
    <w:rsid w:val="003B65A6"/>
    <w:rsid w:val="003C0FEC"/>
    <w:rsid w:val="003C16DB"/>
    <w:rsid w:val="003C22D5"/>
    <w:rsid w:val="003C2886"/>
    <w:rsid w:val="003C2AC8"/>
    <w:rsid w:val="003C2C95"/>
    <w:rsid w:val="003C40B5"/>
    <w:rsid w:val="003C44AA"/>
    <w:rsid w:val="003C50B9"/>
    <w:rsid w:val="003C5279"/>
    <w:rsid w:val="003C5B40"/>
    <w:rsid w:val="003C5F36"/>
    <w:rsid w:val="003C68F6"/>
    <w:rsid w:val="003C7056"/>
    <w:rsid w:val="003D024E"/>
    <w:rsid w:val="003D033A"/>
    <w:rsid w:val="003D17F9"/>
    <w:rsid w:val="003D2D88"/>
    <w:rsid w:val="003D37B1"/>
    <w:rsid w:val="003D390C"/>
    <w:rsid w:val="003D41EA"/>
    <w:rsid w:val="003D4850"/>
    <w:rsid w:val="003D51EB"/>
    <w:rsid w:val="003D535A"/>
    <w:rsid w:val="003D570C"/>
    <w:rsid w:val="003D5E5F"/>
    <w:rsid w:val="003D65CA"/>
    <w:rsid w:val="003D7EB6"/>
    <w:rsid w:val="003E0B20"/>
    <w:rsid w:val="003E149C"/>
    <w:rsid w:val="003E1D74"/>
    <w:rsid w:val="003E22BE"/>
    <w:rsid w:val="003E5265"/>
    <w:rsid w:val="003E6F5C"/>
    <w:rsid w:val="003F0692"/>
    <w:rsid w:val="003F083A"/>
    <w:rsid w:val="003F0955"/>
    <w:rsid w:val="003F171A"/>
    <w:rsid w:val="003F1C1A"/>
    <w:rsid w:val="003F27AB"/>
    <w:rsid w:val="003F2F3C"/>
    <w:rsid w:val="003F4E96"/>
    <w:rsid w:val="003F5C6E"/>
    <w:rsid w:val="003F5EEF"/>
    <w:rsid w:val="003F5F4D"/>
    <w:rsid w:val="003F646F"/>
    <w:rsid w:val="003F6524"/>
    <w:rsid w:val="003F6643"/>
    <w:rsid w:val="003F698A"/>
    <w:rsid w:val="003F6B77"/>
    <w:rsid w:val="003F6C25"/>
    <w:rsid w:val="00400F00"/>
    <w:rsid w:val="004032FC"/>
    <w:rsid w:val="004039E2"/>
    <w:rsid w:val="00403BD0"/>
    <w:rsid w:val="004042EA"/>
    <w:rsid w:val="00404C07"/>
    <w:rsid w:val="00404CB7"/>
    <w:rsid w:val="00404F8B"/>
    <w:rsid w:val="00405256"/>
    <w:rsid w:val="0040560D"/>
    <w:rsid w:val="00405697"/>
    <w:rsid w:val="00405D4C"/>
    <w:rsid w:val="00406DC0"/>
    <w:rsid w:val="004077C4"/>
    <w:rsid w:val="00407A89"/>
    <w:rsid w:val="00410031"/>
    <w:rsid w:val="0041039E"/>
    <w:rsid w:val="004105D8"/>
    <w:rsid w:val="00410746"/>
    <w:rsid w:val="00411105"/>
    <w:rsid w:val="00412479"/>
    <w:rsid w:val="00412D3F"/>
    <w:rsid w:val="00412FB4"/>
    <w:rsid w:val="00413939"/>
    <w:rsid w:val="00415C81"/>
    <w:rsid w:val="00416161"/>
    <w:rsid w:val="004168E0"/>
    <w:rsid w:val="00417110"/>
    <w:rsid w:val="00417B9F"/>
    <w:rsid w:val="004208DA"/>
    <w:rsid w:val="00420B03"/>
    <w:rsid w:val="00420DAF"/>
    <w:rsid w:val="00420FD9"/>
    <w:rsid w:val="0042165D"/>
    <w:rsid w:val="004217D6"/>
    <w:rsid w:val="00422194"/>
    <w:rsid w:val="00422650"/>
    <w:rsid w:val="0042278A"/>
    <w:rsid w:val="00424412"/>
    <w:rsid w:val="0042510A"/>
    <w:rsid w:val="004256FE"/>
    <w:rsid w:val="00426C6A"/>
    <w:rsid w:val="00427089"/>
    <w:rsid w:val="0043071E"/>
    <w:rsid w:val="0043157C"/>
    <w:rsid w:val="00431A6D"/>
    <w:rsid w:val="00432378"/>
    <w:rsid w:val="00432E5A"/>
    <w:rsid w:val="00435C19"/>
    <w:rsid w:val="00436FE8"/>
    <w:rsid w:val="00437B9E"/>
    <w:rsid w:val="00440D65"/>
    <w:rsid w:val="004412AA"/>
    <w:rsid w:val="00442735"/>
    <w:rsid w:val="004435E6"/>
    <w:rsid w:val="004435E9"/>
    <w:rsid w:val="004436E2"/>
    <w:rsid w:val="004437C4"/>
    <w:rsid w:val="00444F50"/>
    <w:rsid w:val="004452B4"/>
    <w:rsid w:val="00445569"/>
    <w:rsid w:val="00446159"/>
    <w:rsid w:val="004462BA"/>
    <w:rsid w:val="00446CDC"/>
    <w:rsid w:val="004479DD"/>
    <w:rsid w:val="00447E31"/>
    <w:rsid w:val="00450768"/>
    <w:rsid w:val="00450DF5"/>
    <w:rsid w:val="004511B8"/>
    <w:rsid w:val="004522DB"/>
    <w:rsid w:val="0045362F"/>
    <w:rsid w:val="00453923"/>
    <w:rsid w:val="00453BD4"/>
    <w:rsid w:val="00454B9B"/>
    <w:rsid w:val="00457858"/>
    <w:rsid w:val="00460B0B"/>
    <w:rsid w:val="00461023"/>
    <w:rsid w:val="00461946"/>
    <w:rsid w:val="004627BA"/>
    <w:rsid w:val="00462FAC"/>
    <w:rsid w:val="00464631"/>
    <w:rsid w:val="004648CD"/>
    <w:rsid w:val="00464B79"/>
    <w:rsid w:val="00464B8A"/>
    <w:rsid w:val="00466E8F"/>
    <w:rsid w:val="004671E2"/>
    <w:rsid w:val="00467BBF"/>
    <w:rsid w:val="00470629"/>
    <w:rsid w:val="004707D0"/>
    <w:rsid w:val="004715EF"/>
    <w:rsid w:val="004719CF"/>
    <w:rsid w:val="00472328"/>
    <w:rsid w:val="0047326B"/>
    <w:rsid w:val="00473414"/>
    <w:rsid w:val="00473869"/>
    <w:rsid w:val="00473B8C"/>
    <w:rsid w:val="00474389"/>
    <w:rsid w:val="00474C38"/>
    <w:rsid w:val="0047578E"/>
    <w:rsid w:val="00477318"/>
    <w:rsid w:val="00477591"/>
    <w:rsid w:val="00480C00"/>
    <w:rsid w:val="00482C08"/>
    <w:rsid w:val="004833FF"/>
    <w:rsid w:val="0048406A"/>
    <w:rsid w:val="004844B2"/>
    <w:rsid w:val="00485491"/>
    <w:rsid w:val="0048593C"/>
    <w:rsid w:val="00485AA7"/>
    <w:rsid w:val="00486473"/>
    <w:rsid w:val="004867E2"/>
    <w:rsid w:val="00486BB1"/>
    <w:rsid w:val="00491A8C"/>
    <w:rsid w:val="00491F4A"/>
    <w:rsid w:val="004929A9"/>
    <w:rsid w:val="00492F58"/>
    <w:rsid w:val="004936CE"/>
    <w:rsid w:val="00494258"/>
    <w:rsid w:val="004948A9"/>
    <w:rsid w:val="00495C75"/>
    <w:rsid w:val="0049707D"/>
    <w:rsid w:val="004A278B"/>
    <w:rsid w:val="004A4063"/>
    <w:rsid w:val="004A48B5"/>
    <w:rsid w:val="004A5697"/>
    <w:rsid w:val="004A5B41"/>
    <w:rsid w:val="004A78D9"/>
    <w:rsid w:val="004A7B00"/>
    <w:rsid w:val="004A7BAE"/>
    <w:rsid w:val="004B0D4B"/>
    <w:rsid w:val="004B153F"/>
    <w:rsid w:val="004B1BEF"/>
    <w:rsid w:val="004B1CC1"/>
    <w:rsid w:val="004B2BC5"/>
    <w:rsid w:val="004B36F8"/>
    <w:rsid w:val="004C0862"/>
    <w:rsid w:val="004C11C1"/>
    <w:rsid w:val="004C15AF"/>
    <w:rsid w:val="004C1A2B"/>
    <w:rsid w:val="004C1D8E"/>
    <w:rsid w:val="004C2576"/>
    <w:rsid w:val="004C2726"/>
    <w:rsid w:val="004C2B41"/>
    <w:rsid w:val="004C3916"/>
    <w:rsid w:val="004C49C7"/>
    <w:rsid w:val="004C6BCF"/>
    <w:rsid w:val="004C7257"/>
    <w:rsid w:val="004C7CDA"/>
    <w:rsid w:val="004C7D8A"/>
    <w:rsid w:val="004D0C19"/>
    <w:rsid w:val="004D58BF"/>
    <w:rsid w:val="004D6061"/>
    <w:rsid w:val="004D6ED6"/>
    <w:rsid w:val="004D7647"/>
    <w:rsid w:val="004D7A86"/>
    <w:rsid w:val="004E0AB1"/>
    <w:rsid w:val="004E24E1"/>
    <w:rsid w:val="004E2DF0"/>
    <w:rsid w:val="004E3AFD"/>
    <w:rsid w:val="004E4335"/>
    <w:rsid w:val="004E43DB"/>
    <w:rsid w:val="004E537F"/>
    <w:rsid w:val="004F00CA"/>
    <w:rsid w:val="004F13EE"/>
    <w:rsid w:val="004F168D"/>
    <w:rsid w:val="004F2022"/>
    <w:rsid w:val="004F22F1"/>
    <w:rsid w:val="004F32AC"/>
    <w:rsid w:val="004F360B"/>
    <w:rsid w:val="004F51BE"/>
    <w:rsid w:val="004F6254"/>
    <w:rsid w:val="004F6C72"/>
    <w:rsid w:val="004F72CB"/>
    <w:rsid w:val="004F7754"/>
    <w:rsid w:val="004F7C05"/>
    <w:rsid w:val="00501C94"/>
    <w:rsid w:val="00502566"/>
    <w:rsid w:val="00502A5F"/>
    <w:rsid w:val="00506432"/>
    <w:rsid w:val="00506742"/>
    <w:rsid w:val="0050675D"/>
    <w:rsid w:val="00506E82"/>
    <w:rsid w:val="0051041C"/>
    <w:rsid w:val="005108A4"/>
    <w:rsid w:val="005112B4"/>
    <w:rsid w:val="00512631"/>
    <w:rsid w:val="00512780"/>
    <w:rsid w:val="00512FAD"/>
    <w:rsid w:val="00514CDD"/>
    <w:rsid w:val="00515C1B"/>
    <w:rsid w:val="005166D9"/>
    <w:rsid w:val="00516B27"/>
    <w:rsid w:val="0051712D"/>
    <w:rsid w:val="00517F39"/>
    <w:rsid w:val="0052051D"/>
    <w:rsid w:val="00521F28"/>
    <w:rsid w:val="005234D4"/>
    <w:rsid w:val="00523DEC"/>
    <w:rsid w:val="00523EA9"/>
    <w:rsid w:val="005242CF"/>
    <w:rsid w:val="00524699"/>
    <w:rsid w:val="005253C8"/>
    <w:rsid w:val="00525954"/>
    <w:rsid w:val="00525DD9"/>
    <w:rsid w:val="00530124"/>
    <w:rsid w:val="00533047"/>
    <w:rsid w:val="005334DA"/>
    <w:rsid w:val="00533B79"/>
    <w:rsid w:val="00535D9D"/>
    <w:rsid w:val="00536C65"/>
    <w:rsid w:val="005402A7"/>
    <w:rsid w:val="00541425"/>
    <w:rsid w:val="0054154A"/>
    <w:rsid w:val="00544485"/>
    <w:rsid w:val="00544D11"/>
    <w:rsid w:val="005456FF"/>
    <w:rsid w:val="00545C2E"/>
    <w:rsid w:val="00545EE6"/>
    <w:rsid w:val="00547252"/>
    <w:rsid w:val="00547644"/>
    <w:rsid w:val="00547D3E"/>
    <w:rsid w:val="00550208"/>
    <w:rsid w:val="005502B6"/>
    <w:rsid w:val="0055230F"/>
    <w:rsid w:val="00554567"/>
    <w:rsid w:val="005548FC"/>
    <w:rsid w:val="005550E7"/>
    <w:rsid w:val="005564FB"/>
    <w:rsid w:val="005572C7"/>
    <w:rsid w:val="0056028B"/>
    <w:rsid w:val="005604C2"/>
    <w:rsid w:val="00560A85"/>
    <w:rsid w:val="00561E2B"/>
    <w:rsid w:val="00562AF0"/>
    <w:rsid w:val="00563A45"/>
    <w:rsid w:val="00563C77"/>
    <w:rsid w:val="00564636"/>
    <w:rsid w:val="005648C8"/>
    <w:rsid w:val="00564F65"/>
    <w:rsid w:val="005650ED"/>
    <w:rsid w:val="00565DCA"/>
    <w:rsid w:val="00566061"/>
    <w:rsid w:val="005661CB"/>
    <w:rsid w:val="005665B0"/>
    <w:rsid w:val="005668F5"/>
    <w:rsid w:val="00566924"/>
    <w:rsid w:val="0057102F"/>
    <w:rsid w:val="00571D77"/>
    <w:rsid w:val="00571F50"/>
    <w:rsid w:val="00572632"/>
    <w:rsid w:val="005727C6"/>
    <w:rsid w:val="005732A1"/>
    <w:rsid w:val="00574446"/>
    <w:rsid w:val="00575754"/>
    <w:rsid w:val="00576506"/>
    <w:rsid w:val="00576BED"/>
    <w:rsid w:val="00577915"/>
    <w:rsid w:val="00580BB3"/>
    <w:rsid w:val="00581FBA"/>
    <w:rsid w:val="00583307"/>
    <w:rsid w:val="00583648"/>
    <w:rsid w:val="005839EF"/>
    <w:rsid w:val="00583A7F"/>
    <w:rsid w:val="00583BAD"/>
    <w:rsid w:val="00583CB2"/>
    <w:rsid w:val="005845FA"/>
    <w:rsid w:val="00585E90"/>
    <w:rsid w:val="005861E4"/>
    <w:rsid w:val="0058732C"/>
    <w:rsid w:val="00587599"/>
    <w:rsid w:val="005911C3"/>
    <w:rsid w:val="00591A9F"/>
    <w:rsid w:val="00591E20"/>
    <w:rsid w:val="00593238"/>
    <w:rsid w:val="00595408"/>
    <w:rsid w:val="00595B7A"/>
    <w:rsid w:val="00595E84"/>
    <w:rsid w:val="005966C0"/>
    <w:rsid w:val="00596B5E"/>
    <w:rsid w:val="00597F6C"/>
    <w:rsid w:val="005A0C59"/>
    <w:rsid w:val="005A1FD5"/>
    <w:rsid w:val="005A27C3"/>
    <w:rsid w:val="005A29AE"/>
    <w:rsid w:val="005A3484"/>
    <w:rsid w:val="005A3F6A"/>
    <w:rsid w:val="005A48EB"/>
    <w:rsid w:val="005A4DD5"/>
    <w:rsid w:val="005A57C7"/>
    <w:rsid w:val="005A6CFB"/>
    <w:rsid w:val="005A7326"/>
    <w:rsid w:val="005A747A"/>
    <w:rsid w:val="005B0FC8"/>
    <w:rsid w:val="005B21CE"/>
    <w:rsid w:val="005B287F"/>
    <w:rsid w:val="005B29E1"/>
    <w:rsid w:val="005B2B57"/>
    <w:rsid w:val="005B4713"/>
    <w:rsid w:val="005B4D53"/>
    <w:rsid w:val="005B5AAD"/>
    <w:rsid w:val="005B5EEE"/>
    <w:rsid w:val="005B6494"/>
    <w:rsid w:val="005B749E"/>
    <w:rsid w:val="005B76CF"/>
    <w:rsid w:val="005C0ED8"/>
    <w:rsid w:val="005C1072"/>
    <w:rsid w:val="005C12D8"/>
    <w:rsid w:val="005C1A43"/>
    <w:rsid w:val="005C1C0C"/>
    <w:rsid w:val="005C1D3C"/>
    <w:rsid w:val="005C2141"/>
    <w:rsid w:val="005C48D6"/>
    <w:rsid w:val="005C5533"/>
    <w:rsid w:val="005C581F"/>
    <w:rsid w:val="005C5AEB"/>
    <w:rsid w:val="005C62A9"/>
    <w:rsid w:val="005C62B4"/>
    <w:rsid w:val="005C7267"/>
    <w:rsid w:val="005C75E9"/>
    <w:rsid w:val="005D05A5"/>
    <w:rsid w:val="005D0FC6"/>
    <w:rsid w:val="005D1170"/>
    <w:rsid w:val="005D16C2"/>
    <w:rsid w:val="005D2FB9"/>
    <w:rsid w:val="005D30D2"/>
    <w:rsid w:val="005D35E4"/>
    <w:rsid w:val="005D3AF7"/>
    <w:rsid w:val="005D3AFC"/>
    <w:rsid w:val="005D484A"/>
    <w:rsid w:val="005D4861"/>
    <w:rsid w:val="005D5216"/>
    <w:rsid w:val="005D652E"/>
    <w:rsid w:val="005E0A3F"/>
    <w:rsid w:val="005E2D2D"/>
    <w:rsid w:val="005E3680"/>
    <w:rsid w:val="005E382A"/>
    <w:rsid w:val="005E3864"/>
    <w:rsid w:val="005E3BB0"/>
    <w:rsid w:val="005E4817"/>
    <w:rsid w:val="005E4A12"/>
    <w:rsid w:val="005E6883"/>
    <w:rsid w:val="005E6C1D"/>
    <w:rsid w:val="005E6F82"/>
    <w:rsid w:val="005E6FF1"/>
    <w:rsid w:val="005E772F"/>
    <w:rsid w:val="005E7864"/>
    <w:rsid w:val="005F0259"/>
    <w:rsid w:val="005F065B"/>
    <w:rsid w:val="005F0AC6"/>
    <w:rsid w:val="005F0B11"/>
    <w:rsid w:val="005F1F2D"/>
    <w:rsid w:val="005F27E9"/>
    <w:rsid w:val="005F2DA2"/>
    <w:rsid w:val="005F2F7F"/>
    <w:rsid w:val="005F3EDD"/>
    <w:rsid w:val="005F4637"/>
    <w:rsid w:val="005F478F"/>
    <w:rsid w:val="005F4BEF"/>
    <w:rsid w:val="005F4ECA"/>
    <w:rsid w:val="005F4FAC"/>
    <w:rsid w:val="005F6154"/>
    <w:rsid w:val="005F6898"/>
    <w:rsid w:val="005F6A36"/>
    <w:rsid w:val="005F6D6F"/>
    <w:rsid w:val="005F7313"/>
    <w:rsid w:val="0060113A"/>
    <w:rsid w:val="0060194C"/>
    <w:rsid w:val="00602560"/>
    <w:rsid w:val="006025C1"/>
    <w:rsid w:val="00603B11"/>
    <w:rsid w:val="00603C72"/>
    <w:rsid w:val="00603DD9"/>
    <w:rsid w:val="006041BE"/>
    <w:rsid w:val="006043C7"/>
    <w:rsid w:val="006044AC"/>
    <w:rsid w:val="006047E8"/>
    <w:rsid w:val="00605052"/>
    <w:rsid w:val="00605301"/>
    <w:rsid w:val="006058A3"/>
    <w:rsid w:val="00605965"/>
    <w:rsid w:val="006071CB"/>
    <w:rsid w:val="00607296"/>
    <w:rsid w:val="00610656"/>
    <w:rsid w:val="006110BA"/>
    <w:rsid w:val="0061125E"/>
    <w:rsid w:val="0061302E"/>
    <w:rsid w:val="006133C7"/>
    <w:rsid w:val="006137D3"/>
    <w:rsid w:val="00613901"/>
    <w:rsid w:val="00613DB8"/>
    <w:rsid w:val="006140F7"/>
    <w:rsid w:val="00614F00"/>
    <w:rsid w:val="00614F83"/>
    <w:rsid w:val="0061549D"/>
    <w:rsid w:val="006163AE"/>
    <w:rsid w:val="00616D9A"/>
    <w:rsid w:val="00617785"/>
    <w:rsid w:val="0062002A"/>
    <w:rsid w:val="0062013E"/>
    <w:rsid w:val="0062221F"/>
    <w:rsid w:val="006227D5"/>
    <w:rsid w:val="00624B52"/>
    <w:rsid w:val="006257E3"/>
    <w:rsid w:val="00627053"/>
    <w:rsid w:val="006300DD"/>
    <w:rsid w:val="00630794"/>
    <w:rsid w:val="00631005"/>
    <w:rsid w:val="0063102D"/>
    <w:rsid w:val="00631DF4"/>
    <w:rsid w:val="0063216A"/>
    <w:rsid w:val="00632498"/>
    <w:rsid w:val="00632B64"/>
    <w:rsid w:val="00632C3A"/>
    <w:rsid w:val="006332C1"/>
    <w:rsid w:val="00633A48"/>
    <w:rsid w:val="00634175"/>
    <w:rsid w:val="0063422C"/>
    <w:rsid w:val="006350BA"/>
    <w:rsid w:val="006374D7"/>
    <w:rsid w:val="006378B3"/>
    <w:rsid w:val="006404BB"/>
    <w:rsid w:val="006408AC"/>
    <w:rsid w:val="00640987"/>
    <w:rsid w:val="00641244"/>
    <w:rsid w:val="00641294"/>
    <w:rsid w:val="00642D19"/>
    <w:rsid w:val="0064363F"/>
    <w:rsid w:val="00643892"/>
    <w:rsid w:val="00644DC8"/>
    <w:rsid w:val="006450CB"/>
    <w:rsid w:val="006458E6"/>
    <w:rsid w:val="00647CEF"/>
    <w:rsid w:val="0065068D"/>
    <w:rsid w:val="006511B6"/>
    <w:rsid w:val="00651C9A"/>
    <w:rsid w:val="00651F99"/>
    <w:rsid w:val="00652AF2"/>
    <w:rsid w:val="00655FC9"/>
    <w:rsid w:val="006564B0"/>
    <w:rsid w:val="00656C2D"/>
    <w:rsid w:val="00657B9A"/>
    <w:rsid w:val="00657FF8"/>
    <w:rsid w:val="006604F1"/>
    <w:rsid w:val="00660660"/>
    <w:rsid w:val="00660E47"/>
    <w:rsid w:val="00660F5E"/>
    <w:rsid w:val="006613BE"/>
    <w:rsid w:val="00663874"/>
    <w:rsid w:val="00663940"/>
    <w:rsid w:val="0066480A"/>
    <w:rsid w:val="00664A6B"/>
    <w:rsid w:val="006653EF"/>
    <w:rsid w:val="0066696A"/>
    <w:rsid w:val="006679BC"/>
    <w:rsid w:val="00670D99"/>
    <w:rsid w:val="00670E2B"/>
    <w:rsid w:val="00671217"/>
    <w:rsid w:val="0067225A"/>
    <w:rsid w:val="00673374"/>
    <w:rsid w:val="006734BB"/>
    <w:rsid w:val="00673779"/>
    <w:rsid w:val="0067396C"/>
    <w:rsid w:val="0067651B"/>
    <w:rsid w:val="0067697A"/>
    <w:rsid w:val="00677868"/>
    <w:rsid w:val="00677897"/>
    <w:rsid w:val="006801CB"/>
    <w:rsid w:val="006805A4"/>
    <w:rsid w:val="00680733"/>
    <w:rsid w:val="00680F3E"/>
    <w:rsid w:val="006821EB"/>
    <w:rsid w:val="00682B12"/>
    <w:rsid w:val="00683250"/>
    <w:rsid w:val="006840A9"/>
    <w:rsid w:val="006844EF"/>
    <w:rsid w:val="00686130"/>
    <w:rsid w:val="00687628"/>
    <w:rsid w:val="006902A0"/>
    <w:rsid w:val="00691E3D"/>
    <w:rsid w:val="00692772"/>
    <w:rsid w:val="006943F7"/>
    <w:rsid w:val="00696C28"/>
    <w:rsid w:val="006977D1"/>
    <w:rsid w:val="006A04E8"/>
    <w:rsid w:val="006A1374"/>
    <w:rsid w:val="006A3088"/>
    <w:rsid w:val="006A3631"/>
    <w:rsid w:val="006A4E40"/>
    <w:rsid w:val="006A72D0"/>
    <w:rsid w:val="006A7C6C"/>
    <w:rsid w:val="006B0017"/>
    <w:rsid w:val="006B0031"/>
    <w:rsid w:val="006B096A"/>
    <w:rsid w:val="006B19A5"/>
    <w:rsid w:val="006B19E8"/>
    <w:rsid w:val="006B2286"/>
    <w:rsid w:val="006B3FB3"/>
    <w:rsid w:val="006B41CA"/>
    <w:rsid w:val="006B4370"/>
    <w:rsid w:val="006B449B"/>
    <w:rsid w:val="006B5239"/>
    <w:rsid w:val="006B56BB"/>
    <w:rsid w:val="006B57C9"/>
    <w:rsid w:val="006B7130"/>
    <w:rsid w:val="006B75C9"/>
    <w:rsid w:val="006B766E"/>
    <w:rsid w:val="006B7D64"/>
    <w:rsid w:val="006C0E67"/>
    <w:rsid w:val="006C122D"/>
    <w:rsid w:val="006C3A12"/>
    <w:rsid w:val="006C46D6"/>
    <w:rsid w:val="006C4B9D"/>
    <w:rsid w:val="006C5F36"/>
    <w:rsid w:val="006C6B48"/>
    <w:rsid w:val="006C77A8"/>
    <w:rsid w:val="006C7A63"/>
    <w:rsid w:val="006D02F1"/>
    <w:rsid w:val="006D0C5D"/>
    <w:rsid w:val="006D186A"/>
    <w:rsid w:val="006D199F"/>
    <w:rsid w:val="006D2179"/>
    <w:rsid w:val="006D3DBF"/>
    <w:rsid w:val="006D4098"/>
    <w:rsid w:val="006D4AF9"/>
    <w:rsid w:val="006D5400"/>
    <w:rsid w:val="006D6BC4"/>
    <w:rsid w:val="006D7681"/>
    <w:rsid w:val="006D7B2E"/>
    <w:rsid w:val="006D7F10"/>
    <w:rsid w:val="006E02EA"/>
    <w:rsid w:val="006E05A9"/>
    <w:rsid w:val="006E0968"/>
    <w:rsid w:val="006E0EC4"/>
    <w:rsid w:val="006E2230"/>
    <w:rsid w:val="006E2AF6"/>
    <w:rsid w:val="006E393C"/>
    <w:rsid w:val="006E53AD"/>
    <w:rsid w:val="006E55DC"/>
    <w:rsid w:val="006E60AF"/>
    <w:rsid w:val="006E62BD"/>
    <w:rsid w:val="006E672B"/>
    <w:rsid w:val="006F0585"/>
    <w:rsid w:val="006F168D"/>
    <w:rsid w:val="006F16CF"/>
    <w:rsid w:val="006F29EA"/>
    <w:rsid w:val="006F2DD1"/>
    <w:rsid w:val="006F47CB"/>
    <w:rsid w:val="006F558F"/>
    <w:rsid w:val="006F5D0D"/>
    <w:rsid w:val="006F73CC"/>
    <w:rsid w:val="006F7836"/>
    <w:rsid w:val="006F7B01"/>
    <w:rsid w:val="006F7B45"/>
    <w:rsid w:val="00700283"/>
    <w:rsid w:val="0070053E"/>
    <w:rsid w:val="00701275"/>
    <w:rsid w:val="00701625"/>
    <w:rsid w:val="00701BE6"/>
    <w:rsid w:val="00702C37"/>
    <w:rsid w:val="00703A70"/>
    <w:rsid w:val="007043B6"/>
    <w:rsid w:val="0070664F"/>
    <w:rsid w:val="00706D65"/>
    <w:rsid w:val="00707F56"/>
    <w:rsid w:val="00710894"/>
    <w:rsid w:val="00711FA2"/>
    <w:rsid w:val="00712171"/>
    <w:rsid w:val="00712365"/>
    <w:rsid w:val="00712575"/>
    <w:rsid w:val="00712E1F"/>
    <w:rsid w:val="00713558"/>
    <w:rsid w:val="00713B3A"/>
    <w:rsid w:val="00714D17"/>
    <w:rsid w:val="00716352"/>
    <w:rsid w:val="0071679F"/>
    <w:rsid w:val="007200BF"/>
    <w:rsid w:val="00720D08"/>
    <w:rsid w:val="00721328"/>
    <w:rsid w:val="00722E2D"/>
    <w:rsid w:val="007240F2"/>
    <w:rsid w:val="00725B3A"/>
    <w:rsid w:val="007263B9"/>
    <w:rsid w:val="00727F1C"/>
    <w:rsid w:val="0073152A"/>
    <w:rsid w:val="00731F87"/>
    <w:rsid w:val="007327C4"/>
    <w:rsid w:val="00732A0A"/>
    <w:rsid w:val="007334F8"/>
    <w:rsid w:val="007337D1"/>
    <w:rsid w:val="007339CD"/>
    <w:rsid w:val="00734234"/>
    <w:rsid w:val="007359A9"/>
    <w:rsid w:val="007359D8"/>
    <w:rsid w:val="00735BEA"/>
    <w:rsid w:val="00735EB2"/>
    <w:rsid w:val="007362D4"/>
    <w:rsid w:val="007377B0"/>
    <w:rsid w:val="00740609"/>
    <w:rsid w:val="0074296B"/>
    <w:rsid w:val="0074486C"/>
    <w:rsid w:val="00744D11"/>
    <w:rsid w:val="00744E5D"/>
    <w:rsid w:val="00745D06"/>
    <w:rsid w:val="00746398"/>
    <w:rsid w:val="00746550"/>
    <w:rsid w:val="00747F9B"/>
    <w:rsid w:val="00750101"/>
    <w:rsid w:val="0075179C"/>
    <w:rsid w:val="00751BFD"/>
    <w:rsid w:val="00753045"/>
    <w:rsid w:val="0075368E"/>
    <w:rsid w:val="00756BDE"/>
    <w:rsid w:val="00760412"/>
    <w:rsid w:val="00762B11"/>
    <w:rsid w:val="007634CD"/>
    <w:rsid w:val="00764A02"/>
    <w:rsid w:val="00764E7F"/>
    <w:rsid w:val="0076556F"/>
    <w:rsid w:val="0076672A"/>
    <w:rsid w:val="0077061F"/>
    <w:rsid w:val="00770CC0"/>
    <w:rsid w:val="007725A8"/>
    <w:rsid w:val="00774B79"/>
    <w:rsid w:val="0077503A"/>
    <w:rsid w:val="00775E45"/>
    <w:rsid w:val="007765FB"/>
    <w:rsid w:val="00776E74"/>
    <w:rsid w:val="00777021"/>
    <w:rsid w:val="007803B5"/>
    <w:rsid w:val="007811ED"/>
    <w:rsid w:val="00781C8F"/>
    <w:rsid w:val="00782057"/>
    <w:rsid w:val="00782C67"/>
    <w:rsid w:val="00782D61"/>
    <w:rsid w:val="007839DE"/>
    <w:rsid w:val="00783C2C"/>
    <w:rsid w:val="00784899"/>
    <w:rsid w:val="00785169"/>
    <w:rsid w:val="007854B0"/>
    <w:rsid w:val="007854BF"/>
    <w:rsid w:val="00786725"/>
    <w:rsid w:val="00786D58"/>
    <w:rsid w:val="0079020D"/>
    <w:rsid w:val="00791218"/>
    <w:rsid w:val="00792CC4"/>
    <w:rsid w:val="00793C9E"/>
    <w:rsid w:val="007947F3"/>
    <w:rsid w:val="00794BC7"/>
    <w:rsid w:val="007954AB"/>
    <w:rsid w:val="00796A2B"/>
    <w:rsid w:val="007A02A2"/>
    <w:rsid w:val="007A14C5"/>
    <w:rsid w:val="007A1F8F"/>
    <w:rsid w:val="007A4A10"/>
    <w:rsid w:val="007A4EC5"/>
    <w:rsid w:val="007A59B3"/>
    <w:rsid w:val="007B1760"/>
    <w:rsid w:val="007B19C9"/>
    <w:rsid w:val="007B23FB"/>
    <w:rsid w:val="007B2664"/>
    <w:rsid w:val="007B2949"/>
    <w:rsid w:val="007B3DBF"/>
    <w:rsid w:val="007B4C91"/>
    <w:rsid w:val="007B504C"/>
    <w:rsid w:val="007B6276"/>
    <w:rsid w:val="007B7A57"/>
    <w:rsid w:val="007C003F"/>
    <w:rsid w:val="007C0BF9"/>
    <w:rsid w:val="007C10AF"/>
    <w:rsid w:val="007C1FA6"/>
    <w:rsid w:val="007C1FDC"/>
    <w:rsid w:val="007C2A25"/>
    <w:rsid w:val="007C633C"/>
    <w:rsid w:val="007C6D9C"/>
    <w:rsid w:val="007C7DDB"/>
    <w:rsid w:val="007D001C"/>
    <w:rsid w:val="007D156B"/>
    <w:rsid w:val="007D1797"/>
    <w:rsid w:val="007D22F1"/>
    <w:rsid w:val="007D2CC7"/>
    <w:rsid w:val="007D322D"/>
    <w:rsid w:val="007D3ADD"/>
    <w:rsid w:val="007D4056"/>
    <w:rsid w:val="007D4867"/>
    <w:rsid w:val="007D4A05"/>
    <w:rsid w:val="007D6520"/>
    <w:rsid w:val="007D673D"/>
    <w:rsid w:val="007D6F67"/>
    <w:rsid w:val="007E0FB8"/>
    <w:rsid w:val="007E242B"/>
    <w:rsid w:val="007E279B"/>
    <w:rsid w:val="007E4262"/>
    <w:rsid w:val="007E4D09"/>
    <w:rsid w:val="007E55C2"/>
    <w:rsid w:val="007E6752"/>
    <w:rsid w:val="007E6CE5"/>
    <w:rsid w:val="007E6E8C"/>
    <w:rsid w:val="007E7015"/>
    <w:rsid w:val="007E7306"/>
    <w:rsid w:val="007E7AC0"/>
    <w:rsid w:val="007E7EF0"/>
    <w:rsid w:val="007E7F6F"/>
    <w:rsid w:val="007F0615"/>
    <w:rsid w:val="007F0FDE"/>
    <w:rsid w:val="007F1841"/>
    <w:rsid w:val="007F2191"/>
    <w:rsid w:val="007F2220"/>
    <w:rsid w:val="007F2E48"/>
    <w:rsid w:val="007F3273"/>
    <w:rsid w:val="007F4B3E"/>
    <w:rsid w:val="007F57BD"/>
    <w:rsid w:val="007F7D13"/>
    <w:rsid w:val="008004A9"/>
    <w:rsid w:val="00800D0D"/>
    <w:rsid w:val="00800D0F"/>
    <w:rsid w:val="008016BE"/>
    <w:rsid w:val="008016FD"/>
    <w:rsid w:val="0080177B"/>
    <w:rsid w:val="00805898"/>
    <w:rsid w:val="00806351"/>
    <w:rsid w:val="00806A43"/>
    <w:rsid w:val="00807229"/>
    <w:rsid w:val="008127AF"/>
    <w:rsid w:val="00812B46"/>
    <w:rsid w:val="00813428"/>
    <w:rsid w:val="00814141"/>
    <w:rsid w:val="00814471"/>
    <w:rsid w:val="00814AE7"/>
    <w:rsid w:val="00815700"/>
    <w:rsid w:val="00815F63"/>
    <w:rsid w:val="008160C5"/>
    <w:rsid w:val="00817625"/>
    <w:rsid w:val="008206EF"/>
    <w:rsid w:val="00820781"/>
    <w:rsid w:val="008220DA"/>
    <w:rsid w:val="00825216"/>
    <w:rsid w:val="00825CE1"/>
    <w:rsid w:val="008264EB"/>
    <w:rsid w:val="00826B8F"/>
    <w:rsid w:val="00827CE7"/>
    <w:rsid w:val="008316D9"/>
    <w:rsid w:val="00831942"/>
    <w:rsid w:val="00831E8A"/>
    <w:rsid w:val="008326E3"/>
    <w:rsid w:val="00832AFD"/>
    <w:rsid w:val="0083326A"/>
    <w:rsid w:val="0083359F"/>
    <w:rsid w:val="00833F05"/>
    <w:rsid w:val="00834792"/>
    <w:rsid w:val="008347C6"/>
    <w:rsid w:val="008359AE"/>
    <w:rsid w:val="00835C76"/>
    <w:rsid w:val="0083612A"/>
    <w:rsid w:val="0083614C"/>
    <w:rsid w:val="008376E2"/>
    <w:rsid w:val="008403B3"/>
    <w:rsid w:val="008406CD"/>
    <w:rsid w:val="00841914"/>
    <w:rsid w:val="00841AF9"/>
    <w:rsid w:val="00842C24"/>
    <w:rsid w:val="00843049"/>
    <w:rsid w:val="00845961"/>
    <w:rsid w:val="00845ABE"/>
    <w:rsid w:val="0084603D"/>
    <w:rsid w:val="0084679B"/>
    <w:rsid w:val="00846A76"/>
    <w:rsid w:val="00846E22"/>
    <w:rsid w:val="0084738B"/>
    <w:rsid w:val="00847870"/>
    <w:rsid w:val="00847C97"/>
    <w:rsid w:val="00850C69"/>
    <w:rsid w:val="00850E08"/>
    <w:rsid w:val="0085209B"/>
    <w:rsid w:val="00853BD6"/>
    <w:rsid w:val="00854A63"/>
    <w:rsid w:val="00856B66"/>
    <w:rsid w:val="00856C0A"/>
    <w:rsid w:val="00856C76"/>
    <w:rsid w:val="00857263"/>
    <w:rsid w:val="00857906"/>
    <w:rsid w:val="00857D5A"/>
    <w:rsid w:val="008601AC"/>
    <w:rsid w:val="00860254"/>
    <w:rsid w:val="008602AB"/>
    <w:rsid w:val="008608ED"/>
    <w:rsid w:val="00861293"/>
    <w:rsid w:val="00861A5F"/>
    <w:rsid w:val="0086306D"/>
    <w:rsid w:val="00863C76"/>
    <w:rsid w:val="008644AD"/>
    <w:rsid w:val="00865735"/>
    <w:rsid w:val="00865DDB"/>
    <w:rsid w:val="00867538"/>
    <w:rsid w:val="00867AE0"/>
    <w:rsid w:val="008702FF"/>
    <w:rsid w:val="008704A1"/>
    <w:rsid w:val="008705CD"/>
    <w:rsid w:val="00871B73"/>
    <w:rsid w:val="00872386"/>
    <w:rsid w:val="008723A6"/>
    <w:rsid w:val="00872434"/>
    <w:rsid w:val="00873D90"/>
    <w:rsid w:val="00873FC8"/>
    <w:rsid w:val="00874001"/>
    <w:rsid w:val="00874689"/>
    <w:rsid w:val="008764EF"/>
    <w:rsid w:val="00880090"/>
    <w:rsid w:val="00881016"/>
    <w:rsid w:val="008826BC"/>
    <w:rsid w:val="00882956"/>
    <w:rsid w:val="008841A2"/>
    <w:rsid w:val="00884C63"/>
    <w:rsid w:val="00884C6A"/>
    <w:rsid w:val="00885908"/>
    <w:rsid w:val="008864B7"/>
    <w:rsid w:val="008875FD"/>
    <w:rsid w:val="00887F1F"/>
    <w:rsid w:val="0089011A"/>
    <w:rsid w:val="00890137"/>
    <w:rsid w:val="008904AD"/>
    <w:rsid w:val="00891466"/>
    <w:rsid w:val="00891A23"/>
    <w:rsid w:val="008928B2"/>
    <w:rsid w:val="008929A9"/>
    <w:rsid w:val="0089303F"/>
    <w:rsid w:val="00894156"/>
    <w:rsid w:val="008941EE"/>
    <w:rsid w:val="00894AF7"/>
    <w:rsid w:val="00894EE8"/>
    <w:rsid w:val="0089677E"/>
    <w:rsid w:val="008973C1"/>
    <w:rsid w:val="008A1DB8"/>
    <w:rsid w:val="008A3476"/>
    <w:rsid w:val="008A38EB"/>
    <w:rsid w:val="008A444B"/>
    <w:rsid w:val="008A4D09"/>
    <w:rsid w:val="008A65D6"/>
    <w:rsid w:val="008A68DE"/>
    <w:rsid w:val="008A7438"/>
    <w:rsid w:val="008A7BCC"/>
    <w:rsid w:val="008B0076"/>
    <w:rsid w:val="008B0E94"/>
    <w:rsid w:val="008B1334"/>
    <w:rsid w:val="008B1E7E"/>
    <w:rsid w:val="008B2076"/>
    <w:rsid w:val="008B25C7"/>
    <w:rsid w:val="008B2A4F"/>
    <w:rsid w:val="008B2E00"/>
    <w:rsid w:val="008B34DF"/>
    <w:rsid w:val="008B4C1D"/>
    <w:rsid w:val="008B5374"/>
    <w:rsid w:val="008B5FD0"/>
    <w:rsid w:val="008C0278"/>
    <w:rsid w:val="008C1A35"/>
    <w:rsid w:val="008C24E9"/>
    <w:rsid w:val="008C3242"/>
    <w:rsid w:val="008C6D25"/>
    <w:rsid w:val="008D0533"/>
    <w:rsid w:val="008D070C"/>
    <w:rsid w:val="008D0ACB"/>
    <w:rsid w:val="008D105A"/>
    <w:rsid w:val="008D3059"/>
    <w:rsid w:val="008D42CB"/>
    <w:rsid w:val="008D45A4"/>
    <w:rsid w:val="008D48C9"/>
    <w:rsid w:val="008D5CE3"/>
    <w:rsid w:val="008D6381"/>
    <w:rsid w:val="008D6A00"/>
    <w:rsid w:val="008D7656"/>
    <w:rsid w:val="008D7805"/>
    <w:rsid w:val="008E0534"/>
    <w:rsid w:val="008E0C77"/>
    <w:rsid w:val="008E3926"/>
    <w:rsid w:val="008E625F"/>
    <w:rsid w:val="008E6AAE"/>
    <w:rsid w:val="008F1EAF"/>
    <w:rsid w:val="008F264D"/>
    <w:rsid w:val="008F2697"/>
    <w:rsid w:val="008F353C"/>
    <w:rsid w:val="008F46CE"/>
    <w:rsid w:val="008F49FD"/>
    <w:rsid w:val="008F5354"/>
    <w:rsid w:val="008F581F"/>
    <w:rsid w:val="008F5ADC"/>
    <w:rsid w:val="008F7434"/>
    <w:rsid w:val="009004E0"/>
    <w:rsid w:val="00900D3F"/>
    <w:rsid w:val="009020E0"/>
    <w:rsid w:val="00902EC5"/>
    <w:rsid w:val="009040E9"/>
    <w:rsid w:val="00905144"/>
    <w:rsid w:val="0090532C"/>
    <w:rsid w:val="00906D52"/>
    <w:rsid w:val="00906D6D"/>
    <w:rsid w:val="009074E1"/>
    <w:rsid w:val="009078A2"/>
    <w:rsid w:val="00907E8C"/>
    <w:rsid w:val="0091009B"/>
    <w:rsid w:val="009112F7"/>
    <w:rsid w:val="00911926"/>
    <w:rsid w:val="00911A0C"/>
    <w:rsid w:val="009122AF"/>
    <w:rsid w:val="00912BDC"/>
    <w:rsid w:val="00912D54"/>
    <w:rsid w:val="0091389F"/>
    <w:rsid w:val="00913F08"/>
    <w:rsid w:val="009151D0"/>
    <w:rsid w:val="0091582F"/>
    <w:rsid w:val="00916770"/>
    <w:rsid w:val="00916982"/>
    <w:rsid w:val="009169A2"/>
    <w:rsid w:val="00916D38"/>
    <w:rsid w:val="00916F38"/>
    <w:rsid w:val="009170D1"/>
    <w:rsid w:val="0091728A"/>
    <w:rsid w:val="009207F3"/>
    <w:rsid w:val="009208F7"/>
    <w:rsid w:val="00921649"/>
    <w:rsid w:val="00922419"/>
    <w:rsid w:val="00922517"/>
    <w:rsid w:val="00922722"/>
    <w:rsid w:val="00924EA4"/>
    <w:rsid w:val="00924F3D"/>
    <w:rsid w:val="00925D12"/>
    <w:rsid w:val="009261E6"/>
    <w:rsid w:val="009268E1"/>
    <w:rsid w:val="009271EE"/>
    <w:rsid w:val="00927F18"/>
    <w:rsid w:val="0093043F"/>
    <w:rsid w:val="00930C24"/>
    <w:rsid w:val="009316E4"/>
    <w:rsid w:val="009319F4"/>
    <w:rsid w:val="00931DD5"/>
    <w:rsid w:val="00932F74"/>
    <w:rsid w:val="009344AE"/>
    <w:rsid w:val="009344DE"/>
    <w:rsid w:val="00934D4B"/>
    <w:rsid w:val="00934D91"/>
    <w:rsid w:val="00934E18"/>
    <w:rsid w:val="009359EB"/>
    <w:rsid w:val="00935D36"/>
    <w:rsid w:val="00935E39"/>
    <w:rsid w:val="00936610"/>
    <w:rsid w:val="00937FDD"/>
    <w:rsid w:val="00940F40"/>
    <w:rsid w:val="00940F9A"/>
    <w:rsid w:val="00941FB7"/>
    <w:rsid w:val="00942BCC"/>
    <w:rsid w:val="00942D4B"/>
    <w:rsid w:val="00943783"/>
    <w:rsid w:val="009438AA"/>
    <w:rsid w:val="00943E77"/>
    <w:rsid w:val="00944F13"/>
    <w:rsid w:val="00945E7F"/>
    <w:rsid w:val="00946690"/>
    <w:rsid w:val="00947887"/>
    <w:rsid w:val="00951136"/>
    <w:rsid w:val="009514D4"/>
    <w:rsid w:val="0095156A"/>
    <w:rsid w:val="0095157A"/>
    <w:rsid w:val="00951C3B"/>
    <w:rsid w:val="009520B6"/>
    <w:rsid w:val="009528C5"/>
    <w:rsid w:val="009545C5"/>
    <w:rsid w:val="00954D52"/>
    <w:rsid w:val="009557C1"/>
    <w:rsid w:val="00957806"/>
    <w:rsid w:val="00957A6F"/>
    <w:rsid w:val="00960AA4"/>
    <w:rsid w:val="00960D6E"/>
    <w:rsid w:val="0096183C"/>
    <w:rsid w:val="0096187B"/>
    <w:rsid w:val="00961E55"/>
    <w:rsid w:val="00962767"/>
    <w:rsid w:val="009628AB"/>
    <w:rsid w:val="00963133"/>
    <w:rsid w:val="00963F94"/>
    <w:rsid w:val="0096409C"/>
    <w:rsid w:val="00965A7A"/>
    <w:rsid w:val="00967A4D"/>
    <w:rsid w:val="00971E7A"/>
    <w:rsid w:val="00971FC8"/>
    <w:rsid w:val="00972145"/>
    <w:rsid w:val="00974B59"/>
    <w:rsid w:val="0097537D"/>
    <w:rsid w:val="00975B3A"/>
    <w:rsid w:val="0098104A"/>
    <w:rsid w:val="00981429"/>
    <w:rsid w:val="00981FAD"/>
    <w:rsid w:val="0098340B"/>
    <w:rsid w:val="0098400A"/>
    <w:rsid w:val="00984BB8"/>
    <w:rsid w:val="00986830"/>
    <w:rsid w:val="00986D90"/>
    <w:rsid w:val="00986F89"/>
    <w:rsid w:val="00987321"/>
    <w:rsid w:val="0099065F"/>
    <w:rsid w:val="009924C3"/>
    <w:rsid w:val="009928E6"/>
    <w:rsid w:val="00992CA5"/>
    <w:rsid w:val="00993102"/>
    <w:rsid w:val="00994A0F"/>
    <w:rsid w:val="009951A2"/>
    <w:rsid w:val="00995817"/>
    <w:rsid w:val="009958E0"/>
    <w:rsid w:val="009960B1"/>
    <w:rsid w:val="0099713D"/>
    <w:rsid w:val="00997927"/>
    <w:rsid w:val="00997E18"/>
    <w:rsid w:val="009A06ED"/>
    <w:rsid w:val="009A1ACF"/>
    <w:rsid w:val="009A2790"/>
    <w:rsid w:val="009A55A6"/>
    <w:rsid w:val="009A58B2"/>
    <w:rsid w:val="009A5BC6"/>
    <w:rsid w:val="009A6FA7"/>
    <w:rsid w:val="009B0410"/>
    <w:rsid w:val="009B0695"/>
    <w:rsid w:val="009B1570"/>
    <w:rsid w:val="009B1F25"/>
    <w:rsid w:val="009B2145"/>
    <w:rsid w:val="009B22D7"/>
    <w:rsid w:val="009B2A2C"/>
    <w:rsid w:val="009B395E"/>
    <w:rsid w:val="009B4443"/>
    <w:rsid w:val="009B4FDD"/>
    <w:rsid w:val="009B51DC"/>
    <w:rsid w:val="009B6256"/>
    <w:rsid w:val="009B76E9"/>
    <w:rsid w:val="009C149B"/>
    <w:rsid w:val="009C60C0"/>
    <w:rsid w:val="009C6F10"/>
    <w:rsid w:val="009C79F8"/>
    <w:rsid w:val="009D092C"/>
    <w:rsid w:val="009D1104"/>
    <w:rsid w:val="009D148F"/>
    <w:rsid w:val="009D2C12"/>
    <w:rsid w:val="009D3919"/>
    <w:rsid w:val="009D3D70"/>
    <w:rsid w:val="009D3F34"/>
    <w:rsid w:val="009D5597"/>
    <w:rsid w:val="009D6E31"/>
    <w:rsid w:val="009D7482"/>
    <w:rsid w:val="009D766F"/>
    <w:rsid w:val="009D76E4"/>
    <w:rsid w:val="009E04CF"/>
    <w:rsid w:val="009E1901"/>
    <w:rsid w:val="009E2332"/>
    <w:rsid w:val="009E3D03"/>
    <w:rsid w:val="009E5FAC"/>
    <w:rsid w:val="009E6F7E"/>
    <w:rsid w:val="009E797C"/>
    <w:rsid w:val="009E7A57"/>
    <w:rsid w:val="009F2DB9"/>
    <w:rsid w:val="009F451C"/>
    <w:rsid w:val="009F4803"/>
    <w:rsid w:val="009F48C1"/>
    <w:rsid w:val="009F48E5"/>
    <w:rsid w:val="009F4F6A"/>
    <w:rsid w:val="009F6808"/>
    <w:rsid w:val="009F7784"/>
    <w:rsid w:val="00A00A26"/>
    <w:rsid w:val="00A00C53"/>
    <w:rsid w:val="00A02A0D"/>
    <w:rsid w:val="00A03491"/>
    <w:rsid w:val="00A03D4C"/>
    <w:rsid w:val="00A05A54"/>
    <w:rsid w:val="00A05FB8"/>
    <w:rsid w:val="00A06C55"/>
    <w:rsid w:val="00A11140"/>
    <w:rsid w:val="00A11CF4"/>
    <w:rsid w:val="00A122C4"/>
    <w:rsid w:val="00A13EB5"/>
    <w:rsid w:val="00A147B6"/>
    <w:rsid w:val="00A15ED1"/>
    <w:rsid w:val="00A16E36"/>
    <w:rsid w:val="00A16E7D"/>
    <w:rsid w:val="00A20DA3"/>
    <w:rsid w:val="00A2388D"/>
    <w:rsid w:val="00A24961"/>
    <w:rsid w:val="00A24B10"/>
    <w:rsid w:val="00A25DCC"/>
    <w:rsid w:val="00A25FA3"/>
    <w:rsid w:val="00A25FAE"/>
    <w:rsid w:val="00A277EF"/>
    <w:rsid w:val="00A27FB1"/>
    <w:rsid w:val="00A30E9B"/>
    <w:rsid w:val="00A32EDE"/>
    <w:rsid w:val="00A32F34"/>
    <w:rsid w:val="00A33F46"/>
    <w:rsid w:val="00A345C9"/>
    <w:rsid w:val="00A35A66"/>
    <w:rsid w:val="00A35EC8"/>
    <w:rsid w:val="00A36014"/>
    <w:rsid w:val="00A36EF5"/>
    <w:rsid w:val="00A37156"/>
    <w:rsid w:val="00A3731B"/>
    <w:rsid w:val="00A3754E"/>
    <w:rsid w:val="00A37995"/>
    <w:rsid w:val="00A421A8"/>
    <w:rsid w:val="00A42EF6"/>
    <w:rsid w:val="00A43002"/>
    <w:rsid w:val="00A43732"/>
    <w:rsid w:val="00A44AD0"/>
    <w:rsid w:val="00A44C31"/>
    <w:rsid w:val="00A450AA"/>
    <w:rsid w:val="00A4512D"/>
    <w:rsid w:val="00A46495"/>
    <w:rsid w:val="00A466DF"/>
    <w:rsid w:val="00A46961"/>
    <w:rsid w:val="00A4765A"/>
    <w:rsid w:val="00A50244"/>
    <w:rsid w:val="00A5039B"/>
    <w:rsid w:val="00A50E2C"/>
    <w:rsid w:val="00A5108D"/>
    <w:rsid w:val="00A52868"/>
    <w:rsid w:val="00A541D6"/>
    <w:rsid w:val="00A5461E"/>
    <w:rsid w:val="00A54CB9"/>
    <w:rsid w:val="00A55BAC"/>
    <w:rsid w:val="00A57198"/>
    <w:rsid w:val="00A605EF"/>
    <w:rsid w:val="00A61BF1"/>
    <w:rsid w:val="00A61C21"/>
    <w:rsid w:val="00A627D7"/>
    <w:rsid w:val="00A62815"/>
    <w:rsid w:val="00A6477D"/>
    <w:rsid w:val="00A64A5F"/>
    <w:rsid w:val="00A64D66"/>
    <w:rsid w:val="00A654F6"/>
    <w:rsid w:val="00A656C7"/>
    <w:rsid w:val="00A660A5"/>
    <w:rsid w:val="00A66646"/>
    <w:rsid w:val="00A66A06"/>
    <w:rsid w:val="00A67F87"/>
    <w:rsid w:val="00A70146"/>
    <w:rsid w:val="00A705AF"/>
    <w:rsid w:val="00A719E7"/>
    <w:rsid w:val="00A719F6"/>
    <w:rsid w:val="00A72454"/>
    <w:rsid w:val="00A76EB7"/>
    <w:rsid w:val="00A772A6"/>
    <w:rsid w:val="00A77696"/>
    <w:rsid w:val="00A77BEF"/>
    <w:rsid w:val="00A801A3"/>
    <w:rsid w:val="00A80557"/>
    <w:rsid w:val="00A80749"/>
    <w:rsid w:val="00A80F2C"/>
    <w:rsid w:val="00A81D33"/>
    <w:rsid w:val="00A81DDA"/>
    <w:rsid w:val="00A82B48"/>
    <w:rsid w:val="00A830D9"/>
    <w:rsid w:val="00A8341C"/>
    <w:rsid w:val="00A83FE3"/>
    <w:rsid w:val="00A84DB1"/>
    <w:rsid w:val="00A85368"/>
    <w:rsid w:val="00A8581B"/>
    <w:rsid w:val="00A86558"/>
    <w:rsid w:val="00A86FCE"/>
    <w:rsid w:val="00A87413"/>
    <w:rsid w:val="00A87D49"/>
    <w:rsid w:val="00A92C93"/>
    <w:rsid w:val="00A930AE"/>
    <w:rsid w:val="00A9492B"/>
    <w:rsid w:val="00A962F0"/>
    <w:rsid w:val="00A96AD7"/>
    <w:rsid w:val="00A973D4"/>
    <w:rsid w:val="00A97D90"/>
    <w:rsid w:val="00A97ECB"/>
    <w:rsid w:val="00AA0EBA"/>
    <w:rsid w:val="00AA0FF1"/>
    <w:rsid w:val="00AA190F"/>
    <w:rsid w:val="00AA1A95"/>
    <w:rsid w:val="00AA1F2A"/>
    <w:rsid w:val="00AA260F"/>
    <w:rsid w:val="00AA262B"/>
    <w:rsid w:val="00AA2902"/>
    <w:rsid w:val="00AA47A5"/>
    <w:rsid w:val="00AA531B"/>
    <w:rsid w:val="00AA55AA"/>
    <w:rsid w:val="00AA5C26"/>
    <w:rsid w:val="00AA60E3"/>
    <w:rsid w:val="00AA68BC"/>
    <w:rsid w:val="00AA7B6E"/>
    <w:rsid w:val="00AB0044"/>
    <w:rsid w:val="00AB045B"/>
    <w:rsid w:val="00AB1EE7"/>
    <w:rsid w:val="00AB20C0"/>
    <w:rsid w:val="00AB2AAE"/>
    <w:rsid w:val="00AB40E1"/>
    <w:rsid w:val="00AB4808"/>
    <w:rsid w:val="00AB4B37"/>
    <w:rsid w:val="00AB4E85"/>
    <w:rsid w:val="00AB5762"/>
    <w:rsid w:val="00AB5897"/>
    <w:rsid w:val="00AB73FF"/>
    <w:rsid w:val="00AC03E4"/>
    <w:rsid w:val="00AC1396"/>
    <w:rsid w:val="00AC19B0"/>
    <w:rsid w:val="00AC25D6"/>
    <w:rsid w:val="00AC2679"/>
    <w:rsid w:val="00AC2C3C"/>
    <w:rsid w:val="00AC3383"/>
    <w:rsid w:val="00AC3F05"/>
    <w:rsid w:val="00AC4BE4"/>
    <w:rsid w:val="00AC53AE"/>
    <w:rsid w:val="00AC6455"/>
    <w:rsid w:val="00AC7478"/>
    <w:rsid w:val="00AD05E6"/>
    <w:rsid w:val="00AD07FF"/>
    <w:rsid w:val="00AD0D3F"/>
    <w:rsid w:val="00AD2A4E"/>
    <w:rsid w:val="00AD3198"/>
    <w:rsid w:val="00AD5033"/>
    <w:rsid w:val="00AD530E"/>
    <w:rsid w:val="00AD58A4"/>
    <w:rsid w:val="00AD6932"/>
    <w:rsid w:val="00AD7D70"/>
    <w:rsid w:val="00AE0277"/>
    <w:rsid w:val="00AE03BE"/>
    <w:rsid w:val="00AE1B12"/>
    <w:rsid w:val="00AE1D39"/>
    <w:rsid w:val="00AE1D7D"/>
    <w:rsid w:val="00AE22F4"/>
    <w:rsid w:val="00AE291D"/>
    <w:rsid w:val="00AE2A8B"/>
    <w:rsid w:val="00AE3274"/>
    <w:rsid w:val="00AE3F64"/>
    <w:rsid w:val="00AE3FFA"/>
    <w:rsid w:val="00AE435D"/>
    <w:rsid w:val="00AE7927"/>
    <w:rsid w:val="00AF0E0F"/>
    <w:rsid w:val="00AF1465"/>
    <w:rsid w:val="00AF204B"/>
    <w:rsid w:val="00AF2A98"/>
    <w:rsid w:val="00AF46FC"/>
    <w:rsid w:val="00AF6306"/>
    <w:rsid w:val="00AF6379"/>
    <w:rsid w:val="00AF6804"/>
    <w:rsid w:val="00AF6C72"/>
    <w:rsid w:val="00AF7386"/>
    <w:rsid w:val="00AF7934"/>
    <w:rsid w:val="00B00B81"/>
    <w:rsid w:val="00B01531"/>
    <w:rsid w:val="00B037E1"/>
    <w:rsid w:val="00B04580"/>
    <w:rsid w:val="00B04B09"/>
    <w:rsid w:val="00B04E4A"/>
    <w:rsid w:val="00B05033"/>
    <w:rsid w:val="00B065E9"/>
    <w:rsid w:val="00B07022"/>
    <w:rsid w:val="00B0760B"/>
    <w:rsid w:val="00B0795A"/>
    <w:rsid w:val="00B07DF5"/>
    <w:rsid w:val="00B10EA0"/>
    <w:rsid w:val="00B13BC8"/>
    <w:rsid w:val="00B14578"/>
    <w:rsid w:val="00B15263"/>
    <w:rsid w:val="00B15705"/>
    <w:rsid w:val="00B16A51"/>
    <w:rsid w:val="00B17777"/>
    <w:rsid w:val="00B201B6"/>
    <w:rsid w:val="00B202CF"/>
    <w:rsid w:val="00B20879"/>
    <w:rsid w:val="00B20D15"/>
    <w:rsid w:val="00B21411"/>
    <w:rsid w:val="00B21D3F"/>
    <w:rsid w:val="00B22ACD"/>
    <w:rsid w:val="00B23C60"/>
    <w:rsid w:val="00B24C43"/>
    <w:rsid w:val="00B24E9E"/>
    <w:rsid w:val="00B26EF6"/>
    <w:rsid w:val="00B279E2"/>
    <w:rsid w:val="00B32222"/>
    <w:rsid w:val="00B3269F"/>
    <w:rsid w:val="00B32904"/>
    <w:rsid w:val="00B32BEF"/>
    <w:rsid w:val="00B33994"/>
    <w:rsid w:val="00B34EB4"/>
    <w:rsid w:val="00B35757"/>
    <w:rsid w:val="00B3581A"/>
    <w:rsid w:val="00B3618D"/>
    <w:rsid w:val="00B36233"/>
    <w:rsid w:val="00B37804"/>
    <w:rsid w:val="00B407FC"/>
    <w:rsid w:val="00B41CB9"/>
    <w:rsid w:val="00B41D13"/>
    <w:rsid w:val="00B41E2E"/>
    <w:rsid w:val="00B42851"/>
    <w:rsid w:val="00B42AB0"/>
    <w:rsid w:val="00B42F6F"/>
    <w:rsid w:val="00B458D3"/>
    <w:rsid w:val="00B45975"/>
    <w:rsid w:val="00B45AC7"/>
    <w:rsid w:val="00B46E66"/>
    <w:rsid w:val="00B50DF0"/>
    <w:rsid w:val="00B51E5C"/>
    <w:rsid w:val="00B536FB"/>
    <w:rsid w:val="00B5372F"/>
    <w:rsid w:val="00B53987"/>
    <w:rsid w:val="00B5547E"/>
    <w:rsid w:val="00B56C10"/>
    <w:rsid w:val="00B572C9"/>
    <w:rsid w:val="00B6072C"/>
    <w:rsid w:val="00B61129"/>
    <w:rsid w:val="00B61318"/>
    <w:rsid w:val="00B61525"/>
    <w:rsid w:val="00B62D4B"/>
    <w:rsid w:val="00B6528B"/>
    <w:rsid w:val="00B65C2C"/>
    <w:rsid w:val="00B661B4"/>
    <w:rsid w:val="00B66734"/>
    <w:rsid w:val="00B674CA"/>
    <w:rsid w:val="00B67BFC"/>
    <w:rsid w:val="00B67CE4"/>
    <w:rsid w:val="00B67E7F"/>
    <w:rsid w:val="00B70488"/>
    <w:rsid w:val="00B70E43"/>
    <w:rsid w:val="00B710E7"/>
    <w:rsid w:val="00B71C97"/>
    <w:rsid w:val="00B73459"/>
    <w:rsid w:val="00B74187"/>
    <w:rsid w:val="00B7496C"/>
    <w:rsid w:val="00B74D4D"/>
    <w:rsid w:val="00B74D81"/>
    <w:rsid w:val="00B74E86"/>
    <w:rsid w:val="00B769D2"/>
    <w:rsid w:val="00B76DFC"/>
    <w:rsid w:val="00B771C5"/>
    <w:rsid w:val="00B77790"/>
    <w:rsid w:val="00B8262D"/>
    <w:rsid w:val="00B82B7A"/>
    <w:rsid w:val="00B82D92"/>
    <w:rsid w:val="00B833A3"/>
    <w:rsid w:val="00B83429"/>
    <w:rsid w:val="00B839B2"/>
    <w:rsid w:val="00B84951"/>
    <w:rsid w:val="00B85A07"/>
    <w:rsid w:val="00B8684B"/>
    <w:rsid w:val="00B86AA4"/>
    <w:rsid w:val="00B904BF"/>
    <w:rsid w:val="00B909D5"/>
    <w:rsid w:val="00B91133"/>
    <w:rsid w:val="00B92933"/>
    <w:rsid w:val="00B930FB"/>
    <w:rsid w:val="00B941B7"/>
    <w:rsid w:val="00B94252"/>
    <w:rsid w:val="00B960D4"/>
    <w:rsid w:val="00B9715A"/>
    <w:rsid w:val="00B972F6"/>
    <w:rsid w:val="00BA0C26"/>
    <w:rsid w:val="00BA0C4F"/>
    <w:rsid w:val="00BA145D"/>
    <w:rsid w:val="00BA14BE"/>
    <w:rsid w:val="00BA2732"/>
    <w:rsid w:val="00BA293D"/>
    <w:rsid w:val="00BA388A"/>
    <w:rsid w:val="00BA391F"/>
    <w:rsid w:val="00BA49BC"/>
    <w:rsid w:val="00BA56B7"/>
    <w:rsid w:val="00BA5B53"/>
    <w:rsid w:val="00BA5D69"/>
    <w:rsid w:val="00BA7A1E"/>
    <w:rsid w:val="00BA7E0C"/>
    <w:rsid w:val="00BB0062"/>
    <w:rsid w:val="00BB063B"/>
    <w:rsid w:val="00BB08CF"/>
    <w:rsid w:val="00BB2B82"/>
    <w:rsid w:val="00BB2D24"/>
    <w:rsid w:val="00BB2F6C"/>
    <w:rsid w:val="00BB3875"/>
    <w:rsid w:val="00BB492A"/>
    <w:rsid w:val="00BB50EB"/>
    <w:rsid w:val="00BB5860"/>
    <w:rsid w:val="00BB6204"/>
    <w:rsid w:val="00BB6AAD"/>
    <w:rsid w:val="00BB6B6B"/>
    <w:rsid w:val="00BC0325"/>
    <w:rsid w:val="00BC0454"/>
    <w:rsid w:val="00BC0BED"/>
    <w:rsid w:val="00BC3277"/>
    <w:rsid w:val="00BC3A02"/>
    <w:rsid w:val="00BC42F1"/>
    <w:rsid w:val="00BC4536"/>
    <w:rsid w:val="00BC4A19"/>
    <w:rsid w:val="00BC4E6D"/>
    <w:rsid w:val="00BC5109"/>
    <w:rsid w:val="00BC5535"/>
    <w:rsid w:val="00BC631A"/>
    <w:rsid w:val="00BC65FB"/>
    <w:rsid w:val="00BC6AEC"/>
    <w:rsid w:val="00BC706B"/>
    <w:rsid w:val="00BC7EDB"/>
    <w:rsid w:val="00BD0617"/>
    <w:rsid w:val="00BD120D"/>
    <w:rsid w:val="00BD2B5F"/>
    <w:rsid w:val="00BD2E9B"/>
    <w:rsid w:val="00BD31D5"/>
    <w:rsid w:val="00BD386A"/>
    <w:rsid w:val="00BD5E21"/>
    <w:rsid w:val="00BD7FB2"/>
    <w:rsid w:val="00BE107A"/>
    <w:rsid w:val="00BE1BF4"/>
    <w:rsid w:val="00BE2236"/>
    <w:rsid w:val="00BE3452"/>
    <w:rsid w:val="00BE501F"/>
    <w:rsid w:val="00BE5A79"/>
    <w:rsid w:val="00BE64E2"/>
    <w:rsid w:val="00BE7166"/>
    <w:rsid w:val="00BE76AC"/>
    <w:rsid w:val="00BF0B4B"/>
    <w:rsid w:val="00BF107C"/>
    <w:rsid w:val="00BF1882"/>
    <w:rsid w:val="00BF1E5E"/>
    <w:rsid w:val="00BF2665"/>
    <w:rsid w:val="00BF37AA"/>
    <w:rsid w:val="00BF4225"/>
    <w:rsid w:val="00BF4750"/>
    <w:rsid w:val="00BF5FB3"/>
    <w:rsid w:val="00BF6086"/>
    <w:rsid w:val="00C00930"/>
    <w:rsid w:val="00C0170B"/>
    <w:rsid w:val="00C018F6"/>
    <w:rsid w:val="00C05DD7"/>
    <w:rsid w:val="00C05F7F"/>
    <w:rsid w:val="00C060AD"/>
    <w:rsid w:val="00C06172"/>
    <w:rsid w:val="00C067E4"/>
    <w:rsid w:val="00C07E6F"/>
    <w:rsid w:val="00C113BF"/>
    <w:rsid w:val="00C118BC"/>
    <w:rsid w:val="00C11E6C"/>
    <w:rsid w:val="00C12010"/>
    <w:rsid w:val="00C1350A"/>
    <w:rsid w:val="00C14635"/>
    <w:rsid w:val="00C14843"/>
    <w:rsid w:val="00C1644D"/>
    <w:rsid w:val="00C2045F"/>
    <w:rsid w:val="00C20548"/>
    <w:rsid w:val="00C20B7B"/>
    <w:rsid w:val="00C2176E"/>
    <w:rsid w:val="00C23430"/>
    <w:rsid w:val="00C24528"/>
    <w:rsid w:val="00C27934"/>
    <w:rsid w:val="00C27D67"/>
    <w:rsid w:val="00C30CA9"/>
    <w:rsid w:val="00C3217B"/>
    <w:rsid w:val="00C337A3"/>
    <w:rsid w:val="00C33888"/>
    <w:rsid w:val="00C33D2D"/>
    <w:rsid w:val="00C3421B"/>
    <w:rsid w:val="00C34E85"/>
    <w:rsid w:val="00C35694"/>
    <w:rsid w:val="00C36A85"/>
    <w:rsid w:val="00C403CE"/>
    <w:rsid w:val="00C41C33"/>
    <w:rsid w:val="00C41DD8"/>
    <w:rsid w:val="00C42F57"/>
    <w:rsid w:val="00C43483"/>
    <w:rsid w:val="00C45B0E"/>
    <w:rsid w:val="00C4631F"/>
    <w:rsid w:val="00C473C7"/>
    <w:rsid w:val="00C47CBC"/>
    <w:rsid w:val="00C47CDE"/>
    <w:rsid w:val="00C50564"/>
    <w:rsid w:val="00C5074D"/>
    <w:rsid w:val="00C509DD"/>
    <w:rsid w:val="00C50C8D"/>
    <w:rsid w:val="00C50E16"/>
    <w:rsid w:val="00C522FE"/>
    <w:rsid w:val="00C52CA7"/>
    <w:rsid w:val="00C54AAA"/>
    <w:rsid w:val="00C54B23"/>
    <w:rsid w:val="00C55258"/>
    <w:rsid w:val="00C555C3"/>
    <w:rsid w:val="00C55A3A"/>
    <w:rsid w:val="00C56391"/>
    <w:rsid w:val="00C56755"/>
    <w:rsid w:val="00C5704C"/>
    <w:rsid w:val="00C579E6"/>
    <w:rsid w:val="00C57C52"/>
    <w:rsid w:val="00C6071B"/>
    <w:rsid w:val="00C60DD8"/>
    <w:rsid w:val="00C6264F"/>
    <w:rsid w:val="00C62BE0"/>
    <w:rsid w:val="00C6357C"/>
    <w:rsid w:val="00C64718"/>
    <w:rsid w:val="00C64977"/>
    <w:rsid w:val="00C66400"/>
    <w:rsid w:val="00C665EF"/>
    <w:rsid w:val="00C70316"/>
    <w:rsid w:val="00C707DD"/>
    <w:rsid w:val="00C72CD0"/>
    <w:rsid w:val="00C73896"/>
    <w:rsid w:val="00C74C69"/>
    <w:rsid w:val="00C75E50"/>
    <w:rsid w:val="00C7642F"/>
    <w:rsid w:val="00C76793"/>
    <w:rsid w:val="00C80225"/>
    <w:rsid w:val="00C81F0B"/>
    <w:rsid w:val="00C82EEB"/>
    <w:rsid w:val="00C83203"/>
    <w:rsid w:val="00C84945"/>
    <w:rsid w:val="00C85147"/>
    <w:rsid w:val="00C85B2E"/>
    <w:rsid w:val="00C85FF1"/>
    <w:rsid w:val="00C870B3"/>
    <w:rsid w:val="00C90AE8"/>
    <w:rsid w:val="00C91493"/>
    <w:rsid w:val="00C91A00"/>
    <w:rsid w:val="00C91D39"/>
    <w:rsid w:val="00C93E30"/>
    <w:rsid w:val="00C93E6D"/>
    <w:rsid w:val="00C94334"/>
    <w:rsid w:val="00C94F3A"/>
    <w:rsid w:val="00C94F86"/>
    <w:rsid w:val="00C967C9"/>
    <w:rsid w:val="00C96A00"/>
    <w:rsid w:val="00C971DC"/>
    <w:rsid w:val="00C9730E"/>
    <w:rsid w:val="00C97E4C"/>
    <w:rsid w:val="00C97EDC"/>
    <w:rsid w:val="00CA10C0"/>
    <w:rsid w:val="00CA16B7"/>
    <w:rsid w:val="00CA1F6E"/>
    <w:rsid w:val="00CA30E6"/>
    <w:rsid w:val="00CA351D"/>
    <w:rsid w:val="00CA402D"/>
    <w:rsid w:val="00CA42CC"/>
    <w:rsid w:val="00CA46C7"/>
    <w:rsid w:val="00CA4C77"/>
    <w:rsid w:val="00CA62AE"/>
    <w:rsid w:val="00CA6603"/>
    <w:rsid w:val="00CA7957"/>
    <w:rsid w:val="00CB23C1"/>
    <w:rsid w:val="00CB32BD"/>
    <w:rsid w:val="00CB4148"/>
    <w:rsid w:val="00CB437F"/>
    <w:rsid w:val="00CB4735"/>
    <w:rsid w:val="00CB5071"/>
    <w:rsid w:val="00CB5B1A"/>
    <w:rsid w:val="00CB6238"/>
    <w:rsid w:val="00CB66B9"/>
    <w:rsid w:val="00CB67F1"/>
    <w:rsid w:val="00CB7029"/>
    <w:rsid w:val="00CB71A1"/>
    <w:rsid w:val="00CB7DBE"/>
    <w:rsid w:val="00CC0C33"/>
    <w:rsid w:val="00CC1064"/>
    <w:rsid w:val="00CC220B"/>
    <w:rsid w:val="00CC2B03"/>
    <w:rsid w:val="00CC2C3F"/>
    <w:rsid w:val="00CC2EB6"/>
    <w:rsid w:val="00CC35CE"/>
    <w:rsid w:val="00CC3AAB"/>
    <w:rsid w:val="00CC5204"/>
    <w:rsid w:val="00CC5C43"/>
    <w:rsid w:val="00CD02AE"/>
    <w:rsid w:val="00CD05FA"/>
    <w:rsid w:val="00CD1353"/>
    <w:rsid w:val="00CD2A4F"/>
    <w:rsid w:val="00CD4C41"/>
    <w:rsid w:val="00CD5534"/>
    <w:rsid w:val="00CD7D2C"/>
    <w:rsid w:val="00CE025D"/>
    <w:rsid w:val="00CE03CA"/>
    <w:rsid w:val="00CE054D"/>
    <w:rsid w:val="00CE1AF1"/>
    <w:rsid w:val="00CE22F1"/>
    <w:rsid w:val="00CE25B5"/>
    <w:rsid w:val="00CE3252"/>
    <w:rsid w:val="00CE4741"/>
    <w:rsid w:val="00CE4B6D"/>
    <w:rsid w:val="00CE4E31"/>
    <w:rsid w:val="00CE50F2"/>
    <w:rsid w:val="00CE5C36"/>
    <w:rsid w:val="00CE6502"/>
    <w:rsid w:val="00CE7197"/>
    <w:rsid w:val="00CF0A24"/>
    <w:rsid w:val="00CF0F80"/>
    <w:rsid w:val="00CF2C05"/>
    <w:rsid w:val="00CF4953"/>
    <w:rsid w:val="00CF65EB"/>
    <w:rsid w:val="00CF6D7C"/>
    <w:rsid w:val="00CF7528"/>
    <w:rsid w:val="00CF7D3C"/>
    <w:rsid w:val="00D005EC"/>
    <w:rsid w:val="00D010F9"/>
    <w:rsid w:val="00D01F09"/>
    <w:rsid w:val="00D02128"/>
    <w:rsid w:val="00D0256A"/>
    <w:rsid w:val="00D05285"/>
    <w:rsid w:val="00D079D9"/>
    <w:rsid w:val="00D10590"/>
    <w:rsid w:val="00D11105"/>
    <w:rsid w:val="00D12E23"/>
    <w:rsid w:val="00D138E0"/>
    <w:rsid w:val="00D13A0C"/>
    <w:rsid w:val="00D13DCE"/>
    <w:rsid w:val="00D147EB"/>
    <w:rsid w:val="00D148D9"/>
    <w:rsid w:val="00D15ADE"/>
    <w:rsid w:val="00D15C6B"/>
    <w:rsid w:val="00D16116"/>
    <w:rsid w:val="00D1631C"/>
    <w:rsid w:val="00D1664D"/>
    <w:rsid w:val="00D16710"/>
    <w:rsid w:val="00D167C8"/>
    <w:rsid w:val="00D16AB6"/>
    <w:rsid w:val="00D20F50"/>
    <w:rsid w:val="00D21775"/>
    <w:rsid w:val="00D23679"/>
    <w:rsid w:val="00D24988"/>
    <w:rsid w:val="00D24B54"/>
    <w:rsid w:val="00D27540"/>
    <w:rsid w:val="00D27825"/>
    <w:rsid w:val="00D30921"/>
    <w:rsid w:val="00D317DC"/>
    <w:rsid w:val="00D322EF"/>
    <w:rsid w:val="00D3247A"/>
    <w:rsid w:val="00D32AE0"/>
    <w:rsid w:val="00D34396"/>
    <w:rsid w:val="00D34667"/>
    <w:rsid w:val="00D360D5"/>
    <w:rsid w:val="00D36173"/>
    <w:rsid w:val="00D36A99"/>
    <w:rsid w:val="00D37864"/>
    <w:rsid w:val="00D401E1"/>
    <w:rsid w:val="00D408B4"/>
    <w:rsid w:val="00D40BDA"/>
    <w:rsid w:val="00D40D33"/>
    <w:rsid w:val="00D41B89"/>
    <w:rsid w:val="00D41BE1"/>
    <w:rsid w:val="00D41E31"/>
    <w:rsid w:val="00D41F7F"/>
    <w:rsid w:val="00D422CC"/>
    <w:rsid w:val="00D42676"/>
    <w:rsid w:val="00D42865"/>
    <w:rsid w:val="00D42D94"/>
    <w:rsid w:val="00D4320F"/>
    <w:rsid w:val="00D4412C"/>
    <w:rsid w:val="00D44315"/>
    <w:rsid w:val="00D4440F"/>
    <w:rsid w:val="00D45413"/>
    <w:rsid w:val="00D45EDB"/>
    <w:rsid w:val="00D50757"/>
    <w:rsid w:val="00D507BC"/>
    <w:rsid w:val="00D51CDD"/>
    <w:rsid w:val="00D524C8"/>
    <w:rsid w:val="00D52FEB"/>
    <w:rsid w:val="00D531BA"/>
    <w:rsid w:val="00D53BD6"/>
    <w:rsid w:val="00D54F19"/>
    <w:rsid w:val="00D56837"/>
    <w:rsid w:val="00D57628"/>
    <w:rsid w:val="00D60135"/>
    <w:rsid w:val="00D609DD"/>
    <w:rsid w:val="00D60CE8"/>
    <w:rsid w:val="00D60FA7"/>
    <w:rsid w:val="00D617AD"/>
    <w:rsid w:val="00D628D9"/>
    <w:rsid w:val="00D63AF6"/>
    <w:rsid w:val="00D63C4F"/>
    <w:rsid w:val="00D63FE7"/>
    <w:rsid w:val="00D64CB8"/>
    <w:rsid w:val="00D65099"/>
    <w:rsid w:val="00D66A76"/>
    <w:rsid w:val="00D67A48"/>
    <w:rsid w:val="00D70BE7"/>
    <w:rsid w:val="00D70E24"/>
    <w:rsid w:val="00D726A9"/>
    <w:rsid w:val="00D72B61"/>
    <w:rsid w:val="00D72E77"/>
    <w:rsid w:val="00D7524F"/>
    <w:rsid w:val="00D76929"/>
    <w:rsid w:val="00D76A6F"/>
    <w:rsid w:val="00D8025E"/>
    <w:rsid w:val="00D81104"/>
    <w:rsid w:val="00D818C6"/>
    <w:rsid w:val="00D81D5C"/>
    <w:rsid w:val="00D822E4"/>
    <w:rsid w:val="00D82BF8"/>
    <w:rsid w:val="00D82C95"/>
    <w:rsid w:val="00D8383F"/>
    <w:rsid w:val="00D84354"/>
    <w:rsid w:val="00D843F3"/>
    <w:rsid w:val="00D869B7"/>
    <w:rsid w:val="00D87127"/>
    <w:rsid w:val="00D87B9E"/>
    <w:rsid w:val="00D87BCF"/>
    <w:rsid w:val="00D87D97"/>
    <w:rsid w:val="00D90074"/>
    <w:rsid w:val="00D90249"/>
    <w:rsid w:val="00D90BA5"/>
    <w:rsid w:val="00D91FFF"/>
    <w:rsid w:val="00D93C64"/>
    <w:rsid w:val="00D942F8"/>
    <w:rsid w:val="00D949D0"/>
    <w:rsid w:val="00D9677A"/>
    <w:rsid w:val="00D971A5"/>
    <w:rsid w:val="00DA1AC3"/>
    <w:rsid w:val="00DA3D1D"/>
    <w:rsid w:val="00DA6001"/>
    <w:rsid w:val="00DA6FBC"/>
    <w:rsid w:val="00DA773D"/>
    <w:rsid w:val="00DA77FA"/>
    <w:rsid w:val="00DB0C18"/>
    <w:rsid w:val="00DB16B1"/>
    <w:rsid w:val="00DB194C"/>
    <w:rsid w:val="00DB2AB4"/>
    <w:rsid w:val="00DB39D0"/>
    <w:rsid w:val="00DB542D"/>
    <w:rsid w:val="00DB55C1"/>
    <w:rsid w:val="00DB6286"/>
    <w:rsid w:val="00DB6407"/>
    <w:rsid w:val="00DB645F"/>
    <w:rsid w:val="00DB6BC4"/>
    <w:rsid w:val="00DB76E9"/>
    <w:rsid w:val="00DC018F"/>
    <w:rsid w:val="00DC0A67"/>
    <w:rsid w:val="00DC0EE0"/>
    <w:rsid w:val="00DC14C9"/>
    <w:rsid w:val="00DC1D5E"/>
    <w:rsid w:val="00DC28A3"/>
    <w:rsid w:val="00DC3C41"/>
    <w:rsid w:val="00DC5148"/>
    <w:rsid w:val="00DC5220"/>
    <w:rsid w:val="00DD0DFC"/>
    <w:rsid w:val="00DD1667"/>
    <w:rsid w:val="00DD2061"/>
    <w:rsid w:val="00DD270D"/>
    <w:rsid w:val="00DD34D2"/>
    <w:rsid w:val="00DD3C39"/>
    <w:rsid w:val="00DD3D48"/>
    <w:rsid w:val="00DD5448"/>
    <w:rsid w:val="00DD66FF"/>
    <w:rsid w:val="00DD7708"/>
    <w:rsid w:val="00DD7DAB"/>
    <w:rsid w:val="00DE02E9"/>
    <w:rsid w:val="00DE0A89"/>
    <w:rsid w:val="00DE269C"/>
    <w:rsid w:val="00DE3355"/>
    <w:rsid w:val="00DE34A9"/>
    <w:rsid w:val="00DE3596"/>
    <w:rsid w:val="00DE3735"/>
    <w:rsid w:val="00DE3F8E"/>
    <w:rsid w:val="00DE4E34"/>
    <w:rsid w:val="00DE5812"/>
    <w:rsid w:val="00DE741A"/>
    <w:rsid w:val="00DE77FE"/>
    <w:rsid w:val="00DF0525"/>
    <w:rsid w:val="00DF0C60"/>
    <w:rsid w:val="00DF172C"/>
    <w:rsid w:val="00DF33DE"/>
    <w:rsid w:val="00DF3C08"/>
    <w:rsid w:val="00DF4201"/>
    <w:rsid w:val="00DF486F"/>
    <w:rsid w:val="00DF50EE"/>
    <w:rsid w:val="00DF56F5"/>
    <w:rsid w:val="00DF5B5B"/>
    <w:rsid w:val="00DF6987"/>
    <w:rsid w:val="00DF6C93"/>
    <w:rsid w:val="00DF7619"/>
    <w:rsid w:val="00E01B7B"/>
    <w:rsid w:val="00E02332"/>
    <w:rsid w:val="00E03F9A"/>
    <w:rsid w:val="00E042D8"/>
    <w:rsid w:val="00E06059"/>
    <w:rsid w:val="00E06695"/>
    <w:rsid w:val="00E06F08"/>
    <w:rsid w:val="00E0721C"/>
    <w:rsid w:val="00E07EE7"/>
    <w:rsid w:val="00E1103B"/>
    <w:rsid w:val="00E1104A"/>
    <w:rsid w:val="00E114FB"/>
    <w:rsid w:val="00E1201E"/>
    <w:rsid w:val="00E12F01"/>
    <w:rsid w:val="00E131AB"/>
    <w:rsid w:val="00E132AA"/>
    <w:rsid w:val="00E13414"/>
    <w:rsid w:val="00E135C8"/>
    <w:rsid w:val="00E140BA"/>
    <w:rsid w:val="00E1581B"/>
    <w:rsid w:val="00E164FC"/>
    <w:rsid w:val="00E1692D"/>
    <w:rsid w:val="00E17A6F"/>
    <w:rsid w:val="00E17B44"/>
    <w:rsid w:val="00E17E61"/>
    <w:rsid w:val="00E207FE"/>
    <w:rsid w:val="00E208D4"/>
    <w:rsid w:val="00E20A49"/>
    <w:rsid w:val="00E20F27"/>
    <w:rsid w:val="00E220A3"/>
    <w:rsid w:val="00E22187"/>
    <w:rsid w:val="00E22443"/>
    <w:rsid w:val="00E22716"/>
    <w:rsid w:val="00E23027"/>
    <w:rsid w:val="00E23084"/>
    <w:rsid w:val="00E23324"/>
    <w:rsid w:val="00E25B1F"/>
    <w:rsid w:val="00E25B9A"/>
    <w:rsid w:val="00E25E2D"/>
    <w:rsid w:val="00E26EAA"/>
    <w:rsid w:val="00E2733F"/>
    <w:rsid w:val="00E27C99"/>
    <w:rsid w:val="00E27FEA"/>
    <w:rsid w:val="00E30F52"/>
    <w:rsid w:val="00E31601"/>
    <w:rsid w:val="00E3689F"/>
    <w:rsid w:val="00E36E47"/>
    <w:rsid w:val="00E36E84"/>
    <w:rsid w:val="00E40487"/>
    <w:rsid w:val="00E404EE"/>
    <w:rsid w:val="00E4086F"/>
    <w:rsid w:val="00E40E2C"/>
    <w:rsid w:val="00E41928"/>
    <w:rsid w:val="00E42BCE"/>
    <w:rsid w:val="00E42D70"/>
    <w:rsid w:val="00E42F3D"/>
    <w:rsid w:val="00E43B3C"/>
    <w:rsid w:val="00E44A45"/>
    <w:rsid w:val="00E45084"/>
    <w:rsid w:val="00E46AB9"/>
    <w:rsid w:val="00E4729E"/>
    <w:rsid w:val="00E50188"/>
    <w:rsid w:val="00E501E8"/>
    <w:rsid w:val="00E50BB3"/>
    <w:rsid w:val="00E51350"/>
    <w:rsid w:val="00E515CB"/>
    <w:rsid w:val="00E51866"/>
    <w:rsid w:val="00E52260"/>
    <w:rsid w:val="00E52A56"/>
    <w:rsid w:val="00E53458"/>
    <w:rsid w:val="00E53566"/>
    <w:rsid w:val="00E5362E"/>
    <w:rsid w:val="00E53A37"/>
    <w:rsid w:val="00E5562C"/>
    <w:rsid w:val="00E5586E"/>
    <w:rsid w:val="00E561CD"/>
    <w:rsid w:val="00E5710C"/>
    <w:rsid w:val="00E5745E"/>
    <w:rsid w:val="00E57750"/>
    <w:rsid w:val="00E57B2E"/>
    <w:rsid w:val="00E6118D"/>
    <w:rsid w:val="00E619F8"/>
    <w:rsid w:val="00E61C76"/>
    <w:rsid w:val="00E62CB2"/>
    <w:rsid w:val="00E639B6"/>
    <w:rsid w:val="00E6434B"/>
    <w:rsid w:val="00E6463D"/>
    <w:rsid w:val="00E660B7"/>
    <w:rsid w:val="00E71887"/>
    <w:rsid w:val="00E72D4F"/>
    <w:rsid w:val="00E72E71"/>
    <w:rsid w:val="00E72E9B"/>
    <w:rsid w:val="00E743DD"/>
    <w:rsid w:val="00E7617C"/>
    <w:rsid w:val="00E77167"/>
    <w:rsid w:val="00E7780E"/>
    <w:rsid w:val="00E837EF"/>
    <w:rsid w:val="00E83F97"/>
    <w:rsid w:val="00E850C3"/>
    <w:rsid w:val="00E851D2"/>
    <w:rsid w:val="00E851EE"/>
    <w:rsid w:val="00E86729"/>
    <w:rsid w:val="00E874DA"/>
    <w:rsid w:val="00E87772"/>
    <w:rsid w:val="00E87CCF"/>
    <w:rsid w:val="00E87DF2"/>
    <w:rsid w:val="00E91127"/>
    <w:rsid w:val="00E91DB0"/>
    <w:rsid w:val="00E92CA6"/>
    <w:rsid w:val="00E93807"/>
    <w:rsid w:val="00E9462E"/>
    <w:rsid w:val="00E9573E"/>
    <w:rsid w:val="00E95E4F"/>
    <w:rsid w:val="00E96AA9"/>
    <w:rsid w:val="00E97AD7"/>
    <w:rsid w:val="00EA091A"/>
    <w:rsid w:val="00EA11AD"/>
    <w:rsid w:val="00EA1284"/>
    <w:rsid w:val="00EA3C98"/>
    <w:rsid w:val="00EA4577"/>
    <w:rsid w:val="00EA470E"/>
    <w:rsid w:val="00EA47A7"/>
    <w:rsid w:val="00EA57EB"/>
    <w:rsid w:val="00EA5FD3"/>
    <w:rsid w:val="00EA65E0"/>
    <w:rsid w:val="00EA67DC"/>
    <w:rsid w:val="00EA6895"/>
    <w:rsid w:val="00EA6A06"/>
    <w:rsid w:val="00EA6AF8"/>
    <w:rsid w:val="00EA6BF6"/>
    <w:rsid w:val="00EA70DF"/>
    <w:rsid w:val="00EB015C"/>
    <w:rsid w:val="00EB0500"/>
    <w:rsid w:val="00EB3226"/>
    <w:rsid w:val="00EB388A"/>
    <w:rsid w:val="00EB3EC1"/>
    <w:rsid w:val="00EB6BDC"/>
    <w:rsid w:val="00EB77C8"/>
    <w:rsid w:val="00EB78BF"/>
    <w:rsid w:val="00EC19D8"/>
    <w:rsid w:val="00EC201E"/>
    <w:rsid w:val="00EC213A"/>
    <w:rsid w:val="00EC3588"/>
    <w:rsid w:val="00EC38C2"/>
    <w:rsid w:val="00EC41A9"/>
    <w:rsid w:val="00EC6574"/>
    <w:rsid w:val="00EC69CB"/>
    <w:rsid w:val="00EC7744"/>
    <w:rsid w:val="00EC7C9B"/>
    <w:rsid w:val="00ED00A5"/>
    <w:rsid w:val="00ED08B5"/>
    <w:rsid w:val="00ED0DAD"/>
    <w:rsid w:val="00ED0F46"/>
    <w:rsid w:val="00ED2373"/>
    <w:rsid w:val="00ED257C"/>
    <w:rsid w:val="00ED308B"/>
    <w:rsid w:val="00ED3B8F"/>
    <w:rsid w:val="00ED3DDB"/>
    <w:rsid w:val="00ED4537"/>
    <w:rsid w:val="00ED46E7"/>
    <w:rsid w:val="00ED63EA"/>
    <w:rsid w:val="00ED73EA"/>
    <w:rsid w:val="00EE0208"/>
    <w:rsid w:val="00EE2033"/>
    <w:rsid w:val="00EE2897"/>
    <w:rsid w:val="00EE3E8A"/>
    <w:rsid w:val="00EE42BE"/>
    <w:rsid w:val="00EF030E"/>
    <w:rsid w:val="00EF0B20"/>
    <w:rsid w:val="00EF1AE3"/>
    <w:rsid w:val="00EF2F33"/>
    <w:rsid w:val="00EF3882"/>
    <w:rsid w:val="00EF3EB5"/>
    <w:rsid w:val="00EF4FF8"/>
    <w:rsid w:val="00EF5034"/>
    <w:rsid w:val="00EF58B8"/>
    <w:rsid w:val="00EF5E9B"/>
    <w:rsid w:val="00EF6DD0"/>
    <w:rsid w:val="00EF6ECA"/>
    <w:rsid w:val="00EF7324"/>
    <w:rsid w:val="00EF73B8"/>
    <w:rsid w:val="00EF74F7"/>
    <w:rsid w:val="00F00548"/>
    <w:rsid w:val="00F0197E"/>
    <w:rsid w:val="00F01F56"/>
    <w:rsid w:val="00F024E1"/>
    <w:rsid w:val="00F02DB7"/>
    <w:rsid w:val="00F02E34"/>
    <w:rsid w:val="00F02F4F"/>
    <w:rsid w:val="00F03111"/>
    <w:rsid w:val="00F0402F"/>
    <w:rsid w:val="00F04251"/>
    <w:rsid w:val="00F043AE"/>
    <w:rsid w:val="00F04551"/>
    <w:rsid w:val="00F05606"/>
    <w:rsid w:val="00F064CA"/>
    <w:rsid w:val="00F06C10"/>
    <w:rsid w:val="00F06D99"/>
    <w:rsid w:val="00F071AA"/>
    <w:rsid w:val="00F07830"/>
    <w:rsid w:val="00F07856"/>
    <w:rsid w:val="00F07A57"/>
    <w:rsid w:val="00F07E72"/>
    <w:rsid w:val="00F10099"/>
    <w:rsid w:val="00F1096F"/>
    <w:rsid w:val="00F11828"/>
    <w:rsid w:val="00F12589"/>
    <w:rsid w:val="00F12595"/>
    <w:rsid w:val="00F134D9"/>
    <w:rsid w:val="00F1403D"/>
    <w:rsid w:val="00F1463F"/>
    <w:rsid w:val="00F14648"/>
    <w:rsid w:val="00F1486E"/>
    <w:rsid w:val="00F148B8"/>
    <w:rsid w:val="00F14EDD"/>
    <w:rsid w:val="00F15D2C"/>
    <w:rsid w:val="00F16751"/>
    <w:rsid w:val="00F20BF6"/>
    <w:rsid w:val="00F210A3"/>
    <w:rsid w:val="00F210E0"/>
    <w:rsid w:val="00F21302"/>
    <w:rsid w:val="00F2138E"/>
    <w:rsid w:val="00F21462"/>
    <w:rsid w:val="00F21946"/>
    <w:rsid w:val="00F21F59"/>
    <w:rsid w:val="00F225D2"/>
    <w:rsid w:val="00F2272E"/>
    <w:rsid w:val="00F2276B"/>
    <w:rsid w:val="00F233BD"/>
    <w:rsid w:val="00F237B7"/>
    <w:rsid w:val="00F24013"/>
    <w:rsid w:val="00F242CF"/>
    <w:rsid w:val="00F2430D"/>
    <w:rsid w:val="00F24526"/>
    <w:rsid w:val="00F24C79"/>
    <w:rsid w:val="00F25325"/>
    <w:rsid w:val="00F26CFC"/>
    <w:rsid w:val="00F27029"/>
    <w:rsid w:val="00F27594"/>
    <w:rsid w:val="00F30891"/>
    <w:rsid w:val="00F30A96"/>
    <w:rsid w:val="00F30F2A"/>
    <w:rsid w:val="00F311E5"/>
    <w:rsid w:val="00F31748"/>
    <w:rsid w:val="00F321DE"/>
    <w:rsid w:val="00F3270A"/>
    <w:rsid w:val="00F3329F"/>
    <w:rsid w:val="00F33777"/>
    <w:rsid w:val="00F341C4"/>
    <w:rsid w:val="00F34874"/>
    <w:rsid w:val="00F35AF9"/>
    <w:rsid w:val="00F35F7C"/>
    <w:rsid w:val="00F3600F"/>
    <w:rsid w:val="00F370D4"/>
    <w:rsid w:val="00F40648"/>
    <w:rsid w:val="00F406B7"/>
    <w:rsid w:val="00F41329"/>
    <w:rsid w:val="00F4138E"/>
    <w:rsid w:val="00F418B1"/>
    <w:rsid w:val="00F42AFB"/>
    <w:rsid w:val="00F42B68"/>
    <w:rsid w:val="00F440DC"/>
    <w:rsid w:val="00F444AD"/>
    <w:rsid w:val="00F45524"/>
    <w:rsid w:val="00F45B27"/>
    <w:rsid w:val="00F472DE"/>
    <w:rsid w:val="00F478FC"/>
    <w:rsid w:val="00F47DA2"/>
    <w:rsid w:val="00F50738"/>
    <w:rsid w:val="00F5112A"/>
    <w:rsid w:val="00F5177F"/>
    <w:rsid w:val="00F519FC"/>
    <w:rsid w:val="00F52E83"/>
    <w:rsid w:val="00F53D4E"/>
    <w:rsid w:val="00F53EA9"/>
    <w:rsid w:val="00F54401"/>
    <w:rsid w:val="00F544FD"/>
    <w:rsid w:val="00F55D5C"/>
    <w:rsid w:val="00F564A0"/>
    <w:rsid w:val="00F57422"/>
    <w:rsid w:val="00F5773C"/>
    <w:rsid w:val="00F61472"/>
    <w:rsid w:val="00F61C05"/>
    <w:rsid w:val="00F61EF5"/>
    <w:rsid w:val="00F6239D"/>
    <w:rsid w:val="00F65C81"/>
    <w:rsid w:val="00F65FFC"/>
    <w:rsid w:val="00F66C8A"/>
    <w:rsid w:val="00F70835"/>
    <w:rsid w:val="00F70ED4"/>
    <w:rsid w:val="00F715D2"/>
    <w:rsid w:val="00F7274F"/>
    <w:rsid w:val="00F727C0"/>
    <w:rsid w:val="00F73F5F"/>
    <w:rsid w:val="00F74683"/>
    <w:rsid w:val="00F74E84"/>
    <w:rsid w:val="00F75930"/>
    <w:rsid w:val="00F7635D"/>
    <w:rsid w:val="00F76B11"/>
    <w:rsid w:val="00F76B2E"/>
    <w:rsid w:val="00F76CDE"/>
    <w:rsid w:val="00F76FA8"/>
    <w:rsid w:val="00F77DFE"/>
    <w:rsid w:val="00F80D01"/>
    <w:rsid w:val="00F81649"/>
    <w:rsid w:val="00F81793"/>
    <w:rsid w:val="00F82735"/>
    <w:rsid w:val="00F82848"/>
    <w:rsid w:val="00F82F86"/>
    <w:rsid w:val="00F831B4"/>
    <w:rsid w:val="00F839EA"/>
    <w:rsid w:val="00F853AB"/>
    <w:rsid w:val="00F86736"/>
    <w:rsid w:val="00F8690B"/>
    <w:rsid w:val="00F8781E"/>
    <w:rsid w:val="00F87D81"/>
    <w:rsid w:val="00F9096C"/>
    <w:rsid w:val="00F90B8C"/>
    <w:rsid w:val="00F91CD5"/>
    <w:rsid w:val="00F91D35"/>
    <w:rsid w:val="00F926DC"/>
    <w:rsid w:val="00F92B35"/>
    <w:rsid w:val="00F933AB"/>
    <w:rsid w:val="00F93F08"/>
    <w:rsid w:val="00F94CED"/>
    <w:rsid w:val="00F94D8A"/>
    <w:rsid w:val="00FA02BB"/>
    <w:rsid w:val="00FA0805"/>
    <w:rsid w:val="00FA0847"/>
    <w:rsid w:val="00FA0F7F"/>
    <w:rsid w:val="00FA29D7"/>
    <w:rsid w:val="00FA2CEE"/>
    <w:rsid w:val="00FA318C"/>
    <w:rsid w:val="00FA368C"/>
    <w:rsid w:val="00FA3ADE"/>
    <w:rsid w:val="00FA4089"/>
    <w:rsid w:val="00FA5CE2"/>
    <w:rsid w:val="00FA5E16"/>
    <w:rsid w:val="00FA6915"/>
    <w:rsid w:val="00FB0F03"/>
    <w:rsid w:val="00FB29D8"/>
    <w:rsid w:val="00FB6F92"/>
    <w:rsid w:val="00FC0084"/>
    <w:rsid w:val="00FC026E"/>
    <w:rsid w:val="00FC053F"/>
    <w:rsid w:val="00FC07BF"/>
    <w:rsid w:val="00FC10C6"/>
    <w:rsid w:val="00FC1970"/>
    <w:rsid w:val="00FC2040"/>
    <w:rsid w:val="00FC206F"/>
    <w:rsid w:val="00FC4F8A"/>
    <w:rsid w:val="00FC5124"/>
    <w:rsid w:val="00FC5981"/>
    <w:rsid w:val="00FC604F"/>
    <w:rsid w:val="00FD01E4"/>
    <w:rsid w:val="00FD02B1"/>
    <w:rsid w:val="00FD093E"/>
    <w:rsid w:val="00FD28A5"/>
    <w:rsid w:val="00FD31EE"/>
    <w:rsid w:val="00FD3230"/>
    <w:rsid w:val="00FD3CD1"/>
    <w:rsid w:val="00FD3FB2"/>
    <w:rsid w:val="00FD4731"/>
    <w:rsid w:val="00FD5A10"/>
    <w:rsid w:val="00FD60C8"/>
    <w:rsid w:val="00FD6768"/>
    <w:rsid w:val="00FD6908"/>
    <w:rsid w:val="00FD7C80"/>
    <w:rsid w:val="00FE05B3"/>
    <w:rsid w:val="00FE0D26"/>
    <w:rsid w:val="00FE0F1C"/>
    <w:rsid w:val="00FE101B"/>
    <w:rsid w:val="00FE20EB"/>
    <w:rsid w:val="00FE3D88"/>
    <w:rsid w:val="00FE50A9"/>
    <w:rsid w:val="00FE50EA"/>
    <w:rsid w:val="00FE5166"/>
    <w:rsid w:val="00FF059E"/>
    <w:rsid w:val="00FF0AB0"/>
    <w:rsid w:val="00FF1EC9"/>
    <w:rsid w:val="00FF28AC"/>
    <w:rsid w:val="00FF4C80"/>
    <w:rsid w:val="00FF5EE2"/>
    <w:rsid w:val="00FF6104"/>
    <w:rsid w:val="00FF63A8"/>
    <w:rsid w:val="00FF6810"/>
    <w:rsid w:val="00FF777D"/>
    <w:rsid w:val="00FF77FB"/>
    <w:rsid w:val="00FF7F62"/>
    <w:rsid w:val="01B073DC"/>
    <w:rsid w:val="02AEEE0C"/>
    <w:rsid w:val="02CB43E5"/>
    <w:rsid w:val="02EE2BE7"/>
    <w:rsid w:val="05032636"/>
    <w:rsid w:val="05D4887D"/>
    <w:rsid w:val="0647D7F6"/>
    <w:rsid w:val="07C71CB0"/>
    <w:rsid w:val="08015CC1"/>
    <w:rsid w:val="089981D6"/>
    <w:rsid w:val="09DD284D"/>
    <w:rsid w:val="0A64A3C6"/>
    <w:rsid w:val="0D21C5B8"/>
    <w:rsid w:val="0E4686FE"/>
    <w:rsid w:val="107731E2"/>
    <w:rsid w:val="12B994BC"/>
    <w:rsid w:val="130590EA"/>
    <w:rsid w:val="133E77C0"/>
    <w:rsid w:val="1365318A"/>
    <w:rsid w:val="1569F394"/>
    <w:rsid w:val="17D1B575"/>
    <w:rsid w:val="17FF417D"/>
    <w:rsid w:val="1968D440"/>
    <w:rsid w:val="19B6A27B"/>
    <w:rsid w:val="1C70F1AD"/>
    <w:rsid w:val="1DD5656C"/>
    <w:rsid w:val="1EDCCFA8"/>
    <w:rsid w:val="1F6A385F"/>
    <w:rsid w:val="241354FE"/>
    <w:rsid w:val="264317AB"/>
    <w:rsid w:val="27EDBF83"/>
    <w:rsid w:val="28F13007"/>
    <w:rsid w:val="2B529A5D"/>
    <w:rsid w:val="2B9644DA"/>
    <w:rsid w:val="2C817B8A"/>
    <w:rsid w:val="2E49220B"/>
    <w:rsid w:val="2FC20491"/>
    <w:rsid w:val="300B69AB"/>
    <w:rsid w:val="30D24F47"/>
    <w:rsid w:val="310E446E"/>
    <w:rsid w:val="318C25C9"/>
    <w:rsid w:val="31A6E845"/>
    <w:rsid w:val="31DFA4C5"/>
    <w:rsid w:val="339E9DFA"/>
    <w:rsid w:val="33FB462E"/>
    <w:rsid w:val="342BC0E6"/>
    <w:rsid w:val="35161DAA"/>
    <w:rsid w:val="3575327D"/>
    <w:rsid w:val="35B94E58"/>
    <w:rsid w:val="36AFEF57"/>
    <w:rsid w:val="370F576C"/>
    <w:rsid w:val="3726A671"/>
    <w:rsid w:val="373E1184"/>
    <w:rsid w:val="38009AF7"/>
    <w:rsid w:val="3A4B294D"/>
    <w:rsid w:val="3BA421B6"/>
    <w:rsid w:val="3BAF1517"/>
    <w:rsid w:val="3C1085FF"/>
    <w:rsid w:val="3D02EC02"/>
    <w:rsid w:val="3FB5215F"/>
    <w:rsid w:val="3FC76EAF"/>
    <w:rsid w:val="402EED04"/>
    <w:rsid w:val="41880628"/>
    <w:rsid w:val="41BBD8F4"/>
    <w:rsid w:val="4200A448"/>
    <w:rsid w:val="423A855F"/>
    <w:rsid w:val="45F25350"/>
    <w:rsid w:val="46B8F87B"/>
    <w:rsid w:val="47289A7B"/>
    <w:rsid w:val="474C3E4B"/>
    <w:rsid w:val="478F516A"/>
    <w:rsid w:val="479AFB8A"/>
    <w:rsid w:val="480B49FC"/>
    <w:rsid w:val="48DAA5A6"/>
    <w:rsid w:val="4947E115"/>
    <w:rsid w:val="49A43EF5"/>
    <w:rsid w:val="4B7F2A1A"/>
    <w:rsid w:val="4C876676"/>
    <w:rsid w:val="4D92B2AD"/>
    <w:rsid w:val="51305D1D"/>
    <w:rsid w:val="52AF34F9"/>
    <w:rsid w:val="52B54A96"/>
    <w:rsid w:val="530F028B"/>
    <w:rsid w:val="553293CB"/>
    <w:rsid w:val="562D8C13"/>
    <w:rsid w:val="56F1B1CF"/>
    <w:rsid w:val="581BAD34"/>
    <w:rsid w:val="5863B6ED"/>
    <w:rsid w:val="59F7E598"/>
    <w:rsid w:val="5A723197"/>
    <w:rsid w:val="5BB39388"/>
    <w:rsid w:val="5BB49EAE"/>
    <w:rsid w:val="5BFFD641"/>
    <w:rsid w:val="5CF2DDD0"/>
    <w:rsid w:val="5D527C24"/>
    <w:rsid w:val="5DAC26B7"/>
    <w:rsid w:val="5E1ABBC9"/>
    <w:rsid w:val="5F1E7A71"/>
    <w:rsid w:val="5F70EC29"/>
    <w:rsid w:val="6114E77B"/>
    <w:rsid w:val="61238EF7"/>
    <w:rsid w:val="61817323"/>
    <w:rsid w:val="6312364D"/>
    <w:rsid w:val="6483ECEB"/>
    <w:rsid w:val="64A7CC95"/>
    <w:rsid w:val="64B73B33"/>
    <w:rsid w:val="652240CA"/>
    <w:rsid w:val="65A8DA74"/>
    <w:rsid w:val="66B5AA9C"/>
    <w:rsid w:val="6794AE67"/>
    <w:rsid w:val="686C148B"/>
    <w:rsid w:val="68FA772B"/>
    <w:rsid w:val="6909FEC7"/>
    <w:rsid w:val="6C245082"/>
    <w:rsid w:val="6C4BB636"/>
    <w:rsid w:val="6CE5EEAC"/>
    <w:rsid w:val="6D4C9656"/>
    <w:rsid w:val="6D82A1E1"/>
    <w:rsid w:val="705CFFCA"/>
    <w:rsid w:val="72DED5EE"/>
    <w:rsid w:val="76844AE2"/>
    <w:rsid w:val="77186228"/>
    <w:rsid w:val="77A1383D"/>
    <w:rsid w:val="7BD040BD"/>
    <w:rsid w:val="7D987A00"/>
    <w:rsid w:val="7D99873E"/>
    <w:rsid w:val="7DDDB5ED"/>
    <w:rsid w:val="7E267612"/>
    <w:rsid w:val="7ED39439"/>
    <w:rsid w:val="7F2D07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A44334A0-04BA-4982-B684-11410839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Body te"/>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unhideWhenUsed/>
    <w:rsid w:val="00160FE4"/>
    <w:rPr>
      <w:sz w:val="16"/>
      <w:szCs w:val="16"/>
    </w:rPr>
  </w:style>
  <w:style w:type="paragraph" w:styleId="CommentText">
    <w:name w:val="annotation text"/>
    <w:basedOn w:val="Normal"/>
    <w:link w:val="CommentTextChar"/>
    <w:uiPriority w:val="99"/>
    <w:unhideWhenUsed/>
    <w:rsid w:val="00160FE4"/>
    <w:pPr>
      <w:spacing w:before="0" w:after="160" w:line="240" w:lineRule="auto"/>
    </w:pPr>
    <w:rPr>
      <w:rFonts w:asciiTheme="minorHAnsi" w:eastAsiaTheme="minorEastAsia" w:hAnsiTheme="minorHAnsi" w:cstheme="minorBidi"/>
      <w:color w:val="auto"/>
      <w:sz w:val="20"/>
      <w:szCs w:val="20"/>
      <w:lang w:eastAsia="ja-JP"/>
    </w:rPr>
  </w:style>
  <w:style w:type="character" w:customStyle="1" w:styleId="CommentTextChar">
    <w:name w:val="Comment Text Char"/>
    <w:basedOn w:val="DefaultParagraphFont"/>
    <w:link w:val="CommentText"/>
    <w:uiPriority w:val="99"/>
    <w:rsid w:val="00160FE4"/>
    <w:rPr>
      <w:rFonts w:asciiTheme="minorHAnsi" w:eastAsiaTheme="minorEastAsia" w:hAnsiTheme="minorHAnsi" w:cstheme="minorBidi"/>
      <w:lang w:eastAsia="ja-JP"/>
    </w:rPr>
  </w:style>
  <w:style w:type="character" w:customStyle="1" w:styleId="Heading2Char">
    <w:name w:val="Heading 2 Char"/>
    <w:basedOn w:val="DefaultParagraphFont"/>
    <w:link w:val="Heading2"/>
    <w:rsid w:val="002957C2"/>
    <w:rPr>
      <w:rFonts w:ascii="Arial" w:hAnsi="Arial" w:cs="Arial"/>
      <w:b/>
      <w:bCs/>
      <w:iCs/>
      <w:color w:val="358189"/>
      <w:sz w:val="36"/>
      <w:szCs w:val="28"/>
      <w:lang w:eastAsia="en-US"/>
    </w:rPr>
  </w:style>
  <w:style w:type="paragraph" w:styleId="Revision">
    <w:name w:val="Revision"/>
    <w:hidden/>
    <w:uiPriority w:val="99"/>
    <w:semiHidden/>
    <w:rsid w:val="00D148D9"/>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A9492B"/>
    <w:pPr>
      <w:spacing w:before="120" w:after="120"/>
    </w:pPr>
    <w:rPr>
      <w:rFonts w:ascii="Arial" w:eastAsia="Times New Roman" w:hAnsi="Arial" w:cs="Times New Roman"/>
      <w:b/>
      <w:bCs/>
      <w:color w:val="000000" w:themeColor="text1"/>
      <w:lang w:eastAsia="en-US"/>
    </w:rPr>
  </w:style>
  <w:style w:type="character" w:customStyle="1" w:styleId="CommentSubjectChar">
    <w:name w:val="Comment Subject Char"/>
    <w:basedOn w:val="CommentTextChar"/>
    <w:link w:val="CommentSubject"/>
    <w:semiHidden/>
    <w:rsid w:val="00A9492B"/>
    <w:rPr>
      <w:rFonts w:ascii="Arial" w:eastAsiaTheme="minorEastAsia" w:hAnsi="Arial" w:cstheme="minorBidi"/>
      <w:b/>
      <w:bCs/>
      <w:color w:val="000000" w:themeColor="text1"/>
      <w:lang w:eastAsia="en-US"/>
    </w:rPr>
  </w:style>
  <w:style w:type="character" w:styleId="UnresolvedMention">
    <w:name w:val="Unresolved Mention"/>
    <w:basedOn w:val="DefaultParagraphFont"/>
    <w:uiPriority w:val="99"/>
    <w:semiHidden/>
    <w:unhideWhenUsed/>
    <w:rsid w:val="00994A0F"/>
    <w:rPr>
      <w:color w:val="605E5C"/>
      <w:shd w:val="clear" w:color="auto" w:fill="E1DFDD"/>
    </w:rPr>
  </w:style>
  <w:style w:type="character" w:styleId="Mention">
    <w:name w:val="Mention"/>
    <w:basedOn w:val="DefaultParagraphFont"/>
    <w:uiPriority w:val="99"/>
    <w:unhideWhenUsed/>
    <w:rsid w:val="003C2C95"/>
    <w:rPr>
      <w:color w:val="2B579A"/>
      <w:shd w:val="clear" w:color="auto" w:fill="E1DFDD"/>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A654F6"/>
    <w:rPr>
      <w:rFonts w:ascii="Arial" w:hAnsi="Arial"/>
      <w:color w:val="000000" w:themeColor="text1"/>
      <w:sz w:val="22"/>
      <w:szCs w:val="24"/>
      <w:lang w:eastAsia="en-US"/>
    </w:rPr>
  </w:style>
  <w:style w:type="character" w:styleId="FollowedHyperlink">
    <w:name w:val="FollowedHyperlink"/>
    <w:basedOn w:val="DefaultParagraphFont"/>
    <w:semiHidden/>
    <w:unhideWhenUsed/>
    <w:rsid w:val="00CF6D7C"/>
    <w:rPr>
      <w:color w:val="800080" w:themeColor="followedHyperlink"/>
      <w:u w:val="single"/>
    </w:rPr>
  </w:style>
  <w:style w:type="paragraph" w:customStyle="1" w:styleId="NormalText">
    <w:name w:val="Normal Text"/>
    <w:basedOn w:val="Normal"/>
    <w:qFormat/>
    <w:rsid w:val="006564B0"/>
    <w:pPr>
      <w:spacing w:line="288" w:lineRule="auto"/>
    </w:pPr>
    <w:rPr>
      <w:rFonts w:cstheme="minorBidi"/>
      <w:sz w:val="24"/>
      <w:szCs w:val="20"/>
      <w:shd w:val="clear" w:color="auto" w:fill="FFFFFF"/>
      <w:lang w:eastAsia="en-GB"/>
    </w:rPr>
  </w:style>
  <w:style w:type="table" w:styleId="GridTable1Light-Accent1">
    <w:name w:val="Grid Table 1 Light Accent 1"/>
    <w:basedOn w:val="TableNormal"/>
    <w:uiPriority w:val="46"/>
    <w:rsid w:val="002C7299"/>
    <w:rPr>
      <w:rFonts w:asciiTheme="minorHAnsi" w:eastAsiaTheme="minorEastAsia" w:hAnsiTheme="minorHAnsi" w:cstheme="minorBidi"/>
      <w:sz w:val="24"/>
      <w:szCs w:val="24"/>
      <w:lang w:val="en-US" w:eastAsia="ja-JP"/>
    </w:rPr>
    <w:tblPr>
      <w:tblStyleRowBandSize w:val="1"/>
      <w:tblStyleColBandSize w:val="1"/>
      <w:tblBorders>
        <w:top w:val="single" w:sz="4" w:space="0" w:color="A9B1D0" w:themeColor="accent1" w:themeTint="66"/>
        <w:left w:val="single" w:sz="4" w:space="0" w:color="A9B1D0" w:themeColor="accent1" w:themeTint="66"/>
        <w:bottom w:val="single" w:sz="4" w:space="0" w:color="A9B1D0" w:themeColor="accent1" w:themeTint="66"/>
        <w:right w:val="single" w:sz="4" w:space="0" w:color="A9B1D0" w:themeColor="accent1" w:themeTint="66"/>
        <w:insideH w:val="single" w:sz="4" w:space="0" w:color="A9B1D0" w:themeColor="accent1" w:themeTint="66"/>
        <w:insideV w:val="single" w:sz="4" w:space="0" w:color="A9B1D0" w:themeColor="accent1" w:themeTint="66"/>
      </w:tblBorders>
    </w:tblPr>
    <w:tblStylePr w:type="firstRow">
      <w:rPr>
        <w:b/>
        <w:bCs/>
      </w:rPr>
      <w:tblPr/>
      <w:tcPr>
        <w:tcBorders>
          <w:bottom w:val="single" w:sz="12" w:space="0" w:color="7E8AB9" w:themeColor="accent1" w:themeTint="99"/>
        </w:tcBorders>
      </w:tcPr>
    </w:tblStylePr>
    <w:tblStylePr w:type="lastRow">
      <w:rPr>
        <w:b/>
        <w:bCs/>
      </w:rPr>
      <w:tblPr/>
      <w:tcPr>
        <w:tcBorders>
          <w:top w:val="double" w:sz="2" w:space="0" w:color="7E8AB9"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66400"/>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22700"/>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122700"/>
    <w:pPr>
      <w:spacing w:after="100"/>
    </w:pPr>
  </w:style>
  <w:style w:type="paragraph" w:styleId="TOC2">
    <w:name w:val="toc 2"/>
    <w:basedOn w:val="Normal"/>
    <w:next w:val="Normal"/>
    <w:autoRedefine/>
    <w:uiPriority w:val="39"/>
    <w:unhideWhenUsed/>
    <w:rsid w:val="00122700"/>
    <w:pPr>
      <w:spacing w:after="100"/>
      <w:ind w:left="220"/>
    </w:pPr>
  </w:style>
  <w:style w:type="paragraph" w:styleId="TOC3">
    <w:name w:val="toc 3"/>
    <w:basedOn w:val="Normal"/>
    <w:next w:val="Normal"/>
    <w:autoRedefine/>
    <w:uiPriority w:val="39"/>
    <w:unhideWhenUsed/>
    <w:rsid w:val="00122700"/>
    <w:pPr>
      <w:spacing w:after="100"/>
      <w:ind w:left="440"/>
    </w:pPr>
  </w:style>
  <w:style w:type="character" w:customStyle="1" w:styleId="normaltextrun">
    <w:name w:val="normaltextrun"/>
    <w:basedOn w:val="DefaultParagraphFont"/>
    <w:rsid w:val="00173D3F"/>
  </w:style>
  <w:style w:type="character" w:customStyle="1" w:styleId="eop">
    <w:name w:val="eop"/>
    <w:basedOn w:val="DefaultParagraphFont"/>
    <w:rsid w:val="0017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824">
      <w:bodyDiv w:val="1"/>
      <w:marLeft w:val="0"/>
      <w:marRight w:val="0"/>
      <w:marTop w:val="0"/>
      <w:marBottom w:val="0"/>
      <w:divBdr>
        <w:top w:val="none" w:sz="0" w:space="0" w:color="auto"/>
        <w:left w:val="none" w:sz="0" w:space="0" w:color="auto"/>
        <w:bottom w:val="none" w:sz="0" w:space="0" w:color="auto"/>
        <w:right w:val="none" w:sz="0" w:space="0" w:color="auto"/>
      </w:divBdr>
    </w:div>
    <w:div w:id="60643432">
      <w:bodyDiv w:val="1"/>
      <w:marLeft w:val="0"/>
      <w:marRight w:val="0"/>
      <w:marTop w:val="0"/>
      <w:marBottom w:val="0"/>
      <w:divBdr>
        <w:top w:val="none" w:sz="0" w:space="0" w:color="auto"/>
        <w:left w:val="none" w:sz="0" w:space="0" w:color="auto"/>
        <w:bottom w:val="none" w:sz="0" w:space="0" w:color="auto"/>
        <w:right w:val="none" w:sz="0" w:space="0" w:color="auto"/>
      </w:divBdr>
    </w:div>
    <w:div w:id="29603619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940321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0273033">
      <w:bodyDiv w:val="1"/>
      <w:marLeft w:val="0"/>
      <w:marRight w:val="0"/>
      <w:marTop w:val="0"/>
      <w:marBottom w:val="0"/>
      <w:divBdr>
        <w:top w:val="none" w:sz="0" w:space="0" w:color="auto"/>
        <w:left w:val="none" w:sz="0" w:space="0" w:color="auto"/>
        <w:bottom w:val="none" w:sz="0" w:space="0" w:color="auto"/>
        <w:right w:val="none" w:sz="0" w:space="0" w:color="auto"/>
      </w:divBdr>
    </w:div>
    <w:div w:id="543375481">
      <w:bodyDiv w:val="1"/>
      <w:marLeft w:val="0"/>
      <w:marRight w:val="0"/>
      <w:marTop w:val="0"/>
      <w:marBottom w:val="0"/>
      <w:divBdr>
        <w:top w:val="none" w:sz="0" w:space="0" w:color="auto"/>
        <w:left w:val="none" w:sz="0" w:space="0" w:color="auto"/>
        <w:bottom w:val="none" w:sz="0" w:space="0" w:color="auto"/>
        <w:right w:val="none" w:sz="0" w:space="0" w:color="auto"/>
      </w:divBdr>
      <w:divsChild>
        <w:div w:id="119612818">
          <w:marLeft w:val="0"/>
          <w:marRight w:val="0"/>
          <w:marTop w:val="0"/>
          <w:marBottom w:val="0"/>
          <w:divBdr>
            <w:top w:val="none" w:sz="0" w:space="0" w:color="auto"/>
            <w:left w:val="none" w:sz="0" w:space="0" w:color="auto"/>
            <w:bottom w:val="none" w:sz="0" w:space="0" w:color="auto"/>
            <w:right w:val="none" w:sz="0" w:space="0" w:color="auto"/>
          </w:divBdr>
          <w:divsChild>
            <w:div w:id="1718239957">
              <w:marLeft w:val="0"/>
              <w:marRight w:val="0"/>
              <w:marTop w:val="0"/>
              <w:marBottom w:val="0"/>
              <w:divBdr>
                <w:top w:val="none" w:sz="0" w:space="0" w:color="auto"/>
                <w:left w:val="none" w:sz="0" w:space="0" w:color="auto"/>
                <w:bottom w:val="none" w:sz="0" w:space="0" w:color="auto"/>
                <w:right w:val="none" w:sz="0" w:space="0" w:color="auto"/>
              </w:divBdr>
            </w:div>
          </w:divsChild>
        </w:div>
        <w:div w:id="536622643">
          <w:marLeft w:val="0"/>
          <w:marRight w:val="0"/>
          <w:marTop w:val="0"/>
          <w:marBottom w:val="0"/>
          <w:divBdr>
            <w:top w:val="none" w:sz="0" w:space="0" w:color="auto"/>
            <w:left w:val="none" w:sz="0" w:space="0" w:color="auto"/>
            <w:bottom w:val="none" w:sz="0" w:space="0" w:color="auto"/>
            <w:right w:val="none" w:sz="0" w:space="0" w:color="auto"/>
          </w:divBdr>
          <w:divsChild>
            <w:div w:id="651561078">
              <w:marLeft w:val="0"/>
              <w:marRight w:val="0"/>
              <w:marTop w:val="0"/>
              <w:marBottom w:val="0"/>
              <w:divBdr>
                <w:top w:val="none" w:sz="0" w:space="0" w:color="auto"/>
                <w:left w:val="none" w:sz="0" w:space="0" w:color="auto"/>
                <w:bottom w:val="none" w:sz="0" w:space="0" w:color="auto"/>
                <w:right w:val="none" w:sz="0" w:space="0" w:color="auto"/>
              </w:divBdr>
            </w:div>
          </w:divsChild>
        </w:div>
        <w:div w:id="1072964147">
          <w:marLeft w:val="0"/>
          <w:marRight w:val="0"/>
          <w:marTop w:val="0"/>
          <w:marBottom w:val="0"/>
          <w:divBdr>
            <w:top w:val="none" w:sz="0" w:space="0" w:color="auto"/>
            <w:left w:val="none" w:sz="0" w:space="0" w:color="auto"/>
            <w:bottom w:val="none" w:sz="0" w:space="0" w:color="auto"/>
            <w:right w:val="none" w:sz="0" w:space="0" w:color="auto"/>
          </w:divBdr>
          <w:divsChild>
            <w:div w:id="2071221913">
              <w:marLeft w:val="0"/>
              <w:marRight w:val="0"/>
              <w:marTop w:val="0"/>
              <w:marBottom w:val="0"/>
              <w:divBdr>
                <w:top w:val="none" w:sz="0" w:space="0" w:color="auto"/>
                <w:left w:val="none" w:sz="0" w:space="0" w:color="auto"/>
                <w:bottom w:val="none" w:sz="0" w:space="0" w:color="auto"/>
                <w:right w:val="none" w:sz="0" w:space="0" w:color="auto"/>
              </w:divBdr>
            </w:div>
          </w:divsChild>
        </w:div>
        <w:div w:id="1081559402">
          <w:marLeft w:val="0"/>
          <w:marRight w:val="0"/>
          <w:marTop w:val="0"/>
          <w:marBottom w:val="0"/>
          <w:divBdr>
            <w:top w:val="none" w:sz="0" w:space="0" w:color="auto"/>
            <w:left w:val="none" w:sz="0" w:space="0" w:color="auto"/>
            <w:bottom w:val="none" w:sz="0" w:space="0" w:color="auto"/>
            <w:right w:val="none" w:sz="0" w:space="0" w:color="auto"/>
          </w:divBdr>
          <w:divsChild>
            <w:div w:id="1780029086">
              <w:marLeft w:val="0"/>
              <w:marRight w:val="0"/>
              <w:marTop w:val="0"/>
              <w:marBottom w:val="0"/>
              <w:divBdr>
                <w:top w:val="none" w:sz="0" w:space="0" w:color="auto"/>
                <w:left w:val="none" w:sz="0" w:space="0" w:color="auto"/>
                <w:bottom w:val="none" w:sz="0" w:space="0" w:color="auto"/>
                <w:right w:val="none" w:sz="0" w:space="0" w:color="auto"/>
              </w:divBdr>
            </w:div>
          </w:divsChild>
        </w:div>
        <w:div w:id="1337263939">
          <w:marLeft w:val="0"/>
          <w:marRight w:val="0"/>
          <w:marTop w:val="0"/>
          <w:marBottom w:val="0"/>
          <w:divBdr>
            <w:top w:val="none" w:sz="0" w:space="0" w:color="auto"/>
            <w:left w:val="none" w:sz="0" w:space="0" w:color="auto"/>
            <w:bottom w:val="none" w:sz="0" w:space="0" w:color="auto"/>
            <w:right w:val="none" w:sz="0" w:space="0" w:color="auto"/>
          </w:divBdr>
          <w:divsChild>
            <w:div w:id="227810054">
              <w:marLeft w:val="0"/>
              <w:marRight w:val="0"/>
              <w:marTop w:val="0"/>
              <w:marBottom w:val="0"/>
              <w:divBdr>
                <w:top w:val="none" w:sz="0" w:space="0" w:color="auto"/>
                <w:left w:val="none" w:sz="0" w:space="0" w:color="auto"/>
                <w:bottom w:val="none" w:sz="0" w:space="0" w:color="auto"/>
                <w:right w:val="none" w:sz="0" w:space="0" w:color="auto"/>
              </w:divBdr>
            </w:div>
          </w:divsChild>
        </w:div>
        <w:div w:id="1787499650">
          <w:marLeft w:val="0"/>
          <w:marRight w:val="0"/>
          <w:marTop w:val="0"/>
          <w:marBottom w:val="0"/>
          <w:divBdr>
            <w:top w:val="none" w:sz="0" w:space="0" w:color="auto"/>
            <w:left w:val="none" w:sz="0" w:space="0" w:color="auto"/>
            <w:bottom w:val="none" w:sz="0" w:space="0" w:color="auto"/>
            <w:right w:val="none" w:sz="0" w:space="0" w:color="auto"/>
          </w:divBdr>
          <w:divsChild>
            <w:div w:id="1761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389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85984350">
      <w:bodyDiv w:val="1"/>
      <w:marLeft w:val="0"/>
      <w:marRight w:val="0"/>
      <w:marTop w:val="0"/>
      <w:marBottom w:val="0"/>
      <w:divBdr>
        <w:top w:val="none" w:sz="0" w:space="0" w:color="auto"/>
        <w:left w:val="none" w:sz="0" w:space="0" w:color="auto"/>
        <w:bottom w:val="none" w:sz="0" w:space="0" w:color="auto"/>
        <w:right w:val="none" w:sz="0" w:space="0" w:color="auto"/>
      </w:divBdr>
    </w:div>
    <w:div w:id="688218813">
      <w:bodyDiv w:val="1"/>
      <w:marLeft w:val="0"/>
      <w:marRight w:val="0"/>
      <w:marTop w:val="0"/>
      <w:marBottom w:val="0"/>
      <w:divBdr>
        <w:top w:val="none" w:sz="0" w:space="0" w:color="auto"/>
        <w:left w:val="none" w:sz="0" w:space="0" w:color="auto"/>
        <w:bottom w:val="none" w:sz="0" w:space="0" w:color="auto"/>
        <w:right w:val="none" w:sz="0" w:space="0" w:color="auto"/>
      </w:divBdr>
    </w:div>
    <w:div w:id="702218537">
      <w:bodyDiv w:val="1"/>
      <w:marLeft w:val="0"/>
      <w:marRight w:val="0"/>
      <w:marTop w:val="0"/>
      <w:marBottom w:val="0"/>
      <w:divBdr>
        <w:top w:val="none" w:sz="0" w:space="0" w:color="auto"/>
        <w:left w:val="none" w:sz="0" w:space="0" w:color="auto"/>
        <w:bottom w:val="none" w:sz="0" w:space="0" w:color="auto"/>
        <w:right w:val="none" w:sz="0" w:space="0" w:color="auto"/>
      </w:divBdr>
    </w:div>
    <w:div w:id="71867213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9571645">
      <w:bodyDiv w:val="1"/>
      <w:marLeft w:val="0"/>
      <w:marRight w:val="0"/>
      <w:marTop w:val="0"/>
      <w:marBottom w:val="0"/>
      <w:divBdr>
        <w:top w:val="none" w:sz="0" w:space="0" w:color="auto"/>
        <w:left w:val="none" w:sz="0" w:space="0" w:color="auto"/>
        <w:bottom w:val="none" w:sz="0" w:space="0" w:color="auto"/>
        <w:right w:val="none" w:sz="0" w:space="0" w:color="auto"/>
      </w:divBdr>
    </w:div>
    <w:div w:id="891159275">
      <w:bodyDiv w:val="1"/>
      <w:marLeft w:val="0"/>
      <w:marRight w:val="0"/>
      <w:marTop w:val="0"/>
      <w:marBottom w:val="0"/>
      <w:divBdr>
        <w:top w:val="none" w:sz="0" w:space="0" w:color="auto"/>
        <w:left w:val="none" w:sz="0" w:space="0" w:color="auto"/>
        <w:bottom w:val="none" w:sz="0" w:space="0" w:color="auto"/>
        <w:right w:val="none" w:sz="0" w:space="0" w:color="auto"/>
      </w:divBdr>
    </w:div>
    <w:div w:id="950354371">
      <w:bodyDiv w:val="1"/>
      <w:marLeft w:val="0"/>
      <w:marRight w:val="0"/>
      <w:marTop w:val="0"/>
      <w:marBottom w:val="0"/>
      <w:divBdr>
        <w:top w:val="none" w:sz="0" w:space="0" w:color="auto"/>
        <w:left w:val="none" w:sz="0" w:space="0" w:color="auto"/>
        <w:bottom w:val="none" w:sz="0" w:space="0" w:color="auto"/>
        <w:right w:val="none" w:sz="0" w:space="0" w:color="auto"/>
      </w:divBdr>
      <w:divsChild>
        <w:div w:id="18165464">
          <w:marLeft w:val="0"/>
          <w:marRight w:val="0"/>
          <w:marTop w:val="0"/>
          <w:marBottom w:val="0"/>
          <w:divBdr>
            <w:top w:val="none" w:sz="0" w:space="0" w:color="auto"/>
            <w:left w:val="none" w:sz="0" w:space="0" w:color="auto"/>
            <w:bottom w:val="none" w:sz="0" w:space="0" w:color="auto"/>
            <w:right w:val="none" w:sz="0" w:space="0" w:color="auto"/>
          </w:divBdr>
          <w:divsChild>
            <w:div w:id="346753735">
              <w:marLeft w:val="0"/>
              <w:marRight w:val="0"/>
              <w:marTop w:val="0"/>
              <w:marBottom w:val="0"/>
              <w:divBdr>
                <w:top w:val="none" w:sz="0" w:space="0" w:color="auto"/>
                <w:left w:val="none" w:sz="0" w:space="0" w:color="auto"/>
                <w:bottom w:val="none" w:sz="0" w:space="0" w:color="auto"/>
                <w:right w:val="none" w:sz="0" w:space="0" w:color="auto"/>
              </w:divBdr>
            </w:div>
          </w:divsChild>
        </w:div>
        <w:div w:id="864558182">
          <w:marLeft w:val="0"/>
          <w:marRight w:val="0"/>
          <w:marTop w:val="0"/>
          <w:marBottom w:val="0"/>
          <w:divBdr>
            <w:top w:val="none" w:sz="0" w:space="0" w:color="auto"/>
            <w:left w:val="none" w:sz="0" w:space="0" w:color="auto"/>
            <w:bottom w:val="none" w:sz="0" w:space="0" w:color="auto"/>
            <w:right w:val="none" w:sz="0" w:space="0" w:color="auto"/>
          </w:divBdr>
          <w:divsChild>
            <w:div w:id="83453917">
              <w:marLeft w:val="0"/>
              <w:marRight w:val="0"/>
              <w:marTop w:val="0"/>
              <w:marBottom w:val="0"/>
              <w:divBdr>
                <w:top w:val="none" w:sz="0" w:space="0" w:color="auto"/>
                <w:left w:val="none" w:sz="0" w:space="0" w:color="auto"/>
                <w:bottom w:val="none" w:sz="0" w:space="0" w:color="auto"/>
                <w:right w:val="none" w:sz="0" w:space="0" w:color="auto"/>
              </w:divBdr>
            </w:div>
          </w:divsChild>
        </w:div>
        <w:div w:id="1145584307">
          <w:marLeft w:val="0"/>
          <w:marRight w:val="0"/>
          <w:marTop w:val="0"/>
          <w:marBottom w:val="0"/>
          <w:divBdr>
            <w:top w:val="none" w:sz="0" w:space="0" w:color="auto"/>
            <w:left w:val="none" w:sz="0" w:space="0" w:color="auto"/>
            <w:bottom w:val="none" w:sz="0" w:space="0" w:color="auto"/>
            <w:right w:val="none" w:sz="0" w:space="0" w:color="auto"/>
          </w:divBdr>
          <w:divsChild>
            <w:div w:id="603850761">
              <w:marLeft w:val="0"/>
              <w:marRight w:val="0"/>
              <w:marTop w:val="0"/>
              <w:marBottom w:val="0"/>
              <w:divBdr>
                <w:top w:val="none" w:sz="0" w:space="0" w:color="auto"/>
                <w:left w:val="none" w:sz="0" w:space="0" w:color="auto"/>
                <w:bottom w:val="none" w:sz="0" w:space="0" w:color="auto"/>
                <w:right w:val="none" w:sz="0" w:space="0" w:color="auto"/>
              </w:divBdr>
            </w:div>
          </w:divsChild>
        </w:div>
        <w:div w:id="1688211822">
          <w:marLeft w:val="0"/>
          <w:marRight w:val="0"/>
          <w:marTop w:val="0"/>
          <w:marBottom w:val="0"/>
          <w:divBdr>
            <w:top w:val="none" w:sz="0" w:space="0" w:color="auto"/>
            <w:left w:val="none" w:sz="0" w:space="0" w:color="auto"/>
            <w:bottom w:val="none" w:sz="0" w:space="0" w:color="auto"/>
            <w:right w:val="none" w:sz="0" w:space="0" w:color="auto"/>
          </w:divBdr>
          <w:divsChild>
            <w:div w:id="1951624783">
              <w:marLeft w:val="0"/>
              <w:marRight w:val="0"/>
              <w:marTop w:val="0"/>
              <w:marBottom w:val="0"/>
              <w:divBdr>
                <w:top w:val="none" w:sz="0" w:space="0" w:color="auto"/>
                <w:left w:val="none" w:sz="0" w:space="0" w:color="auto"/>
                <w:bottom w:val="none" w:sz="0" w:space="0" w:color="auto"/>
                <w:right w:val="none" w:sz="0" w:space="0" w:color="auto"/>
              </w:divBdr>
            </w:div>
          </w:divsChild>
        </w:div>
        <w:div w:id="1933397611">
          <w:marLeft w:val="0"/>
          <w:marRight w:val="0"/>
          <w:marTop w:val="0"/>
          <w:marBottom w:val="0"/>
          <w:divBdr>
            <w:top w:val="none" w:sz="0" w:space="0" w:color="auto"/>
            <w:left w:val="none" w:sz="0" w:space="0" w:color="auto"/>
            <w:bottom w:val="none" w:sz="0" w:space="0" w:color="auto"/>
            <w:right w:val="none" w:sz="0" w:space="0" w:color="auto"/>
          </w:divBdr>
          <w:divsChild>
            <w:div w:id="2035301163">
              <w:marLeft w:val="0"/>
              <w:marRight w:val="0"/>
              <w:marTop w:val="0"/>
              <w:marBottom w:val="0"/>
              <w:divBdr>
                <w:top w:val="none" w:sz="0" w:space="0" w:color="auto"/>
                <w:left w:val="none" w:sz="0" w:space="0" w:color="auto"/>
                <w:bottom w:val="none" w:sz="0" w:space="0" w:color="auto"/>
                <w:right w:val="none" w:sz="0" w:space="0" w:color="auto"/>
              </w:divBdr>
            </w:div>
          </w:divsChild>
        </w:div>
        <w:div w:id="1949194087">
          <w:marLeft w:val="0"/>
          <w:marRight w:val="0"/>
          <w:marTop w:val="0"/>
          <w:marBottom w:val="0"/>
          <w:divBdr>
            <w:top w:val="none" w:sz="0" w:space="0" w:color="auto"/>
            <w:left w:val="none" w:sz="0" w:space="0" w:color="auto"/>
            <w:bottom w:val="none" w:sz="0" w:space="0" w:color="auto"/>
            <w:right w:val="none" w:sz="0" w:space="0" w:color="auto"/>
          </w:divBdr>
          <w:divsChild>
            <w:div w:id="10434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8293">
      <w:bodyDiv w:val="1"/>
      <w:marLeft w:val="0"/>
      <w:marRight w:val="0"/>
      <w:marTop w:val="0"/>
      <w:marBottom w:val="0"/>
      <w:divBdr>
        <w:top w:val="none" w:sz="0" w:space="0" w:color="auto"/>
        <w:left w:val="none" w:sz="0" w:space="0" w:color="auto"/>
        <w:bottom w:val="none" w:sz="0" w:space="0" w:color="auto"/>
        <w:right w:val="none" w:sz="0" w:space="0" w:color="auto"/>
      </w:divBdr>
    </w:div>
    <w:div w:id="1066494563">
      <w:bodyDiv w:val="1"/>
      <w:marLeft w:val="0"/>
      <w:marRight w:val="0"/>
      <w:marTop w:val="0"/>
      <w:marBottom w:val="0"/>
      <w:divBdr>
        <w:top w:val="none" w:sz="0" w:space="0" w:color="auto"/>
        <w:left w:val="none" w:sz="0" w:space="0" w:color="auto"/>
        <w:bottom w:val="none" w:sz="0" w:space="0" w:color="auto"/>
        <w:right w:val="none" w:sz="0" w:space="0" w:color="auto"/>
      </w:divBdr>
    </w:div>
    <w:div w:id="1092820836">
      <w:bodyDiv w:val="1"/>
      <w:marLeft w:val="0"/>
      <w:marRight w:val="0"/>
      <w:marTop w:val="0"/>
      <w:marBottom w:val="0"/>
      <w:divBdr>
        <w:top w:val="none" w:sz="0" w:space="0" w:color="auto"/>
        <w:left w:val="none" w:sz="0" w:space="0" w:color="auto"/>
        <w:bottom w:val="none" w:sz="0" w:space="0" w:color="auto"/>
        <w:right w:val="none" w:sz="0" w:space="0" w:color="auto"/>
      </w:divBdr>
    </w:div>
    <w:div w:id="1138767995">
      <w:bodyDiv w:val="1"/>
      <w:marLeft w:val="0"/>
      <w:marRight w:val="0"/>
      <w:marTop w:val="0"/>
      <w:marBottom w:val="0"/>
      <w:divBdr>
        <w:top w:val="none" w:sz="0" w:space="0" w:color="auto"/>
        <w:left w:val="none" w:sz="0" w:space="0" w:color="auto"/>
        <w:bottom w:val="none" w:sz="0" w:space="0" w:color="auto"/>
        <w:right w:val="none" w:sz="0" w:space="0" w:color="auto"/>
      </w:divBdr>
    </w:div>
    <w:div w:id="1182357728">
      <w:bodyDiv w:val="1"/>
      <w:marLeft w:val="0"/>
      <w:marRight w:val="0"/>
      <w:marTop w:val="0"/>
      <w:marBottom w:val="0"/>
      <w:divBdr>
        <w:top w:val="none" w:sz="0" w:space="0" w:color="auto"/>
        <w:left w:val="none" w:sz="0" w:space="0" w:color="auto"/>
        <w:bottom w:val="none" w:sz="0" w:space="0" w:color="auto"/>
        <w:right w:val="none" w:sz="0" w:space="0" w:color="auto"/>
      </w:divBdr>
      <w:divsChild>
        <w:div w:id="843015377">
          <w:marLeft w:val="0"/>
          <w:marRight w:val="0"/>
          <w:marTop w:val="0"/>
          <w:marBottom w:val="0"/>
          <w:divBdr>
            <w:top w:val="none" w:sz="0" w:space="0" w:color="auto"/>
            <w:left w:val="none" w:sz="0" w:space="0" w:color="auto"/>
            <w:bottom w:val="none" w:sz="0" w:space="0" w:color="auto"/>
            <w:right w:val="none" w:sz="0" w:space="0" w:color="auto"/>
          </w:divBdr>
        </w:div>
        <w:div w:id="1413700260">
          <w:marLeft w:val="0"/>
          <w:marRight w:val="0"/>
          <w:marTop w:val="0"/>
          <w:marBottom w:val="0"/>
          <w:divBdr>
            <w:top w:val="none" w:sz="0" w:space="0" w:color="auto"/>
            <w:left w:val="none" w:sz="0" w:space="0" w:color="auto"/>
            <w:bottom w:val="none" w:sz="0" w:space="0" w:color="auto"/>
            <w:right w:val="none" w:sz="0" w:space="0" w:color="auto"/>
          </w:divBdr>
        </w:div>
        <w:div w:id="1793554045">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39653736">
      <w:bodyDiv w:val="1"/>
      <w:marLeft w:val="0"/>
      <w:marRight w:val="0"/>
      <w:marTop w:val="0"/>
      <w:marBottom w:val="0"/>
      <w:divBdr>
        <w:top w:val="none" w:sz="0" w:space="0" w:color="auto"/>
        <w:left w:val="none" w:sz="0" w:space="0" w:color="auto"/>
        <w:bottom w:val="none" w:sz="0" w:space="0" w:color="auto"/>
        <w:right w:val="none" w:sz="0" w:space="0" w:color="auto"/>
      </w:divBdr>
    </w:div>
    <w:div w:id="1357467822">
      <w:bodyDiv w:val="1"/>
      <w:marLeft w:val="0"/>
      <w:marRight w:val="0"/>
      <w:marTop w:val="0"/>
      <w:marBottom w:val="0"/>
      <w:divBdr>
        <w:top w:val="none" w:sz="0" w:space="0" w:color="auto"/>
        <w:left w:val="none" w:sz="0" w:space="0" w:color="auto"/>
        <w:bottom w:val="none" w:sz="0" w:space="0" w:color="auto"/>
        <w:right w:val="none" w:sz="0" w:space="0" w:color="auto"/>
      </w:divBdr>
      <w:divsChild>
        <w:div w:id="1249344089">
          <w:marLeft w:val="0"/>
          <w:marRight w:val="0"/>
          <w:marTop w:val="0"/>
          <w:marBottom w:val="0"/>
          <w:divBdr>
            <w:top w:val="none" w:sz="0" w:space="0" w:color="auto"/>
            <w:left w:val="none" w:sz="0" w:space="0" w:color="auto"/>
            <w:bottom w:val="none" w:sz="0" w:space="0" w:color="auto"/>
            <w:right w:val="none" w:sz="0" w:space="0" w:color="auto"/>
          </w:divBdr>
        </w:div>
        <w:div w:id="1423211962">
          <w:marLeft w:val="0"/>
          <w:marRight w:val="0"/>
          <w:marTop w:val="0"/>
          <w:marBottom w:val="0"/>
          <w:divBdr>
            <w:top w:val="none" w:sz="0" w:space="0" w:color="auto"/>
            <w:left w:val="none" w:sz="0" w:space="0" w:color="auto"/>
            <w:bottom w:val="none" w:sz="0" w:space="0" w:color="auto"/>
            <w:right w:val="none" w:sz="0" w:space="0" w:color="auto"/>
          </w:divBdr>
        </w:div>
        <w:div w:id="2098359416">
          <w:marLeft w:val="0"/>
          <w:marRight w:val="0"/>
          <w:marTop w:val="0"/>
          <w:marBottom w:val="0"/>
          <w:divBdr>
            <w:top w:val="none" w:sz="0" w:space="0" w:color="auto"/>
            <w:left w:val="none" w:sz="0" w:space="0" w:color="auto"/>
            <w:bottom w:val="none" w:sz="0" w:space="0" w:color="auto"/>
            <w:right w:val="none" w:sz="0" w:space="0" w:color="auto"/>
          </w:divBdr>
        </w:div>
      </w:divsChild>
    </w:div>
    <w:div w:id="1358852555">
      <w:bodyDiv w:val="1"/>
      <w:marLeft w:val="0"/>
      <w:marRight w:val="0"/>
      <w:marTop w:val="0"/>
      <w:marBottom w:val="0"/>
      <w:divBdr>
        <w:top w:val="none" w:sz="0" w:space="0" w:color="auto"/>
        <w:left w:val="none" w:sz="0" w:space="0" w:color="auto"/>
        <w:bottom w:val="none" w:sz="0" w:space="0" w:color="auto"/>
        <w:right w:val="none" w:sz="0" w:space="0" w:color="auto"/>
      </w:divBdr>
    </w:div>
    <w:div w:id="1493640280">
      <w:bodyDiv w:val="1"/>
      <w:marLeft w:val="0"/>
      <w:marRight w:val="0"/>
      <w:marTop w:val="0"/>
      <w:marBottom w:val="0"/>
      <w:divBdr>
        <w:top w:val="none" w:sz="0" w:space="0" w:color="auto"/>
        <w:left w:val="none" w:sz="0" w:space="0" w:color="auto"/>
        <w:bottom w:val="none" w:sz="0" w:space="0" w:color="auto"/>
        <w:right w:val="none" w:sz="0" w:space="0" w:color="auto"/>
      </w:divBdr>
    </w:div>
    <w:div w:id="1605306657">
      <w:bodyDiv w:val="1"/>
      <w:marLeft w:val="0"/>
      <w:marRight w:val="0"/>
      <w:marTop w:val="0"/>
      <w:marBottom w:val="0"/>
      <w:divBdr>
        <w:top w:val="none" w:sz="0" w:space="0" w:color="auto"/>
        <w:left w:val="none" w:sz="0" w:space="0" w:color="auto"/>
        <w:bottom w:val="none" w:sz="0" w:space="0" w:color="auto"/>
        <w:right w:val="none" w:sz="0" w:space="0" w:color="auto"/>
      </w:divBdr>
    </w:div>
    <w:div w:id="1658804971">
      <w:bodyDiv w:val="1"/>
      <w:marLeft w:val="0"/>
      <w:marRight w:val="0"/>
      <w:marTop w:val="0"/>
      <w:marBottom w:val="0"/>
      <w:divBdr>
        <w:top w:val="none" w:sz="0" w:space="0" w:color="auto"/>
        <w:left w:val="none" w:sz="0" w:space="0" w:color="auto"/>
        <w:bottom w:val="none" w:sz="0" w:space="0" w:color="auto"/>
        <w:right w:val="none" w:sz="0" w:space="0" w:color="auto"/>
      </w:divBdr>
    </w:div>
    <w:div w:id="1806971994">
      <w:bodyDiv w:val="1"/>
      <w:marLeft w:val="0"/>
      <w:marRight w:val="0"/>
      <w:marTop w:val="0"/>
      <w:marBottom w:val="0"/>
      <w:divBdr>
        <w:top w:val="none" w:sz="0" w:space="0" w:color="auto"/>
        <w:left w:val="none" w:sz="0" w:space="0" w:color="auto"/>
        <w:bottom w:val="none" w:sz="0" w:space="0" w:color="auto"/>
        <w:right w:val="none" w:sz="0" w:space="0" w:color="auto"/>
      </w:divBdr>
    </w:div>
    <w:div w:id="200149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capacity-in-the-registered-supporter-context-policy?language=en" TargetMode="External"/><Relationship Id="rId18" Type="http://schemas.openxmlformats.org/officeDocument/2006/relationships/hyperlink" Target="https://opan.org.au/education/training-for-aged-care-professionals/" TargetMode="External"/><Relationship Id="rId26" Type="http://schemas.openxmlformats.org/officeDocument/2006/relationships/hyperlink" Target="http://www.1800respect.org.au/" TargetMode="External"/><Relationship Id="rId39" Type="http://schemas.openxmlformats.org/officeDocument/2006/relationships/header" Target="header3.xml"/><Relationship Id="rId21" Type="http://schemas.openxmlformats.org/officeDocument/2006/relationships/hyperlink" Target="https://www.health.gov.au/our-work/aged-care-act/about/registered-supporters" TargetMode="External"/><Relationship Id="rId34" Type="http://schemas.openxmlformats.org/officeDocument/2006/relationships/hyperlink" Target="https://www.legislation.gov.au/C2010A00123/asmade/tex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isabilitygateway.gov.au/sdmhub" TargetMode="External"/><Relationship Id="rId20" Type="http://schemas.openxmlformats.org/officeDocument/2006/relationships/hyperlink" Target="https://www.health.gov.au/topics/aged-care/providing-aged-care-services/training-and-guidance/restrictive-practices-in-aged-care-a-last-resort" TargetMode="External"/><Relationship Id="rId29" Type="http://schemas.openxmlformats.org/officeDocument/2006/relationships/hyperlink" Target="mailto:SupportedDecisionMaking@Health.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yperlink" Target="http://www.opan.org.au/" TargetMode="External"/><Relationship Id="rId32" Type="http://schemas.openxmlformats.org/officeDocument/2006/relationships/hyperlink" Target="https://www.legislation.gov.au/F2025L01173/asmade/tex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dpc.sydney.edu.au/research/planning-decision-making-and-risk/supported-decision-making/" TargetMode="External"/><Relationship Id="rId23" Type="http://schemas.openxmlformats.org/officeDocument/2006/relationships/hyperlink" Target="https://www.agedcarequality.gov.au/providers/serious-incident-response-scheme" TargetMode="External"/><Relationship Id="rId28" Type="http://schemas.openxmlformats.org/officeDocument/2006/relationships/hyperlink" Target="https://www.health.gov.au/resources/publications/a-new-registered-supporter-role-for-aged-care-arrangements-for-the-transition-to-the-new-aged-care-act-2024"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gov.au/resources/apps-and-tools/my-aged-care-service-and-support-portal" TargetMode="External"/><Relationship Id="rId31" Type="http://schemas.openxmlformats.org/officeDocument/2006/relationships/hyperlink" Target="https://www.legislation.gov.au/C2024A00104/asmade/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an.org.au/toolkit/supported-decision-making/" TargetMode="External"/><Relationship Id="rId22" Type="http://schemas.openxmlformats.org/officeDocument/2006/relationships/hyperlink" Target="https://www.agedcarequality.gov.au/contact-us/complaints-concerns" TargetMode="External"/><Relationship Id="rId27" Type="http://schemas.openxmlformats.org/officeDocument/2006/relationships/hyperlink" Target="http://www.health.gov.au/our-work/aged-care-act/about/registered-supporters-in-aged-care/transition-arrangements-for-the-new-registered-supporter-role" TargetMode="External"/><Relationship Id="rId30" Type="http://schemas.openxmlformats.org/officeDocument/2006/relationships/hyperlink" Target="https://www.health.gov.au/resources/publications/registered-supporters-glossary"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gedcarequality.gov.au/providers/quality-standards" TargetMode="External"/><Relationship Id="rId17" Type="http://schemas.openxmlformats.org/officeDocument/2006/relationships/hyperlink" Target="https://www.health.gov.au/our-work/aged-care-act/prepare/elearning" TargetMode="External"/><Relationship Id="rId25" Type="http://schemas.openxmlformats.org/officeDocument/2006/relationships/hyperlink" Target="http://www.compass.info/" TargetMode="External"/><Relationship Id="rId33" Type="http://schemas.openxmlformats.org/officeDocument/2006/relationships/hyperlink" Target="https://www.legislation.gov.au/C2024A00109/asmade/text" TargetMode="External"/><Relationship Id="rId38"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47f30-70a8-4313-9080-ccf1788985a5">
      <Terms xmlns="http://schemas.microsoft.com/office/infopath/2007/PartnerControls"/>
    </lcf76f155ced4ddcb4097134ff3c332f>
    <TaxCatchAll xmlns="2b6181d4-7cf9-496b-b22a-894d70b9326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F325-0EBE-4B09-BE2F-301C8361F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D2F2B-7558-422E-BA55-231EA87F7E96}">
  <ds:schemaRefs>
    <ds:schemaRef ds:uri="http://schemas.microsoft.com/sharepoint/v3/contenttype/forms"/>
  </ds:schemaRefs>
</ds:datastoreItem>
</file>

<file path=customXml/itemProps3.xml><?xml version="1.0" encoding="utf-8"?>
<ds:datastoreItem xmlns:ds="http://schemas.openxmlformats.org/officeDocument/2006/customXml" ds:itemID="{DF738B2F-30F4-4FD3-B0F0-A076305C3231}">
  <ds:schemaRefs>
    <ds:schemaRef ds:uri="http://schemas.microsoft.com/office/2006/documentManagement/types"/>
    <ds:schemaRef ds:uri="http://purl.org/dc/dcmitype/"/>
    <ds:schemaRef ds:uri="http://schemas.microsoft.com/office/2006/metadata/properties"/>
    <ds:schemaRef ds:uri="2b6181d4-7cf9-496b-b22a-894d70b9326b"/>
    <ds:schemaRef ds:uri="http://purl.org/dc/elements/1.1/"/>
    <ds:schemaRef ds:uri="http://purl.org/dc/terms/"/>
    <ds:schemaRef ds:uri="bb747f30-70a8-4313-9080-ccf1788985a5"/>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0563E0A-1727-46C2-ACC5-E1DAA2C9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7089</Words>
  <Characters>44127</Characters>
  <DocSecurity>0</DocSecurity>
  <Lines>787</Lines>
  <Paragraphs>379</Paragraphs>
  <ScaleCrop>false</ScaleCrop>
  <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Providers policy</dc:title>
  <dc:subject>Registered supporters policy for aged care providers</dc:subject>
  <dc:creator>Australian Government Department of Health, Disability and Ageing</dc:creator>
  <cp:keywords>Aged Care Providers policy; Registered supporters</cp:keywords>
  <dcterms:created xsi:type="dcterms:W3CDTF">2026-04-15T03:01:00Z</dcterms:created>
  <dcterms:modified xsi:type="dcterms:W3CDTF">2026-04-21T00:58:00Z</dcterms:modified>
  <cp:category>Aged Care Providers policy;Registered Supporters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5961d800,449cd64f,51c7b031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fb6c82d,3ee14c33,2f6aac3d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2025-09-09T07:27:54Z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32b85f8a-5679-4403-8c6f-e8b8986316ee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0x010100D0EE0B391D3C3C4E8449860DA79CEFF2</vt:lpwstr>
  </property>
  <property fmtid="{D5CDD505-2E9C-101B-9397-08002B2CF9AE}" pid="20" name="p76df81b8fed4a2fa2af18761f9ff90d">
    <vt:lpwstr>Factsheet|e6399178-8246-423e-9818-2fbb787c959a; visual identity|a54ebda2-a0fd-45ec-8fc0-1cf31001b526</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cb2019c76ecc464c80d551fda75bd74e">
    <vt:lpwstr>PCPD CC Corporate Communication SN|73cff0d0-7b20-43e0-ad96-75a3b55de641</vt:lpwstr>
  </property>
  <property fmtid="{D5CDD505-2E9C-101B-9397-08002B2CF9AE}" pid="25" name="Last reviewed">
    <vt:filetime>2023-05-10T14:00:00Z</vt:filetime>
  </property>
  <property fmtid="{D5CDD505-2E9C-101B-9397-08002B2CF9AE}" pid="26" name="Keywords1">
    <vt:lpwstr>45;#Factsheet|e6399178-8246-423e-9818-2fbb787c959a;#4;# visual identity|a54ebda2-a0fd-45ec-8fc0-1cf31001b526</vt:lpwstr>
  </property>
  <property fmtid="{D5CDD505-2E9C-101B-9397-08002B2CF9AE}" pid="27" name="Contact">
    <vt:lpwstr>89;#designteam@health.gov.au|08e901f7-7c65-407e-b680-5c7872e4b1fa</vt:lpwstr>
  </property>
  <property fmtid="{D5CDD505-2E9C-101B-9397-08002B2CF9AE}" pid="28" name="jf042baad2b143719d8a0cfd36411dfb">
    <vt:lpwstr>designteam@health.gov.au|08e901f7-7c65-407e-b680-5c7872e4b1fa</vt:lpwstr>
  </property>
  <property fmtid="{D5CDD505-2E9C-101B-9397-08002B2CF9AE}" pid="29" name="Information type">
    <vt:lpwstr>42;#Template|0635ea83-9a41-497c-9b11-d9d7178dcab7</vt:lpwstr>
  </property>
  <property fmtid="{D5CDD505-2E9C-101B-9397-08002B2CF9AE}" pid="30" name="Int-Topics">
    <vt:lpwstr>45;#Factsheet|e6399178-8246-423e-9818-2fbb787c959a;#4;#visual identity|a54ebda2-a0fd-45ec-8fc0-1cf31001b526</vt:lpwstr>
  </property>
  <property fmtid="{D5CDD505-2E9C-101B-9397-08002B2CF9AE}" pid="31" name="File Structure">
    <vt:lpwstr>169;#Style Guide|aa9bcad4-d3b7-4fe1-b475-a8e6573a6ad1</vt:lpwstr>
  </property>
  <property fmtid="{D5CDD505-2E9C-101B-9397-08002B2CF9AE}" pid="32" name="SharedWithUsers">
    <vt:lpwstr>756;#WHITTY, Cam</vt:lpwstr>
  </property>
  <property fmtid="{D5CDD505-2E9C-101B-9397-08002B2CF9AE}" pid="33" name="_dlc_DocIdItemGuid">
    <vt:lpwstr>90f09fd1-754c-4bca-b3c5-1cd93aee0089</vt:lpwstr>
  </property>
  <property fmtid="{D5CDD505-2E9C-101B-9397-08002B2CF9AE}" pid="34" name="pfd27f99efda4409b63228bea026394d">
    <vt:lpwstr>Template|0635ea83-9a41-497c-9b11-d9d7178dcab7</vt:lpwstr>
  </property>
</Properties>
</file>