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430BBF" w14:textId="77777777" w:rsidR="00A602D4" w:rsidRDefault="00B85FC0" w:rsidP="005D4A3F">
      <w:pPr>
        <w:pStyle w:val="Title"/>
        <w:rPr>
          <w:color w:val="002060"/>
        </w:rPr>
        <w:sectPr w:rsidR="00A602D4" w:rsidSect="00094035">
          <w:headerReference w:type="even" r:id="rId11"/>
          <w:headerReference w:type="default" r:id="rId12"/>
          <w:footerReference w:type="even" r:id="rId13"/>
          <w:footerReference w:type="default" r:id="rId14"/>
          <w:headerReference w:type="first" r:id="rId15"/>
          <w:footerReference w:type="first" r:id="rId16"/>
          <w:type w:val="continuous"/>
          <w:pgSz w:w="11906" w:h="16838"/>
          <w:pgMar w:top="8505" w:right="1418" w:bottom="1418" w:left="1418" w:header="850" w:footer="709" w:gutter="0"/>
          <w:cols w:space="708"/>
          <w:titlePg/>
          <w:docGrid w:linePitch="360"/>
        </w:sectPr>
      </w:pPr>
      <w:r>
        <w:rPr>
          <w:color w:val="002060"/>
        </w:rPr>
        <w:t>Support at Home</w:t>
      </w:r>
      <w:r w:rsidR="00A602D4">
        <w:rPr>
          <w:color w:val="002060"/>
        </w:rPr>
        <w:t xml:space="preserve"> </w:t>
      </w:r>
      <w:r>
        <w:rPr>
          <w:color w:val="002060"/>
        </w:rPr>
        <w:t>program assurance framework</w:t>
      </w:r>
    </w:p>
    <w:p w14:paraId="31A49AE6" w14:textId="77777777" w:rsidR="00106C19" w:rsidRDefault="00106C19" w:rsidP="00106C19">
      <w:pPr>
        <w:sectPr w:rsidR="00106C19" w:rsidSect="000A4C3C">
          <w:headerReference w:type="even" r:id="rId17"/>
          <w:headerReference w:type="default" r:id="rId18"/>
          <w:footerReference w:type="even" r:id="rId19"/>
          <w:type w:val="continuous"/>
          <w:pgSz w:w="11906" w:h="16838"/>
          <w:pgMar w:top="1701" w:right="1418" w:bottom="1418" w:left="1418" w:header="709" w:footer="341" w:gutter="0"/>
          <w:cols w:space="708"/>
          <w:docGrid w:linePitch="360"/>
        </w:sectPr>
      </w:pPr>
    </w:p>
    <w:p w14:paraId="71D37275" w14:textId="7B091AEB" w:rsidR="006C4E9C" w:rsidRDefault="00106C19" w:rsidP="00106C19">
      <w:r>
        <w:rPr>
          <w:noProof/>
        </w:rPr>
        <w:lastRenderedPageBreak/>
        <mc:AlternateContent>
          <mc:Choice Requires="wps">
            <w:drawing>
              <wp:anchor distT="0" distB="0" distL="0" distR="0" simplePos="0" relativeHeight="251689472" behindDoc="1" locked="0" layoutInCell="1" allowOverlap="1" wp14:anchorId="275AB530" wp14:editId="79B01F64">
                <wp:simplePos x="0" y="0"/>
                <wp:positionH relativeFrom="page">
                  <wp:align>left</wp:align>
                </wp:positionH>
                <wp:positionV relativeFrom="page">
                  <wp:posOffset>-253365</wp:posOffset>
                </wp:positionV>
                <wp:extent cx="7718612" cy="10771094"/>
                <wp:effectExtent l="0" t="0" r="0" b="0"/>
                <wp:wrapNone/>
                <wp:docPr id="29" name="Graphic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18612" cy="10771094"/>
                        </a:xfrm>
                        <a:custGeom>
                          <a:avLst/>
                          <a:gdLst/>
                          <a:ahLst/>
                          <a:cxnLst/>
                          <a:rect l="l" t="t" r="r" b="b"/>
                          <a:pathLst>
                            <a:path w="7560309" h="10692130">
                              <a:moveTo>
                                <a:pt x="7559992" y="0"/>
                              </a:moveTo>
                              <a:lnTo>
                                <a:pt x="0" y="0"/>
                              </a:lnTo>
                              <a:lnTo>
                                <a:pt x="0" y="10692003"/>
                              </a:lnTo>
                              <a:lnTo>
                                <a:pt x="7559992" y="10692003"/>
                              </a:lnTo>
                              <a:lnTo>
                                <a:pt x="7559992" y="0"/>
                              </a:lnTo>
                              <a:close/>
                            </a:path>
                          </a:pathLst>
                        </a:custGeom>
                        <a:solidFill>
                          <a:srgbClr val="015098"/>
                        </a:solidFill>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FA6B72" id="Graphic 29" o:spid="_x0000_s1026" alt="&quot;&quot;" style="position:absolute;margin-left:0;margin-top:-19.95pt;width:607.75pt;height:848.1pt;z-index:-251627008;visibility:visible;mso-wrap-style:square;mso-width-percent:0;mso-height-percent:0;mso-wrap-distance-left:0;mso-wrap-distance-top:0;mso-wrap-distance-right:0;mso-wrap-distance-bottom:0;mso-position-horizontal:left;mso-position-horizontal-relative:page;mso-position-vertical:absolute;mso-position-vertical-relative:page;mso-width-percent:0;mso-height-percent:0;mso-width-relative:margin;mso-height-relative:margin;v-text-anchor:top" coordsize="7560309,10692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" path="m7559992,l,,,10692003r7559992,l7559992,xe" fillcolor="#015098" stroked="f">
                <v:path arrowok="t"/>
                <w10:wrap anchorx="page" anchory="page"/>
              </v:shape>
            </w:pict>
          </mc:Fallback>
        </mc:AlternateContent>
      </w:r>
    </w:p>
    <w:p w14:paraId="664EE08B" w14:textId="77777777" w:rsidR="00106C19" w:rsidRDefault="00106C19" w:rsidP="00106C19">
      <w:pPr>
        <w:sectPr w:rsidR="00106C19" w:rsidSect="00106C19">
          <w:pgSz w:w="11906" w:h="16838"/>
          <w:pgMar w:top="1701" w:right="1418" w:bottom="1418" w:left="1418" w:header="709" w:footer="341" w:gutter="0"/>
          <w:cols w:space="708"/>
          <w:docGrid w:linePitch="360"/>
        </w:sectPr>
      </w:pPr>
    </w:p>
    <w:p w14:paraId="139BD35A" w14:textId="19A83997" w:rsidR="00B85FC0" w:rsidRPr="008D2E30" w:rsidRDefault="00B85FC0" w:rsidP="005A49D1">
      <w:pPr>
        <w:pStyle w:val="Heading1"/>
      </w:pPr>
      <w:bookmarkStart w:id="0" w:name="_Toc210125800"/>
      <w:bookmarkStart w:id="1" w:name="_Toc210388279"/>
      <w:bookmarkStart w:id="2" w:name="_Toc160007825"/>
      <w:bookmarkStart w:id="3" w:name="_Toc160533906"/>
      <w:bookmarkStart w:id="4" w:name="_Toc120543880"/>
      <w:bookmarkStart w:id="5" w:name="_Toc120544943"/>
      <w:bookmarkStart w:id="6" w:name="_Toc223509368"/>
      <w:r w:rsidRPr="008D2E30">
        <w:t>Disclaimer</w:t>
      </w:r>
      <w:bookmarkEnd w:id="0"/>
      <w:bookmarkEnd w:id="1"/>
      <w:bookmarkEnd w:id="6"/>
    </w:p>
    <w:p w14:paraId="5C07E927" w14:textId="77777777" w:rsidR="00B85FC0" w:rsidRPr="00D3319C" w:rsidRDefault="00B85FC0" w:rsidP="008D2E30">
      <w:r w:rsidRPr="00D3319C">
        <w:t>The Department of Health, Disability and Ageing has exercised due care and skill in preparing and compiling the information and data in this publication. Notwithstanding, the Department of Health, Disability and Ageing, its employees and advisers disclaim all liability, including liability for negligence and for any loss, damage, injury, expense or cost incurred by any person as a result of accessing, using or relying on any of the information or data in this publication to the maximum extent permitted by law.</w:t>
      </w:r>
    </w:p>
    <w:p w14:paraId="29AF402E" w14:textId="728B9F3B" w:rsidR="00B85FC0" w:rsidRPr="00D3319C" w:rsidRDefault="00B85FC0" w:rsidP="008D2E30">
      <w:r w:rsidRPr="00D3319C">
        <w:t>It is the Support at Home registered provider’s (provider’s) responsibility to understand and meet their obligations as they relate to all applicable legislation when delivering funded aged care services. Providers should consider obtaining their own legal or professional advice relevant to their circumstances, especially in relation to requirements and obligations for delivering funded aged care services that may be new or different under the new Act and related rules.</w:t>
      </w:r>
    </w:p>
    <w:p w14:paraId="6FBF4A79" w14:textId="55320EB0" w:rsidR="006B334A" w:rsidRDefault="00B85FC0" w:rsidP="0069349F">
      <w:r w:rsidRPr="00D3319C">
        <w:t xml:space="preserve">Providers are responsible for complying with all relevant legislation when delivering funded aged </w:t>
      </w:r>
      <w:r>
        <w:t>c</w:t>
      </w:r>
      <w:r w:rsidRPr="00D3319C">
        <w:t>are services. In addition to legislation referred to in this Guide, other Australian Government portfolios and state and territory jurisdictions may have separate legislation relevant to providers’ operations as a registered provider.</w:t>
      </w:r>
    </w:p>
    <w:p w14:paraId="6FBB29C4" w14:textId="77777777" w:rsidR="006B334A" w:rsidRDefault="006B334A" w:rsidP="0069349F">
      <w:pPr>
        <w:sectPr w:rsidR="006B334A" w:rsidSect="00106C19">
          <w:pgSz w:w="11906" w:h="16838"/>
          <w:pgMar w:top="1701" w:right="1418" w:bottom="1418" w:left="1418" w:header="709" w:footer="341" w:gutter="0"/>
          <w:cols w:space="708"/>
          <w:docGrid w:linePitch="360"/>
        </w:sectPr>
      </w:pPr>
    </w:p>
    <w:p w14:paraId="642391C9" w14:textId="6BF748F9" w:rsidR="006B334A" w:rsidRDefault="006B334A" w:rsidP="006B334A">
      <w:pPr>
        <w:pStyle w:val="Heading1"/>
      </w:pPr>
      <w:bookmarkStart w:id="7" w:name="_Toc210226423"/>
      <w:bookmarkStart w:id="8" w:name="_Toc223509369"/>
      <w:r w:rsidRPr="00C52A37">
        <w:t xml:space="preserve">Acknowledgement of </w:t>
      </w:r>
      <w:r>
        <w:t>C</w:t>
      </w:r>
      <w:r w:rsidRPr="00C52A37">
        <w:t>ountry</w:t>
      </w:r>
      <w:bookmarkEnd w:id="7"/>
      <w:bookmarkEnd w:id="8"/>
    </w:p>
    <w:p w14:paraId="439CC16F" w14:textId="77777777" w:rsidR="006B334A" w:rsidRDefault="006B334A" w:rsidP="006B334A">
      <w:r w:rsidRPr="00C52A37">
        <w:t xml:space="preserve">We, the Department of Health, Disability and Ageing, proudly acknowledge the Traditional Owners and Custodians of Country throughout Australia, and pay respect to those who have preserved and continue to care for the lands and waters on which we live and, work, and from which we benefit each day. We recognise the strengths and knowledge Aboriginal and Torres Strait Islander peoples provide to the </w:t>
      </w:r>
      <w:proofErr w:type="spellStart"/>
      <w:r w:rsidRPr="00C52A37">
        <w:t>health,</w:t>
      </w:r>
      <w:proofErr w:type="spellEnd"/>
      <w:r w:rsidRPr="00C52A37">
        <w:t xml:space="preserve"> disability and aged care system and thank them for their ongoing contributions to those systems and the wider community. We extend this gratitude to all </w:t>
      </w:r>
      <w:proofErr w:type="spellStart"/>
      <w:r w:rsidRPr="00C52A37">
        <w:t>health,</w:t>
      </w:r>
      <w:proofErr w:type="spellEnd"/>
      <w:r w:rsidRPr="00C52A37">
        <w:t xml:space="preserve"> disability and aged care workers who contribute to improving health and wellbeing outcomes with, and for, First Nations peoples and communities.</w:t>
      </w:r>
    </w:p>
    <w:p w14:paraId="260176D2" w14:textId="77777777" w:rsidR="00B85FC0" w:rsidRPr="005A49D1" w:rsidRDefault="00B85FC0" w:rsidP="005A49D1">
      <w:pPr>
        <w:sectPr w:rsidR="00B85FC0" w:rsidRPr="005A49D1" w:rsidSect="006B334A">
          <w:pgSz w:w="11906" w:h="16838"/>
          <w:pgMar w:top="1701" w:right="1418" w:bottom="1418" w:left="1418" w:header="709" w:footer="341" w:gutter="0"/>
          <w:cols w:space="708"/>
          <w:docGrid w:linePitch="360"/>
        </w:sectPr>
      </w:pPr>
    </w:p>
    <w:sdt>
      <w:sdtPr>
        <w:rPr>
          <w:rFonts w:eastAsia="Times New Roman" w:cs="Times New Roman"/>
          <w:b w:val="0"/>
          <w:color w:val="000000" w:themeColor="text1"/>
          <w:sz w:val="24"/>
          <w:szCs w:val="24"/>
          <w:lang w:val="en-AU"/>
        </w:rPr>
        <w:id w:val="453453596"/>
        <w:docPartObj>
          <w:docPartGallery w:val="Table of Contents"/>
          <w:docPartUnique/>
        </w:docPartObj>
      </w:sdtPr>
      <w:sdtEndPr>
        <w:rPr>
          <w:noProof/>
        </w:rPr>
      </w:sdtEndPr>
      <w:sdtContent>
        <w:p w14:paraId="54E9CA7C" w14:textId="61301ADF" w:rsidR="00AC3699" w:rsidRPr="00713B50" w:rsidRDefault="00AC3699">
          <w:pPr>
            <w:pStyle w:val="TOCHeading"/>
            <w:rPr>
              <w:rFonts w:cs="Arial"/>
              <w:sz w:val="24"/>
              <w:szCs w:val="24"/>
            </w:rPr>
          </w:pPr>
          <w:r w:rsidRPr="00713B50">
            <w:rPr>
              <w:rFonts w:cs="Arial"/>
              <w:sz w:val="24"/>
              <w:szCs w:val="24"/>
            </w:rPr>
            <w:t>Contents</w:t>
          </w:r>
        </w:p>
        <w:p w14:paraId="0EF96502" w14:textId="1A88B94C" w:rsidR="004A1E4C" w:rsidRDefault="00AC3699">
          <w:pPr>
            <w:pStyle w:val="TOC1"/>
            <w:tabs>
              <w:tab w:val="right" w:leader="dot" w:pos="9060"/>
            </w:tabs>
            <w:rPr>
              <w:rFonts w:asciiTheme="minorHAnsi" w:eastAsiaTheme="minorEastAsia" w:hAnsiTheme="minorHAnsi" w:cstheme="minorBidi"/>
              <w:b w:val="0"/>
              <w:iCs w:val="0"/>
              <w:noProof/>
              <w:color w:val="auto"/>
              <w:kern w:val="2"/>
              <w:szCs w:val="24"/>
              <w:lang w:eastAsia="ja-JP"/>
              <w14:ligatures w14:val="standardContextual"/>
            </w:rPr>
          </w:pPr>
          <w:r w:rsidRPr="00713B50">
            <w:rPr>
              <w:rFonts w:cs="Arial"/>
              <w:b w:val="0"/>
              <w:i/>
              <w:iCs w:val="0"/>
              <w:szCs w:val="24"/>
            </w:rPr>
            <w:fldChar w:fldCharType="begin"/>
          </w:r>
          <w:r w:rsidRPr="00713B50">
            <w:rPr>
              <w:rFonts w:cs="Arial"/>
              <w:iCs w:val="0"/>
              <w:szCs w:val="24"/>
            </w:rPr>
            <w:instrText xml:space="preserve"> TOC \o "1-3" \h \z \u </w:instrText>
          </w:r>
          <w:r w:rsidRPr="00713B50">
            <w:rPr>
              <w:rFonts w:cs="Arial"/>
              <w:b w:val="0"/>
              <w:i/>
              <w:iCs w:val="0"/>
              <w:szCs w:val="24"/>
            </w:rPr>
            <w:fldChar w:fldCharType="separate"/>
          </w:r>
          <w:hyperlink w:anchor="_Toc223509368" w:history="1">
            <w:r w:rsidR="004A1E4C" w:rsidRPr="00034A0E">
              <w:rPr>
                <w:rStyle w:val="Hyperlink"/>
                <w:noProof/>
              </w:rPr>
              <w:t>Disclaimer</w:t>
            </w:r>
            <w:r w:rsidR="004A1E4C">
              <w:rPr>
                <w:noProof/>
                <w:webHidden/>
              </w:rPr>
              <w:tab/>
            </w:r>
            <w:r w:rsidR="004A1E4C">
              <w:rPr>
                <w:noProof/>
                <w:webHidden/>
              </w:rPr>
              <w:fldChar w:fldCharType="begin"/>
            </w:r>
            <w:r w:rsidR="004A1E4C">
              <w:rPr>
                <w:noProof/>
                <w:webHidden/>
              </w:rPr>
              <w:instrText xml:space="preserve"> PAGEREF _Toc223509368 \h </w:instrText>
            </w:r>
            <w:r w:rsidR="004A1E4C">
              <w:rPr>
                <w:noProof/>
                <w:webHidden/>
              </w:rPr>
            </w:r>
            <w:r w:rsidR="004A1E4C">
              <w:rPr>
                <w:noProof/>
                <w:webHidden/>
              </w:rPr>
              <w:fldChar w:fldCharType="separate"/>
            </w:r>
            <w:r w:rsidR="004A1E4C">
              <w:rPr>
                <w:noProof/>
                <w:webHidden/>
              </w:rPr>
              <w:t>3</w:t>
            </w:r>
            <w:r w:rsidR="004A1E4C">
              <w:rPr>
                <w:noProof/>
                <w:webHidden/>
              </w:rPr>
              <w:fldChar w:fldCharType="end"/>
            </w:r>
          </w:hyperlink>
        </w:p>
        <w:p w14:paraId="10A4BC98" w14:textId="554AE117" w:rsidR="004A1E4C" w:rsidRDefault="004A1E4C">
          <w:pPr>
            <w:pStyle w:val="TOC1"/>
            <w:tabs>
              <w:tab w:val="right" w:leader="dot" w:pos="9060"/>
            </w:tabs>
            <w:rPr>
              <w:rFonts w:asciiTheme="minorHAnsi" w:eastAsiaTheme="minorEastAsia" w:hAnsiTheme="minorHAnsi" w:cstheme="minorBidi"/>
              <w:b w:val="0"/>
              <w:iCs w:val="0"/>
              <w:noProof/>
              <w:color w:val="auto"/>
              <w:kern w:val="2"/>
              <w:szCs w:val="24"/>
              <w:lang w:eastAsia="ja-JP"/>
              <w14:ligatures w14:val="standardContextual"/>
            </w:rPr>
          </w:pPr>
          <w:hyperlink w:anchor="_Toc223509369" w:history="1">
            <w:r w:rsidRPr="00034A0E">
              <w:rPr>
                <w:rStyle w:val="Hyperlink"/>
                <w:noProof/>
              </w:rPr>
              <w:t>Acknowledgement of Country</w:t>
            </w:r>
            <w:r>
              <w:rPr>
                <w:noProof/>
                <w:webHidden/>
              </w:rPr>
              <w:tab/>
            </w:r>
            <w:r>
              <w:rPr>
                <w:noProof/>
                <w:webHidden/>
              </w:rPr>
              <w:fldChar w:fldCharType="begin"/>
            </w:r>
            <w:r>
              <w:rPr>
                <w:noProof/>
                <w:webHidden/>
              </w:rPr>
              <w:instrText xml:space="preserve"> PAGEREF _Toc223509369 \h </w:instrText>
            </w:r>
            <w:r>
              <w:rPr>
                <w:noProof/>
                <w:webHidden/>
              </w:rPr>
            </w:r>
            <w:r>
              <w:rPr>
                <w:noProof/>
                <w:webHidden/>
              </w:rPr>
              <w:fldChar w:fldCharType="separate"/>
            </w:r>
            <w:r>
              <w:rPr>
                <w:noProof/>
                <w:webHidden/>
              </w:rPr>
              <w:t>4</w:t>
            </w:r>
            <w:r>
              <w:rPr>
                <w:noProof/>
                <w:webHidden/>
              </w:rPr>
              <w:fldChar w:fldCharType="end"/>
            </w:r>
          </w:hyperlink>
        </w:p>
        <w:p w14:paraId="1AE3D5E8" w14:textId="7D826E8D" w:rsidR="004A1E4C" w:rsidRDefault="004A1E4C">
          <w:pPr>
            <w:pStyle w:val="TOC1"/>
            <w:tabs>
              <w:tab w:val="right" w:leader="dot" w:pos="9060"/>
            </w:tabs>
            <w:rPr>
              <w:rFonts w:asciiTheme="minorHAnsi" w:eastAsiaTheme="minorEastAsia" w:hAnsiTheme="minorHAnsi" w:cstheme="minorBidi"/>
              <w:b w:val="0"/>
              <w:iCs w:val="0"/>
              <w:noProof/>
              <w:color w:val="auto"/>
              <w:kern w:val="2"/>
              <w:szCs w:val="24"/>
              <w:lang w:eastAsia="ja-JP"/>
              <w14:ligatures w14:val="standardContextual"/>
            </w:rPr>
          </w:pPr>
          <w:hyperlink w:anchor="_Toc223509370" w:history="1">
            <w:r w:rsidRPr="00034A0E">
              <w:rPr>
                <w:rStyle w:val="Hyperlink"/>
                <w:noProof/>
              </w:rPr>
              <w:t>Executive summary</w:t>
            </w:r>
            <w:r>
              <w:rPr>
                <w:noProof/>
                <w:webHidden/>
              </w:rPr>
              <w:tab/>
            </w:r>
            <w:r>
              <w:rPr>
                <w:noProof/>
                <w:webHidden/>
              </w:rPr>
              <w:fldChar w:fldCharType="begin"/>
            </w:r>
            <w:r>
              <w:rPr>
                <w:noProof/>
                <w:webHidden/>
              </w:rPr>
              <w:instrText xml:space="preserve"> PAGEREF _Toc223509370 \h </w:instrText>
            </w:r>
            <w:r>
              <w:rPr>
                <w:noProof/>
                <w:webHidden/>
              </w:rPr>
            </w:r>
            <w:r>
              <w:rPr>
                <w:noProof/>
                <w:webHidden/>
              </w:rPr>
              <w:fldChar w:fldCharType="separate"/>
            </w:r>
            <w:r>
              <w:rPr>
                <w:noProof/>
                <w:webHidden/>
              </w:rPr>
              <w:t>6</w:t>
            </w:r>
            <w:r>
              <w:rPr>
                <w:noProof/>
                <w:webHidden/>
              </w:rPr>
              <w:fldChar w:fldCharType="end"/>
            </w:r>
          </w:hyperlink>
        </w:p>
        <w:p w14:paraId="3191F215" w14:textId="712135AB" w:rsidR="004A1E4C" w:rsidRDefault="004A1E4C">
          <w:pPr>
            <w:pStyle w:val="TOC1"/>
            <w:tabs>
              <w:tab w:val="right" w:leader="dot" w:pos="9060"/>
            </w:tabs>
            <w:rPr>
              <w:rFonts w:asciiTheme="minorHAnsi" w:eastAsiaTheme="minorEastAsia" w:hAnsiTheme="minorHAnsi" w:cstheme="minorBidi"/>
              <w:b w:val="0"/>
              <w:iCs w:val="0"/>
              <w:noProof/>
              <w:color w:val="auto"/>
              <w:kern w:val="2"/>
              <w:szCs w:val="24"/>
              <w:lang w:eastAsia="ja-JP"/>
              <w14:ligatures w14:val="standardContextual"/>
            </w:rPr>
          </w:pPr>
          <w:hyperlink w:anchor="_Toc223509371" w:history="1">
            <w:r w:rsidRPr="00034A0E">
              <w:rPr>
                <w:rStyle w:val="Hyperlink"/>
                <w:noProof/>
              </w:rPr>
              <w:t>Introduction</w:t>
            </w:r>
            <w:r>
              <w:rPr>
                <w:noProof/>
                <w:webHidden/>
              </w:rPr>
              <w:tab/>
            </w:r>
            <w:r>
              <w:rPr>
                <w:noProof/>
                <w:webHidden/>
              </w:rPr>
              <w:fldChar w:fldCharType="begin"/>
            </w:r>
            <w:r>
              <w:rPr>
                <w:noProof/>
                <w:webHidden/>
              </w:rPr>
              <w:instrText xml:space="preserve"> PAGEREF _Toc223509371 \h </w:instrText>
            </w:r>
            <w:r>
              <w:rPr>
                <w:noProof/>
                <w:webHidden/>
              </w:rPr>
            </w:r>
            <w:r>
              <w:rPr>
                <w:noProof/>
                <w:webHidden/>
              </w:rPr>
              <w:fldChar w:fldCharType="separate"/>
            </w:r>
            <w:r>
              <w:rPr>
                <w:noProof/>
                <w:webHidden/>
              </w:rPr>
              <w:t>8</w:t>
            </w:r>
            <w:r>
              <w:rPr>
                <w:noProof/>
                <w:webHidden/>
              </w:rPr>
              <w:fldChar w:fldCharType="end"/>
            </w:r>
          </w:hyperlink>
        </w:p>
        <w:p w14:paraId="4700F070" w14:textId="1406F67E" w:rsidR="004A1E4C" w:rsidRDefault="004A1E4C">
          <w:pPr>
            <w:pStyle w:val="TOC2"/>
            <w:tabs>
              <w:tab w:val="right" w:leader="dot" w:pos="9060"/>
            </w:tabs>
            <w:rPr>
              <w:rFonts w:eastAsiaTheme="minorEastAsia" w:cstheme="minorBidi"/>
              <w:i w:val="0"/>
              <w:iCs w:val="0"/>
              <w:noProof/>
              <w:color w:val="auto"/>
              <w:kern w:val="2"/>
              <w:sz w:val="24"/>
              <w:szCs w:val="24"/>
              <w:lang w:eastAsia="ja-JP"/>
              <w14:ligatures w14:val="standardContextual"/>
            </w:rPr>
          </w:pPr>
          <w:hyperlink w:anchor="_Toc223509372" w:history="1">
            <w:r w:rsidRPr="00034A0E">
              <w:rPr>
                <w:rStyle w:val="Hyperlink"/>
                <w:noProof/>
              </w:rPr>
              <w:t>Legislative framework</w:t>
            </w:r>
            <w:r>
              <w:rPr>
                <w:noProof/>
                <w:webHidden/>
              </w:rPr>
              <w:tab/>
            </w:r>
            <w:r>
              <w:rPr>
                <w:noProof/>
                <w:webHidden/>
              </w:rPr>
              <w:fldChar w:fldCharType="begin"/>
            </w:r>
            <w:r>
              <w:rPr>
                <w:noProof/>
                <w:webHidden/>
              </w:rPr>
              <w:instrText xml:space="preserve"> PAGEREF _Toc223509372 \h </w:instrText>
            </w:r>
            <w:r>
              <w:rPr>
                <w:noProof/>
                <w:webHidden/>
              </w:rPr>
            </w:r>
            <w:r>
              <w:rPr>
                <w:noProof/>
                <w:webHidden/>
              </w:rPr>
              <w:fldChar w:fldCharType="separate"/>
            </w:r>
            <w:r>
              <w:rPr>
                <w:noProof/>
                <w:webHidden/>
              </w:rPr>
              <w:t>8</w:t>
            </w:r>
            <w:r>
              <w:rPr>
                <w:noProof/>
                <w:webHidden/>
              </w:rPr>
              <w:fldChar w:fldCharType="end"/>
            </w:r>
          </w:hyperlink>
        </w:p>
        <w:p w14:paraId="0A14C63E" w14:textId="107A251E" w:rsidR="004A1E4C" w:rsidRDefault="004A1E4C">
          <w:pPr>
            <w:pStyle w:val="TOC3"/>
            <w:tabs>
              <w:tab w:val="right" w:leader="dot" w:pos="9060"/>
            </w:tabs>
            <w:rPr>
              <w:rFonts w:eastAsiaTheme="minorEastAsia" w:cstheme="minorBidi"/>
              <w:noProof/>
              <w:color w:val="auto"/>
              <w:kern w:val="2"/>
              <w:sz w:val="24"/>
              <w:szCs w:val="24"/>
              <w:lang w:eastAsia="ja-JP"/>
              <w14:ligatures w14:val="standardContextual"/>
            </w:rPr>
          </w:pPr>
          <w:hyperlink w:anchor="_Toc223509373" w:history="1">
            <w:r w:rsidRPr="00034A0E">
              <w:rPr>
                <w:rStyle w:val="Hyperlink"/>
                <w:noProof/>
              </w:rPr>
              <w:t>Rights-based model</w:t>
            </w:r>
            <w:r>
              <w:rPr>
                <w:noProof/>
                <w:webHidden/>
              </w:rPr>
              <w:tab/>
            </w:r>
            <w:r>
              <w:rPr>
                <w:noProof/>
                <w:webHidden/>
              </w:rPr>
              <w:fldChar w:fldCharType="begin"/>
            </w:r>
            <w:r>
              <w:rPr>
                <w:noProof/>
                <w:webHidden/>
              </w:rPr>
              <w:instrText xml:space="preserve"> PAGEREF _Toc223509373 \h </w:instrText>
            </w:r>
            <w:r>
              <w:rPr>
                <w:noProof/>
                <w:webHidden/>
              </w:rPr>
            </w:r>
            <w:r>
              <w:rPr>
                <w:noProof/>
                <w:webHidden/>
              </w:rPr>
              <w:fldChar w:fldCharType="separate"/>
            </w:r>
            <w:r>
              <w:rPr>
                <w:noProof/>
                <w:webHidden/>
              </w:rPr>
              <w:t>8</w:t>
            </w:r>
            <w:r>
              <w:rPr>
                <w:noProof/>
                <w:webHidden/>
              </w:rPr>
              <w:fldChar w:fldCharType="end"/>
            </w:r>
          </w:hyperlink>
        </w:p>
        <w:p w14:paraId="5A05EBEC" w14:textId="3879AEF7" w:rsidR="004A1E4C" w:rsidRDefault="004A1E4C">
          <w:pPr>
            <w:pStyle w:val="TOC3"/>
            <w:tabs>
              <w:tab w:val="right" w:leader="dot" w:pos="9060"/>
            </w:tabs>
            <w:rPr>
              <w:rFonts w:eastAsiaTheme="minorEastAsia" w:cstheme="minorBidi"/>
              <w:noProof/>
              <w:color w:val="auto"/>
              <w:kern w:val="2"/>
              <w:sz w:val="24"/>
              <w:szCs w:val="24"/>
              <w:lang w:eastAsia="ja-JP"/>
              <w14:ligatures w14:val="standardContextual"/>
            </w:rPr>
          </w:pPr>
          <w:hyperlink w:anchor="_Toc223509374" w:history="1">
            <w:r w:rsidRPr="00034A0E">
              <w:rPr>
                <w:rStyle w:val="Hyperlink"/>
                <w:noProof/>
              </w:rPr>
              <w:t>System Governor</w:t>
            </w:r>
            <w:r>
              <w:rPr>
                <w:noProof/>
                <w:webHidden/>
              </w:rPr>
              <w:tab/>
            </w:r>
            <w:r>
              <w:rPr>
                <w:noProof/>
                <w:webHidden/>
              </w:rPr>
              <w:fldChar w:fldCharType="begin"/>
            </w:r>
            <w:r>
              <w:rPr>
                <w:noProof/>
                <w:webHidden/>
              </w:rPr>
              <w:instrText xml:space="preserve"> PAGEREF _Toc223509374 \h </w:instrText>
            </w:r>
            <w:r>
              <w:rPr>
                <w:noProof/>
                <w:webHidden/>
              </w:rPr>
            </w:r>
            <w:r>
              <w:rPr>
                <w:noProof/>
                <w:webHidden/>
              </w:rPr>
              <w:fldChar w:fldCharType="separate"/>
            </w:r>
            <w:r>
              <w:rPr>
                <w:noProof/>
                <w:webHidden/>
              </w:rPr>
              <w:t>9</w:t>
            </w:r>
            <w:r>
              <w:rPr>
                <w:noProof/>
                <w:webHidden/>
              </w:rPr>
              <w:fldChar w:fldCharType="end"/>
            </w:r>
          </w:hyperlink>
        </w:p>
        <w:p w14:paraId="3038ADCD" w14:textId="637AA949" w:rsidR="004A1E4C" w:rsidRDefault="004A1E4C">
          <w:pPr>
            <w:pStyle w:val="TOC3"/>
            <w:tabs>
              <w:tab w:val="right" w:leader="dot" w:pos="9060"/>
            </w:tabs>
            <w:rPr>
              <w:rFonts w:eastAsiaTheme="minorEastAsia" w:cstheme="minorBidi"/>
              <w:noProof/>
              <w:color w:val="auto"/>
              <w:kern w:val="2"/>
              <w:sz w:val="24"/>
              <w:szCs w:val="24"/>
              <w:lang w:eastAsia="ja-JP"/>
              <w14:ligatures w14:val="standardContextual"/>
            </w:rPr>
          </w:pPr>
          <w:hyperlink w:anchor="_Toc223509375" w:history="1">
            <w:r w:rsidRPr="00034A0E">
              <w:rPr>
                <w:rStyle w:val="Hyperlink"/>
                <w:noProof/>
              </w:rPr>
              <w:t>The Aged Care Quality and Safety Commission</w:t>
            </w:r>
            <w:r>
              <w:rPr>
                <w:noProof/>
                <w:webHidden/>
              </w:rPr>
              <w:tab/>
            </w:r>
            <w:r>
              <w:rPr>
                <w:noProof/>
                <w:webHidden/>
              </w:rPr>
              <w:fldChar w:fldCharType="begin"/>
            </w:r>
            <w:r>
              <w:rPr>
                <w:noProof/>
                <w:webHidden/>
              </w:rPr>
              <w:instrText xml:space="preserve"> PAGEREF _Toc223509375 \h </w:instrText>
            </w:r>
            <w:r>
              <w:rPr>
                <w:noProof/>
                <w:webHidden/>
              </w:rPr>
            </w:r>
            <w:r>
              <w:rPr>
                <w:noProof/>
                <w:webHidden/>
              </w:rPr>
              <w:fldChar w:fldCharType="separate"/>
            </w:r>
            <w:r>
              <w:rPr>
                <w:noProof/>
                <w:webHidden/>
              </w:rPr>
              <w:t>10</w:t>
            </w:r>
            <w:r>
              <w:rPr>
                <w:noProof/>
                <w:webHidden/>
              </w:rPr>
              <w:fldChar w:fldCharType="end"/>
            </w:r>
          </w:hyperlink>
        </w:p>
        <w:p w14:paraId="09706EFD" w14:textId="3DCB7734" w:rsidR="004A1E4C" w:rsidRDefault="004A1E4C">
          <w:pPr>
            <w:pStyle w:val="TOC3"/>
            <w:tabs>
              <w:tab w:val="right" w:leader="dot" w:pos="9060"/>
            </w:tabs>
            <w:rPr>
              <w:rFonts w:eastAsiaTheme="minorEastAsia" w:cstheme="minorBidi"/>
              <w:noProof/>
              <w:color w:val="auto"/>
              <w:kern w:val="2"/>
              <w:sz w:val="24"/>
              <w:szCs w:val="24"/>
              <w:lang w:eastAsia="ja-JP"/>
              <w14:ligatures w14:val="standardContextual"/>
            </w:rPr>
          </w:pPr>
          <w:hyperlink w:anchor="_Toc223509376" w:history="1">
            <w:r w:rsidRPr="00034A0E">
              <w:rPr>
                <w:rStyle w:val="Hyperlink"/>
                <w:noProof/>
              </w:rPr>
              <w:t>Assurance powers</w:t>
            </w:r>
            <w:r>
              <w:rPr>
                <w:noProof/>
                <w:webHidden/>
              </w:rPr>
              <w:tab/>
            </w:r>
            <w:r>
              <w:rPr>
                <w:noProof/>
                <w:webHidden/>
              </w:rPr>
              <w:fldChar w:fldCharType="begin"/>
            </w:r>
            <w:r>
              <w:rPr>
                <w:noProof/>
                <w:webHidden/>
              </w:rPr>
              <w:instrText xml:space="preserve"> PAGEREF _Toc223509376 \h </w:instrText>
            </w:r>
            <w:r>
              <w:rPr>
                <w:noProof/>
                <w:webHidden/>
              </w:rPr>
            </w:r>
            <w:r>
              <w:rPr>
                <w:noProof/>
                <w:webHidden/>
              </w:rPr>
              <w:fldChar w:fldCharType="separate"/>
            </w:r>
            <w:r>
              <w:rPr>
                <w:noProof/>
                <w:webHidden/>
              </w:rPr>
              <w:t>10</w:t>
            </w:r>
            <w:r>
              <w:rPr>
                <w:noProof/>
                <w:webHidden/>
              </w:rPr>
              <w:fldChar w:fldCharType="end"/>
            </w:r>
          </w:hyperlink>
        </w:p>
        <w:p w14:paraId="395E8766" w14:textId="06795C29" w:rsidR="004A1E4C" w:rsidRDefault="004A1E4C">
          <w:pPr>
            <w:pStyle w:val="TOC3"/>
            <w:tabs>
              <w:tab w:val="right" w:leader="dot" w:pos="9060"/>
            </w:tabs>
            <w:rPr>
              <w:rFonts w:eastAsiaTheme="minorEastAsia" w:cstheme="minorBidi"/>
              <w:noProof/>
              <w:color w:val="auto"/>
              <w:kern w:val="2"/>
              <w:sz w:val="24"/>
              <w:szCs w:val="24"/>
              <w:lang w:eastAsia="ja-JP"/>
              <w14:ligatures w14:val="standardContextual"/>
            </w:rPr>
          </w:pPr>
          <w:hyperlink w:anchor="_Toc223509377" w:history="1">
            <w:r w:rsidRPr="00034A0E">
              <w:rPr>
                <w:rStyle w:val="Hyperlink"/>
                <w:noProof/>
              </w:rPr>
              <w:t>Other relevant powers</w:t>
            </w:r>
            <w:r>
              <w:rPr>
                <w:noProof/>
                <w:webHidden/>
              </w:rPr>
              <w:tab/>
            </w:r>
            <w:r>
              <w:rPr>
                <w:noProof/>
                <w:webHidden/>
              </w:rPr>
              <w:fldChar w:fldCharType="begin"/>
            </w:r>
            <w:r>
              <w:rPr>
                <w:noProof/>
                <w:webHidden/>
              </w:rPr>
              <w:instrText xml:space="preserve"> PAGEREF _Toc223509377 \h </w:instrText>
            </w:r>
            <w:r>
              <w:rPr>
                <w:noProof/>
                <w:webHidden/>
              </w:rPr>
            </w:r>
            <w:r>
              <w:rPr>
                <w:noProof/>
                <w:webHidden/>
              </w:rPr>
              <w:fldChar w:fldCharType="separate"/>
            </w:r>
            <w:r>
              <w:rPr>
                <w:noProof/>
                <w:webHidden/>
              </w:rPr>
              <w:t>12</w:t>
            </w:r>
            <w:r>
              <w:rPr>
                <w:noProof/>
                <w:webHidden/>
              </w:rPr>
              <w:fldChar w:fldCharType="end"/>
            </w:r>
          </w:hyperlink>
        </w:p>
        <w:p w14:paraId="7A7D2353" w14:textId="10D0EFD3" w:rsidR="004A1E4C" w:rsidRDefault="004A1E4C">
          <w:pPr>
            <w:pStyle w:val="TOC3"/>
            <w:tabs>
              <w:tab w:val="right" w:leader="dot" w:pos="9060"/>
            </w:tabs>
            <w:rPr>
              <w:rFonts w:eastAsiaTheme="minorEastAsia" w:cstheme="minorBidi"/>
              <w:noProof/>
              <w:color w:val="auto"/>
              <w:kern w:val="2"/>
              <w:sz w:val="24"/>
              <w:szCs w:val="24"/>
              <w:lang w:eastAsia="ja-JP"/>
              <w14:ligatures w14:val="standardContextual"/>
            </w:rPr>
          </w:pPr>
          <w:hyperlink w:anchor="_Toc223509378" w:history="1">
            <w:r w:rsidRPr="00034A0E">
              <w:rPr>
                <w:rStyle w:val="Hyperlink"/>
                <w:noProof/>
              </w:rPr>
              <w:t>Other underlying legislation</w:t>
            </w:r>
            <w:r>
              <w:rPr>
                <w:noProof/>
                <w:webHidden/>
              </w:rPr>
              <w:tab/>
            </w:r>
            <w:r>
              <w:rPr>
                <w:noProof/>
                <w:webHidden/>
              </w:rPr>
              <w:fldChar w:fldCharType="begin"/>
            </w:r>
            <w:r>
              <w:rPr>
                <w:noProof/>
                <w:webHidden/>
              </w:rPr>
              <w:instrText xml:space="preserve"> PAGEREF _Toc223509378 \h </w:instrText>
            </w:r>
            <w:r>
              <w:rPr>
                <w:noProof/>
                <w:webHidden/>
              </w:rPr>
            </w:r>
            <w:r>
              <w:rPr>
                <w:noProof/>
                <w:webHidden/>
              </w:rPr>
              <w:fldChar w:fldCharType="separate"/>
            </w:r>
            <w:r>
              <w:rPr>
                <w:noProof/>
                <w:webHidden/>
              </w:rPr>
              <w:t>12</w:t>
            </w:r>
            <w:r>
              <w:rPr>
                <w:noProof/>
                <w:webHidden/>
              </w:rPr>
              <w:fldChar w:fldCharType="end"/>
            </w:r>
          </w:hyperlink>
        </w:p>
        <w:p w14:paraId="2DC12E1A" w14:textId="524F463F" w:rsidR="004A1E4C" w:rsidRDefault="004A1E4C">
          <w:pPr>
            <w:pStyle w:val="TOC2"/>
            <w:tabs>
              <w:tab w:val="right" w:leader="dot" w:pos="9060"/>
            </w:tabs>
            <w:rPr>
              <w:rFonts w:eastAsiaTheme="minorEastAsia" w:cstheme="minorBidi"/>
              <w:i w:val="0"/>
              <w:iCs w:val="0"/>
              <w:noProof/>
              <w:color w:val="auto"/>
              <w:kern w:val="2"/>
              <w:sz w:val="24"/>
              <w:szCs w:val="24"/>
              <w:lang w:eastAsia="ja-JP"/>
              <w14:ligatures w14:val="standardContextual"/>
            </w:rPr>
          </w:pPr>
          <w:hyperlink w:anchor="_Toc223509379" w:history="1">
            <w:r w:rsidRPr="00034A0E">
              <w:rPr>
                <w:rStyle w:val="Hyperlink"/>
                <w:noProof/>
              </w:rPr>
              <w:t>Context</w:t>
            </w:r>
            <w:r>
              <w:rPr>
                <w:noProof/>
                <w:webHidden/>
              </w:rPr>
              <w:tab/>
            </w:r>
            <w:r>
              <w:rPr>
                <w:noProof/>
                <w:webHidden/>
              </w:rPr>
              <w:fldChar w:fldCharType="begin"/>
            </w:r>
            <w:r>
              <w:rPr>
                <w:noProof/>
                <w:webHidden/>
              </w:rPr>
              <w:instrText xml:space="preserve"> PAGEREF _Toc223509379 \h </w:instrText>
            </w:r>
            <w:r>
              <w:rPr>
                <w:noProof/>
                <w:webHidden/>
              </w:rPr>
            </w:r>
            <w:r>
              <w:rPr>
                <w:noProof/>
                <w:webHidden/>
              </w:rPr>
              <w:fldChar w:fldCharType="separate"/>
            </w:r>
            <w:r>
              <w:rPr>
                <w:noProof/>
                <w:webHidden/>
              </w:rPr>
              <w:t>13</w:t>
            </w:r>
            <w:r>
              <w:rPr>
                <w:noProof/>
                <w:webHidden/>
              </w:rPr>
              <w:fldChar w:fldCharType="end"/>
            </w:r>
          </w:hyperlink>
        </w:p>
        <w:p w14:paraId="6712542A" w14:textId="259921AC" w:rsidR="004A1E4C" w:rsidRDefault="004A1E4C">
          <w:pPr>
            <w:pStyle w:val="TOC3"/>
            <w:tabs>
              <w:tab w:val="right" w:leader="dot" w:pos="9060"/>
            </w:tabs>
            <w:rPr>
              <w:rFonts w:eastAsiaTheme="minorEastAsia" w:cstheme="minorBidi"/>
              <w:noProof/>
              <w:color w:val="auto"/>
              <w:kern w:val="2"/>
              <w:sz w:val="24"/>
              <w:szCs w:val="24"/>
              <w:lang w:eastAsia="ja-JP"/>
              <w14:ligatures w14:val="standardContextual"/>
            </w:rPr>
          </w:pPr>
          <w:hyperlink w:anchor="_Toc223509380" w:history="1">
            <w:r w:rsidRPr="00034A0E">
              <w:rPr>
                <w:rStyle w:val="Hyperlink"/>
                <w:rFonts w:eastAsia="Arial"/>
                <w:noProof/>
              </w:rPr>
              <w:t>System Governor aged care compliance framework</w:t>
            </w:r>
            <w:r>
              <w:rPr>
                <w:noProof/>
                <w:webHidden/>
              </w:rPr>
              <w:tab/>
            </w:r>
            <w:r>
              <w:rPr>
                <w:noProof/>
                <w:webHidden/>
              </w:rPr>
              <w:fldChar w:fldCharType="begin"/>
            </w:r>
            <w:r>
              <w:rPr>
                <w:noProof/>
                <w:webHidden/>
              </w:rPr>
              <w:instrText xml:space="preserve"> PAGEREF _Toc223509380 \h </w:instrText>
            </w:r>
            <w:r>
              <w:rPr>
                <w:noProof/>
                <w:webHidden/>
              </w:rPr>
            </w:r>
            <w:r>
              <w:rPr>
                <w:noProof/>
                <w:webHidden/>
              </w:rPr>
              <w:fldChar w:fldCharType="separate"/>
            </w:r>
            <w:r>
              <w:rPr>
                <w:noProof/>
                <w:webHidden/>
              </w:rPr>
              <w:t>14</w:t>
            </w:r>
            <w:r>
              <w:rPr>
                <w:noProof/>
                <w:webHidden/>
              </w:rPr>
              <w:fldChar w:fldCharType="end"/>
            </w:r>
          </w:hyperlink>
        </w:p>
        <w:p w14:paraId="4533BC5A" w14:textId="60660547" w:rsidR="004A1E4C" w:rsidRDefault="004A1E4C">
          <w:pPr>
            <w:pStyle w:val="TOC2"/>
            <w:tabs>
              <w:tab w:val="right" w:leader="dot" w:pos="9060"/>
            </w:tabs>
            <w:rPr>
              <w:rFonts w:eastAsiaTheme="minorEastAsia" w:cstheme="minorBidi"/>
              <w:i w:val="0"/>
              <w:iCs w:val="0"/>
              <w:noProof/>
              <w:color w:val="auto"/>
              <w:kern w:val="2"/>
              <w:sz w:val="24"/>
              <w:szCs w:val="24"/>
              <w:lang w:eastAsia="ja-JP"/>
              <w14:ligatures w14:val="standardContextual"/>
            </w:rPr>
          </w:pPr>
          <w:hyperlink w:anchor="_Toc223509381" w:history="1">
            <w:r w:rsidRPr="00034A0E">
              <w:rPr>
                <w:rStyle w:val="Hyperlink"/>
                <w:noProof/>
              </w:rPr>
              <w:t>Assurance framework overview</w:t>
            </w:r>
            <w:r>
              <w:rPr>
                <w:noProof/>
                <w:webHidden/>
              </w:rPr>
              <w:tab/>
            </w:r>
            <w:r>
              <w:rPr>
                <w:noProof/>
                <w:webHidden/>
              </w:rPr>
              <w:fldChar w:fldCharType="begin"/>
            </w:r>
            <w:r>
              <w:rPr>
                <w:noProof/>
                <w:webHidden/>
              </w:rPr>
              <w:instrText xml:space="preserve"> PAGEREF _Toc223509381 \h </w:instrText>
            </w:r>
            <w:r>
              <w:rPr>
                <w:noProof/>
                <w:webHidden/>
              </w:rPr>
            </w:r>
            <w:r>
              <w:rPr>
                <w:noProof/>
                <w:webHidden/>
              </w:rPr>
              <w:fldChar w:fldCharType="separate"/>
            </w:r>
            <w:r>
              <w:rPr>
                <w:noProof/>
                <w:webHidden/>
              </w:rPr>
              <w:t>15</w:t>
            </w:r>
            <w:r>
              <w:rPr>
                <w:noProof/>
                <w:webHidden/>
              </w:rPr>
              <w:fldChar w:fldCharType="end"/>
            </w:r>
          </w:hyperlink>
        </w:p>
        <w:p w14:paraId="6CCDB484" w14:textId="2F2B4A50" w:rsidR="004A1E4C" w:rsidRDefault="004A1E4C">
          <w:pPr>
            <w:pStyle w:val="TOC3"/>
            <w:tabs>
              <w:tab w:val="right" w:leader="dot" w:pos="9060"/>
            </w:tabs>
            <w:rPr>
              <w:rFonts w:eastAsiaTheme="minorEastAsia" w:cstheme="minorBidi"/>
              <w:noProof/>
              <w:color w:val="auto"/>
              <w:kern w:val="2"/>
              <w:sz w:val="24"/>
              <w:szCs w:val="24"/>
              <w:lang w:eastAsia="ja-JP"/>
              <w14:ligatures w14:val="standardContextual"/>
            </w:rPr>
          </w:pPr>
          <w:hyperlink w:anchor="_Toc223509382" w:history="1">
            <w:r w:rsidRPr="00034A0E">
              <w:rPr>
                <w:rStyle w:val="Hyperlink"/>
                <w:noProof/>
              </w:rPr>
              <w:t>A focus on payment integrity</w:t>
            </w:r>
            <w:r>
              <w:rPr>
                <w:noProof/>
                <w:webHidden/>
              </w:rPr>
              <w:tab/>
            </w:r>
            <w:r>
              <w:rPr>
                <w:noProof/>
                <w:webHidden/>
              </w:rPr>
              <w:fldChar w:fldCharType="begin"/>
            </w:r>
            <w:r>
              <w:rPr>
                <w:noProof/>
                <w:webHidden/>
              </w:rPr>
              <w:instrText xml:space="preserve"> PAGEREF _Toc223509382 \h </w:instrText>
            </w:r>
            <w:r>
              <w:rPr>
                <w:noProof/>
                <w:webHidden/>
              </w:rPr>
            </w:r>
            <w:r>
              <w:rPr>
                <w:noProof/>
                <w:webHidden/>
              </w:rPr>
              <w:fldChar w:fldCharType="separate"/>
            </w:r>
            <w:r>
              <w:rPr>
                <w:noProof/>
                <w:webHidden/>
              </w:rPr>
              <w:t>15</w:t>
            </w:r>
            <w:r>
              <w:rPr>
                <w:noProof/>
                <w:webHidden/>
              </w:rPr>
              <w:fldChar w:fldCharType="end"/>
            </w:r>
          </w:hyperlink>
        </w:p>
        <w:p w14:paraId="2A931468" w14:textId="57140D8A" w:rsidR="004A1E4C" w:rsidRDefault="004A1E4C">
          <w:pPr>
            <w:pStyle w:val="TOC3"/>
            <w:tabs>
              <w:tab w:val="right" w:leader="dot" w:pos="9060"/>
            </w:tabs>
            <w:rPr>
              <w:rFonts w:eastAsiaTheme="minorEastAsia" w:cstheme="minorBidi"/>
              <w:noProof/>
              <w:color w:val="auto"/>
              <w:kern w:val="2"/>
              <w:sz w:val="24"/>
              <w:szCs w:val="24"/>
              <w:lang w:eastAsia="ja-JP"/>
              <w14:ligatures w14:val="standardContextual"/>
            </w:rPr>
          </w:pPr>
          <w:hyperlink w:anchor="_Toc223509383" w:history="1">
            <w:r w:rsidRPr="00034A0E">
              <w:rPr>
                <w:rStyle w:val="Hyperlink"/>
                <w:noProof/>
              </w:rPr>
              <w:t>Managing fraud</w:t>
            </w:r>
            <w:r>
              <w:rPr>
                <w:noProof/>
                <w:webHidden/>
              </w:rPr>
              <w:tab/>
            </w:r>
            <w:r>
              <w:rPr>
                <w:noProof/>
                <w:webHidden/>
              </w:rPr>
              <w:fldChar w:fldCharType="begin"/>
            </w:r>
            <w:r>
              <w:rPr>
                <w:noProof/>
                <w:webHidden/>
              </w:rPr>
              <w:instrText xml:space="preserve"> PAGEREF _Toc223509383 \h </w:instrText>
            </w:r>
            <w:r>
              <w:rPr>
                <w:noProof/>
                <w:webHidden/>
              </w:rPr>
            </w:r>
            <w:r>
              <w:rPr>
                <w:noProof/>
                <w:webHidden/>
              </w:rPr>
              <w:fldChar w:fldCharType="separate"/>
            </w:r>
            <w:r>
              <w:rPr>
                <w:noProof/>
                <w:webHidden/>
              </w:rPr>
              <w:t>15</w:t>
            </w:r>
            <w:r>
              <w:rPr>
                <w:noProof/>
                <w:webHidden/>
              </w:rPr>
              <w:fldChar w:fldCharType="end"/>
            </w:r>
          </w:hyperlink>
        </w:p>
        <w:p w14:paraId="67829559" w14:textId="4F59E6C9" w:rsidR="004A1E4C" w:rsidRDefault="004A1E4C">
          <w:pPr>
            <w:pStyle w:val="TOC2"/>
            <w:tabs>
              <w:tab w:val="right" w:leader="dot" w:pos="9060"/>
            </w:tabs>
            <w:rPr>
              <w:rFonts w:eastAsiaTheme="minorEastAsia" w:cstheme="minorBidi"/>
              <w:i w:val="0"/>
              <w:iCs w:val="0"/>
              <w:noProof/>
              <w:color w:val="auto"/>
              <w:kern w:val="2"/>
              <w:sz w:val="24"/>
              <w:szCs w:val="24"/>
              <w:lang w:eastAsia="ja-JP"/>
              <w14:ligatures w14:val="standardContextual"/>
            </w:rPr>
          </w:pPr>
          <w:hyperlink w:anchor="_Toc223509384" w:history="1">
            <w:r w:rsidRPr="00034A0E">
              <w:rPr>
                <w:rStyle w:val="Hyperlink"/>
                <w:noProof/>
              </w:rPr>
              <w:t>Principles</w:t>
            </w:r>
            <w:r>
              <w:rPr>
                <w:noProof/>
                <w:webHidden/>
              </w:rPr>
              <w:tab/>
            </w:r>
            <w:r>
              <w:rPr>
                <w:noProof/>
                <w:webHidden/>
              </w:rPr>
              <w:fldChar w:fldCharType="begin"/>
            </w:r>
            <w:r>
              <w:rPr>
                <w:noProof/>
                <w:webHidden/>
              </w:rPr>
              <w:instrText xml:space="preserve"> PAGEREF _Toc223509384 \h </w:instrText>
            </w:r>
            <w:r>
              <w:rPr>
                <w:noProof/>
                <w:webHidden/>
              </w:rPr>
            </w:r>
            <w:r>
              <w:rPr>
                <w:noProof/>
                <w:webHidden/>
              </w:rPr>
              <w:fldChar w:fldCharType="separate"/>
            </w:r>
            <w:r>
              <w:rPr>
                <w:noProof/>
                <w:webHidden/>
              </w:rPr>
              <w:t>16</w:t>
            </w:r>
            <w:r>
              <w:rPr>
                <w:noProof/>
                <w:webHidden/>
              </w:rPr>
              <w:fldChar w:fldCharType="end"/>
            </w:r>
          </w:hyperlink>
        </w:p>
        <w:p w14:paraId="17A860AF" w14:textId="2028C12B" w:rsidR="004A1E4C" w:rsidRDefault="004A1E4C">
          <w:pPr>
            <w:pStyle w:val="TOC2"/>
            <w:tabs>
              <w:tab w:val="right" w:leader="dot" w:pos="9060"/>
            </w:tabs>
            <w:rPr>
              <w:rFonts w:eastAsiaTheme="minorEastAsia" w:cstheme="minorBidi"/>
              <w:i w:val="0"/>
              <w:iCs w:val="0"/>
              <w:noProof/>
              <w:color w:val="auto"/>
              <w:kern w:val="2"/>
              <w:sz w:val="24"/>
              <w:szCs w:val="24"/>
              <w:lang w:eastAsia="ja-JP"/>
              <w14:ligatures w14:val="standardContextual"/>
            </w:rPr>
          </w:pPr>
          <w:hyperlink w:anchor="_Toc223509385" w:history="1">
            <w:r w:rsidRPr="00034A0E">
              <w:rPr>
                <w:rStyle w:val="Hyperlink"/>
                <w:noProof/>
              </w:rPr>
              <w:t>Benefits</w:t>
            </w:r>
            <w:r>
              <w:rPr>
                <w:noProof/>
                <w:webHidden/>
              </w:rPr>
              <w:tab/>
            </w:r>
            <w:r>
              <w:rPr>
                <w:noProof/>
                <w:webHidden/>
              </w:rPr>
              <w:fldChar w:fldCharType="begin"/>
            </w:r>
            <w:r>
              <w:rPr>
                <w:noProof/>
                <w:webHidden/>
              </w:rPr>
              <w:instrText xml:space="preserve"> PAGEREF _Toc223509385 \h </w:instrText>
            </w:r>
            <w:r>
              <w:rPr>
                <w:noProof/>
                <w:webHidden/>
              </w:rPr>
            </w:r>
            <w:r>
              <w:rPr>
                <w:noProof/>
                <w:webHidden/>
              </w:rPr>
              <w:fldChar w:fldCharType="separate"/>
            </w:r>
            <w:r>
              <w:rPr>
                <w:noProof/>
                <w:webHidden/>
              </w:rPr>
              <w:t>17</w:t>
            </w:r>
            <w:r>
              <w:rPr>
                <w:noProof/>
                <w:webHidden/>
              </w:rPr>
              <w:fldChar w:fldCharType="end"/>
            </w:r>
          </w:hyperlink>
        </w:p>
        <w:p w14:paraId="3191DBE3" w14:textId="1DA38EE5" w:rsidR="004A1E4C" w:rsidRDefault="004A1E4C">
          <w:pPr>
            <w:pStyle w:val="TOC1"/>
            <w:tabs>
              <w:tab w:val="right" w:leader="dot" w:pos="9060"/>
            </w:tabs>
            <w:rPr>
              <w:rFonts w:asciiTheme="minorHAnsi" w:eastAsiaTheme="minorEastAsia" w:hAnsiTheme="minorHAnsi" w:cstheme="minorBidi"/>
              <w:b w:val="0"/>
              <w:iCs w:val="0"/>
              <w:noProof/>
              <w:color w:val="auto"/>
              <w:kern w:val="2"/>
              <w:szCs w:val="24"/>
              <w:lang w:eastAsia="ja-JP"/>
              <w14:ligatures w14:val="standardContextual"/>
            </w:rPr>
          </w:pPr>
          <w:hyperlink w:anchor="_Toc223509386" w:history="1">
            <w:r w:rsidRPr="00034A0E">
              <w:rPr>
                <w:rStyle w:val="Hyperlink"/>
                <w:noProof/>
              </w:rPr>
              <w:t>Governance</w:t>
            </w:r>
            <w:r>
              <w:rPr>
                <w:noProof/>
                <w:webHidden/>
              </w:rPr>
              <w:tab/>
            </w:r>
            <w:r>
              <w:rPr>
                <w:noProof/>
                <w:webHidden/>
              </w:rPr>
              <w:fldChar w:fldCharType="begin"/>
            </w:r>
            <w:r>
              <w:rPr>
                <w:noProof/>
                <w:webHidden/>
              </w:rPr>
              <w:instrText xml:space="preserve"> PAGEREF _Toc223509386 \h </w:instrText>
            </w:r>
            <w:r>
              <w:rPr>
                <w:noProof/>
                <w:webHidden/>
              </w:rPr>
            </w:r>
            <w:r>
              <w:rPr>
                <w:noProof/>
                <w:webHidden/>
              </w:rPr>
              <w:fldChar w:fldCharType="separate"/>
            </w:r>
            <w:r>
              <w:rPr>
                <w:noProof/>
                <w:webHidden/>
              </w:rPr>
              <w:t>17</w:t>
            </w:r>
            <w:r>
              <w:rPr>
                <w:noProof/>
                <w:webHidden/>
              </w:rPr>
              <w:fldChar w:fldCharType="end"/>
            </w:r>
          </w:hyperlink>
        </w:p>
        <w:p w14:paraId="43AD63CA" w14:textId="6F860799" w:rsidR="004A1E4C" w:rsidRDefault="004A1E4C">
          <w:pPr>
            <w:pStyle w:val="TOC2"/>
            <w:tabs>
              <w:tab w:val="right" w:leader="dot" w:pos="9060"/>
            </w:tabs>
            <w:rPr>
              <w:rFonts w:eastAsiaTheme="minorEastAsia" w:cstheme="minorBidi"/>
              <w:i w:val="0"/>
              <w:iCs w:val="0"/>
              <w:noProof/>
              <w:color w:val="auto"/>
              <w:kern w:val="2"/>
              <w:sz w:val="24"/>
              <w:szCs w:val="24"/>
              <w:lang w:eastAsia="ja-JP"/>
              <w14:ligatures w14:val="standardContextual"/>
            </w:rPr>
          </w:pPr>
          <w:hyperlink w:anchor="_Toc223509387" w:history="1">
            <w:r w:rsidRPr="00034A0E">
              <w:rPr>
                <w:rStyle w:val="Hyperlink"/>
                <w:noProof/>
              </w:rPr>
              <w:t>Three Lines Model</w:t>
            </w:r>
            <w:r>
              <w:rPr>
                <w:noProof/>
                <w:webHidden/>
              </w:rPr>
              <w:tab/>
            </w:r>
            <w:r>
              <w:rPr>
                <w:noProof/>
                <w:webHidden/>
              </w:rPr>
              <w:fldChar w:fldCharType="begin"/>
            </w:r>
            <w:r>
              <w:rPr>
                <w:noProof/>
                <w:webHidden/>
              </w:rPr>
              <w:instrText xml:space="preserve"> PAGEREF _Toc223509387 \h </w:instrText>
            </w:r>
            <w:r>
              <w:rPr>
                <w:noProof/>
                <w:webHidden/>
              </w:rPr>
            </w:r>
            <w:r>
              <w:rPr>
                <w:noProof/>
                <w:webHidden/>
              </w:rPr>
              <w:fldChar w:fldCharType="separate"/>
            </w:r>
            <w:r>
              <w:rPr>
                <w:noProof/>
                <w:webHidden/>
              </w:rPr>
              <w:t>17</w:t>
            </w:r>
            <w:r>
              <w:rPr>
                <w:noProof/>
                <w:webHidden/>
              </w:rPr>
              <w:fldChar w:fldCharType="end"/>
            </w:r>
          </w:hyperlink>
        </w:p>
        <w:p w14:paraId="6DDA0B6E" w14:textId="06542539" w:rsidR="004A1E4C" w:rsidRDefault="004A1E4C">
          <w:pPr>
            <w:pStyle w:val="TOC2"/>
            <w:tabs>
              <w:tab w:val="right" w:leader="dot" w:pos="9060"/>
            </w:tabs>
            <w:rPr>
              <w:rFonts w:eastAsiaTheme="minorEastAsia" w:cstheme="minorBidi"/>
              <w:i w:val="0"/>
              <w:iCs w:val="0"/>
              <w:noProof/>
              <w:color w:val="auto"/>
              <w:kern w:val="2"/>
              <w:sz w:val="24"/>
              <w:szCs w:val="24"/>
              <w:lang w:eastAsia="ja-JP"/>
              <w14:ligatures w14:val="standardContextual"/>
            </w:rPr>
          </w:pPr>
          <w:hyperlink w:anchor="_Toc223509388" w:history="1">
            <w:r w:rsidRPr="00034A0E">
              <w:rPr>
                <w:rStyle w:val="Hyperlink"/>
                <w:noProof/>
              </w:rPr>
              <w:t>Assurance roles and responsibilities</w:t>
            </w:r>
            <w:r>
              <w:rPr>
                <w:noProof/>
                <w:webHidden/>
              </w:rPr>
              <w:tab/>
            </w:r>
            <w:r>
              <w:rPr>
                <w:noProof/>
                <w:webHidden/>
              </w:rPr>
              <w:fldChar w:fldCharType="begin"/>
            </w:r>
            <w:r>
              <w:rPr>
                <w:noProof/>
                <w:webHidden/>
              </w:rPr>
              <w:instrText xml:space="preserve"> PAGEREF _Toc223509388 \h </w:instrText>
            </w:r>
            <w:r>
              <w:rPr>
                <w:noProof/>
                <w:webHidden/>
              </w:rPr>
            </w:r>
            <w:r>
              <w:rPr>
                <w:noProof/>
                <w:webHidden/>
              </w:rPr>
              <w:fldChar w:fldCharType="separate"/>
            </w:r>
            <w:r>
              <w:rPr>
                <w:noProof/>
                <w:webHidden/>
              </w:rPr>
              <w:t>19</w:t>
            </w:r>
            <w:r>
              <w:rPr>
                <w:noProof/>
                <w:webHidden/>
              </w:rPr>
              <w:fldChar w:fldCharType="end"/>
            </w:r>
          </w:hyperlink>
        </w:p>
        <w:p w14:paraId="60F56D00" w14:textId="4A3F1CCF" w:rsidR="004A1E4C" w:rsidRDefault="004A1E4C">
          <w:pPr>
            <w:pStyle w:val="TOC1"/>
            <w:tabs>
              <w:tab w:val="right" w:leader="dot" w:pos="9060"/>
            </w:tabs>
            <w:rPr>
              <w:rFonts w:asciiTheme="minorHAnsi" w:eastAsiaTheme="minorEastAsia" w:hAnsiTheme="minorHAnsi" w:cstheme="minorBidi"/>
              <w:b w:val="0"/>
              <w:iCs w:val="0"/>
              <w:noProof/>
              <w:color w:val="auto"/>
              <w:kern w:val="2"/>
              <w:szCs w:val="24"/>
              <w:lang w:eastAsia="ja-JP"/>
              <w14:ligatures w14:val="standardContextual"/>
            </w:rPr>
          </w:pPr>
          <w:hyperlink w:anchor="_Toc223509389" w:history="1">
            <w:r w:rsidRPr="00034A0E">
              <w:rPr>
                <w:rStyle w:val="Hyperlink"/>
                <w:noProof/>
              </w:rPr>
              <w:t>Assurance approach</w:t>
            </w:r>
            <w:r>
              <w:rPr>
                <w:noProof/>
                <w:webHidden/>
              </w:rPr>
              <w:tab/>
            </w:r>
            <w:r>
              <w:rPr>
                <w:noProof/>
                <w:webHidden/>
              </w:rPr>
              <w:fldChar w:fldCharType="begin"/>
            </w:r>
            <w:r>
              <w:rPr>
                <w:noProof/>
                <w:webHidden/>
              </w:rPr>
              <w:instrText xml:space="preserve"> PAGEREF _Toc223509389 \h </w:instrText>
            </w:r>
            <w:r>
              <w:rPr>
                <w:noProof/>
                <w:webHidden/>
              </w:rPr>
            </w:r>
            <w:r>
              <w:rPr>
                <w:noProof/>
                <w:webHidden/>
              </w:rPr>
              <w:fldChar w:fldCharType="separate"/>
            </w:r>
            <w:r>
              <w:rPr>
                <w:noProof/>
                <w:webHidden/>
              </w:rPr>
              <w:t>22</w:t>
            </w:r>
            <w:r>
              <w:rPr>
                <w:noProof/>
                <w:webHidden/>
              </w:rPr>
              <w:fldChar w:fldCharType="end"/>
            </w:r>
          </w:hyperlink>
        </w:p>
        <w:p w14:paraId="42638486" w14:textId="4362BB0A" w:rsidR="004A1E4C" w:rsidRDefault="004A1E4C">
          <w:pPr>
            <w:pStyle w:val="TOC2"/>
            <w:tabs>
              <w:tab w:val="right" w:leader="dot" w:pos="9060"/>
            </w:tabs>
            <w:rPr>
              <w:rFonts w:eastAsiaTheme="minorEastAsia" w:cstheme="minorBidi"/>
              <w:i w:val="0"/>
              <w:iCs w:val="0"/>
              <w:noProof/>
              <w:color w:val="auto"/>
              <w:kern w:val="2"/>
              <w:sz w:val="24"/>
              <w:szCs w:val="24"/>
              <w:lang w:eastAsia="ja-JP"/>
              <w14:ligatures w14:val="standardContextual"/>
            </w:rPr>
          </w:pPr>
          <w:hyperlink w:anchor="_Toc223509390" w:history="1">
            <w:r w:rsidRPr="00034A0E">
              <w:rPr>
                <w:rStyle w:val="Hyperlink"/>
                <w:noProof/>
              </w:rPr>
              <w:t>Phase 1: Identify assurance needs</w:t>
            </w:r>
            <w:r>
              <w:rPr>
                <w:noProof/>
                <w:webHidden/>
              </w:rPr>
              <w:tab/>
            </w:r>
            <w:r>
              <w:rPr>
                <w:noProof/>
                <w:webHidden/>
              </w:rPr>
              <w:fldChar w:fldCharType="begin"/>
            </w:r>
            <w:r>
              <w:rPr>
                <w:noProof/>
                <w:webHidden/>
              </w:rPr>
              <w:instrText xml:space="preserve"> PAGEREF _Toc223509390 \h </w:instrText>
            </w:r>
            <w:r>
              <w:rPr>
                <w:noProof/>
                <w:webHidden/>
              </w:rPr>
            </w:r>
            <w:r>
              <w:rPr>
                <w:noProof/>
                <w:webHidden/>
              </w:rPr>
              <w:fldChar w:fldCharType="separate"/>
            </w:r>
            <w:r>
              <w:rPr>
                <w:noProof/>
                <w:webHidden/>
              </w:rPr>
              <w:t>22</w:t>
            </w:r>
            <w:r>
              <w:rPr>
                <w:noProof/>
                <w:webHidden/>
              </w:rPr>
              <w:fldChar w:fldCharType="end"/>
            </w:r>
          </w:hyperlink>
        </w:p>
        <w:p w14:paraId="7EDFD541" w14:textId="619521D6" w:rsidR="004A1E4C" w:rsidRDefault="004A1E4C">
          <w:pPr>
            <w:pStyle w:val="TOC2"/>
            <w:tabs>
              <w:tab w:val="right" w:leader="dot" w:pos="9060"/>
            </w:tabs>
            <w:rPr>
              <w:rFonts w:eastAsiaTheme="minorEastAsia" w:cstheme="minorBidi"/>
              <w:i w:val="0"/>
              <w:iCs w:val="0"/>
              <w:noProof/>
              <w:color w:val="auto"/>
              <w:kern w:val="2"/>
              <w:sz w:val="24"/>
              <w:szCs w:val="24"/>
              <w:lang w:eastAsia="ja-JP"/>
              <w14:ligatures w14:val="standardContextual"/>
            </w:rPr>
          </w:pPr>
          <w:hyperlink w:anchor="_Toc223509391" w:history="1">
            <w:r w:rsidRPr="00034A0E">
              <w:rPr>
                <w:rStyle w:val="Hyperlink"/>
                <w:noProof/>
              </w:rPr>
              <w:t>Phase 2: Understanding existing assurance</w:t>
            </w:r>
            <w:r>
              <w:rPr>
                <w:noProof/>
                <w:webHidden/>
              </w:rPr>
              <w:tab/>
            </w:r>
            <w:r>
              <w:rPr>
                <w:noProof/>
                <w:webHidden/>
              </w:rPr>
              <w:fldChar w:fldCharType="begin"/>
            </w:r>
            <w:r>
              <w:rPr>
                <w:noProof/>
                <w:webHidden/>
              </w:rPr>
              <w:instrText xml:space="preserve"> PAGEREF _Toc223509391 \h </w:instrText>
            </w:r>
            <w:r>
              <w:rPr>
                <w:noProof/>
                <w:webHidden/>
              </w:rPr>
            </w:r>
            <w:r>
              <w:rPr>
                <w:noProof/>
                <w:webHidden/>
              </w:rPr>
              <w:fldChar w:fldCharType="separate"/>
            </w:r>
            <w:r>
              <w:rPr>
                <w:noProof/>
                <w:webHidden/>
              </w:rPr>
              <w:t>23</w:t>
            </w:r>
            <w:r>
              <w:rPr>
                <w:noProof/>
                <w:webHidden/>
              </w:rPr>
              <w:fldChar w:fldCharType="end"/>
            </w:r>
          </w:hyperlink>
        </w:p>
        <w:p w14:paraId="6C0510E0" w14:textId="7C9F243A" w:rsidR="004A1E4C" w:rsidRDefault="004A1E4C">
          <w:pPr>
            <w:pStyle w:val="TOC2"/>
            <w:tabs>
              <w:tab w:val="right" w:leader="dot" w:pos="9060"/>
            </w:tabs>
            <w:rPr>
              <w:rFonts w:eastAsiaTheme="minorEastAsia" w:cstheme="minorBidi"/>
              <w:i w:val="0"/>
              <w:iCs w:val="0"/>
              <w:noProof/>
              <w:color w:val="auto"/>
              <w:kern w:val="2"/>
              <w:sz w:val="24"/>
              <w:szCs w:val="24"/>
              <w:lang w:eastAsia="ja-JP"/>
              <w14:ligatures w14:val="standardContextual"/>
            </w:rPr>
          </w:pPr>
          <w:hyperlink w:anchor="_Toc223509392" w:history="1">
            <w:r w:rsidRPr="00034A0E">
              <w:rPr>
                <w:rStyle w:val="Hyperlink"/>
                <w:noProof/>
              </w:rPr>
              <w:t>Phase 3: Risk prioritisation</w:t>
            </w:r>
            <w:r>
              <w:rPr>
                <w:noProof/>
                <w:webHidden/>
              </w:rPr>
              <w:tab/>
            </w:r>
            <w:r>
              <w:rPr>
                <w:noProof/>
                <w:webHidden/>
              </w:rPr>
              <w:fldChar w:fldCharType="begin"/>
            </w:r>
            <w:r>
              <w:rPr>
                <w:noProof/>
                <w:webHidden/>
              </w:rPr>
              <w:instrText xml:space="preserve"> PAGEREF _Toc223509392 \h </w:instrText>
            </w:r>
            <w:r>
              <w:rPr>
                <w:noProof/>
                <w:webHidden/>
              </w:rPr>
            </w:r>
            <w:r>
              <w:rPr>
                <w:noProof/>
                <w:webHidden/>
              </w:rPr>
              <w:fldChar w:fldCharType="separate"/>
            </w:r>
            <w:r>
              <w:rPr>
                <w:noProof/>
                <w:webHidden/>
              </w:rPr>
              <w:t>23</w:t>
            </w:r>
            <w:r>
              <w:rPr>
                <w:noProof/>
                <w:webHidden/>
              </w:rPr>
              <w:fldChar w:fldCharType="end"/>
            </w:r>
          </w:hyperlink>
        </w:p>
        <w:p w14:paraId="196561BB" w14:textId="5CFF5D97" w:rsidR="004A1E4C" w:rsidRDefault="004A1E4C">
          <w:pPr>
            <w:pStyle w:val="TOC2"/>
            <w:tabs>
              <w:tab w:val="right" w:leader="dot" w:pos="9060"/>
            </w:tabs>
            <w:rPr>
              <w:rFonts w:eastAsiaTheme="minorEastAsia" w:cstheme="minorBidi"/>
              <w:i w:val="0"/>
              <w:iCs w:val="0"/>
              <w:noProof/>
              <w:color w:val="auto"/>
              <w:kern w:val="2"/>
              <w:sz w:val="24"/>
              <w:szCs w:val="24"/>
              <w:lang w:eastAsia="ja-JP"/>
              <w14:ligatures w14:val="standardContextual"/>
            </w:rPr>
          </w:pPr>
          <w:hyperlink w:anchor="_Toc223509393" w:history="1">
            <w:r w:rsidRPr="00034A0E">
              <w:rPr>
                <w:rStyle w:val="Hyperlink"/>
                <w:noProof/>
              </w:rPr>
              <w:t>Phase 4: Undertaking assurance</w:t>
            </w:r>
            <w:r>
              <w:rPr>
                <w:noProof/>
                <w:webHidden/>
              </w:rPr>
              <w:tab/>
            </w:r>
            <w:r>
              <w:rPr>
                <w:noProof/>
                <w:webHidden/>
              </w:rPr>
              <w:fldChar w:fldCharType="begin"/>
            </w:r>
            <w:r>
              <w:rPr>
                <w:noProof/>
                <w:webHidden/>
              </w:rPr>
              <w:instrText xml:space="preserve"> PAGEREF _Toc223509393 \h </w:instrText>
            </w:r>
            <w:r>
              <w:rPr>
                <w:noProof/>
                <w:webHidden/>
              </w:rPr>
            </w:r>
            <w:r>
              <w:rPr>
                <w:noProof/>
                <w:webHidden/>
              </w:rPr>
              <w:fldChar w:fldCharType="separate"/>
            </w:r>
            <w:r>
              <w:rPr>
                <w:noProof/>
                <w:webHidden/>
              </w:rPr>
              <w:t>24</w:t>
            </w:r>
            <w:r>
              <w:rPr>
                <w:noProof/>
                <w:webHidden/>
              </w:rPr>
              <w:fldChar w:fldCharType="end"/>
            </w:r>
          </w:hyperlink>
        </w:p>
        <w:p w14:paraId="6162FC41" w14:textId="2A6F824D" w:rsidR="004A1E4C" w:rsidRDefault="004A1E4C">
          <w:pPr>
            <w:pStyle w:val="TOC2"/>
            <w:tabs>
              <w:tab w:val="right" w:leader="dot" w:pos="9060"/>
            </w:tabs>
            <w:rPr>
              <w:rFonts w:eastAsiaTheme="minorEastAsia" w:cstheme="minorBidi"/>
              <w:i w:val="0"/>
              <w:iCs w:val="0"/>
              <w:noProof/>
              <w:color w:val="auto"/>
              <w:kern w:val="2"/>
              <w:sz w:val="24"/>
              <w:szCs w:val="24"/>
              <w:lang w:eastAsia="ja-JP"/>
              <w14:ligatures w14:val="standardContextual"/>
            </w:rPr>
          </w:pPr>
          <w:hyperlink w:anchor="_Toc223509394" w:history="1">
            <w:r w:rsidRPr="00034A0E">
              <w:rPr>
                <w:rStyle w:val="Hyperlink"/>
                <w:noProof/>
              </w:rPr>
              <w:t>Phase 5: Report and monitor</w:t>
            </w:r>
            <w:r>
              <w:rPr>
                <w:noProof/>
                <w:webHidden/>
              </w:rPr>
              <w:tab/>
            </w:r>
            <w:r>
              <w:rPr>
                <w:noProof/>
                <w:webHidden/>
              </w:rPr>
              <w:fldChar w:fldCharType="begin"/>
            </w:r>
            <w:r>
              <w:rPr>
                <w:noProof/>
                <w:webHidden/>
              </w:rPr>
              <w:instrText xml:space="preserve"> PAGEREF _Toc223509394 \h </w:instrText>
            </w:r>
            <w:r>
              <w:rPr>
                <w:noProof/>
                <w:webHidden/>
              </w:rPr>
            </w:r>
            <w:r>
              <w:rPr>
                <w:noProof/>
                <w:webHidden/>
              </w:rPr>
              <w:fldChar w:fldCharType="separate"/>
            </w:r>
            <w:r>
              <w:rPr>
                <w:noProof/>
                <w:webHidden/>
              </w:rPr>
              <w:t>25</w:t>
            </w:r>
            <w:r>
              <w:rPr>
                <w:noProof/>
                <w:webHidden/>
              </w:rPr>
              <w:fldChar w:fldCharType="end"/>
            </w:r>
          </w:hyperlink>
        </w:p>
        <w:p w14:paraId="2D7421BB" w14:textId="326C7B51" w:rsidR="004A1E4C" w:rsidRDefault="004A1E4C">
          <w:pPr>
            <w:pStyle w:val="TOC3"/>
            <w:tabs>
              <w:tab w:val="right" w:leader="dot" w:pos="9060"/>
            </w:tabs>
            <w:rPr>
              <w:rFonts w:eastAsiaTheme="minorEastAsia" w:cstheme="minorBidi"/>
              <w:noProof/>
              <w:color w:val="auto"/>
              <w:kern w:val="2"/>
              <w:sz w:val="24"/>
              <w:szCs w:val="24"/>
              <w:lang w:eastAsia="ja-JP"/>
              <w14:ligatures w14:val="standardContextual"/>
            </w:rPr>
          </w:pPr>
          <w:hyperlink w:anchor="_Toc223509395" w:history="1">
            <w:r w:rsidRPr="00034A0E">
              <w:rPr>
                <w:rStyle w:val="Hyperlink"/>
                <w:noProof/>
              </w:rPr>
              <w:t>Procedural fairness</w:t>
            </w:r>
            <w:r>
              <w:rPr>
                <w:noProof/>
                <w:webHidden/>
              </w:rPr>
              <w:tab/>
            </w:r>
            <w:r>
              <w:rPr>
                <w:noProof/>
                <w:webHidden/>
              </w:rPr>
              <w:fldChar w:fldCharType="begin"/>
            </w:r>
            <w:r>
              <w:rPr>
                <w:noProof/>
                <w:webHidden/>
              </w:rPr>
              <w:instrText xml:space="preserve"> PAGEREF _Toc223509395 \h </w:instrText>
            </w:r>
            <w:r>
              <w:rPr>
                <w:noProof/>
                <w:webHidden/>
              </w:rPr>
            </w:r>
            <w:r>
              <w:rPr>
                <w:noProof/>
                <w:webHidden/>
              </w:rPr>
              <w:fldChar w:fldCharType="separate"/>
            </w:r>
            <w:r>
              <w:rPr>
                <w:noProof/>
                <w:webHidden/>
              </w:rPr>
              <w:t>26</w:t>
            </w:r>
            <w:r>
              <w:rPr>
                <w:noProof/>
                <w:webHidden/>
              </w:rPr>
              <w:fldChar w:fldCharType="end"/>
            </w:r>
          </w:hyperlink>
        </w:p>
        <w:p w14:paraId="5B3ECDC9" w14:textId="18D1BF9D" w:rsidR="004A1E4C" w:rsidRDefault="004A1E4C">
          <w:pPr>
            <w:pStyle w:val="TOC2"/>
            <w:tabs>
              <w:tab w:val="right" w:leader="dot" w:pos="9060"/>
            </w:tabs>
            <w:rPr>
              <w:rFonts w:eastAsiaTheme="minorEastAsia" w:cstheme="minorBidi"/>
              <w:i w:val="0"/>
              <w:iCs w:val="0"/>
              <w:noProof/>
              <w:color w:val="auto"/>
              <w:kern w:val="2"/>
              <w:sz w:val="24"/>
              <w:szCs w:val="24"/>
              <w:lang w:eastAsia="ja-JP"/>
              <w14:ligatures w14:val="standardContextual"/>
            </w:rPr>
          </w:pPr>
          <w:hyperlink w:anchor="_Toc223509396" w:history="1">
            <w:r w:rsidRPr="00034A0E">
              <w:rPr>
                <w:rStyle w:val="Hyperlink"/>
                <w:noProof/>
              </w:rPr>
              <w:t>Phase 6: Implement and refine</w:t>
            </w:r>
            <w:r>
              <w:rPr>
                <w:noProof/>
                <w:webHidden/>
              </w:rPr>
              <w:tab/>
            </w:r>
            <w:r>
              <w:rPr>
                <w:noProof/>
                <w:webHidden/>
              </w:rPr>
              <w:fldChar w:fldCharType="begin"/>
            </w:r>
            <w:r>
              <w:rPr>
                <w:noProof/>
                <w:webHidden/>
              </w:rPr>
              <w:instrText xml:space="preserve"> PAGEREF _Toc223509396 \h </w:instrText>
            </w:r>
            <w:r>
              <w:rPr>
                <w:noProof/>
                <w:webHidden/>
              </w:rPr>
            </w:r>
            <w:r>
              <w:rPr>
                <w:noProof/>
                <w:webHidden/>
              </w:rPr>
              <w:fldChar w:fldCharType="separate"/>
            </w:r>
            <w:r>
              <w:rPr>
                <w:noProof/>
                <w:webHidden/>
              </w:rPr>
              <w:t>26</w:t>
            </w:r>
            <w:r>
              <w:rPr>
                <w:noProof/>
                <w:webHidden/>
              </w:rPr>
              <w:fldChar w:fldCharType="end"/>
            </w:r>
          </w:hyperlink>
        </w:p>
        <w:p w14:paraId="13698378" w14:textId="330434D2" w:rsidR="004A1E4C" w:rsidRDefault="004A1E4C">
          <w:pPr>
            <w:pStyle w:val="TOC2"/>
            <w:tabs>
              <w:tab w:val="right" w:leader="dot" w:pos="9060"/>
            </w:tabs>
            <w:rPr>
              <w:rFonts w:eastAsiaTheme="minorEastAsia" w:cstheme="minorBidi"/>
              <w:i w:val="0"/>
              <w:iCs w:val="0"/>
              <w:noProof/>
              <w:color w:val="auto"/>
              <w:kern w:val="2"/>
              <w:sz w:val="24"/>
              <w:szCs w:val="24"/>
              <w:lang w:eastAsia="ja-JP"/>
              <w14:ligatures w14:val="standardContextual"/>
            </w:rPr>
          </w:pPr>
          <w:hyperlink w:anchor="_Toc223509397" w:history="1">
            <w:r w:rsidRPr="00034A0E">
              <w:rPr>
                <w:rStyle w:val="Hyperlink"/>
                <w:rFonts w:eastAsia="Arial"/>
                <w:noProof/>
              </w:rPr>
              <w:t>Internal continuous improvement</w:t>
            </w:r>
            <w:r>
              <w:rPr>
                <w:noProof/>
                <w:webHidden/>
              </w:rPr>
              <w:tab/>
            </w:r>
            <w:r>
              <w:rPr>
                <w:noProof/>
                <w:webHidden/>
              </w:rPr>
              <w:fldChar w:fldCharType="begin"/>
            </w:r>
            <w:r>
              <w:rPr>
                <w:noProof/>
                <w:webHidden/>
              </w:rPr>
              <w:instrText xml:space="preserve"> PAGEREF _Toc223509397 \h </w:instrText>
            </w:r>
            <w:r>
              <w:rPr>
                <w:noProof/>
                <w:webHidden/>
              </w:rPr>
            </w:r>
            <w:r>
              <w:rPr>
                <w:noProof/>
                <w:webHidden/>
              </w:rPr>
              <w:fldChar w:fldCharType="separate"/>
            </w:r>
            <w:r>
              <w:rPr>
                <w:noProof/>
                <w:webHidden/>
              </w:rPr>
              <w:t>27</w:t>
            </w:r>
            <w:r>
              <w:rPr>
                <w:noProof/>
                <w:webHidden/>
              </w:rPr>
              <w:fldChar w:fldCharType="end"/>
            </w:r>
          </w:hyperlink>
        </w:p>
        <w:p w14:paraId="51E55834" w14:textId="7E933500" w:rsidR="004A1E4C" w:rsidRDefault="004A1E4C">
          <w:pPr>
            <w:pStyle w:val="TOC1"/>
            <w:tabs>
              <w:tab w:val="right" w:leader="dot" w:pos="9060"/>
            </w:tabs>
            <w:rPr>
              <w:rFonts w:asciiTheme="minorHAnsi" w:eastAsiaTheme="minorEastAsia" w:hAnsiTheme="minorHAnsi" w:cstheme="minorBidi"/>
              <w:b w:val="0"/>
              <w:iCs w:val="0"/>
              <w:noProof/>
              <w:color w:val="auto"/>
              <w:kern w:val="2"/>
              <w:szCs w:val="24"/>
              <w:lang w:eastAsia="ja-JP"/>
              <w14:ligatures w14:val="standardContextual"/>
            </w:rPr>
          </w:pPr>
          <w:hyperlink w:anchor="_Toc223509398" w:history="1">
            <w:r w:rsidRPr="00034A0E">
              <w:rPr>
                <w:rStyle w:val="Hyperlink"/>
                <w:noProof/>
              </w:rPr>
              <w:t>Appendix A</w:t>
            </w:r>
            <w:r>
              <w:rPr>
                <w:noProof/>
                <w:webHidden/>
              </w:rPr>
              <w:tab/>
            </w:r>
            <w:r>
              <w:rPr>
                <w:noProof/>
                <w:webHidden/>
              </w:rPr>
              <w:fldChar w:fldCharType="begin"/>
            </w:r>
            <w:r>
              <w:rPr>
                <w:noProof/>
                <w:webHidden/>
              </w:rPr>
              <w:instrText xml:space="preserve"> PAGEREF _Toc223509398 \h </w:instrText>
            </w:r>
            <w:r>
              <w:rPr>
                <w:noProof/>
                <w:webHidden/>
              </w:rPr>
            </w:r>
            <w:r>
              <w:rPr>
                <w:noProof/>
                <w:webHidden/>
              </w:rPr>
              <w:fldChar w:fldCharType="separate"/>
            </w:r>
            <w:r>
              <w:rPr>
                <w:noProof/>
                <w:webHidden/>
              </w:rPr>
              <w:t>28</w:t>
            </w:r>
            <w:r>
              <w:rPr>
                <w:noProof/>
                <w:webHidden/>
              </w:rPr>
              <w:fldChar w:fldCharType="end"/>
            </w:r>
          </w:hyperlink>
        </w:p>
        <w:p w14:paraId="5AC3765F" w14:textId="667592E9" w:rsidR="00B85FC0" w:rsidRPr="00A602D4" w:rsidRDefault="00AC3699" w:rsidP="00A602D4">
          <w:r w:rsidRPr="00713B50">
            <w:rPr>
              <w:rFonts w:cs="Arial"/>
              <w:b/>
              <w:bCs/>
              <w:noProof/>
            </w:rPr>
            <w:fldChar w:fldCharType="end"/>
          </w:r>
        </w:p>
      </w:sdtContent>
    </w:sdt>
    <w:p w14:paraId="5003B8F9" w14:textId="77777777" w:rsidR="00B85FC0" w:rsidRPr="00913D5E" w:rsidRDefault="00B85FC0" w:rsidP="0049647C">
      <w:pPr>
        <w:pStyle w:val="Heading1"/>
      </w:pPr>
      <w:bookmarkStart w:id="9" w:name="_Toc210125801"/>
      <w:bookmarkStart w:id="10" w:name="_Toc210388280"/>
      <w:bookmarkStart w:id="11" w:name="_Toc223509370"/>
      <w:r w:rsidRPr="00913D5E">
        <w:t xml:space="preserve">Executive </w:t>
      </w:r>
      <w:r>
        <w:t>s</w:t>
      </w:r>
      <w:r w:rsidRPr="00913D5E">
        <w:t>ummary</w:t>
      </w:r>
      <w:bookmarkEnd w:id="9"/>
      <w:bookmarkEnd w:id="10"/>
      <w:bookmarkEnd w:id="11"/>
    </w:p>
    <w:p w14:paraId="39DBF9D4" w14:textId="19C6DA17" w:rsidR="00B85FC0" w:rsidRPr="00F03051" w:rsidRDefault="00B85FC0" w:rsidP="00ED79FC">
      <w:r w:rsidRPr="00F03051">
        <w:t>The Support at Home program</w:t>
      </w:r>
      <w:r w:rsidR="004A6AF7">
        <w:rPr>
          <w:rStyle w:val="FootnoteReference"/>
        </w:rPr>
        <w:footnoteReference w:id="2"/>
      </w:r>
      <w:r w:rsidRPr="00F03051">
        <w:t xml:space="preserve"> supports growing numbers of older people in Australia to remain in their homes as they age. It is established under the </w:t>
      </w:r>
      <w:r w:rsidRPr="006B7A11">
        <w:rPr>
          <w:i/>
          <w:iCs/>
        </w:rPr>
        <w:t>Aged Care Act 2024</w:t>
      </w:r>
      <w:r w:rsidRPr="00F03051">
        <w:t xml:space="preserve"> (the Act) in response to </w:t>
      </w:r>
      <w:r w:rsidR="00F606E6">
        <w:t>the</w:t>
      </w:r>
      <w:r w:rsidRPr="00F03051">
        <w:t xml:space="preserve"> Royal Commission into Aged Care Quality and Safety.</w:t>
      </w:r>
    </w:p>
    <w:p w14:paraId="36E3B8E7" w14:textId="23CDCD65" w:rsidR="00B85FC0" w:rsidRPr="008D2E30" w:rsidRDefault="003D64FE" w:rsidP="00ED79FC">
      <w:r>
        <w:t>T</w:t>
      </w:r>
      <w:r w:rsidRPr="003D64FE">
        <w:t xml:space="preserve">he Act creates a modern, rights-based framework. It prioritises older people's safety, </w:t>
      </w:r>
      <w:proofErr w:type="spellStart"/>
      <w:r w:rsidRPr="003D64FE">
        <w:t>health,</w:t>
      </w:r>
      <w:proofErr w:type="spellEnd"/>
      <w:r w:rsidRPr="003D64FE">
        <w:t xml:space="preserve"> and wellbeing, placing their needs at the heart of aged care</w:t>
      </w:r>
      <w:r w:rsidR="00B85FC0" w:rsidRPr="008D2E30">
        <w:t xml:space="preserve">. It introduces a Statement of Rights that </w:t>
      </w:r>
      <w:r w:rsidR="00C72448">
        <w:t>a participant</w:t>
      </w:r>
      <w:r w:rsidR="00F00861">
        <w:rPr>
          <w:rStyle w:val="FootnoteReference"/>
        </w:rPr>
        <w:footnoteReference w:id="3"/>
      </w:r>
      <w:r w:rsidR="00C869E6" w:rsidRPr="008D2E30">
        <w:t xml:space="preserve"> </w:t>
      </w:r>
      <w:r w:rsidR="00B85FC0" w:rsidRPr="008D2E30">
        <w:t xml:space="preserve">is entitled to when accessing, or seeking to access, funded aged care services. </w:t>
      </w:r>
      <w:r w:rsidR="00127AAC" w:rsidRPr="00127AAC">
        <w:t>Support at Home providers must take reasonable and proportionate steps to ensure their services align with</w:t>
      </w:r>
      <w:r w:rsidR="002E2A99">
        <w:t xml:space="preserve"> a</w:t>
      </w:r>
      <w:r w:rsidR="00127AAC" w:rsidRPr="00127AAC">
        <w:t xml:space="preserve"> </w:t>
      </w:r>
      <w:r w:rsidR="0003285E">
        <w:t>participant</w:t>
      </w:r>
      <w:r w:rsidR="002E2A99">
        <w:t>’</w:t>
      </w:r>
      <w:r w:rsidR="00127AAC" w:rsidRPr="00127AAC">
        <w:t xml:space="preserve">s rights under the aged care </w:t>
      </w:r>
      <w:r w:rsidR="0003285E" w:rsidRPr="00127AAC">
        <w:t>legislation</w:t>
      </w:r>
      <w:r w:rsidR="0003285E" w:rsidRPr="008D2E30">
        <w:t>. To</w:t>
      </w:r>
      <w:r w:rsidR="00B85FC0" w:rsidRPr="008D2E30">
        <w:t xml:space="preserve"> support the rights-based model, the Act introduces the System Governor role, performed by the Secretary of the Department of Health, Disability and Ageing (the department). The System Governor is responsible for the operations and oversight of the aged care system including: </w:t>
      </w:r>
    </w:p>
    <w:p w14:paraId="5939402C" w14:textId="77777777" w:rsidR="00B85FC0" w:rsidRPr="00F938F3" w:rsidRDefault="00B85FC0" w:rsidP="004C3002">
      <w:pPr>
        <w:pStyle w:val="ListBullet2"/>
      </w:pPr>
      <w:r w:rsidRPr="00F938F3">
        <w:t>facilitating equitable access to funded aged care services for older people</w:t>
      </w:r>
    </w:p>
    <w:p w14:paraId="045FB20D" w14:textId="77777777" w:rsidR="00B85FC0" w:rsidRPr="00F938F3" w:rsidRDefault="00B85FC0" w:rsidP="004C3002">
      <w:pPr>
        <w:pStyle w:val="ListBullet2"/>
      </w:pPr>
      <w:r w:rsidRPr="00F938F3">
        <w:t>supporting the continuity of funded aged care services</w:t>
      </w:r>
    </w:p>
    <w:p w14:paraId="663E5CEF" w14:textId="77777777" w:rsidR="00B85FC0" w:rsidRPr="00F938F3" w:rsidRDefault="00B85FC0" w:rsidP="004C3002">
      <w:pPr>
        <w:pStyle w:val="ListBullet2"/>
      </w:pPr>
      <w:r w:rsidRPr="00F938F3">
        <w:t>providing stewardship of the aged care system</w:t>
      </w:r>
    </w:p>
    <w:p w14:paraId="01803038" w14:textId="77777777" w:rsidR="00B85FC0" w:rsidRPr="00F938F3" w:rsidRDefault="00B85FC0" w:rsidP="004C3002">
      <w:pPr>
        <w:pStyle w:val="ListBullet2"/>
      </w:pPr>
      <w:r w:rsidRPr="00F938F3">
        <w:t>protecting and upholding the integrity of the aged care system</w:t>
      </w:r>
    </w:p>
    <w:p w14:paraId="2DC67D55" w14:textId="77777777" w:rsidR="00B85FC0" w:rsidRPr="00F938F3" w:rsidRDefault="00B85FC0" w:rsidP="004C3002">
      <w:pPr>
        <w:pStyle w:val="ListBullet2"/>
      </w:pPr>
      <w:r w:rsidRPr="00F938F3">
        <w:t>monitoring and encouraging the training and development of aged care workers</w:t>
      </w:r>
    </w:p>
    <w:p w14:paraId="32C2E712" w14:textId="77777777" w:rsidR="00B85FC0" w:rsidRPr="00F938F3" w:rsidRDefault="00B85FC0" w:rsidP="004C3002">
      <w:pPr>
        <w:pStyle w:val="ListBullet2"/>
      </w:pPr>
      <w:r w:rsidRPr="00F938F3">
        <w:t>reviewing the Australian Government’s administration of the aged care system.</w:t>
      </w:r>
    </w:p>
    <w:p w14:paraId="4DEB57B7" w14:textId="1674CC1B" w:rsidR="00E40384" w:rsidRPr="005A49D1" w:rsidRDefault="00B85FC0" w:rsidP="00A602D4">
      <w:r w:rsidRPr="008D2E30">
        <w:rPr>
          <w:iCs/>
        </w:rPr>
        <w:t>Sections 508-513 of the Act provide for the powers of the System Governor to conduct assurance activities in respect of the System Governor’s functions. This Support at Home program assurance framework (assurance framework) outlines the department’s approach to conducting Support at Home program assurance activities under the Act.</w:t>
      </w:r>
      <w:r w:rsidR="00E40384">
        <w:rPr>
          <w:iCs/>
        </w:rPr>
        <w:br w:type="page"/>
      </w:r>
    </w:p>
    <w:p w14:paraId="0CE127B4" w14:textId="77777777" w:rsidR="00194522" w:rsidRDefault="00194522" w:rsidP="00ED79FC">
      <w:pPr>
        <w:rPr>
          <w:iCs/>
        </w:rPr>
        <w:sectPr w:rsidR="00194522" w:rsidSect="008D2E30">
          <w:pgSz w:w="11906" w:h="16838"/>
          <w:pgMar w:top="1418" w:right="1418" w:bottom="709" w:left="1418" w:header="709" w:footer="468" w:gutter="0"/>
          <w:cols w:space="708"/>
          <w:docGrid w:linePitch="360"/>
        </w:sectPr>
      </w:pPr>
    </w:p>
    <w:tbl>
      <w:tblPr>
        <w:tblStyle w:val="TableGrid"/>
        <w:tblW w:w="0" w:type="auto"/>
        <w:tblCellMar>
          <w:left w:w="142" w:type="dxa"/>
          <w:right w:w="142" w:type="dxa"/>
        </w:tblCellMar>
        <w:tblLook w:val="04A0" w:firstRow="1" w:lastRow="0" w:firstColumn="1" w:lastColumn="0" w:noHBand="0" w:noVBand="1"/>
      </w:tblPr>
      <w:tblGrid>
        <w:gridCol w:w="9024"/>
      </w:tblGrid>
      <w:tr w:rsidR="00A04B85" w14:paraId="29222CAF" w14:textId="77777777" w:rsidTr="005A49D1">
        <w:trPr>
          <w:trHeight w:val="297"/>
          <w:tblHeader/>
        </w:trPr>
        <w:tc>
          <w:tcPr>
            <w:cnfStyle w:val="001000000000" w:firstRow="0" w:lastRow="0" w:firstColumn="1" w:lastColumn="0" w:oddVBand="0" w:evenVBand="0" w:oddHBand="0" w:evenHBand="0" w:firstRowFirstColumn="0" w:firstRowLastColumn="0" w:lastRowFirstColumn="0" w:lastRowLastColumn="0"/>
            <w:tcW w:w="9024" w:type="dxa"/>
            <w:tcBorders>
              <w:top w:val="single" w:sz="36" w:space="0" w:color="FFFFFF" w:themeColor="background1"/>
              <w:left w:val="single" w:sz="18" w:space="0" w:color="FFFFFF" w:themeColor="background1"/>
              <w:bottom w:val="single" w:sz="18" w:space="0" w:color="FFFFFF" w:themeColor="background1"/>
              <w:right w:val="single" w:sz="18" w:space="0" w:color="FFFFFF" w:themeColor="background1"/>
            </w:tcBorders>
            <w:vAlign w:val="center"/>
          </w:tcPr>
          <w:p w14:paraId="6C4EE132" w14:textId="77777777" w:rsidR="00A04B85" w:rsidRPr="005A49D1" w:rsidRDefault="00A04B85" w:rsidP="005A49D1">
            <w:pPr>
              <w:pStyle w:val="TableHeader"/>
            </w:pPr>
            <w:r w:rsidRPr="005A49D1">
              <w:t>Support at Home program assurance framework</w:t>
            </w:r>
          </w:p>
        </w:tc>
      </w:tr>
      <w:tr w:rsidR="00A04B85" w14:paraId="1AC55CFB" w14:textId="77777777" w:rsidTr="003F5086">
        <w:trPr>
          <w:trHeight w:val="297"/>
        </w:trPr>
        <w:tc>
          <w:tcPr>
            <w:cnfStyle w:val="001000000000" w:firstRow="0" w:lastRow="0" w:firstColumn="1" w:lastColumn="0" w:oddVBand="0" w:evenVBand="0" w:oddHBand="0" w:evenHBand="0" w:firstRowFirstColumn="0" w:firstRowLastColumn="0" w:lastRowFirstColumn="0" w:lastRowLastColumn="0"/>
            <w:tcW w:w="9024" w:type="dxa"/>
            <w:tcBorders>
              <w:top w:val="single" w:sz="36"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374C80" w:themeFill="accent1" w:themeFillShade="BF"/>
            <w:vAlign w:val="center"/>
          </w:tcPr>
          <w:p w14:paraId="1F18F03F" w14:textId="77777777" w:rsidR="00A04B85" w:rsidRPr="005A49D1" w:rsidRDefault="00A04B85" w:rsidP="005A49D1">
            <w:pPr>
              <w:pStyle w:val="TableHeaderWhite"/>
            </w:pPr>
            <w:r w:rsidRPr="005A49D1">
              <w:t>Purpose</w:t>
            </w:r>
          </w:p>
        </w:tc>
      </w:tr>
      <w:tr w:rsidR="00A04B85" w14:paraId="56110452" w14:textId="77777777" w:rsidTr="003F5086">
        <w:tc>
          <w:tcPr>
            <w:cnfStyle w:val="001000000000" w:firstRow="0" w:lastRow="0" w:firstColumn="1" w:lastColumn="0" w:oddVBand="0" w:evenVBand="0" w:oddHBand="0" w:evenHBand="0" w:firstRowFirstColumn="0" w:firstRowLastColumn="0" w:lastRowFirstColumn="0" w:lastRowLastColumn="0"/>
            <w:tcW w:w="9024" w:type="dxa"/>
            <w:tcBorders>
              <w:top w:val="single" w:sz="18" w:space="0" w:color="FFFFFF" w:themeColor="background1"/>
              <w:left w:val="single" w:sz="18" w:space="0" w:color="FFFFFF" w:themeColor="background1"/>
              <w:bottom w:val="single" w:sz="36" w:space="0" w:color="FFFFFF" w:themeColor="background1"/>
              <w:right w:val="single" w:sz="18" w:space="0" w:color="FFFFFF" w:themeColor="background1"/>
            </w:tcBorders>
            <w:shd w:val="clear" w:color="auto" w:fill="D9DFEF" w:themeFill="accent1" w:themeFillTint="33"/>
            <w:vAlign w:val="center"/>
          </w:tcPr>
          <w:p w14:paraId="208CD696" w14:textId="77777777" w:rsidR="00A04B85" w:rsidRPr="005A49D1" w:rsidRDefault="00A04B85" w:rsidP="005A49D1">
            <w:pPr>
              <w:pStyle w:val="Tabletext"/>
            </w:pPr>
            <w:r w:rsidRPr="005A49D1">
              <w:t>To outline a risk-based assurance approach to provide confidence in the integrity of the Support at Home program in keeping with the System Governor’s obligations under the Act.</w:t>
            </w:r>
          </w:p>
        </w:tc>
      </w:tr>
      <w:tr w:rsidR="00A04B85" w14:paraId="4CC0590F" w14:textId="77777777" w:rsidTr="003F5086">
        <w:trPr>
          <w:trHeight w:val="227"/>
        </w:trPr>
        <w:tc>
          <w:tcPr>
            <w:cnfStyle w:val="001000000000" w:firstRow="0" w:lastRow="0" w:firstColumn="1" w:lastColumn="0" w:oddVBand="0" w:evenVBand="0" w:oddHBand="0" w:evenHBand="0" w:firstRowFirstColumn="0" w:firstRowLastColumn="0" w:lastRowFirstColumn="0" w:lastRowLastColumn="0"/>
            <w:tcW w:w="9024" w:type="dxa"/>
            <w:tcBorders>
              <w:top w:val="single" w:sz="36"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417A84" w:themeFill="accent5" w:themeFillShade="BF"/>
            <w:vAlign w:val="center"/>
          </w:tcPr>
          <w:p w14:paraId="65DF90BC" w14:textId="77777777" w:rsidR="00A04B85" w:rsidRPr="005A49D1" w:rsidRDefault="00A04B85" w:rsidP="005A49D1">
            <w:pPr>
              <w:pStyle w:val="TableHeaderWhite"/>
            </w:pPr>
            <w:r w:rsidRPr="005A49D1">
              <w:t>Vision</w:t>
            </w:r>
          </w:p>
        </w:tc>
      </w:tr>
      <w:tr w:rsidR="00A04B85" w14:paraId="58472717" w14:textId="77777777" w:rsidTr="003F5086">
        <w:tc>
          <w:tcPr>
            <w:cnfStyle w:val="001000000000" w:firstRow="0" w:lastRow="0" w:firstColumn="1" w:lastColumn="0" w:oddVBand="0" w:evenVBand="0" w:oddHBand="0" w:evenHBand="0" w:firstRowFirstColumn="0" w:firstRowLastColumn="0" w:lastRowFirstColumn="0" w:lastRowLastColumn="0"/>
            <w:tcW w:w="9024" w:type="dxa"/>
            <w:tcBorders>
              <w:top w:val="single" w:sz="18" w:space="0" w:color="FFFFFF" w:themeColor="background1"/>
              <w:left w:val="single" w:sz="18" w:space="0" w:color="FFFFFF" w:themeColor="background1"/>
              <w:bottom w:val="single" w:sz="36" w:space="0" w:color="FFFFFF" w:themeColor="background1"/>
              <w:right w:val="single" w:sz="18" w:space="0" w:color="FFFFFF" w:themeColor="background1"/>
            </w:tcBorders>
            <w:shd w:val="clear" w:color="auto" w:fill="FFFFFF" w:themeFill="background1"/>
            <w:vAlign w:val="center"/>
          </w:tcPr>
          <w:p w14:paraId="0A256959" w14:textId="77777777" w:rsidR="00A04B85" w:rsidRPr="005A49D1" w:rsidRDefault="00A04B85" w:rsidP="005A49D1">
            <w:pPr>
              <w:pStyle w:val="Tabletext"/>
            </w:pPr>
            <w:r w:rsidRPr="005A49D1">
              <w:t>A future where Support at Home funding is used with integrity and transparency, assurance efforts enable value for money, and public trust is upheld.</w:t>
            </w:r>
          </w:p>
        </w:tc>
      </w:tr>
      <w:tr w:rsidR="00A04B85" w14:paraId="4C6385AA" w14:textId="77777777" w:rsidTr="003F5086">
        <w:tc>
          <w:tcPr>
            <w:cnfStyle w:val="001000000000" w:firstRow="0" w:lastRow="0" w:firstColumn="1" w:lastColumn="0" w:oddVBand="0" w:evenVBand="0" w:oddHBand="0" w:evenHBand="0" w:firstRowFirstColumn="0" w:firstRowLastColumn="0" w:lastRowFirstColumn="0" w:lastRowLastColumn="0"/>
            <w:tcW w:w="9024" w:type="dxa"/>
            <w:tcBorders>
              <w:top w:val="single" w:sz="36"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234F77" w:themeFill="accent2" w:themeFillShade="80"/>
            <w:vAlign w:val="center"/>
          </w:tcPr>
          <w:p w14:paraId="3CB37A31" w14:textId="77777777" w:rsidR="00A04B85" w:rsidRPr="005A49D1" w:rsidRDefault="00A04B85" w:rsidP="005A49D1">
            <w:pPr>
              <w:pStyle w:val="TableHeaderWhite"/>
            </w:pPr>
            <w:r w:rsidRPr="005A49D1">
              <w:t>Principles</w:t>
            </w:r>
          </w:p>
        </w:tc>
      </w:tr>
      <w:tr w:rsidR="00A04B85" w14:paraId="54F027B0" w14:textId="77777777" w:rsidTr="003F5086">
        <w:trPr>
          <w:trHeight w:val="576"/>
        </w:trPr>
        <w:tc>
          <w:tcPr>
            <w:cnfStyle w:val="001000000000" w:firstRow="0" w:lastRow="0" w:firstColumn="1" w:lastColumn="0" w:oddVBand="0" w:evenVBand="0" w:oddHBand="0" w:evenHBand="0" w:firstRowFirstColumn="0" w:firstRowLastColumn="0" w:lastRowFirstColumn="0" w:lastRowLastColumn="0"/>
            <w:tcW w:w="9024" w:type="dxa"/>
            <w:tcBorders>
              <w:top w:val="single" w:sz="18" w:space="0" w:color="FFFFFF" w:themeColor="background1"/>
              <w:left w:val="single" w:sz="18" w:space="0" w:color="FFFFFF" w:themeColor="background1"/>
              <w:bottom w:val="single" w:sz="36" w:space="0" w:color="FFFFFF" w:themeColor="background1"/>
              <w:right w:val="single" w:sz="18" w:space="0" w:color="FFFFFF" w:themeColor="background1"/>
            </w:tcBorders>
            <w:shd w:val="clear" w:color="auto" w:fill="DFEBF5" w:themeFill="accent2" w:themeFillTint="33"/>
            <w:vAlign w:val="center"/>
          </w:tcPr>
          <w:p w14:paraId="210B98C3" w14:textId="77777777" w:rsidR="00A04B85" w:rsidRPr="005A49D1" w:rsidRDefault="00A04B85" w:rsidP="005A49D1">
            <w:pPr>
              <w:pStyle w:val="Tabletext"/>
            </w:pPr>
            <w:r w:rsidRPr="005A49D1">
              <w:t>Continuous improvement</w:t>
            </w:r>
          </w:p>
        </w:tc>
      </w:tr>
      <w:tr w:rsidR="00A04B85" w14:paraId="61007A8D" w14:textId="77777777" w:rsidTr="003F5086">
        <w:trPr>
          <w:trHeight w:val="576"/>
        </w:trPr>
        <w:tc>
          <w:tcPr>
            <w:cnfStyle w:val="001000000000" w:firstRow="0" w:lastRow="0" w:firstColumn="1" w:lastColumn="0" w:oddVBand="0" w:evenVBand="0" w:oddHBand="0" w:evenHBand="0" w:firstRowFirstColumn="0" w:firstRowLastColumn="0" w:lastRowFirstColumn="0" w:lastRowLastColumn="0"/>
            <w:tcW w:w="9024" w:type="dxa"/>
            <w:tcBorders>
              <w:top w:val="single" w:sz="18" w:space="0" w:color="FFFFFF" w:themeColor="background1"/>
              <w:left w:val="single" w:sz="18" w:space="0" w:color="FFFFFF" w:themeColor="background1"/>
              <w:bottom w:val="single" w:sz="36" w:space="0" w:color="FFFFFF" w:themeColor="background1"/>
              <w:right w:val="single" w:sz="18" w:space="0" w:color="FFFFFF" w:themeColor="background1"/>
            </w:tcBorders>
            <w:shd w:val="clear" w:color="auto" w:fill="DFEBF5" w:themeFill="accent2" w:themeFillTint="33"/>
            <w:vAlign w:val="center"/>
          </w:tcPr>
          <w:p w14:paraId="1C2F6348" w14:textId="77777777" w:rsidR="00A04B85" w:rsidRPr="005A49D1" w:rsidRDefault="00A04B85" w:rsidP="005A49D1">
            <w:pPr>
              <w:pStyle w:val="Tabletext"/>
            </w:pPr>
            <w:r w:rsidRPr="005A49D1">
              <w:t>Risk-based and data driven</w:t>
            </w:r>
          </w:p>
        </w:tc>
      </w:tr>
      <w:tr w:rsidR="00A04B85" w14:paraId="0BE4676F" w14:textId="77777777" w:rsidTr="003F5086">
        <w:trPr>
          <w:trHeight w:val="576"/>
        </w:trPr>
        <w:tc>
          <w:tcPr>
            <w:cnfStyle w:val="001000000000" w:firstRow="0" w:lastRow="0" w:firstColumn="1" w:lastColumn="0" w:oddVBand="0" w:evenVBand="0" w:oddHBand="0" w:evenHBand="0" w:firstRowFirstColumn="0" w:firstRowLastColumn="0" w:lastRowFirstColumn="0" w:lastRowLastColumn="0"/>
            <w:tcW w:w="9024" w:type="dxa"/>
            <w:tcBorders>
              <w:top w:val="single" w:sz="18" w:space="0" w:color="FFFFFF" w:themeColor="background1"/>
              <w:left w:val="single" w:sz="18" w:space="0" w:color="FFFFFF" w:themeColor="background1"/>
              <w:bottom w:val="single" w:sz="36" w:space="0" w:color="FFFFFF" w:themeColor="background1"/>
              <w:right w:val="single" w:sz="18" w:space="0" w:color="FFFFFF" w:themeColor="background1"/>
            </w:tcBorders>
            <w:shd w:val="clear" w:color="auto" w:fill="DFEBF5" w:themeFill="accent2" w:themeFillTint="33"/>
            <w:vAlign w:val="center"/>
          </w:tcPr>
          <w:p w14:paraId="6A6A524E" w14:textId="77777777" w:rsidR="00A04B85" w:rsidRPr="005A49D1" w:rsidRDefault="00A04B85" w:rsidP="005A49D1">
            <w:pPr>
              <w:pStyle w:val="Tabletext"/>
            </w:pPr>
            <w:r w:rsidRPr="005A49D1">
              <w:t>Collaboration, engagement, and trust</w:t>
            </w:r>
          </w:p>
        </w:tc>
      </w:tr>
      <w:tr w:rsidR="00A04B85" w14:paraId="21832B1C" w14:textId="77777777" w:rsidTr="003F5086">
        <w:tc>
          <w:tcPr>
            <w:cnfStyle w:val="001000000000" w:firstRow="0" w:lastRow="0" w:firstColumn="1" w:lastColumn="0" w:oddVBand="0" w:evenVBand="0" w:oddHBand="0" w:evenHBand="0" w:firstRowFirstColumn="0" w:firstRowLastColumn="0" w:lastRowFirstColumn="0" w:lastRowLastColumn="0"/>
            <w:tcW w:w="9024" w:type="dxa"/>
            <w:tcBorders>
              <w:left w:val="single" w:sz="18" w:space="0" w:color="FFFFFF" w:themeColor="background1"/>
              <w:right w:val="single" w:sz="18" w:space="0" w:color="FFFFFF" w:themeColor="background1"/>
            </w:tcBorders>
            <w:shd w:val="clear" w:color="auto" w:fill="143F6A" w:themeFill="accent3" w:themeFillShade="80"/>
            <w:vAlign w:val="center"/>
          </w:tcPr>
          <w:p w14:paraId="5460D2C8" w14:textId="77777777" w:rsidR="00A04B85" w:rsidRPr="005A49D1" w:rsidRDefault="00A04B85" w:rsidP="005A49D1">
            <w:pPr>
              <w:pStyle w:val="TableHeaderWhite"/>
            </w:pPr>
            <w:r w:rsidRPr="005A49D1">
              <w:t>Key Risks</w:t>
            </w:r>
          </w:p>
        </w:tc>
      </w:tr>
      <w:tr w:rsidR="00A04B85" w14:paraId="2F335845" w14:textId="77777777" w:rsidTr="003F5086">
        <w:tc>
          <w:tcPr>
            <w:cnfStyle w:val="001000000000" w:firstRow="0" w:lastRow="0" w:firstColumn="1" w:lastColumn="0" w:oddVBand="0" w:evenVBand="0" w:oddHBand="0" w:evenHBand="0" w:firstRowFirstColumn="0" w:firstRowLastColumn="0" w:lastRowFirstColumn="0" w:lastRowLastColumn="0"/>
            <w:tcW w:w="902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3E5F6" w:themeFill="accent3" w:themeFillTint="33"/>
            <w:vAlign w:val="center"/>
          </w:tcPr>
          <w:p w14:paraId="40198C97" w14:textId="3EEFE045" w:rsidR="00A04B85" w:rsidRPr="005A49D1" w:rsidRDefault="00A04B85" w:rsidP="005A49D1">
            <w:pPr>
              <w:pStyle w:val="Tabletext"/>
            </w:pPr>
            <w:r w:rsidRPr="005A49D1">
              <w:t xml:space="preserve">Support at Home program does not achieve value for money for </w:t>
            </w:r>
            <w:r w:rsidR="0003285E" w:rsidRPr="005A49D1">
              <w:t>participant</w:t>
            </w:r>
            <w:r w:rsidRPr="005A49D1">
              <w:t xml:space="preserve">s and/or the Australian public because of one or more of the following: </w:t>
            </w:r>
          </w:p>
        </w:tc>
      </w:tr>
      <w:tr w:rsidR="00A04B85" w14:paraId="00B9B857" w14:textId="77777777" w:rsidTr="003F5086">
        <w:tc>
          <w:tcPr>
            <w:cnfStyle w:val="001000000000" w:firstRow="0" w:lastRow="0" w:firstColumn="1" w:lastColumn="0" w:oddVBand="0" w:evenVBand="0" w:oddHBand="0" w:evenHBand="0" w:firstRowFirstColumn="0" w:firstRowLastColumn="0" w:lastRowFirstColumn="0" w:lastRowLastColumn="0"/>
            <w:tcW w:w="902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3E5F6" w:themeFill="accent3" w:themeFillTint="33"/>
            <w:vAlign w:val="center"/>
          </w:tcPr>
          <w:p w14:paraId="5FCE199E" w14:textId="3EEED8AC" w:rsidR="00A04B85" w:rsidRPr="005A49D1" w:rsidRDefault="0003285E" w:rsidP="005A49D1">
            <w:pPr>
              <w:pStyle w:val="Tabletext"/>
            </w:pPr>
            <w:r w:rsidRPr="005A49D1">
              <w:t>Participant</w:t>
            </w:r>
            <w:r w:rsidR="00A04B85" w:rsidRPr="005A49D1">
              <w:t>s cannot appropriately exercise their right to choice</w:t>
            </w:r>
            <w:r w:rsidR="006C14D9" w:rsidRPr="005A49D1">
              <w:footnoteReference w:id="4"/>
            </w:r>
          </w:p>
        </w:tc>
      </w:tr>
      <w:tr w:rsidR="00A04B85" w14:paraId="3B915EC5" w14:textId="77777777" w:rsidTr="003F5086">
        <w:tc>
          <w:tcPr>
            <w:cnfStyle w:val="001000000000" w:firstRow="0" w:lastRow="0" w:firstColumn="1" w:lastColumn="0" w:oddVBand="0" w:evenVBand="0" w:oddHBand="0" w:evenHBand="0" w:firstRowFirstColumn="0" w:firstRowLastColumn="0" w:lastRowFirstColumn="0" w:lastRowLastColumn="0"/>
            <w:tcW w:w="902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3E5F6" w:themeFill="accent3" w:themeFillTint="33"/>
            <w:vAlign w:val="center"/>
          </w:tcPr>
          <w:p w14:paraId="6FE19155" w14:textId="77777777" w:rsidR="00A04B85" w:rsidRPr="005A49D1" w:rsidRDefault="00A04B85" w:rsidP="005A49D1">
            <w:pPr>
              <w:pStyle w:val="Tabletext"/>
            </w:pPr>
            <w:r w:rsidRPr="005A49D1">
              <w:t>Support at Home program funds are fraudulently used</w:t>
            </w:r>
          </w:p>
        </w:tc>
      </w:tr>
      <w:tr w:rsidR="00A04B85" w14:paraId="7B2F8EF4" w14:textId="77777777" w:rsidTr="003F5086">
        <w:tc>
          <w:tcPr>
            <w:cnfStyle w:val="001000000000" w:firstRow="0" w:lastRow="0" w:firstColumn="1" w:lastColumn="0" w:oddVBand="0" w:evenVBand="0" w:oddHBand="0" w:evenHBand="0" w:firstRowFirstColumn="0" w:firstRowLastColumn="0" w:lastRowFirstColumn="0" w:lastRowLastColumn="0"/>
            <w:tcW w:w="902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3E5F6" w:themeFill="accent3" w:themeFillTint="33"/>
            <w:vAlign w:val="center"/>
          </w:tcPr>
          <w:p w14:paraId="52ED785E" w14:textId="77777777" w:rsidR="00A04B85" w:rsidRPr="005A49D1" w:rsidRDefault="00A04B85" w:rsidP="005A49D1">
            <w:pPr>
              <w:pStyle w:val="Tabletext"/>
            </w:pPr>
            <w:r w:rsidRPr="005A49D1">
              <w:t>Support at Home program funds are inappropriately, or inadvertently used (i.e., used in error)</w:t>
            </w:r>
          </w:p>
        </w:tc>
      </w:tr>
    </w:tbl>
    <w:p w14:paraId="55B4B9EA" w14:textId="0997A312" w:rsidR="006558DF" w:rsidRPr="005F3112" w:rsidRDefault="005A49D1" w:rsidP="005A49D1">
      <w:pPr>
        <w:pStyle w:val="Caption"/>
      </w:pPr>
      <w:r>
        <w:t xml:space="preserve">Figure </w:t>
      </w:r>
      <w:r>
        <w:fldChar w:fldCharType="begin"/>
      </w:r>
      <w:r>
        <w:instrText xml:space="preserve"> SEQ Figure \* ARABIC </w:instrText>
      </w:r>
      <w:r>
        <w:fldChar w:fldCharType="separate"/>
      </w:r>
      <w:r w:rsidR="00A279BA">
        <w:rPr>
          <w:noProof/>
        </w:rPr>
        <w:t>1</w:t>
      </w:r>
      <w:r>
        <w:fldChar w:fldCharType="end"/>
      </w:r>
      <w:r w:rsidR="006558DF" w:rsidRPr="005F3112">
        <w:t>: Overview of the assurance framework</w:t>
      </w:r>
    </w:p>
    <w:p w14:paraId="1448C91C" w14:textId="709E15B9" w:rsidR="00B85FC0" w:rsidRDefault="00B85FC0" w:rsidP="00002D80">
      <w:r>
        <w:t>The assurance framework outlines the purpose and benefits of program assurance, roles and responsibilities</w:t>
      </w:r>
      <w:r w:rsidR="000943FF">
        <w:t>.</w:t>
      </w:r>
    </w:p>
    <w:p w14:paraId="4757FC1B" w14:textId="35863D0D" w:rsidR="00B85FC0" w:rsidRDefault="00B85FC0" w:rsidP="00002D80">
      <w:pPr>
        <w:rPr>
          <w:rFonts w:eastAsiaTheme="minorHAnsi"/>
        </w:rPr>
      </w:pPr>
      <w:r>
        <w:t xml:space="preserve">The department will also publish a Support at Home program assurance plan (assurance plan) which will </w:t>
      </w:r>
      <w:r w:rsidRPr="00FE0F6F">
        <w:t>outlin</w:t>
      </w:r>
      <w:r>
        <w:t>e Support at Home</w:t>
      </w:r>
      <w:r w:rsidRPr="00FE0F6F">
        <w:t xml:space="preserve"> </w:t>
      </w:r>
      <w:r w:rsidR="000943FF">
        <w:t xml:space="preserve">program </w:t>
      </w:r>
      <w:r w:rsidRPr="00FE0F6F">
        <w:t>assurance priorities</w:t>
      </w:r>
      <w:r>
        <w:t>. The assurance framework and assurance plan will be reviewed regularly</w:t>
      </w:r>
      <w:r>
        <w:rPr>
          <w:rStyle w:val="FootnoteReference"/>
        </w:rPr>
        <w:footnoteReference w:id="5"/>
      </w:r>
      <w:r>
        <w:t>.</w:t>
      </w:r>
    </w:p>
    <w:p w14:paraId="156F75D9" w14:textId="6E0D0F4F" w:rsidR="00B85FC0" w:rsidRPr="00444C64" w:rsidRDefault="00B85FC0" w:rsidP="00002D80">
      <w:pPr>
        <w:rPr>
          <w:rFonts w:eastAsia="Arial"/>
          <w:szCs w:val="21"/>
        </w:rPr>
      </w:pPr>
      <w:r w:rsidRPr="00C42510">
        <w:rPr>
          <w:rFonts w:eastAsia="Arial"/>
          <w:szCs w:val="21"/>
        </w:rPr>
        <w:t xml:space="preserve">The </w:t>
      </w:r>
      <w:r>
        <w:rPr>
          <w:rFonts w:eastAsia="Arial"/>
          <w:szCs w:val="21"/>
        </w:rPr>
        <w:t>assurance f</w:t>
      </w:r>
      <w:r w:rsidRPr="00C42510">
        <w:rPr>
          <w:rFonts w:eastAsia="Arial"/>
          <w:szCs w:val="21"/>
        </w:rPr>
        <w:t xml:space="preserve">ramework applies the </w:t>
      </w:r>
      <w:hyperlink w:anchor="_Three_Lines_Model" w:history="1">
        <w:r w:rsidRPr="00551BF9">
          <w:rPr>
            <w:rStyle w:val="Hyperlink"/>
            <w:rFonts w:eastAsia="Arial"/>
            <w:color w:val="002060"/>
            <w:szCs w:val="21"/>
          </w:rPr>
          <w:t>Three Lines Model</w:t>
        </w:r>
      </w:hyperlink>
      <w:r w:rsidR="00446B74">
        <w:t xml:space="preserve">. </w:t>
      </w:r>
      <w:r w:rsidR="00446B74">
        <w:rPr>
          <w:rFonts w:eastAsia="Arial"/>
          <w:szCs w:val="21"/>
        </w:rPr>
        <w:t>This</w:t>
      </w:r>
      <w:r w:rsidRPr="00C42510">
        <w:rPr>
          <w:rFonts w:eastAsia="Arial"/>
          <w:szCs w:val="21"/>
        </w:rPr>
        <w:t xml:space="preserve"> globally recognised model </w:t>
      </w:r>
      <w:r w:rsidR="00CB7684">
        <w:rPr>
          <w:rFonts w:eastAsia="Arial"/>
          <w:szCs w:val="21"/>
        </w:rPr>
        <w:t>for organisational</w:t>
      </w:r>
      <w:r w:rsidRPr="00C42510">
        <w:rPr>
          <w:rFonts w:eastAsia="Arial"/>
          <w:szCs w:val="21"/>
        </w:rPr>
        <w:t xml:space="preserve"> governance, assurance and risk management </w:t>
      </w:r>
      <w:r>
        <w:rPr>
          <w:rFonts w:eastAsia="Arial"/>
          <w:szCs w:val="21"/>
        </w:rPr>
        <w:t>underpins the</w:t>
      </w:r>
      <w:r w:rsidRPr="00C42510">
        <w:rPr>
          <w:rFonts w:eastAsia="Arial"/>
          <w:szCs w:val="21"/>
        </w:rPr>
        <w:t xml:space="preserve"> </w:t>
      </w:r>
      <w:r w:rsidRPr="00526542">
        <w:rPr>
          <w:rFonts w:eastAsia="Arial"/>
          <w:szCs w:val="21"/>
        </w:rPr>
        <w:t xml:space="preserve">department’s </w:t>
      </w:r>
      <w:r>
        <w:rPr>
          <w:rFonts w:eastAsia="Arial"/>
          <w:szCs w:val="21"/>
        </w:rPr>
        <w:t>c</w:t>
      </w:r>
      <w:r w:rsidRPr="00526542">
        <w:rPr>
          <w:rFonts w:eastAsia="Arial"/>
          <w:szCs w:val="21"/>
        </w:rPr>
        <w:t xml:space="preserve">orporate </w:t>
      </w:r>
      <w:r w:rsidR="00E425EC">
        <w:rPr>
          <w:rFonts w:eastAsia="Arial"/>
          <w:szCs w:val="21"/>
        </w:rPr>
        <w:t>a</w:t>
      </w:r>
      <w:r w:rsidRPr="00526542">
        <w:rPr>
          <w:rFonts w:eastAsia="Arial"/>
          <w:szCs w:val="21"/>
        </w:rPr>
        <w:t xml:space="preserve">ssurance </w:t>
      </w:r>
      <w:r w:rsidR="00E425EC">
        <w:rPr>
          <w:rFonts w:eastAsia="Arial"/>
          <w:szCs w:val="21"/>
        </w:rPr>
        <w:t>f</w:t>
      </w:r>
      <w:r w:rsidRPr="00526542">
        <w:rPr>
          <w:rFonts w:eastAsia="Arial"/>
          <w:szCs w:val="21"/>
        </w:rPr>
        <w:t>ramework.</w:t>
      </w:r>
      <w:r>
        <w:rPr>
          <w:rFonts w:eastAsia="Arial"/>
          <w:szCs w:val="21"/>
        </w:rPr>
        <w:t xml:space="preserve"> T</w:t>
      </w:r>
      <w:r w:rsidRPr="00C42510">
        <w:rPr>
          <w:rFonts w:eastAsia="Arial"/>
          <w:szCs w:val="21"/>
        </w:rPr>
        <w:t>h</w:t>
      </w:r>
      <w:r>
        <w:rPr>
          <w:rFonts w:eastAsia="Arial"/>
          <w:szCs w:val="21"/>
        </w:rPr>
        <w:t>is</w:t>
      </w:r>
      <w:r w:rsidRPr="00C42510">
        <w:rPr>
          <w:rFonts w:eastAsia="Arial"/>
          <w:szCs w:val="21"/>
        </w:rPr>
        <w:t xml:space="preserve"> </w:t>
      </w:r>
      <w:r>
        <w:rPr>
          <w:rFonts w:eastAsia="Arial"/>
          <w:szCs w:val="21"/>
        </w:rPr>
        <w:t>assurance framework</w:t>
      </w:r>
      <w:r w:rsidRPr="00C42510">
        <w:rPr>
          <w:rFonts w:eastAsia="Arial"/>
          <w:szCs w:val="21"/>
        </w:rPr>
        <w:t xml:space="preserve"> primarily focuses on second line activities conducted by </w:t>
      </w:r>
      <w:r>
        <w:rPr>
          <w:rFonts w:eastAsia="Arial"/>
          <w:szCs w:val="21"/>
        </w:rPr>
        <w:t xml:space="preserve">the </w:t>
      </w:r>
      <w:r w:rsidR="00052885">
        <w:rPr>
          <w:rFonts w:eastAsia="Arial"/>
          <w:szCs w:val="21"/>
        </w:rPr>
        <w:t>department</w:t>
      </w:r>
      <w:r w:rsidRPr="00444C64">
        <w:rPr>
          <w:rFonts w:eastAsia="Arial"/>
          <w:szCs w:val="21"/>
        </w:rPr>
        <w:t>.</w:t>
      </w:r>
    </w:p>
    <w:p w14:paraId="3E72D8E4" w14:textId="02A766B5" w:rsidR="006C14D9" w:rsidRDefault="00B85FC0" w:rsidP="00002D80">
      <w:pPr>
        <w:rPr>
          <w:rFonts w:eastAsia="Arial"/>
          <w:szCs w:val="21"/>
        </w:rPr>
      </w:pPr>
      <w:r w:rsidRPr="00AD3556">
        <w:rPr>
          <w:rFonts w:eastAsia="Arial"/>
          <w:szCs w:val="21"/>
        </w:rPr>
        <w:t>The</w:t>
      </w:r>
      <w:r w:rsidRPr="00DF54B1">
        <w:rPr>
          <w:rFonts w:eastAsia="Arial"/>
          <w:szCs w:val="21"/>
        </w:rPr>
        <w:t xml:space="preserve"> </w:t>
      </w:r>
      <w:r>
        <w:rPr>
          <w:rFonts w:eastAsia="Arial"/>
          <w:szCs w:val="21"/>
        </w:rPr>
        <w:t>a</w:t>
      </w:r>
      <w:r w:rsidRPr="00DF54B1">
        <w:rPr>
          <w:rFonts w:eastAsia="Arial"/>
          <w:szCs w:val="21"/>
        </w:rPr>
        <w:t xml:space="preserve">ssurance </w:t>
      </w:r>
      <w:r>
        <w:rPr>
          <w:rFonts w:eastAsia="Arial"/>
          <w:szCs w:val="21"/>
        </w:rPr>
        <w:t>f</w:t>
      </w:r>
      <w:r w:rsidRPr="00DF54B1">
        <w:rPr>
          <w:rFonts w:eastAsia="Arial"/>
          <w:szCs w:val="21"/>
        </w:rPr>
        <w:t xml:space="preserve">ramework </w:t>
      </w:r>
      <w:r w:rsidR="00294716">
        <w:rPr>
          <w:rFonts w:eastAsia="Arial"/>
          <w:szCs w:val="21"/>
        </w:rPr>
        <w:t>aligns with</w:t>
      </w:r>
      <w:r w:rsidRPr="00AD3556">
        <w:rPr>
          <w:rFonts w:eastAsia="Arial"/>
          <w:szCs w:val="21"/>
        </w:rPr>
        <w:t xml:space="preserve"> the</w:t>
      </w:r>
      <w:r w:rsidRPr="00DF54B1">
        <w:rPr>
          <w:rFonts w:eastAsia="Arial"/>
          <w:szCs w:val="21"/>
        </w:rPr>
        <w:t xml:space="preserve"> </w:t>
      </w:r>
      <w:r>
        <w:rPr>
          <w:rFonts w:eastAsia="Arial"/>
          <w:szCs w:val="21"/>
        </w:rPr>
        <w:t>System Governor aged care compliance framework</w:t>
      </w:r>
      <w:r w:rsidRPr="00DF54B1">
        <w:rPr>
          <w:rFonts w:eastAsia="Arial"/>
          <w:szCs w:val="21"/>
        </w:rPr>
        <w:t xml:space="preserve"> (</w:t>
      </w:r>
      <w:r>
        <w:rPr>
          <w:rFonts w:eastAsia="Arial"/>
          <w:szCs w:val="21"/>
        </w:rPr>
        <w:t>c</w:t>
      </w:r>
      <w:r w:rsidRPr="00DF54B1">
        <w:rPr>
          <w:rFonts w:eastAsia="Arial"/>
          <w:szCs w:val="21"/>
        </w:rPr>
        <w:t xml:space="preserve">ompliance </w:t>
      </w:r>
      <w:r>
        <w:rPr>
          <w:rFonts w:eastAsia="Arial"/>
          <w:szCs w:val="21"/>
        </w:rPr>
        <w:t>f</w:t>
      </w:r>
      <w:r w:rsidRPr="00DF54B1">
        <w:rPr>
          <w:rFonts w:eastAsia="Arial"/>
          <w:szCs w:val="21"/>
        </w:rPr>
        <w:t>ramework)</w:t>
      </w:r>
      <w:r w:rsidR="00294716">
        <w:rPr>
          <w:rFonts w:eastAsia="Arial"/>
          <w:szCs w:val="21"/>
        </w:rPr>
        <w:t>. B</w:t>
      </w:r>
      <w:r w:rsidRPr="00AD3556">
        <w:rPr>
          <w:rFonts w:eastAsia="Arial"/>
          <w:szCs w:val="21"/>
        </w:rPr>
        <w:t xml:space="preserve">oth </w:t>
      </w:r>
      <w:r w:rsidR="008C1CAC">
        <w:rPr>
          <w:rFonts w:eastAsia="Arial"/>
          <w:szCs w:val="21"/>
        </w:rPr>
        <w:t>frameworks</w:t>
      </w:r>
      <w:r>
        <w:rPr>
          <w:rFonts w:eastAsia="Arial"/>
          <w:szCs w:val="21"/>
        </w:rPr>
        <w:t xml:space="preserve"> are</w:t>
      </w:r>
      <w:r w:rsidRPr="00AD3556">
        <w:rPr>
          <w:rFonts w:eastAsia="Arial"/>
          <w:szCs w:val="21"/>
        </w:rPr>
        <w:t xml:space="preserve"> </w:t>
      </w:r>
      <w:r w:rsidRPr="00DF54B1">
        <w:rPr>
          <w:rFonts w:eastAsia="Arial"/>
          <w:szCs w:val="21"/>
        </w:rPr>
        <w:t xml:space="preserve">driven by continuous improvement </w:t>
      </w:r>
      <w:r w:rsidRPr="00AD3556">
        <w:rPr>
          <w:rFonts w:eastAsia="Arial"/>
          <w:szCs w:val="21"/>
        </w:rPr>
        <w:t>and a</w:t>
      </w:r>
      <w:r w:rsidRPr="00DF54B1">
        <w:rPr>
          <w:rFonts w:eastAsia="Arial"/>
          <w:szCs w:val="21"/>
        </w:rPr>
        <w:t xml:space="preserve"> graduated compliance approach</w:t>
      </w:r>
      <w:r>
        <w:rPr>
          <w:rFonts w:eastAsia="Arial"/>
          <w:szCs w:val="21"/>
        </w:rPr>
        <w:t>.</w:t>
      </w:r>
      <w:r w:rsidRPr="00DF54B1">
        <w:rPr>
          <w:rFonts w:eastAsia="Arial"/>
          <w:szCs w:val="21"/>
        </w:rPr>
        <w:t xml:space="preserve"> </w:t>
      </w:r>
      <w:r>
        <w:rPr>
          <w:rFonts w:eastAsia="Arial"/>
          <w:szCs w:val="21"/>
        </w:rPr>
        <w:t>C</w:t>
      </w:r>
      <w:r w:rsidRPr="00AD3556">
        <w:rPr>
          <w:rFonts w:eastAsia="Arial"/>
          <w:szCs w:val="21"/>
        </w:rPr>
        <w:t>ollaboration with</w:t>
      </w:r>
      <w:r w:rsidRPr="00DF54B1">
        <w:rPr>
          <w:rFonts w:eastAsia="Arial"/>
          <w:szCs w:val="21"/>
        </w:rPr>
        <w:t xml:space="preserve"> providers</w:t>
      </w:r>
      <w:r>
        <w:rPr>
          <w:rFonts w:eastAsia="Arial"/>
          <w:szCs w:val="21"/>
        </w:rPr>
        <w:t xml:space="preserve"> is prioritised with the aim</w:t>
      </w:r>
      <w:r w:rsidRPr="00DF54B1">
        <w:rPr>
          <w:rFonts w:eastAsia="Arial"/>
          <w:szCs w:val="21"/>
        </w:rPr>
        <w:t xml:space="preserve"> to seek resolution</w:t>
      </w:r>
      <w:r w:rsidR="006C14D9">
        <w:rPr>
          <w:rFonts w:eastAsia="Arial"/>
          <w:szCs w:val="21"/>
        </w:rPr>
        <w:t>, understand how the issue has arisen</w:t>
      </w:r>
      <w:r w:rsidRPr="00DF54B1">
        <w:rPr>
          <w:rFonts w:eastAsia="Arial"/>
          <w:szCs w:val="21"/>
        </w:rPr>
        <w:t xml:space="preserve"> and provide opportunit</w:t>
      </w:r>
      <w:r>
        <w:rPr>
          <w:rFonts w:eastAsia="Arial"/>
          <w:szCs w:val="21"/>
        </w:rPr>
        <w:t>ies</w:t>
      </w:r>
      <w:r w:rsidRPr="00DF54B1">
        <w:rPr>
          <w:rFonts w:eastAsia="Arial"/>
          <w:szCs w:val="21"/>
        </w:rPr>
        <w:t xml:space="preserve"> to self-correct where appropriate.</w:t>
      </w:r>
      <w:r>
        <w:rPr>
          <w:rFonts w:eastAsia="Arial"/>
          <w:szCs w:val="21"/>
        </w:rPr>
        <w:t xml:space="preserve"> </w:t>
      </w:r>
      <w:r w:rsidR="006C14D9">
        <w:rPr>
          <w:rFonts w:eastAsia="Arial"/>
          <w:szCs w:val="21"/>
        </w:rPr>
        <w:t>The department will implement program improvement opportunities resulting from assurance activities as required.</w:t>
      </w:r>
    </w:p>
    <w:p w14:paraId="197D8017" w14:textId="25E1BA07" w:rsidR="00B85FC0" w:rsidRPr="00A602D4" w:rsidRDefault="00B85FC0" w:rsidP="00B85FC0">
      <w:pPr>
        <w:rPr>
          <w:rFonts w:eastAsia="Arial"/>
          <w:szCs w:val="21"/>
        </w:rPr>
      </w:pPr>
      <w:r>
        <w:rPr>
          <w:rFonts w:eastAsia="Arial"/>
          <w:szCs w:val="21"/>
        </w:rPr>
        <w:t>Procedural fairness will be afforded to providers. Repeated or deliberate non-compliance may result in compliance action in line with the compliance framework and the System Governor’s powers under the Act.</w:t>
      </w:r>
      <w:r>
        <w:rPr>
          <w:rStyle w:val="FootnoteReference"/>
          <w:rFonts w:eastAsia="Arial"/>
          <w:szCs w:val="21"/>
        </w:rPr>
        <w:footnoteReference w:id="6"/>
      </w:r>
      <w:r>
        <w:br w:type="page"/>
      </w:r>
    </w:p>
    <w:p w14:paraId="02F2024B" w14:textId="77777777" w:rsidR="00B85FC0" w:rsidRPr="0049647C" w:rsidRDefault="00B85FC0" w:rsidP="0049647C">
      <w:pPr>
        <w:pStyle w:val="Heading1"/>
      </w:pPr>
      <w:bookmarkStart w:id="12" w:name="_Toc210125802"/>
      <w:bookmarkStart w:id="13" w:name="_Toc210388281"/>
      <w:bookmarkStart w:id="14" w:name="_Toc223509371"/>
      <w:r w:rsidRPr="0049647C">
        <w:t>Introduction</w:t>
      </w:r>
      <w:bookmarkEnd w:id="12"/>
      <w:bookmarkEnd w:id="13"/>
      <w:bookmarkEnd w:id="14"/>
    </w:p>
    <w:p w14:paraId="1CC0A5F0" w14:textId="658918A9" w:rsidR="00B85FC0" w:rsidRPr="00494017" w:rsidRDefault="00B85FC0" w:rsidP="00494017">
      <w:r w:rsidRPr="00494017">
        <w:t>Support at Home bring</w:t>
      </w:r>
      <w:r w:rsidR="009F4562" w:rsidRPr="00494017">
        <w:t>s</w:t>
      </w:r>
      <w:r w:rsidRPr="00494017">
        <w:t xml:space="preserve"> together in-home aged care programs</w:t>
      </w:r>
      <w:r w:rsidR="002574DB" w:rsidRPr="00494017">
        <w:t xml:space="preserve">. It </w:t>
      </w:r>
      <w:r w:rsidRPr="00494017">
        <w:t>is established under the Act in response to the</w:t>
      </w:r>
      <w:r w:rsidR="0073647C" w:rsidRPr="00494017">
        <w:t xml:space="preserve"> recommendations from the</w:t>
      </w:r>
      <w:r w:rsidRPr="00494017">
        <w:t xml:space="preserve"> Royal Commission into Aged Care Quality and Safety. The new aged care </w:t>
      </w:r>
      <w:r w:rsidR="000F2165" w:rsidRPr="00494017">
        <w:t xml:space="preserve">system </w:t>
      </w:r>
      <w:r w:rsidRPr="00494017">
        <w:t xml:space="preserve">puts older people at </w:t>
      </w:r>
      <w:r w:rsidR="000F2165" w:rsidRPr="00494017">
        <w:t xml:space="preserve">its </w:t>
      </w:r>
      <w:r w:rsidRPr="00494017">
        <w:t>centre</w:t>
      </w:r>
      <w:r w:rsidR="000F2165" w:rsidRPr="00494017">
        <w:t xml:space="preserve">. </w:t>
      </w:r>
      <w:r w:rsidR="003B4135" w:rsidRPr="00494017">
        <w:t>It</w:t>
      </w:r>
      <w:r w:rsidRPr="00494017">
        <w:t xml:space="preserve"> strengthens transparency, accountability, and regulation for the aged care sector. </w:t>
      </w:r>
    </w:p>
    <w:p w14:paraId="25AAA1A9" w14:textId="2E23F321" w:rsidR="00B85FC0" w:rsidRPr="00494017" w:rsidRDefault="00152B17" w:rsidP="00494017">
      <w:r w:rsidRPr="00494017">
        <w:t>K</w:t>
      </w:r>
      <w:r w:rsidR="00B85FC0" w:rsidRPr="00494017">
        <w:t xml:space="preserve">ey stakeholders </w:t>
      </w:r>
      <w:r w:rsidRPr="00494017">
        <w:t xml:space="preserve">for this assurance framework </w:t>
      </w:r>
      <w:r w:rsidR="00B85FC0" w:rsidRPr="00494017">
        <w:t>and their roles are:</w:t>
      </w:r>
    </w:p>
    <w:p w14:paraId="1E089016" w14:textId="28DED836" w:rsidR="00B85FC0" w:rsidRPr="00B8793F" w:rsidRDefault="00B85FC0" w:rsidP="00494017">
      <w:pPr>
        <w:pStyle w:val="ListBullet2"/>
      </w:pPr>
      <w:r w:rsidRPr="00B8793F">
        <w:t>the department is the policy and program lead</w:t>
      </w:r>
      <w:r w:rsidR="00B7293C">
        <w:t>,</w:t>
      </w:r>
      <w:r w:rsidRPr="00B8793F">
        <w:t xml:space="preserve"> and the Secretary is the System Governor</w:t>
      </w:r>
    </w:p>
    <w:p w14:paraId="498C5E9A" w14:textId="07057F5C" w:rsidR="00B85FC0" w:rsidRPr="00B8793F" w:rsidRDefault="00B85FC0" w:rsidP="00494017">
      <w:pPr>
        <w:pStyle w:val="ListBullet2"/>
      </w:pPr>
      <w:r w:rsidRPr="00B8793F">
        <w:t>Services Australia is responsible for payments</w:t>
      </w:r>
    </w:p>
    <w:p w14:paraId="29162625" w14:textId="78F3B373" w:rsidR="00B85FC0" w:rsidRPr="00B8793F" w:rsidRDefault="00B85FC0" w:rsidP="00494017">
      <w:pPr>
        <w:pStyle w:val="ListBullet2"/>
      </w:pPr>
      <w:r w:rsidRPr="00B8793F">
        <w:t>providers deliver aged care services</w:t>
      </w:r>
    </w:p>
    <w:p w14:paraId="51C21801" w14:textId="28366BCB" w:rsidR="00B85FC0" w:rsidRPr="00B8793F" w:rsidRDefault="0003285E" w:rsidP="00494017">
      <w:pPr>
        <w:pStyle w:val="ListBullet2"/>
      </w:pPr>
      <w:r>
        <w:t>participant</w:t>
      </w:r>
      <w:r w:rsidR="00EA77DC">
        <w:t>s</w:t>
      </w:r>
      <w:r w:rsidR="00067078" w:rsidRPr="00B8793F">
        <w:t xml:space="preserve"> </w:t>
      </w:r>
      <w:r w:rsidR="00B85FC0" w:rsidRPr="00B8793F">
        <w:t>access care and support through a rights-based model</w:t>
      </w:r>
    </w:p>
    <w:p w14:paraId="1E1FD1E8" w14:textId="54BA9346" w:rsidR="00B85FC0" w:rsidRPr="00B8793F" w:rsidRDefault="00B85FC0" w:rsidP="00494017">
      <w:pPr>
        <w:pStyle w:val="ListBullet2"/>
      </w:pPr>
      <w:r w:rsidRPr="00B8793F">
        <w:t>the Commission is the national regulator.</w:t>
      </w:r>
    </w:p>
    <w:p w14:paraId="45C46834" w14:textId="77777777" w:rsidR="00B85FC0" w:rsidRPr="00716D4C" w:rsidRDefault="00B85FC0" w:rsidP="00043809">
      <w:pPr>
        <w:pStyle w:val="Heading2"/>
        <w:spacing w:before="0" w:after="120"/>
        <w:rPr>
          <w:rFonts w:eastAsia="Arial"/>
        </w:rPr>
      </w:pPr>
      <w:bookmarkStart w:id="15" w:name="_Toc210125803"/>
      <w:bookmarkStart w:id="16" w:name="_Toc210388282"/>
      <w:bookmarkStart w:id="17" w:name="_Toc223509372"/>
      <w:r>
        <w:t>Legislative framework</w:t>
      </w:r>
      <w:bookmarkEnd w:id="15"/>
      <w:bookmarkEnd w:id="16"/>
      <w:bookmarkEnd w:id="17"/>
    </w:p>
    <w:p w14:paraId="1ADE7234" w14:textId="32609947" w:rsidR="00B85FC0" w:rsidRPr="002E2A99" w:rsidRDefault="00B85FC0" w:rsidP="00BB64F8">
      <w:pPr>
        <w:spacing w:after="0"/>
      </w:pPr>
      <w:r w:rsidRPr="002347AA">
        <w:t xml:space="preserve">The Act establishes a modern rights-based legislative framework that focuses on the safety, </w:t>
      </w:r>
      <w:proofErr w:type="spellStart"/>
      <w:r w:rsidRPr="002347AA">
        <w:t>health,</w:t>
      </w:r>
      <w:proofErr w:type="spellEnd"/>
      <w:r w:rsidRPr="002347AA">
        <w:t xml:space="preserve"> and wellbeing of older people and places their needs at the centre of </w:t>
      </w:r>
      <w:r w:rsidRPr="002E2A99">
        <w:t xml:space="preserve">the aged care system. </w:t>
      </w:r>
    </w:p>
    <w:p w14:paraId="62CFEA2A" w14:textId="77777777" w:rsidR="00B85FC0" w:rsidRPr="002E2A99" w:rsidRDefault="00B85FC0" w:rsidP="002347AA">
      <w:r w:rsidRPr="002E2A99">
        <w:t>From 1 November 2025, the Support at Home program replaces the Home Care Packages (HCP) Program and the Short-Term Restorative Care Program (STRC). The Commonwealth Home Support Program (CHSP) will transition to Support at Home no earlier than 1 July 2027.</w:t>
      </w:r>
    </w:p>
    <w:p w14:paraId="5D572CB7" w14:textId="77777777" w:rsidR="00B85FC0" w:rsidRPr="006A50AD" w:rsidRDefault="00B85FC0" w:rsidP="00C5630B">
      <w:pPr>
        <w:pStyle w:val="Heading3"/>
      </w:pPr>
      <w:bookmarkStart w:id="18" w:name="_Toc210388283"/>
      <w:bookmarkStart w:id="19" w:name="_Toc223509373"/>
      <w:r w:rsidRPr="006A50AD">
        <w:t>Rights</w:t>
      </w:r>
      <w:r>
        <w:t>-b</w:t>
      </w:r>
      <w:r w:rsidRPr="006A50AD">
        <w:t xml:space="preserve">ased </w:t>
      </w:r>
      <w:r>
        <w:t>m</w:t>
      </w:r>
      <w:r w:rsidRPr="006A50AD">
        <w:t>odel</w:t>
      </w:r>
      <w:bookmarkEnd w:id="18"/>
      <w:bookmarkEnd w:id="19"/>
    </w:p>
    <w:p w14:paraId="207BBD0C" w14:textId="24DCD2B2" w:rsidR="008E36CB" w:rsidRDefault="00B85FC0" w:rsidP="00A602D4">
      <w:r w:rsidRPr="002347AA">
        <w:t xml:space="preserve">The Act introduces a Statement of Rights that a </w:t>
      </w:r>
      <w:r w:rsidR="00EA77DC">
        <w:t>participant</w:t>
      </w:r>
      <w:r w:rsidRPr="002347AA">
        <w:t xml:space="preserve"> is entitled to when accessing or seeking to access funded aged care services. The Statement of Rights helps to ensure that older people and their needs are at the centre of the new aged care system. Providers delivering funded aged care services must take all reasonable and proportionate steps to act compatibly with the rights. Figure 2 summarises the Statement of Rights.</w:t>
      </w:r>
      <w:r w:rsidR="008E36CB">
        <w:br w:type="page"/>
      </w:r>
    </w:p>
    <w:p w14:paraId="35BD7D6E" w14:textId="7AEC3EFF" w:rsidR="008E36CB" w:rsidRPr="005A49D1" w:rsidRDefault="00D44B4F" w:rsidP="005A49D1">
      <w:pPr>
        <w:rPr>
          <w:rStyle w:val="Strong"/>
        </w:rPr>
      </w:pPr>
      <w:r w:rsidRPr="005A49D1">
        <w:rPr>
          <w:rStyle w:val="Strong"/>
        </w:rPr>
        <w:t>Participants</w:t>
      </w:r>
      <w:r w:rsidR="008E36CB" w:rsidRPr="005A49D1">
        <w:rPr>
          <w:rStyle w:val="Strong"/>
        </w:rPr>
        <w:t xml:space="preserve"> accessing funded aged care services have the right to:</w:t>
      </w:r>
    </w:p>
    <w:tbl>
      <w:tblPr>
        <w:tblStyle w:val="TableGrid"/>
        <w:tblW w:w="8744" w:type="dxa"/>
        <w:tblInd w:w="40" w:type="dxa"/>
        <w:tblLook w:val="04A0" w:firstRow="1" w:lastRow="0" w:firstColumn="1" w:lastColumn="0" w:noHBand="0" w:noVBand="1"/>
      </w:tblPr>
      <w:tblGrid>
        <w:gridCol w:w="1231"/>
        <w:gridCol w:w="7513"/>
      </w:tblGrid>
      <w:tr w:rsidR="00B85FC0" w:rsidRPr="00776519" w14:paraId="5271DF29" w14:textId="77777777" w:rsidTr="008E36CB">
        <w:trPr>
          <w:trHeight w:val="454"/>
        </w:trPr>
        <w:tc>
          <w:tcPr>
            <w:cnfStyle w:val="001000000000" w:firstRow="0" w:lastRow="0" w:firstColumn="1" w:lastColumn="0" w:oddVBand="0" w:evenVBand="0" w:oddHBand="0" w:evenHBand="0" w:firstRowFirstColumn="0" w:firstRowLastColumn="0" w:lastRowFirstColumn="0" w:lastRowLastColumn="0"/>
            <w:tcW w:w="1231" w:type="dxa"/>
            <w:tcBorders>
              <w:top w:val="single" w:sz="18" w:space="0" w:color="4A66AC" w:themeColor="accent1"/>
              <w:left w:val="single" w:sz="36" w:space="0" w:color="FFFFFF" w:themeColor="background1"/>
              <w:bottom w:val="single" w:sz="18" w:space="0" w:color="4A66AC" w:themeColor="accent1"/>
              <w:right w:val="nil"/>
            </w:tcBorders>
            <w:vAlign w:val="center"/>
          </w:tcPr>
          <w:p w14:paraId="1DF561DC" w14:textId="77777777" w:rsidR="00B85FC0" w:rsidRPr="00A10CE8" w:rsidRDefault="00B85FC0" w:rsidP="00327C0F">
            <w:pPr>
              <w:spacing w:before="0" w:after="0"/>
              <w:jc w:val="center"/>
              <w:rPr>
                <w:b/>
                <w:color w:val="FFFFFF" w:themeColor="background1"/>
                <w:sz w:val="21"/>
                <w:szCs w:val="21"/>
              </w:rPr>
            </w:pPr>
            <w:r>
              <w:rPr>
                <w:b/>
                <w:noProof/>
                <w:color w:val="FFFFFF" w:themeColor="background1"/>
                <w:sz w:val="21"/>
                <w:szCs w:val="21"/>
              </w:rPr>
              <w:drawing>
                <wp:inline distT="0" distB="0" distL="0" distR="0" wp14:anchorId="60C32E1F" wp14:editId="3ACD4EE0">
                  <wp:extent cx="360000" cy="360000"/>
                  <wp:effectExtent l="0" t="0" r="0" b="2540"/>
                  <wp:docPr id="173650931" name="Graphic 45" descr="Brain in hea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50931" name="Graphic 45" descr="Brain in head with solid fill"/>
                          <pic:cNvPicPr/>
                        </pic:nvPicPr>
                        <pic:blipFill>
                          <a:blip r:embed="rId20">
                            <a:extLst>
                              <a:ext uri="{96DAC541-7B7A-43D3-8B79-37D633B846F1}">
                                <asvg:svgBlip xmlns:asvg="http://schemas.microsoft.com/office/drawing/2016/SVG/main" r:embed="rId21"/>
                              </a:ext>
                            </a:extLst>
                          </a:blip>
                          <a:stretch>
                            <a:fillRect/>
                          </a:stretch>
                        </pic:blipFill>
                        <pic:spPr>
                          <a:xfrm>
                            <a:off x="0" y="0"/>
                            <a:ext cx="360000" cy="360000"/>
                          </a:xfrm>
                          <a:prstGeom prst="rect">
                            <a:avLst/>
                          </a:prstGeom>
                        </pic:spPr>
                      </pic:pic>
                    </a:graphicData>
                  </a:graphic>
                </wp:inline>
              </w:drawing>
            </w:r>
          </w:p>
        </w:tc>
        <w:tc>
          <w:tcPr>
            <w:tcW w:w="7513" w:type="dxa"/>
            <w:tcBorders>
              <w:top w:val="single" w:sz="18" w:space="0" w:color="4A66AC" w:themeColor="accent1"/>
              <w:left w:val="nil"/>
              <w:bottom w:val="single" w:sz="18" w:space="0" w:color="4A66AC" w:themeColor="accent1"/>
              <w:right w:val="single" w:sz="36" w:space="0" w:color="FFFFFF" w:themeColor="background1"/>
            </w:tcBorders>
            <w:vAlign w:val="center"/>
          </w:tcPr>
          <w:p w14:paraId="69B7FD00" w14:textId="77777777" w:rsidR="00B85FC0" w:rsidRPr="006558DF" w:rsidRDefault="00B85FC0" w:rsidP="00327C0F">
            <w:pPr>
              <w:spacing w:before="0" w:after="0"/>
              <w:cnfStyle w:val="000000000000" w:firstRow="0" w:lastRow="0" w:firstColumn="0" w:lastColumn="0" w:oddVBand="0" w:evenVBand="0" w:oddHBand="0" w:evenHBand="0" w:firstRowFirstColumn="0" w:firstRowLastColumn="0" w:lastRowFirstColumn="0" w:lastRowLastColumn="0"/>
              <w:rPr>
                <w:bCs/>
              </w:rPr>
            </w:pPr>
            <w:r w:rsidRPr="006558DF">
              <w:rPr>
                <w:bCs/>
              </w:rPr>
              <w:t>Independence, autonomy, empowerment and freedom of choice</w:t>
            </w:r>
          </w:p>
        </w:tc>
      </w:tr>
      <w:tr w:rsidR="00B85FC0" w:rsidRPr="00776519" w14:paraId="5C816E85" w14:textId="77777777" w:rsidTr="005A1E8D">
        <w:trPr>
          <w:trHeight w:val="454"/>
        </w:trPr>
        <w:tc>
          <w:tcPr>
            <w:cnfStyle w:val="001000000000" w:firstRow="0" w:lastRow="0" w:firstColumn="1" w:lastColumn="0" w:oddVBand="0" w:evenVBand="0" w:oddHBand="0" w:evenHBand="0" w:firstRowFirstColumn="0" w:firstRowLastColumn="0" w:lastRowFirstColumn="0" w:lastRowLastColumn="0"/>
            <w:tcW w:w="1231" w:type="dxa"/>
            <w:tcBorders>
              <w:top w:val="single" w:sz="18" w:space="0" w:color="4A66AC" w:themeColor="accent1"/>
              <w:left w:val="single" w:sz="36" w:space="0" w:color="FFFFFF" w:themeColor="background1"/>
              <w:bottom w:val="single" w:sz="18" w:space="0" w:color="629DD1" w:themeColor="accent2"/>
              <w:right w:val="nil"/>
            </w:tcBorders>
            <w:vAlign w:val="center"/>
          </w:tcPr>
          <w:p w14:paraId="758B12E4" w14:textId="77777777" w:rsidR="00B85FC0" w:rsidRPr="00A10CE8" w:rsidRDefault="00B85FC0" w:rsidP="00327C0F">
            <w:pPr>
              <w:spacing w:before="0" w:after="0"/>
              <w:jc w:val="center"/>
              <w:rPr>
                <w:b/>
                <w:color w:val="FFFFFF" w:themeColor="background1"/>
                <w:sz w:val="21"/>
                <w:szCs w:val="21"/>
              </w:rPr>
            </w:pPr>
            <w:r>
              <w:rPr>
                <w:b/>
                <w:noProof/>
                <w:color w:val="FFFFFF" w:themeColor="background1"/>
                <w:sz w:val="21"/>
                <w:szCs w:val="21"/>
              </w:rPr>
              <w:drawing>
                <wp:inline distT="0" distB="0" distL="0" distR="0" wp14:anchorId="7157CBA0" wp14:editId="502BBAAD">
                  <wp:extent cx="360000" cy="360000"/>
                  <wp:effectExtent l="0" t="0" r="2540" b="2540"/>
                  <wp:docPr id="407742548" name="Graphic 46" descr="Scales of justic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742548" name="Graphic 407742548" descr="Scales of justice with solid fill"/>
                          <pic:cNvPicPr/>
                        </pic:nvPicPr>
                        <pic:blipFill>
                          <a:blip r:embed="rId22">
                            <a:extLst>
                              <a:ext uri="{96DAC541-7B7A-43D3-8B79-37D633B846F1}">
                                <asvg:svgBlip xmlns:asvg="http://schemas.microsoft.com/office/drawing/2016/SVG/main" r:embed="rId23"/>
                              </a:ext>
                            </a:extLst>
                          </a:blip>
                          <a:stretch>
                            <a:fillRect/>
                          </a:stretch>
                        </pic:blipFill>
                        <pic:spPr>
                          <a:xfrm>
                            <a:off x="0" y="0"/>
                            <a:ext cx="360000" cy="360000"/>
                          </a:xfrm>
                          <a:prstGeom prst="rect">
                            <a:avLst/>
                          </a:prstGeom>
                        </pic:spPr>
                      </pic:pic>
                    </a:graphicData>
                  </a:graphic>
                </wp:inline>
              </w:drawing>
            </w:r>
          </w:p>
        </w:tc>
        <w:tc>
          <w:tcPr>
            <w:tcW w:w="7513" w:type="dxa"/>
            <w:tcBorders>
              <w:top w:val="single" w:sz="18" w:space="0" w:color="4A66AC" w:themeColor="accent1"/>
              <w:left w:val="nil"/>
              <w:bottom w:val="single" w:sz="18" w:space="0" w:color="629DD1" w:themeColor="accent2"/>
              <w:right w:val="single" w:sz="36" w:space="0" w:color="FFFFFF" w:themeColor="background1"/>
            </w:tcBorders>
            <w:vAlign w:val="center"/>
          </w:tcPr>
          <w:p w14:paraId="73609D5A" w14:textId="77777777" w:rsidR="00B85FC0" w:rsidRPr="006558DF" w:rsidRDefault="00B85FC0" w:rsidP="00327C0F">
            <w:pPr>
              <w:spacing w:before="0" w:after="0"/>
              <w:cnfStyle w:val="000000000000" w:firstRow="0" w:lastRow="0" w:firstColumn="0" w:lastColumn="0" w:oddVBand="0" w:evenVBand="0" w:oddHBand="0" w:evenHBand="0" w:firstRowFirstColumn="0" w:firstRowLastColumn="0" w:lastRowFirstColumn="0" w:lastRowLastColumn="0"/>
              <w:rPr>
                <w:bCs/>
              </w:rPr>
            </w:pPr>
            <w:r w:rsidRPr="006558DF">
              <w:rPr>
                <w:bCs/>
              </w:rPr>
              <w:t>Equitable access</w:t>
            </w:r>
          </w:p>
        </w:tc>
      </w:tr>
      <w:tr w:rsidR="00B85FC0" w:rsidRPr="00776519" w14:paraId="632733DE" w14:textId="77777777" w:rsidTr="005A1E8D">
        <w:trPr>
          <w:trHeight w:val="454"/>
        </w:trPr>
        <w:tc>
          <w:tcPr>
            <w:cnfStyle w:val="001000000000" w:firstRow="0" w:lastRow="0" w:firstColumn="1" w:lastColumn="0" w:oddVBand="0" w:evenVBand="0" w:oddHBand="0" w:evenHBand="0" w:firstRowFirstColumn="0" w:firstRowLastColumn="0" w:lastRowFirstColumn="0" w:lastRowLastColumn="0"/>
            <w:tcW w:w="1231" w:type="dxa"/>
            <w:tcBorders>
              <w:top w:val="single" w:sz="18" w:space="0" w:color="629DD1" w:themeColor="accent2"/>
              <w:left w:val="single" w:sz="36" w:space="0" w:color="FFFFFF" w:themeColor="background1"/>
              <w:bottom w:val="single" w:sz="18" w:space="0" w:color="297FD5" w:themeColor="accent3"/>
              <w:right w:val="nil"/>
            </w:tcBorders>
            <w:vAlign w:val="center"/>
          </w:tcPr>
          <w:p w14:paraId="6C79C2A6" w14:textId="77777777" w:rsidR="00B85FC0" w:rsidRPr="00A10CE8" w:rsidRDefault="00B85FC0" w:rsidP="00327C0F">
            <w:pPr>
              <w:spacing w:before="0" w:after="0"/>
              <w:jc w:val="center"/>
              <w:rPr>
                <w:b/>
                <w:color w:val="FFFFFF" w:themeColor="background1"/>
                <w:sz w:val="21"/>
                <w:szCs w:val="21"/>
              </w:rPr>
            </w:pPr>
            <w:r>
              <w:rPr>
                <w:b/>
                <w:noProof/>
                <w:color w:val="FFFFFF" w:themeColor="background1"/>
                <w:sz w:val="21"/>
                <w:szCs w:val="21"/>
              </w:rPr>
              <w:drawing>
                <wp:inline distT="0" distB="0" distL="0" distR="0" wp14:anchorId="38A55AEF" wp14:editId="3A9E65BB">
                  <wp:extent cx="360000" cy="360000"/>
                  <wp:effectExtent l="0" t="0" r="0" b="2540"/>
                  <wp:docPr id="1207548298" name="Graphic 47" descr="Ribbo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548298" name="Graphic 1207548298" descr="Ribbon with solid fill"/>
                          <pic:cNvPicPr/>
                        </pic:nvPicPr>
                        <pic:blipFill>
                          <a:blip r:embed="rId24">
                            <a:extLst>
                              <a:ext uri="{96DAC541-7B7A-43D3-8B79-37D633B846F1}">
                                <asvg:svgBlip xmlns:asvg="http://schemas.microsoft.com/office/drawing/2016/SVG/main" r:embed="rId25"/>
                              </a:ext>
                            </a:extLst>
                          </a:blip>
                          <a:stretch>
                            <a:fillRect/>
                          </a:stretch>
                        </pic:blipFill>
                        <pic:spPr>
                          <a:xfrm>
                            <a:off x="0" y="0"/>
                            <a:ext cx="360000" cy="360000"/>
                          </a:xfrm>
                          <a:prstGeom prst="rect">
                            <a:avLst/>
                          </a:prstGeom>
                        </pic:spPr>
                      </pic:pic>
                    </a:graphicData>
                  </a:graphic>
                </wp:inline>
              </w:drawing>
            </w:r>
          </w:p>
        </w:tc>
        <w:tc>
          <w:tcPr>
            <w:tcW w:w="7513" w:type="dxa"/>
            <w:tcBorders>
              <w:top w:val="single" w:sz="18" w:space="0" w:color="629DD1" w:themeColor="accent2"/>
              <w:left w:val="nil"/>
              <w:bottom w:val="single" w:sz="18" w:space="0" w:color="297FD5" w:themeColor="accent3"/>
              <w:right w:val="single" w:sz="36" w:space="0" w:color="FFFFFF" w:themeColor="background1"/>
            </w:tcBorders>
            <w:vAlign w:val="center"/>
          </w:tcPr>
          <w:p w14:paraId="162D4E72" w14:textId="77777777" w:rsidR="00B85FC0" w:rsidRPr="006558DF" w:rsidRDefault="00B85FC0" w:rsidP="00327C0F">
            <w:pPr>
              <w:spacing w:before="0" w:after="0"/>
              <w:cnfStyle w:val="000000000000" w:firstRow="0" w:lastRow="0" w:firstColumn="0" w:lastColumn="0" w:oddVBand="0" w:evenVBand="0" w:oddHBand="0" w:evenHBand="0" w:firstRowFirstColumn="0" w:firstRowLastColumn="0" w:lastRowFirstColumn="0" w:lastRowLastColumn="0"/>
              <w:rPr>
                <w:bCs/>
              </w:rPr>
            </w:pPr>
            <w:r w:rsidRPr="006558DF">
              <w:rPr>
                <w:bCs/>
              </w:rPr>
              <w:t>Quality and safe funded aged care services</w:t>
            </w:r>
          </w:p>
        </w:tc>
      </w:tr>
      <w:tr w:rsidR="00B85FC0" w:rsidRPr="00776519" w14:paraId="1776AEE8" w14:textId="77777777" w:rsidTr="005A1E8D">
        <w:trPr>
          <w:trHeight w:val="454"/>
        </w:trPr>
        <w:tc>
          <w:tcPr>
            <w:cnfStyle w:val="001000000000" w:firstRow="0" w:lastRow="0" w:firstColumn="1" w:lastColumn="0" w:oddVBand="0" w:evenVBand="0" w:oddHBand="0" w:evenHBand="0" w:firstRowFirstColumn="0" w:firstRowLastColumn="0" w:lastRowFirstColumn="0" w:lastRowLastColumn="0"/>
            <w:tcW w:w="1231" w:type="dxa"/>
            <w:tcBorders>
              <w:top w:val="single" w:sz="18" w:space="0" w:color="297FD5" w:themeColor="accent3"/>
              <w:left w:val="single" w:sz="36" w:space="0" w:color="FFFFFF" w:themeColor="background1"/>
              <w:bottom w:val="single" w:sz="18" w:space="0" w:color="7F8FA9" w:themeColor="accent4"/>
              <w:right w:val="nil"/>
            </w:tcBorders>
            <w:vAlign w:val="center"/>
          </w:tcPr>
          <w:p w14:paraId="71FDBE49" w14:textId="77777777" w:rsidR="00B85FC0" w:rsidRPr="00A10CE8" w:rsidRDefault="00B85FC0" w:rsidP="00327C0F">
            <w:pPr>
              <w:spacing w:before="0" w:after="0"/>
              <w:jc w:val="center"/>
              <w:rPr>
                <w:b/>
                <w:color w:val="FFFFFF" w:themeColor="background1"/>
                <w:sz w:val="21"/>
                <w:szCs w:val="21"/>
              </w:rPr>
            </w:pPr>
            <w:r>
              <w:rPr>
                <w:b/>
                <w:noProof/>
                <w:color w:val="FFFFFF" w:themeColor="background1"/>
                <w:sz w:val="21"/>
                <w:szCs w:val="21"/>
              </w:rPr>
              <w:drawing>
                <wp:inline distT="0" distB="0" distL="0" distR="0" wp14:anchorId="69B187C7" wp14:editId="5AB2DD1F">
                  <wp:extent cx="360000" cy="360000"/>
                  <wp:effectExtent l="0" t="0" r="0" b="2540"/>
                  <wp:docPr id="561491651" name="Graphic 48" descr="Lo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491651" name="Graphic 48" descr="Lock with solid fill"/>
                          <pic:cNvPicPr/>
                        </pic:nvPicPr>
                        <pic:blipFill>
                          <a:blip r:embed="rId26">
                            <a:extLst>
                              <a:ext uri="{96DAC541-7B7A-43D3-8B79-37D633B846F1}">
                                <asvg:svgBlip xmlns:asvg="http://schemas.microsoft.com/office/drawing/2016/SVG/main" r:embed="rId27"/>
                              </a:ext>
                            </a:extLst>
                          </a:blip>
                          <a:stretch>
                            <a:fillRect/>
                          </a:stretch>
                        </pic:blipFill>
                        <pic:spPr>
                          <a:xfrm>
                            <a:off x="0" y="0"/>
                            <a:ext cx="360000" cy="360000"/>
                          </a:xfrm>
                          <a:prstGeom prst="rect">
                            <a:avLst/>
                          </a:prstGeom>
                        </pic:spPr>
                      </pic:pic>
                    </a:graphicData>
                  </a:graphic>
                </wp:inline>
              </w:drawing>
            </w:r>
          </w:p>
        </w:tc>
        <w:tc>
          <w:tcPr>
            <w:tcW w:w="7513" w:type="dxa"/>
            <w:tcBorders>
              <w:top w:val="single" w:sz="18" w:space="0" w:color="297FD5" w:themeColor="accent3"/>
              <w:left w:val="nil"/>
              <w:bottom w:val="single" w:sz="18" w:space="0" w:color="7F8FA9" w:themeColor="accent4"/>
              <w:right w:val="single" w:sz="36" w:space="0" w:color="FFFFFF" w:themeColor="background1"/>
            </w:tcBorders>
            <w:vAlign w:val="center"/>
          </w:tcPr>
          <w:p w14:paraId="2E79F347" w14:textId="77777777" w:rsidR="00B85FC0" w:rsidRPr="006558DF" w:rsidRDefault="00B85FC0" w:rsidP="00327C0F">
            <w:pPr>
              <w:spacing w:before="0" w:after="0"/>
              <w:cnfStyle w:val="000000000000" w:firstRow="0" w:lastRow="0" w:firstColumn="0" w:lastColumn="0" w:oddVBand="0" w:evenVBand="0" w:oddHBand="0" w:evenHBand="0" w:firstRowFirstColumn="0" w:firstRowLastColumn="0" w:lastRowFirstColumn="0" w:lastRowLastColumn="0"/>
              <w:rPr>
                <w:bCs/>
              </w:rPr>
            </w:pPr>
            <w:r w:rsidRPr="006558DF">
              <w:rPr>
                <w:bCs/>
              </w:rPr>
              <w:t>Respect for privacy and information</w:t>
            </w:r>
          </w:p>
        </w:tc>
      </w:tr>
      <w:tr w:rsidR="00B85FC0" w:rsidRPr="00776519" w14:paraId="0230C7F7" w14:textId="77777777" w:rsidTr="005A1E8D">
        <w:trPr>
          <w:trHeight w:val="454"/>
        </w:trPr>
        <w:tc>
          <w:tcPr>
            <w:cnfStyle w:val="001000000000" w:firstRow="0" w:lastRow="0" w:firstColumn="1" w:lastColumn="0" w:oddVBand="0" w:evenVBand="0" w:oddHBand="0" w:evenHBand="0" w:firstRowFirstColumn="0" w:firstRowLastColumn="0" w:lastRowFirstColumn="0" w:lastRowLastColumn="0"/>
            <w:tcW w:w="1231" w:type="dxa"/>
            <w:tcBorders>
              <w:top w:val="single" w:sz="18" w:space="0" w:color="7F8FA9" w:themeColor="accent4"/>
              <w:left w:val="single" w:sz="36" w:space="0" w:color="FFFFFF" w:themeColor="background1"/>
              <w:bottom w:val="single" w:sz="18" w:space="0" w:color="5AA2AE" w:themeColor="accent5"/>
              <w:right w:val="nil"/>
            </w:tcBorders>
            <w:vAlign w:val="center"/>
          </w:tcPr>
          <w:p w14:paraId="3F20B207" w14:textId="77777777" w:rsidR="00B85FC0" w:rsidRPr="00A10CE8" w:rsidRDefault="00B85FC0" w:rsidP="00327C0F">
            <w:pPr>
              <w:spacing w:before="0" w:after="0"/>
              <w:jc w:val="center"/>
              <w:rPr>
                <w:b/>
                <w:color w:val="FFFFFF" w:themeColor="background1"/>
                <w:sz w:val="21"/>
                <w:szCs w:val="21"/>
              </w:rPr>
            </w:pPr>
            <w:r>
              <w:rPr>
                <w:b/>
                <w:noProof/>
                <w:color w:val="FFFFFF" w:themeColor="background1"/>
                <w:sz w:val="21"/>
                <w:szCs w:val="21"/>
              </w:rPr>
              <w:drawing>
                <wp:inline distT="0" distB="0" distL="0" distR="0" wp14:anchorId="1AD9C375" wp14:editId="2F2C2723">
                  <wp:extent cx="360000" cy="360000"/>
                  <wp:effectExtent l="0" t="0" r="0" b="2540"/>
                  <wp:docPr id="559940907" name="Graphic 49" descr="Social netwo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940907" name="Graphic 49" descr="Social network with solid fill"/>
                          <pic:cNvPicPr/>
                        </pic:nvPicPr>
                        <pic:blipFill>
                          <a:blip r:embed="rId28">
                            <a:extLst>
                              <a:ext uri="{96DAC541-7B7A-43D3-8B79-37D633B846F1}">
                                <asvg:svgBlip xmlns:asvg="http://schemas.microsoft.com/office/drawing/2016/SVG/main" r:embed="rId29"/>
                              </a:ext>
                            </a:extLst>
                          </a:blip>
                          <a:stretch>
                            <a:fillRect/>
                          </a:stretch>
                        </pic:blipFill>
                        <pic:spPr>
                          <a:xfrm>
                            <a:off x="0" y="0"/>
                            <a:ext cx="360000" cy="360000"/>
                          </a:xfrm>
                          <a:prstGeom prst="rect">
                            <a:avLst/>
                          </a:prstGeom>
                        </pic:spPr>
                      </pic:pic>
                    </a:graphicData>
                  </a:graphic>
                </wp:inline>
              </w:drawing>
            </w:r>
          </w:p>
        </w:tc>
        <w:tc>
          <w:tcPr>
            <w:tcW w:w="7513" w:type="dxa"/>
            <w:tcBorders>
              <w:top w:val="single" w:sz="18" w:space="0" w:color="7F8FA9" w:themeColor="accent4"/>
              <w:left w:val="nil"/>
              <w:bottom w:val="single" w:sz="18" w:space="0" w:color="5AA2AE" w:themeColor="accent5"/>
              <w:right w:val="single" w:sz="36" w:space="0" w:color="FFFFFF" w:themeColor="background1"/>
            </w:tcBorders>
            <w:vAlign w:val="center"/>
          </w:tcPr>
          <w:p w14:paraId="645A95C6" w14:textId="77777777" w:rsidR="00B85FC0" w:rsidRPr="006558DF" w:rsidRDefault="00B85FC0" w:rsidP="00327C0F">
            <w:pPr>
              <w:spacing w:before="0" w:after="0"/>
              <w:cnfStyle w:val="000000000000" w:firstRow="0" w:lastRow="0" w:firstColumn="0" w:lastColumn="0" w:oddVBand="0" w:evenVBand="0" w:oddHBand="0" w:evenHBand="0" w:firstRowFirstColumn="0" w:firstRowLastColumn="0" w:lastRowFirstColumn="0" w:lastRowLastColumn="0"/>
              <w:rPr>
                <w:bCs/>
              </w:rPr>
            </w:pPr>
            <w:r w:rsidRPr="006558DF">
              <w:rPr>
                <w:bCs/>
              </w:rPr>
              <w:t>Person</w:t>
            </w:r>
            <w:r w:rsidRPr="006558DF">
              <w:rPr>
                <w:bCs/>
              </w:rPr>
              <w:noBreakHyphen/>
              <w:t>centred communication and ability to raise issues without reprisal</w:t>
            </w:r>
          </w:p>
        </w:tc>
      </w:tr>
      <w:tr w:rsidR="00B85FC0" w:rsidRPr="00776519" w14:paraId="48D84647" w14:textId="77777777" w:rsidTr="005A1E8D">
        <w:trPr>
          <w:trHeight w:val="454"/>
        </w:trPr>
        <w:tc>
          <w:tcPr>
            <w:cnfStyle w:val="001000000000" w:firstRow="0" w:lastRow="0" w:firstColumn="1" w:lastColumn="0" w:oddVBand="0" w:evenVBand="0" w:oddHBand="0" w:evenHBand="0" w:firstRowFirstColumn="0" w:firstRowLastColumn="0" w:lastRowFirstColumn="0" w:lastRowLastColumn="0"/>
            <w:tcW w:w="1231" w:type="dxa"/>
            <w:tcBorders>
              <w:top w:val="single" w:sz="18" w:space="0" w:color="5AA2AE" w:themeColor="accent5"/>
              <w:left w:val="single" w:sz="36" w:space="0" w:color="FFFFFF" w:themeColor="background1"/>
              <w:bottom w:val="single" w:sz="18" w:space="0" w:color="9D90A0" w:themeColor="accent6"/>
              <w:right w:val="nil"/>
            </w:tcBorders>
            <w:vAlign w:val="center"/>
          </w:tcPr>
          <w:p w14:paraId="24740BF3" w14:textId="77777777" w:rsidR="00B85FC0" w:rsidRPr="00A10CE8" w:rsidRDefault="00B85FC0" w:rsidP="00327C0F">
            <w:pPr>
              <w:spacing w:before="0" w:after="0"/>
              <w:jc w:val="center"/>
              <w:rPr>
                <w:b/>
                <w:color w:val="FFFFFF" w:themeColor="background1"/>
                <w:sz w:val="21"/>
                <w:szCs w:val="21"/>
              </w:rPr>
            </w:pPr>
            <w:r>
              <w:rPr>
                <w:b/>
                <w:noProof/>
                <w:color w:val="FFFFFF" w:themeColor="background1"/>
                <w:sz w:val="21"/>
                <w:szCs w:val="21"/>
              </w:rPr>
              <w:drawing>
                <wp:inline distT="0" distB="0" distL="0" distR="0" wp14:anchorId="4BE63611" wp14:editId="59B50789">
                  <wp:extent cx="360000" cy="360000"/>
                  <wp:effectExtent l="0" t="0" r="2540" b="2540"/>
                  <wp:docPr id="112793026" name="Graphic 50" descr="Connection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93026" name="Graphic 112793026" descr="Connections with solid fill"/>
                          <pic:cNvPicPr/>
                        </pic:nvPicPr>
                        <pic:blipFill>
                          <a:blip r:embed="rId30">
                            <a:extLst>
                              <a:ext uri="{96DAC541-7B7A-43D3-8B79-37D633B846F1}">
                                <asvg:svgBlip xmlns:asvg="http://schemas.microsoft.com/office/drawing/2016/SVG/main" r:embed="rId31"/>
                              </a:ext>
                            </a:extLst>
                          </a:blip>
                          <a:stretch>
                            <a:fillRect/>
                          </a:stretch>
                        </pic:blipFill>
                        <pic:spPr>
                          <a:xfrm>
                            <a:off x="0" y="0"/>
                            <a:ext cx="360000" cy="360000"/>
                          </a:xfrm>
                          <a:prstGeom prst="rect">
                            <a:avLst/>
                          </a:prstGeom>
                        </pic:spPr>
                      </pic:pic>
                    </a:graphicData>
                  </a:graphic>
                </wp:inline>
              </w:drawing>
            </w:r>
          </w:p>
        </w:tc>
        <w:tc>
          <w:tcPr>
            <w:tcW w:w="7513" w:type="dxa"/>
            <w:tcBorders>
              <w:top w:val="single" w:sz="18" w:space="0" w:color="5AA2AE" w:themeColor="accent5"/>
              <w:left w:val="nil"/>
              <w:bottom w:val="single" w:sz="18" w:space="0" w:color="9D90A0" w:themeColor="accent6"/>
              <w:right w:val="single" w:sz="36" w:space="0" w:color="FFFFFF" w:themeColor="background1"/>
            </w:tcBorders>
            <w:vAlign w:val="center"/>
          </w:tcPr>
          <w:p w14:paraId="12FB2C1E" w14:textId="77777777" w:rsidR="00B85FC0" w:rsidRPr="006558DF" w:rsidRDefault="00B85FC0" w:rsidP="00327C0F">
            <w:pPr>
              <w:keepNext/>
              <w:spacing w:before="0" w:after="0"/>
              <w:cnfStyle w:val="000000000000" w:firstRow="0" w:lastRow="0" w:firstColumn="0" w:lastColumn="0" w:oddVBand="0" w:evenVBand="0" w:oddHBand="0" w:evenHBand="0" w:firstRowFirstColumn="0" w:firstRowLastColumn="0" w:lastRowFirstColumn="0" w:lastRowLastColumn="0"/>
              <w:rPr>
                <w:bCs/>
              </w:rPr>
            </w:pPr>
            <w:r w:rsidRPr="006558DF">
              <w:rPr>
                <w:bCs/>
              </w:rPr>
              <w:t>Advocates, significant persons and social connections</w:t>
            </w:r>
          </w:p>
        </w:tc>
      </w:tr>
    </w:tbl>
    <w:p w14:paraId="2C0CE14B" w14:textId="69B37CE6" w:rsidR="00B85FC0" w:rsidRPr="005A49D1" w:rsidRDefault="005A49D1" w:rsidP="005A49D1">
      <w:pPr>
        <w:pStyle w:val="Caption"/>
      </w:pPr>
      <w:r>
        <w:t xml:space="preserve">Figure </w:t>
      </w:r>
      <w:r>
        <w:fldChar w:fldCharType="begin"/>
      </w:r>
      <w:r>
        <w:instrText xml:space="preserve"> SEQ Figure \* ARABIC </w:instrText>
      </w:r>
      <w:r>
        <w:fldChar w:fldCharType="separate"/>
      </w:r>
      <w:r w:rsidR="00A279BA">
        <w:rPr>
          <w:noProof/>
        </w:rPr>
        <w:t>2</w:t>
      </w:r>
      <w:r>
        <w:fldChar w:fldCharType="end"/>
      </w:r>
      <w:r w:rsidR="00B85FC0" w:rsidRPr="005A49D1">
        <w:t>: Statement of Rights</w:t>
      </w:r>
    </w:p>
    <w:p w14:paraId="052BC960" w14:textId="77777777" w:rsidR="00B85FC0" w:rsidRPr="00AC5C35" w:rsidRDefault="00B85FC0" w:rsidP="00C5630B">
      <w:pPr>
        <w:pStyle w:val="Heading3"/>
      </w:pPr>
      <w:bookmarkStart w:id="20" w:name="_Toc210388284"/>
      <w:bookmarkStart w:id="21" w:name="_Toc223509374"/>
      <w:r w:rsidRPr="00E0539C">
        <w:t>System Governor</w:t>
      </w:r>
      <w:bookmarkEnd w:id="20"/>
      <w:bookmarkEnd w:id="21"/>
    </w:p>
    <w:p w14:paraId="7BD91428" w14:textId="77777777" w:rsidR="00B85FC0" w:rsidRPr="002347AA" w:rsidRDefault="00B85FC0" w:rsidP="002347AA">
      <w:r w:rsidRPr="00E615C6">
        <w:rPr>
          <w:i/>
          <w:iCs/>
        </w:rPr>
        <w:t>The Royal Commission into Aged Care Quality and Safety Final Report: Care Dignity and Respect</w:t>
      </w:r>
      <w:r w:rsidRPr="002347AA">
        <w:t xml:space="preserve"> identified system governance and stewardship as critical elements needing reform. To address this, the Act introduces the role of the System Governor.</w:t>
      </w:r>
    </w:p>
    <w:p w14:paraId="51E729C8" w14:textId="7AF8AADB" w:rsidR="00B85FC0" w:rsidRPr="002347AA" w:rsidRDefault="00B85FC0" w:rsidP="002347AA">
      <w:r w:rsidRPr="002347AA">
        <w:t xml:space="preserve">The System Governor is responsible for the operations and oversight of the aged care system including: </w:t>
      </w:r>
    </w:p>
    <w:p w14:paraId="2C3AC330" w14:textId="77777777" w:rsidR="00B85FC0" w:rsidRPr="00B8793F" w:rsidRDefault="00B85FC0" w:rsidP="00494017">
      <w:pPr>
        <w:pStyle w:val="ListBullet2"/>
      </w:pPr>
      <w:r w:rsidRPr="00B8793F">
        <w:t>facilitating equitable access to funded aged care services for older people</w:t>
      </w:r>
    </w:p>
    <w:p w14:paraId="655EC0A2" w14:textId="77777777" w:rsidR="00B85FC0" w:rsidRPr="00B8793F" w:rsidRDefault="00B85FC0" w:rsidP="00494017">
      <w:pPr>
        <w:pStyle w:val="ListBullet2"/>
      </w:pPr>
      <w:r w:rsidRPr="00B8793F">
        <w:t>supporting the continuity of funded aged care services</w:t>
      </w:r>
    </w:p>
    <w:p w14:paraId="7F10E987" w14:textId="77777777" w:rsidR="00B85FC0" w:rsidRPr="00B8793F" w:rsidRDefault="00B85FC0" w:rsidP="00494017">
      <w:pPr>
        <w:pStyle w:val="ListBullet2"/>
      </w:pPr>
      <w:r w:rsidRPr="00B8793F">
        <w:t>providing stewardship of the aged care system</w:t>
      </w:r>
    </w:p>
    <w:p w14:paraId="46DBE8B6" w14:textId="77777777" w:rsidR="00B85FC0" w:rsidRPr="00B8793F" w:rsidRDefault="00B85FC0" w:rsidP="00494017">
      <w:pPr>
        <w:pStyle w:val="ListBullet2"/>
      </w:pPr>
      <w:r w:rsidRPr="00B8793F">
        <w:t>protecting and upholding the integrity of the aged care system</w:t>
      </w:r>
    </w:p>
    <w:p w14:paraId="7D7B73F1" w14:textId="77777777" w:rsidR="00B85FC0" w:rsidRPr="00B8793F" w:rsidRDefault="00B85FC0" w:rsidP="00494017">
      <w:pPr>
        <w:pStyle w:val="ListBullet2"/>
      </w:pPr>
      <w:r w:rsidRPr="00B8793F">
        <w:t>monitoring and encouraging the training and development of aged care workers</w:t>
      </w:r>
    </w:p>
    <w:p w14:paraId="041BDEFD" w14:textId="77777777" w:rsidR="00B85FC0" w:rsidRPr="00B8793F" w:rsidRDefault="00B85FC0" w:rsidP="00494017">
      <w:pPr>
        <w:pStyle w:val="ListBullet2"/>
      </w:pPr>
      <w:r w:rsidRPr="00B8793F">
        <w:t>reviewing the Australian Government’s administration of the aged care system.</w:t>
      </w:r>
    </w:p>
    <w:p w14:paraId="3C463BE5" w14:textId="4E033BD3" w:rsidR="00B85FC0" w:rsidRPr="002347AA" w:rsidRDefault="00B85FC0" w:rsidP="002347AA">
      <w:pPr>
        <w:rPr>
          <w:iCs/>
        </w:rPr>
      </w:pPr>
      <w:r w:rsidRPr="002347AA">
        <w:rPr>
          <w:iCs/>
        </w:rPr>
        <w:t>To deliver on these responsibilities, the System Governor must also ensure all parts of the aged care system work together effectively.</w:t>
      </w:r>
      <w:r w:rsidR="006C156A">
        <w:rPr>
          <w:iCs/>
        </w:rPr>
        <w:t xml:space="preserve"> </w:t>
      </w:r>
      <w:r w:rsidRPr="002347AA">
        <w:rPr>
          <w:iCs/>
        </w:rPr>
        <w:t>This supports an important shift towards a system wide approach to oversight for aged care.</w:t>
      </w:r>
    </w:p>
    <w:p w14:paraId="38F580D1" w14:textId="3D5B9536" w:rsidR="00A602D4" w:rsidRPr="00A602D4" w:rsidRDefault="00B85FC0" w:rsidP="00A602D4">
      <w:pPr>
        <w:pStyle w:val="Paragraphtext"/>
        <w:rPr>
          <w:iCs/>
          <w:sz w:val="24"/>
        </w:rPr>
      </w:pPr>
      <w:r w:rsidRPr="004D1C24">
        <w:rPr>
          <w:iCs/>
          <w:sz w:val="24"/>
        </w:rPr>
        <w:t>This assurance framework focusse</w:t>
      </w:r>
      <w:r w:rsidR="00934FF8">
        <w:rPr>
          <w:iCs/>
          <w:sz w:val="24"/>
        </w:rPr>
        <w:t>s</w:t>
      </w:r>
      <w:r w:rsidRPr="004D1C24">
        <w:rPr>
          <w:iCs/>
          <w:sz w:val="24"/>
        </w:rPr>
        <w:t xml:space="preserve"> mainly on System Governor powers to protect and uphold the integrity of the </w:t>
      </w:r>
      <w:r w:rsidR="0046517C">
        <w:rPr>
          <w:iCs/>
          <w:sz w:val="24"/>
        </w:rPr>
        <w:t>Australian G</w:t>
      </w:r>
      <w:r w:rsidR="00421B7C">
        <w:rPr>
          <w:iCs/>
          <w:sz w:val="24"/>
        </w:rPr>
        <w:t>overnment’s</w:t>
      </w:r>
      <w:r w:rsidR="00421B7C" w:rsidRPr="004D1C24">
        <w:rPr>
          <w:iCs/>
          <w:sz w:val="24"/>
        </w:rPr>
        <w:t xml:space="preserve"> </w:t>
      </w:r>
      <w:r w:rsidRPr="004D1C24">
        <w:rPr>
          <w:iCs/>
          <w:sz w:val="24"/>
        </w:rPr>
        <w:t xml:space="preserve">administration of and investment in </w:t>
      </w:r>
      <w:r w:rsidR="00005927">
        <w:rPr>
          <w:iCs/>
          <w:sz w:val="24"/>
        </w:rPr>
        <w:t>the aged care system</w:t>
      </w:r>
      <w:r w:rsidR="008613B0">
        <w:rPr>
          <w:rStyle w:val="FootnoteReference"/>
          <w:iCs/>
          <w:sz w:val="24"/>
        </w:rPr>
        <w:footnoteReference w:id="7"/>
      </w:r>
      <w:r w:rsidRPr="004D1C24">
        <w:rPr>
          <w:iCs/>
          <w:sz w:val="24"/>
        </w:rPr>
        <w:t>. However, the department may, as the System Governor, undertake assurance activities across any of its functions outlined above.</w:t>
      </w:r>
      <w:r w:rsidR="00A602D4">
        <w:rPr>
          <w:iCs/>
          <w:sz w:val="24"/>
        </w:rPr>
        <w:br w:type="page"/>
      </w:r>
    </w:p>
    <w:p w14:paraId="2B1B2F8A" w14:textId="6812EC06" w:rsidR="00B85FC0" w:rsidRDefault="00B85FC0" w:rsidP="00E664BF">
      <w:pPr>
        <w:rPr>
          <w:szCs w:val="21"/>
        </w:rPr>
      </w:pPr>
      <w:r w:rsidRPr="004D1C24">
        <w:t xml:space="preserve">The System Governor role is separate to the role of the </w:t>
      </w:r>
      <w:r w:rsidR="00004659">
        <w:t xml:space="preserve">Aged Care Quality and Safety </w:t>
      </w:r>
      <w:r w:rsidRPr="004D1C24">
        <w:t>Commission</w:t>
      </w:r>
      <w:r w:rsidR="005F3112">
        <w:t xml:space="preserve"> (the Commission)</w:t>
      </w:r>
      <w:r w:rsidRPr="004D1C24">
        <w:t xml:space="preserve"> although they work closely together.</w:t>
      </w:r>
      <w:r w:rsidR="006C156A">
        <w:t xml:space="preserve"> </w:t>
      </w:r>
      <w:r w:rsidRPr="004D1C24">
        <w:t xml:space="preserve">Further information is available on the department’s website: </w:t>
      </w:r>
      <w:hyperlink r:id="rId32" w:history="1">
        <w:r w:rsidRPr="002A0456">
          <w:rPr>
            <w:rStyle w:val="Hyperlink"/>
            <w:color w:val="002774"/>
          </w:rPr>
          <w:t>aged care regulatory and governance roles</w:t>
        </w:r>
      </w:hyperlink>
      <w:r w:rsidRPr="004D1C24">
        <w:t>.</w:t>
      </w:r>
    </w:p>
    <w:p w14:paraId="4CFB9055" w14:textId="77777777" w:rsidR="00B85FC0" w:rsidRPr="0013586B" w:rsidRDefault="00B85FC0" w:rsidP="00C5630B">
      <w:pPr>
        <w:pStyle w:val="Heading3"/>
      </w:pPr>
      <w:bookmarkStart w:id="22" w:name="_Toc210388285"/>
      <w:bookmarkStart w:id="23" w:name="_Toc223509375"/>
      <w:r w:rsidRPr="00AC5C35">
        <w:t>The Aged Care Quality and Safety</w:t>
      </w:r>
      <w:r>
        <w:t xml:space="preserve"> Commission</w:t>
      </w:r>
      <w:bookmarkEnd w:id="22"/>
      <w:bookmarkEnd w:id="23"/>
    </w:p>
    <w:p w14:paraId="7E92314B" w14:textId="7D7816CC" w:rsidR="00364C06" w:rsidRPr="00364C06" w:rsidRDefault="00B85FC0" w:rsidP="00364C06">
      <w:pPr>
        <w:rPr>
          <w:iCs/>
        </w:rPr>
      </w:pPr>
      <w:r w:rsidRPr="00350139">
        <w:rPr>
          <w:iCs/>
        </w:rPr>
        <w:t xml:space="preserve">The Commission is responsible for protecting and enhancing the safety, </w:t>
      </w:r>
      <w:proofErr w:type="spellStart"/>
      <w:r w:rsidRPr="00350139">
        <w:rPr>
          <w:iCs/>
        </w:rPr>
        <w:t>health,</w:t>
      </w:r>
      <w:proofErr w:type="spellEnd"/>
      <w:r w:rsidRPr="00350139">
        <w:rPr>
          <w:iCs/>
        </w:rPr>
        <w:t xml:space="preserve"> wellbeing and quality of life of older people receiving aged care. The Commission upholds older people’s rights and ensures providers and workers comply with their obligations under the Act</w:t>
      </w:r>
      <w:r w:rsidR="00F058D8">
        <w:rPr>
          <w:iCs/>
        </w:rPr>
        <w:t>. This</w:t>
      </w:r>
      <w:r w:rsidRPr="00350139">
        <w:rPr>
          <w:iCs/>
        </w:rPr>
        <w:t xml:space="preserve"> includ</w:t>
      </w:r>
      <w:r w:rsidR="00F058D8">
        <w:rPr>
          <w:iCs/>
        </w:rPr>
        <w:t>es</w:t>
      </w:r>
      <w:r w:rsidRPr="00350139">
        <w:rPr>
          <w:iCs/>
        </w:rPr>
        <w:t xml:space="preserve"> those relating to quality and safety, governance, and financial and prudential management.</w:t>
      </w:r>
    </w:p>
    <w:p w14:paraId="5A8352E7" w14:textId="77777777" w:rsidR="00B85FC0" w:rsidRPr="00350139" w:rsidRDefault="00B85FC0" w:rsidP="00B85FC0">
      <w:pPr>
        <w:pStyle w:val="Paragraphtext"/>
        <w:rPr>
          <w:iCs/>
          <w:sz w:val="24"/>
        </w:rPr>
      </w:pPr>
      <w:r w:rsidRPr="00350139">
        <w:rPr>
          <w:iCs/>
          <w:sz w:val="24"/>
        </w:rPr>
        <w:t>The Commission performs its functions by:</w:t>
      </w:r>
    </w:p>
    <w:p w14:paraId="7B104DAB" w14:textId="7F1AF378" w:rsidR="00B85FC0" w:rsidRDefault="00B85FC0" w:rsidP="00494017">
      <w:pPr>
        <w:pStyle w:val="ListBullet2"/>
      </w:pPr>
      <w:r w:rsidRPr="00350139">
        <w:t>engaging with older people, families, registered supporters and carers to ensure their voices and experiences inform regulation and to promote rights and transparency in the aged care system</w:t>
      </w:r>
    </w:p>
    <w:p w14:paraId="3B808C96" w14:textId="47FB3024" w:rsidR="00B85FC0" w:rsidRDefault="00B85FC0" w:rsidP="00494017">
      <w:pPr>
        <w:pStyle w:val="ListBullet2"/>
      </w:pPr>
      <w:r w:rsidRPr="00350139">
        <w:t>registering providers to deliver funded aged care services and ensuring they have the capability and commitment to meet their obligations</w:t>
      </w:r>
    </w:p>
    <w:p w14:paraId="4D9E2CE2" w14:textId="0A729E23" w:rsidR="00B85FC0" w:rsidRDefault="00B85FC0" w:rsidP="00494017">
      <w:pPr>
        <w:pStyle w:val="ListBullet2"/>
      </w:pPr>
      <w:r w:rsidRPr="00350139">
        <w:t>monitoring compliance with obligations under the Act, including the Aged Care Code of Conduct, the Aged Care Quality Standards, and the Financial and Prudential Standards</w:t>
      </w:r>
    </w:p>
    <w:p w14:paraId="61D2DCF0" w14:textId="6A295C02" w:rsidR="002A167A" w:rsidRPr="002A167A" w:rsidRDefault="00B85FC0" w:rsidP="00494017">
      <w:pPr>
        <w:pStyle w:val="ListBullet2"/>
      </w:pPr>
      <w:r w:rsidRPr="00350139">
        <w:t>taking proportionate regulatory action where providers, responsible persons or workers fail to meet their obligations, including responding to non-compliance and serious risk</w:t>
      </w:r>
    </w:p>
    <w:p w14:paraId="485C4090" w14:textId="4FBBBAE0" w:rsidR="005F3112" w:rsidRDefault="00B85FC0" w:rsidP="00494017">
      <w:pPr>
        <w:pStyle w:val="ListBullet2"/>
      </w:pPr>
      <w:r w:rsidRPr="00350139">
        <w:t>resolving complaints about the conduct of providers, responsible persons, and aged care workers, and using complaints intelligence to inform risk-based regulation</w:t>
      </w:r>
    </w:p>
    <w:p w14:paraId="63BB9A97" w14:textId="6FFD10C5" w:rsidR="005F3112" w:rsidRDefault="00B85FC0" w:rsidP="00494017">
      <w:pPr>
        <w:pStyle w:val="ListBullet2"/>
      </w:pPr>
      <w:r w:rsidRPr="005F3112">
        <w:t xml:space="preserve">building sector capability by supporting providers, responsible persons, and aged care workers to understand and meet their </w:t>
      </w:r>
      <w:r w:rsidR="004C0C04" w:rsidRPr="005F3112">
        <w:t>responsibilities and</w:t>
      </w:r>
      <w:r w:rsidRPr="005F3112">
        <w:t xml:space="preserve"> driving continuous improvement in the quality of care</w:t>
      </w:r>
    </w:p>
    <w:p w14:paraId="20254445" w14:textId="030F9CAE" w:rsidR="00B85FC0" w:rsidRPr="005F3112" w:rsidRDefault="00B85FC0" w:rsidP="00494017">
      <w:pPr>
        <w:pStyle w:val="ListBullet2"/>
      </w:pPr>
      <w:r w:rsidRPr="005F3112">
        <w:t>working with government and stakeholders to strengthen the regulatory system and contribute to broader policy outcomes working alongside the department to implement additional protections for Support at Home program participants.</w:t>
      </w:r>
    </w:p>
    <w:p w14:paraId="50B8D9BE" w14:textId="0D18B89A" w:rsidR="00B85FC0" w:rsidRPr="00350139" w:rsidRDefault="00B85FC0" w:rsidP="00B85FC0">
      <w:pPr>
        <w:pStyle w:val="Paragraphtext"/>
        <w:rPr>
          <w:iCs/>
          <w:sz w:val="24"/>
        </w:rPr>
      </w:pPr>
      <w:r w:rsidRPr="00350139">
        <w:rPr>
          <w:iCs/>
          <w:sz w:val="24"/>
        </w:rPr>
        <w:t>Where providers are subject to activities by both the department and the Commission, the</w:t>
      </w:r>
      <w:r w:rsidR="004F0920">
        <w:rPr>
          <w:iCs/>
          <w:sz w:val="24"/>
        </w:rPr>
        <w:t>y</w:t>
      </w:r>
      <w:r w:rsidRPr="00350139">
        <w:rPr>
          <w:iCs/>
          <w:sz w:val="24"/>
        </w:rPr>
        <w:t xml:space="preserve"> will work </w:t>
      </w:r>
      <w:r w:rsidR="004F0920">
        <w:rPr>
          <w:iCs/>
          <w:sz w:val="24"/>
        </w:rPr>
        <w:t>together</w:t>
      </w:r>
      <w:r w:rsidRPr="00350139">
        <w:rPr>
          <w:iCs/>
          <w:sz w:val="24"/>
        </w:rPr>
        <w:t xml:space="preserve"> to minimise unnecessary burden on providers.</w:t>
      </w:r>
    </w:p>
    <w:p w14:paraId="5E861D39" w14:textId="77777777" w:rsidR="00B85FC0" w:rsidRPr="00C5630B" w:rsidRDefault="00B85FC0" w:rsidP="00C5630B">
      <w:pPr>
        <w:pStyle w:val="Heading3"/>
      </w:pPr>
      <w:bookmarkStart w:id="24" w:name="_Toc210388286"/>
      <w:bookmarkStart w:id="25" w:name="_Toc223509376"/>
      <w:r w:rsidRPr="00C5630B">
        <w:t>Assurance powers</w:t>
      </w:r>
      <w:bookmarkEnd w:id="24"/>
      <w:bookmarkEnd w:id="25"/>
    </w:p>
    <w:p w14:paraId="6059559C" w14:textId="77777777" w:rsidR="00A602D4" w:rsidRDefault="00B85FC0" w:rsidP="00B85FC0">
      <w:pPr>
        <w:pStyle w:val="Paragraphtext"/>
        <w:rPr>
          <w:iCs/>
          <w:sz w:val="24"/>
        </w:rPr>
      </w:pPr>
      <w:r w:rsidRPr="003F7800">
        <w:rPr>
          <w:iCs/>
          <w:sz w:val="24"/>
        </w:rPr>
        <w:t>Access to relevant</w:t>
      </w:r>
      <w:r>
        <w:rPr>
          <w:rStyle w:val="FootnoteReference"/>
          <w:iCs/>
          <w:szCs w:val="21"/>
        </w:rPr>
        <w:footnoteReference w:id="8"/>
      </w:r>
      <w:r w:rsidRPr="00494017">
        <w:t xml:space="preserve"> </w:t>
      </w:r>
      <w:r w:rsidRPr="003F7800">
        <w:rPr>
          <w:iCs/>
          <w:sz w:val="24"/>
        </w:rPr>
        <w:t>assurance information is crucial for the System Governor to be able to effectively conduct assurance activities for the purposes of its functions.</w:t>
      </w:r>
    </w:p>
    <w:p w14:paraId="5A1BED52" w14:textId="4FA3F9C0" w:rsidR="00B85FC0" w:rsidRPr="003F7800" w:rsidRDefault="00B85FC0" w:rsidP="00B85FC0">
      <w:pPr>
        <w:pStyle w:val="Paragraphtext"/>
        <w:rPr>
          <w:iCs/>
          <w:sz w:val="24"/>
        </w:rPr>
      </w:pPr>
      <w:r w:rsidRPr="003F7800">
        <w:rPr>
          <w:iCs/>
          <w:sz w:val="24"/>
        </w:rPr>
        <w:t>This is reflected in sections 508</w:t>
      </w:r>
      <w:r w:rsidR="009F4562">
        <w:rPr>
          <w:iCs/>
          <w:sz w:val="24"/>
        </w:rPr>
        <w:t xml:space="preserve"> to </w:t>
      </w:r>
      <w:r w:rsidRPr="003F7800">
        <w:rPr>
          <w:iCs/>
          <w:sz w:val="24"/>
        </w:rPr>
        <w:t>513 of the Act, which provide the System Governor with certain powers to conduct assurance activities.</w:t>
      </w:r>
    </w:p>
    <w:p w14:paraId="7C6C45EA" w14:textId="7EAF8A68" w:rsidR="00B85FC0" w:rsidRPr="003F7800" w:rsidRDefault="00B85FC0" w:rsidP="00B85FC0">
      <w:pPr>
        <w:pStyle w:val="Paragraphtext"/>
        <w:spacing w:after="240"/>
        <w:rPr>
          <w:iCs/>
          <w:sz w:val="24"/>
        </w:rPr>
      </w:pPr>
      <w:r w:rsidRPr="003F7800">
        <w:rPr>
          <w:iCs/>
          <w:sz w:val="24"/>
        </w:rPr>
        <w:t>This document provides a framework for the conduct of assurance activities under sections 508</w:t>
      </w:r>
      <w:r w:rsidR="009F4562">
        <w:rPr>
          <w:iCs/>
          <w:sz w:val="24"/>
        </w:rPr>
        <w:t xml:space="preserve"> to </w:t>
      </w:r>
      <w:r w:rsidRPr="003F7800">
        <w:rPr>
          <w:iCs/>
          <w:sz w:val="24"/>
        </w:rPr>
        <w:t>513 of the Act. Table 1 describes the System Governor’s assurance powers under the Act and their relevance to the assurance framework.</w:t>
      </w:r>
    </w:p>
    <w:p w14:paraId="29C780FA" w14:textId="209D13CB" w:rsidR="006B334A" w:rsidRPr="005A49D1" w:rsidRDefault="005A49D1" w:rsidP="005A49D1">
      <w:pPr>
        <w:pStyle w:val="Caption"/>
      </w:pPr>
      <w:r>
        <w:t xml:space="preserve">Table </w:t>
      </w:r>
      <w:r>
        <w:fldChar w:fldCharType="begin"/>
      </w:r>
      <w:r>
        <w:instrText xml:space="preserve"> SEQ Table \* ARABIC </w:instrText>
      </w:r>
      <w:r>
        <w:fldChar w:fldCharType="separate"/>
      </w:r>
      <w:r w:rsidR="004C3002">
        <w:rPr>
          <w:noProof/>
        </w:rPr>
        <w:t>1</w:t>
      </w:r>
      <w:r>
        <w:fldChar w:fldCharType="end"/>
      </w:r>
      <w:r w:rsidR="006B334A" w:rsidRPr="005A49D1">
        <w:t>: Assurance powers under the Act</w:t>
      </w:r>
    </w:p>
    <w:tbl>
      <w:tblPr>
        <w:tblStyle w:val="TableGrid"/>
        <w:tblW w:w="9003" w:type="dxa"/>
        <w:tblCellMar>
          <w:top w:w="28" w:type="dxa"/>
          <w:bottom w:w="28" w:type="dxa"/>
        </w:tblCellMar>
        <w:tblLook w:val="04A0" w:firstRow="1" w:lastRow="0" w:firstColumn="1" w:lastColumn="0" w:noHBand="0" w:noVBand="1"/>
      </w:tblPr>
      <w:tblGrid>
        <w:gridCol w:w="1091"/>
        <w:gridCol w:w="3411"/>
        <w:gridCol w:w="4501"/>
      </w:tblGrid>
      <w:tr w:rsidR="00B85FC0" w:rsidRPr="005A49D1" w14:paraId="32FEB864" w14:textId="77777777" w:rsidTr="005A49D1">
        <w:trPr>
          <w:trHeight w:val="592"/>
          <w:tblHeader/>
        </w:trPr>
        <w:tc>
          <w:tcPr>
            <w:cnfStyle w:val="001000000000" w:firstRow="0" w:lastRow="0" w:firstColumn="1" w:lastColumn="0" w:oddVBand="0" w:evenVBand="0" w:oddHBand="0" w:evenHBand="0" w:firstRowFirstColumn="0" w:firstRowLastColumn="0" w:lastRowFirstColumn="0" w:lastRowLastColumn="0"/>
            <w:tcW w:w="1091"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141545"/>
            <w:vAlign w:val="center"/>
          </w:tcPr>
          <w:p w14:paraId="228C57D2" w14:textId="77777777" w:rsidR="00B85FC0" w:rsidRPr="005A49D1" w:rsidRDefault="00B85FC0" w:rsidP="005A49D1">
            <w:pPr>
              <w:pStyle w:val="TableHeaderWhite"/>
            </w:pPr>
            <w:r w:rsidRPr="005A49D1">
              <w:t>Section</w:t>
            </w:r>
          </w:p>
        </w:tc>
        <w:tc>
          <w:tcPr>
            <w:tcW w:w="3411"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141545"/>
            <w:vAlign w:val="center"/>
          </w:tcPr>
          <w:p w14:paraId="7D11CB2F" w14:textId="77777777" w:rsidR="00B85FC0" w:rsidRPr="005A49D1" w:rsidRDefault="00B85FC0" w:rsidP="005A49D1">
            <w:pPr>
              <w:pStyle w:val="TableHeaderWhite"/>
              <w:cnfStyle w:val="000000000000" w:firstRow="0" w:lastRow="0" w:firstColumn="0" w:lastColumn="0" w:oddVBand="0" w:evenVBand="0" w:oddHBand="0" w:evenHBand="0" w:firstRowFirstColumn="0" w:firstRowLastColumn="0" w:lastRowFirstColumn="0" w:lastRowLastColumn="0"/>
            </w:pPr>
            <w:r w:rsidRPr="005A49D1">
              <w:t>Description</w:t>
            </w:r>
          </w:p>
        </w:tc>
        <w:tc>
          <w:tcPr>
            <w:tcW w:w="4501"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141545"/>
            <w:vAlign w:val="center"/>
          </w:tcPr>
          <w:p w14:paraId="2EACB73F" w14:textId="77777777" w:rsidR="00B85FC0" w:rsidRPr="005A49D1" w:rsidRDefault="00B85FC0" w:rsidP="005A49D1">
            <w:pPr>
              <w:pStyle w:val="TableHeaderWhite"/>
              <w:cnfStyle w:val="000000000000" w:firstRow="0" w:lastRow="0" w:firstColumn="0" w:lastColumn="0" w:oddVBand="0" w:evenVBand="0" w:oddHBand="0" w:evenHBand="0" w:firstRowFirstColumn="0" w:firstRowLastColumn="0" w:lastRowFirstColumn="0" w:lastRowLastColumn="0"/>
            </w:pPr>
            <w:r w:rsidRPr="005A49D1">
              <w:t>Relevance</w:t>
            </w:r>
          </w:p>
        </w:tc>
      </w:tr>
      <w:tr w:rsidR="00B85FC0" w14:paraId="2C4EB1D1" w14:textId="77777777" w:rsidTr="009973A2">
        <w:trPr>
          <w:trHeight w:val="808"/>
        </w:trPr>
        <w:tc>
          <w:tcPr>
            <w:cnfStyle w:val="001000000000" w:firstRow="0" w:lastRow="0" w:firstColumn="1" w:lastColumn="0" w:oddVBand="0" w:evenVBand="0" w:oddHBand="0" w:evenHBand="0" w:firstRowFirstColumn="0" w:firstRowLastColumn="0" w:lastRowFirstColumn="0" w:lastRowLastColumn="0"/>
            <w:tcW w:w="1091"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2F2F2" w:themeFill="background1" w:themeFillShade="F2"/>
            <w:vAlign w:val="center"/>
          </w:tcPr>
          <w:p w14:paraId="70F49942" w14:textId="77777777" w:rsidR="00B85FC0" w:rsidRPr="005A49D1" w:rsidRDefault="00B85FC0" w:rsidP="00494017">
            <w:pPr>
              <w:pStyle w:val="Tabletextcentre"/>
            </w:pPr>
            <w:r w:rsidRPr="005A49D1">
              <w:t>508</w:t>
            </w:r>
          </w:p>
        </w:tc>
        <w:tc>
          <w:tcPr>
            <w:tcW w:w="3411"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2F2F2" w:themeFill="background1" w:themeFillShade="F2"/>
            <w:vAlign w:val="center"/>
          </w:tcPr>
          <w:p w14:paraId="72A87D5F" w14:textId="77777777" w:rsidR="00B85FC0" w:rsidRPr="005A49D1" w:rsidRDefault="00B85FC0" w:rsidP="005A49D1">
            <w:pPr>
              <w:pStyle w:val="Tabletext"/>
              <w:cnfStyle w:val="000000000000" w:firstRow="0" w:lastRow="0" w:firstColumn="0" w:lastColumn="0" w:oddVBand="0" w:evenVBand="0" w:oddHBand="0" w:evenHBand="0" w:firstRowFirstColumn="0" w:firstRowLastColumn="0" w:lastRowFirstColumn="0" w:lastRowLastColumn="0"/>
            </w:pPr>
            <w:r w:rsidRPr="005A49D1">
              <w:t>System Governor may conduct assurance activities for the purposes of their functions.</w:t>
            </w:r>
          </w:p>
        </w:tc>
        <w:tc>
          <w:tcPr>
            <w:tcW w:w="4501"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2F2F2" w:themeFill="background1" w:themeFillShade="F2"/>
            <w:vAlign w:val="center"/>
          </w:tcPr>
          <w:p w14:paraId="44DEA437" w14:textId="77777777" w:rsidR="00B85FC0" w:rsidRPr="005A49D1" w:rsidRDefault="00B85FC0" w:rsidP="005A49D1">
            <w:pPr>
              <w:pStyle w:val="Tabletext"/>
              <w:cnfStyle w:val="000000000000" w:firstRow="0" w:lastRow="0" w:firstColumn="0" w:lastColumn="0" w:oddVBand="0" w:evenVBand="0" w:oddHBand="0" w:evenHBand="0" w:firstRowFirstColumn="0" w:firstRowLastColumn="0" w:lastRowFirstColumn="0" w:lastRowLastColumn="0"/>
            </w:pPr>
            <w:r w:rsidRPr="005A49D1">
              <w:t xml:space="preserve">The assurance framework outlines the department’s approach to conducting assurance activities. </w:t>
            </w:r>
          </w:p>
        </w:tc>
      </w:tr>
      <w:tr w:rsidR="00B85FC0" w14:paraId="193360AA" w14:textId="77777777" w:rsidTr="007F33CC">
        <w:trPr>
          <w:trHeight w:val="1028"/>
        </w:trPr>
        <w:tc>
          <w:tcPr>
            <w:cnfStyle w:val="001000000000" w:firstRow="0" w:lastRow="0" w:firstColumn="1" w:lastColumn="0" w:oddVBand="0" w:evenVBand="0" w:oddHBand="0" w:evenHBand="0" w:firstRowFirstColumn="0" w:firstRowLastColumn="0" w:lastRowFirstColumn="0" w:lastRowLastColumn="0"/>
            <w:tcW w:w="1091"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D9DFEF" w:themeFill="accent1" w:themeFillTint="33"/>
            <w:vAlign w:val="center"/>
          </w:tcPr>
          <w:p w14:paraId="62085E9D" w14:textId="77777777" w:rsidR="00B85FC0" w:rsidRPr="005A49D1" w:rsidRDefault="00B85FC0" w:rsidP="00494017">
            <w:pPr>
              <w:pStyle w:val="Tabletextcentre"/>
            </w:pPr>
            <w:r w:rsidRPr="005A49D1">
              <w:t>509</w:t>
            </w:r>
          </w:p>
        </w:tc>
        <w:tc>
          <w:tcPr>
            <w:tcW w:w="3411"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D9DFEF" w:themeFill="accent1" w:themeFillTint="33"/>
            <w:vAlign w:val="center"/>
          </w:tcPr>
          <w:p w14:paraId="76229602" w14:textId="77777777" w:rsidR="00B85FC0" w:rsidRPr="005A49D1" w:rsidRDefault="00B85FC0" w:rsidP="005A49D1">
            <w:pPr>
              <w:pStyle w:val="Tabletext"/>
              <w:cnfStyle w:val="000000000000" w:firstRow="0" w:lastRow="0" w:firstColumn="0" w:lastColumn="0" w:oddVBand="0" w:evenVBand="0" w:oddHBand="0" w:evenHBand="0" w:firstRowFirstColumn="0" w:firstRowLastColumn="0" w:lastRowFirstColumn="0" w:lastRowLastColumn="0"/>
            </w:pPr>
            <w:r w:rsidRPr="005A49D1">
              <w:t>System Governor may specify terms of reference for assurance activities.</w:t>
            </w:r>
          </w:p>
        </w:tc>
        <w:tc>
          <w:tcPr>
            <w:tcW w:w="4501"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D9DFEF" w:themeFill="accent1" w:themeFillTint="33"/>
            <w:vAlign w:val="center"/>
          </w:tcPr>
          <w:p w14:paraId="27E1B6ED" w14:textId="77777777" w:rsidR="00B85FC0" w:rsidRPr="005A49D1" w:rsidRDefault="00B85FC0" w:rsidP="005A49D1">
            <w:pPr>
              <w:pStyle w:val="Tabletext"/>
              <w:cnfStyle w:val="000000000000" w:firstRow="0" w:lastRow="0" w:firstColumn="0" w:lastColumn="0" w:oddVBand="0" w:evenVBand="0" w:oddHBand="0" w:evenHBand="0" w:firstRowFirstColumn="0" w:firstRowLastColumn="0" w:lastRowFirstColumn="0" w:lastRowLastColumn="0"/>
            </w:pPr>
            <w:r w:rsidRPr="005A49D1">
              <w:t>The assurance framework provides guidance on how assurance topics will be identified and prioritised which will inform terms of reference for specific activities.</w:t>
            </w:r>
          </w:p>
        </w:tc>
      </w:tr>
      <w:tr w:rsidR="00B85FC0" w14:paraId="7387D351" w14:textId="77777777" w:rsidTr="0077122E">
        <w:trPr>
          <w:trHeight w:val="808"/>
        </w:trPr>
        <w:tc>
          <w:tcPr>
            <w:cnfStyle w:val="001000000000" w:firstRow="0" w:lastRow="0" w:firstColumn="1" w:lastColumn="0" w:oddVBand="0" w:evenVBand="0" w:oddHBand="0" w:evenHBand="0" w:firstRowFirstColumn="0" w:firstRowLastColumn="0" w:lastRowFirstColumn="0" w:lastRowLastColumn="0"/>
            <w:tcW w:w="1091"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2F2F2" w:themeFill="background1" w:themeFillShade="F2"/>
            <w:vAlign w:val="center"/>
          </w:tcPr>
          <w:p w14:paraId="631026EF" w14:textId="77777777" w:rsidR="00B85FC0" w:rsidRPr="005A49D1" w:rsidRDefault="00B85FC0" w:rsidP="00494017">
            <w:pPr>
              <w:pStyle w:val="Tabletextcentre"/>
            </w:pPr>
            <w:r w:rsidRPr="005A49D1">
              <w:t>510</w:t>
            </w:r>
          </w:p>
        </w:tc>
        <w:tc>
          <w:tcPr>
            <w:tcW w:w="3411"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2F2F2" w:themeFill="background1" w:themeFillShade="F2"/>
            <w:vAlign w:val="center"/>
          </w:tcPr>
          <w:p w14:paraId="7DB27C1B" w14:textId="77777777" w:rsidR="00B85FC0" w:rsidRPr="005A49D1" w:rsidRDefault="00B85FC0" w:rsidP="005A49D1">
            <w:pPr>
              <w:pStyle w:val="Tabletext"/>
              <w:cnfStyle w:val="000000000000" w:firstRow="0" w:lastRow="0" w:firstColumn="0" w:lastColumn="0" w:oddVBand="0" w:evenVBand="0" w:oddHBand="0" w:evenHBand="0" w:firstRowFirstColumn="0" w:firstRowLastColumn="0" w:lastRowFirstColumn="0" w:lastRowLastColumn="0"/>
            </w:pPr>
            <w:r w:rsidRPr="005A49D1">
              <w:t>System Governor may prepare and publish reports on assurance activities.</w:t>
            </w:r>
          </w:p>
        </w:tc>
        <w:tc>
          <w:tcPr>
            <w:tcW w:w="4501"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2F2F2" w:themeFill="background1" w:themeFillShade="F2"/>
            <w:vAlign w:val="center"/>
          </w:tcPr>
          <w:p w14:paraId="43501D7B" w14:textId="77777777" w:rsidR="00B85FC0" w:rsidRPr="005A49D1" w:rsidRDefault="00B85FC0" w:rsidP="005A49D1">
            <w:pPr>
              <w:pStyle w:val="Tabletext"/>
              <w:cnfStyle w:val="000000000000" w:firstRow="0" w:lastRow="0" w:firstColumn="0" w:lastColumn="0" w:oddVBand="0" w:evenVBand="0" w:oddHBand="0" w:evenHBand="0" w:firstRowFirstColumn="0" w:firstRowLastColumn="0" w:lastRowFirstColumn="0" w:lastRowLastColumn="0"/>
            </w:pPr>
            <w:r w:rsidRPr="005A49D1">
              <w:t>The assurance framework outlines the department’s approach to assurance reporting.</w:t>
            </w:r>
          </w:p>
        </w:tc>
      </w:tr>
      <w:tr w:rsidR="00B85FC0" w14:paraId="16E44BBC" w14:textId="77777777" w:rsidTr="007F33CC">
        <w:trPr>
          <w:cantSplit/>
          <w:trHeight w:val="538"/>
        </w:trPr>
        <w:tc>
          <w:tcPr>
            <w:cnfStyle w:val="001000000000" w:firstRow="0" w:lastRow="0" w:firstColumn="1" w:lastColumn="0" w:oddVBand="0" w:evenVBand="0" w:oddHBand="0" w:evenHBand="0" w:firstRowFirstColumn="0" w:firstRowLastColumn="0" w:lastRowFirstColumn="0" w:lastRowLastColumn="0"/>
            <w:tcW w:w="1091"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D9DFEF" w:themeFill="accent1" w:themeFillTint="33"/>
            <w:vAlign w:val="center"/>
          </w:tcPr>
          <w:p w14:paraId="3CC2D040" w14:textId="77777777" w:rsidR="00B85FC0" w:rsidRPr="005A49D1" w:rsidRDefault="00B85FC0" w:rsidP="00494017">
            <w:pPr>
              <w:pStyle w:val="Tabletextcentre"/>
            </w:pPr>
            <w:r w:rsidRPr="005A49D1">
              <w:t>511</w:t>
            </w:r>
          </w:p>
        </w:tc>
        <w:tc>
          <w:tcPr>
            <w:tcW w:w="3411"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D9DFEF" w:themeFill="accent1" w:themeFillTint="33"/>
            <w:vAlign w:val="center"/>
          </w:tcPr>
          <w:p w14:paraId="18BBEA9D" w14:textId="77777777" w:rsidR="00B85FC0" w:rsidRPr="005A49D1" w:rsidRDefault="00B85FC0" w:rsidP="005A49D1">
            <w:pPr>
              <w:pStyle w:val="Tabletext"/>
              <w:cnfStyle w:val="000000000000" w:firstRow="0" w:lastRow="0" w:firstColumn="0" w:lastColumn="0" w:oddVBand="0" w:evenVBand="0" w:oddHBand="0" w:evenHBand="0" w:firstRowFirstColumn="0" w:firstRowLastColumn="0" w:lastRowFirstColumn="0" w:lastRowLastColumn="0"/>
            </w:pPr>
            <w:r w:rsidRPr="005A49D1">
              <w:t>System Governor may be assisted in the conduct of assurance activities by Australian Public Service employees or other persons engaged by contract.</w:t>
            </w:r>
          </w:p>
        </w:tc>
        <w:tc>
          <w:tcPr>
            <w:tcW w:w="4501"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D9DFEF" w:themeFill="accent1" w:themeFillTint="33"/>
            <w:vAlign w:val="center"/>
          </w:tcPr>
          <w:p w14:paraId="7C2447D2" w14:textId="57B36A1D" w:rsidR="00B85FC0" w:rsidRPr="005A49D1" w:rsidRDefault="00B85FC0" w:rsidP="005A49D1">
            <w:pPr>
              <w:pStyle w:val="Tabletext"/>
              <w:cnfStyle w:val="000000000000" w:firstRow="0" w:lastRow="0" w:firstColumn="0" w:lastColumn="0" w:oddVBand="0" w:evenVBand="0" w:oddHBand="0" w:evenHBand="0" w:firstRowFirstColumn="0" w:firstRowLastColumn="0" w:lastRowFirstColumn="0" w:lastRowLastColumn="0"/>
            </w:pPr>
            <w:r w:rsidRPr="005A49D1">
              <w:t>The assurance framework defines roles and responsibilities relating to assurance</w:t>
            </w:r>
            <w:r w:rsidR="001C32AF" w:rsidRPr="005A49D1">
              <w:t>, including</w:t>
            </w:r>
            <w:r w:rsidRPr="005A49D1">
              <w:t xml:space="preserve"> those of the Provider Payments Assurance Branch.</w:t>
            </w:r>
          </w:p>
        </w:tc>
      </w:tr>
      <w:tr w:rsidR="00B85FC0" w14:paraId="02FFF55D" w14:textId="77777777" w:rsidTr="0077122E">
        <w:trPr>
          <w:trHeight w:val="128"/>
        </w:trPr>
        <w:tc>
          <w:tcPr>
            <w:cnfStyle w:val="001000000000" w:firstRow="0" w:lastRow="0" w:firstColumn="1" w:lastColumn="0" w:oddVBand="0" w:evenVBand="0" w:oddHBand="0" w:evenHBand="0" w:firstRowFirstColumn="0" w:firstRowLastColumn="0" w:lastRowFirstColumn="0" w:lastRowLastColumn="0"/>
            <w:tcW w:w="1091"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2F2F2" w:themeFill="background1" w:themeFillShade="F2"/>
            <w:vAlign w:val="center"/>
          </w:tcPr>
          <w:p w14:paraId="4F3A3C4B" w14:textId="77777777" w:rsidR="00B85FC0" w:rsidRPr="005A49D1" w:rsidRDefault="00B85FC0" w:rsidP="00494017">
            <w:pPr>
              <w:pStyle w:val="Tabletextcentre"/>
            </w:pPr>
            <w:r w:rsidRPr="005A49D1">
              <w:t>512</w:t>
            </w:r>
          </w:p>
        </w:tc>
        <w:tc>
          <w:tcPr>
            <w:tcW w:w="3411"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2F2F2" w:themeFill="background1" w:themeFillShade="F2"/>
            <w:vAlign w:val="center"/>
          </w:tcPr>
          <w:p w14:paraId="0827F0A7" w14:textId="77777777" w:rsidR="00B85FC0" w:rsidRPr="005A49D1" w:rsidRDefault="00B85FC0" w:rsidP="005A49D1">
            <w:pPr>
              <w:pStyle w:val="Tabletext"/>
              <w:cnfStyle w:val="000000000000" w:firstRow="0" w:lastRow="0" w:firstColumn="0" w:lastColumn="0" w:oddVBand="0" w:evenVBand="0" w:oddHBand="0" w:evenHBand="0" w:firstRowFirstColumn="0" w:firstRowLastColumn="0" w:lastRowFirstColumn="0" w:lastRowLastColumn="0"/>
            </w:pPr>
            <w:r w:rsidRPr="005A49D1">
              <w:t>Providers must provide reasonable facilities and assistance for assurance activities.</w:t>
            </w:r>
          </w:p>
        </w:tc>
        <w:tc>
          <w:tcPr>
            <w:tcW w:w="4501"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2F2F2" w:themeFill="background1" w:themeFillShade="F2"/>
            <w:vAlign w:val="center"/>
          </w:tcPr>
          <w:p w14:paraId="7F47DD41" w14:textId="77777777" w:rsidR="00B85FC0" w:rsidRPr="005A49D1" w:rsidRDefault="00B85FC0" w:rsidP="005A49D1">
            <w:pPr>
              <w:pStyle w:val="Tabletext"/>
              <w:cnfStyle w:val="000000000000" w:firstRow="0" w:lastRow="0" w:firstColumn="0" w:lastColumn="0" w:oddVBand="0" w:evenVBand="0" w:oddHBand="0" w:evenHBand="0" w:firstRowFirstColumn="0" w:firstRowLastColumn="0" w:lastRowFirstColumn="0" w:lastRowLastColumn="0"/>
            </w:pPr>
            <w:r w:rsidRPr="005A49D1">
              <w:t xml:space="preserve">The assurance framework outlines the requirement for providers to cooperate with assurance activities including timely access to requested information and facilities (where requested). </w:t>
            </w:r>
          </w:p>
        </w:tc>
      </w:tr>
      <w:tr w:rsidR="00B85FC0" w:rsidRPr="0077122E" w14:paraId="11F75C78" w14:textId="77777777" w:rsidTr="007F33CC">
        <w:tblPrEx>
          <w:tblCellMar>
            <w:top w:w="0" w:type="dxa"/>
            <w:bottom w:w="0" w:type="dxa"/>
          </w:tblCellMar>
        </w:tblPrEx>
        <w:trPr>
          <w:trHeight w:val="856"/>
        </w:trPr>
        <w:tc>
          <w:tcPr>
            <w:cnfStyle w:val="001000000000" w:firstRow="0" w:lastRow="0" w:firstColumn="1" w:lastColumn="0" w:oddVBand="0" w:evenVBand="0" w:oddHBand="0" w:evenHBand="0" w:firstRowFirstColumn="0" w:firstRowLastColumn="0" w:lastRowFirstColumn="0" w:lastRowLastColumn="0"/>
            <w:tcW w:w="1091"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D9DFEF" w:themeFill="accent1" w:themeFillTint="33"/>
          </w:tcPr>
          <w:p w14:paraId="59579625" w14:textId="77777777" w:rsidR="00B85FC0" w:rsidRPr="005A49D1" w:rsidRDefault="00B85FC0" w:rsidP="00494017">
            <w:pPr>
              <w:pStyle w:val="Tabletextcentre"/>
            </w:pPr>
            <w:r w:rsidRPr="005A49D1">
              <w:t>513</w:t>
            </w:r>
          </w:p>
        </w:tc>
        <w:tc>
          <w:tcPr>
            <w:tcW w:w="3411"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D9DFEF" w:themeFill="accent1" w:themeFillTint="33"/>
          </w:tcPr>
          <w:p w14:paraId="1027EE86" w14:textId="77777777" w:rsidR="00B85FC0" w:rsidRPr="005A49D1" w:rsidRDefault="00B85FC0" w:rsidP="005A49D1">
            <w:pPr>
              <w:pStyle w:val="Tabletext"/>
              <w:cnfStyle w:val="000000000000" w:firstRow="0" w:lastRow="0" w:firstColumn="0" w:lastColumn="0" w:oddVBand="0" w:evenVBand="0" w:oddHBand="0" w:evenHBand="0" w:firstRowFirstColumn="0" w:firstRowLastColumn="0" w:lastRowFirstColumn="0" w:lastRowLastColumn="0"/>
            </w:pPr>
            <w:r w:rsidRPr="005A49D1">
              <w:t>System Governor may request information and the production of documents relevant to the subject matter of assurance activities.</w:t>
            </w:r>
          </w:p>
        </w:tc>
        <w:tc>
          <w:tcPr>
            <w:tcW w:w="4501"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D9DFEF" w:themeFill="accent1" w:themeFillTint="33"/>
          </w:tcPr>
          <w:p w14:paraId="66F64D10" w14:textId="5439BDAA" w:rsidR="00B85FC0" w:rsidRPr="005A49D1" w:rsidRDefault="00B85FC0" w:rsidP="005A49D1">
            <w:pPr>
              <w:pStyle w:val="Tabletext"/>
              <w:cnfStyle w:val="000000000000" w:firstRow="0" w:lastRow="0" w:firstColumn="0" w:lastColumn="0" w:oddVBand="0" w:evenVBand="0" w:oddHBand="0" w:evenHBand="0" w:firstRowFirstColumn="0" w:firstRowLastColumn="0" w:lastRowFirstColumn="0" w:lastRowLastColumn="0"/>
            </w:pPr>
            <w:r w:rsidRPr="005A49D1">
              <w:t xml:space="preserve">The assurance framework outlines how </w:t>
            </w:r>
            <w:r w:rsidR="00EA77DC" w:rsidRPr="005A49D1">
              <w:t>participant</w:t>
            </w:r>
            <w:r w:rsidRPr="005A49D1">
              <w:t>s may be asked to provide information and documents to support assurance activities.</w:t>
            </w:r>
          </w:p>
        </w:tc>
      </w:tr>
    </w:tbl>
    <w:p w14:paraId="5D4D105F" w14:textId="77777777" w:rsidR="00B85FC0" w:rsidRDefault="00B85FC0" w:rsidP="005A49D1">
      <w:pPr>
        <w:pStyle w:val="Heading3"/>
        <w:pageBreakBefore/>
      </w:pPr>
      <w:bookmarkStart w:id="26" w:name="_Toc210388287"/>
      <w:bookmarkStart w:id="27" w:name="_Toc223509377"/>
      <w:r>
        <w:t>Other relevant powers</w:t>
      </w:r>
      <w:bookmarkEnd w:id="26"/>
      <w:bookmarkEnd w:id="27"/>
    </w:p>
    <w:p w14:paraId="707A04D8" w14:textId="60B120E0" w:rsidR="00B85FC0" w:rsidRPr="00162000" w:rsidRDefault="00B85FC0" w:rsidP="00162000">
      <w:pPr>
        <w:pStyle w:val="Paragraphtext"/>
        <w:rPr>
          <w:iCs/>
          <w:sz w:val="24"/>
        </w:rPr>
      </w:pPr>
      <w:r w:rsidRPr="00162000">
        <w:rPr>
          <w:iCs/>
          <w:sz w:val="24"/>
        </w:rPr>
        <w:t>Chapter 6 of the Act provides for a range of ‘regulatory mechanisms’. The assurance powers and functions in sections 508</w:t>
      </w:r>
      <w:r w:rsidR="009F4562">
        <w:rPr>
          <w:iCs/>
          <w:sz w:val="24"/>
        </w:rPr>
        <w:t xml:space="preserve"> to </w:t>
      </w:r>
      <w:r w:rsidRPr="00162000">
        <w:rPr>
          <w:iCs/>
          <w:sz w:val="24"/>
        </w:rPr>
        <w:t>513</w:t>
      </w:r>
      <w:r w:rsidRPr="00162000">
        <w:rPr>
          <w:i/>
          <w:sz w:val="24"/>
        </w:rPr>
        <w:t xml:space="preserve"> </w:t>
      </w:r>
      <w:r w:rsidRPr="00162000">
        <w:rPr>
          <w:iCs/>
          <w:sz w:val="24"/>
        </w:rPr>
        <w:t>of the Act are a subset of the powers in Chapter 6. Other powers under Chapter 6 may also be relevant for conducting assurance activities. These functions will generally be exercised by ‘authorised System Governor officers’ appointed under section 526 of the Act, and subject to any directions made by the System Governor under section 528 of the Act.</w:t>
      </w:r>
    </w:p>
    <w:p w14:paraId="1418C7BC" w14:textId="77777777" w:rsidR="00B85FC0" w:rsidRDefault="00B85FC0" w:rsidP="00C5630B">
      <w:pPr>
        <w:pStyle w:val="Heading3"/>
      </w:pPr>
      <w:bookmarkStart w:id="28" w:name="_Toc210388288"/>
      <w:bookmarkStart w:id="29" w:name="_Toc223509378"/>
      <w:r>
        <w:t>Other underlying legislation</w:t>
      </w:r>
      <w:bookmarkEnd w:id="28"/>
      <w:bookmarkEnd w:id="29"/>
    </w:p>
    <w:p w14:paraId="34A9B5A6" w14:textId="3E7B6617" w:rsidR="005362AE" w:rsidRDefault="00B85FC0" w:rsidP="00B85FC0">
      <w:pPr>
        <w:pStyle w:val="Paragraphtext"/>
        <w:rPr>
          <w:iCs/>
          <w:sz w:val="24"/>
        </w:rPr>
      </w:pPr>
      <w:r w:rsidRPr="00625404">
        <w:rPr>
          <w:iCs/>
          <w:sz w:val="24"/>
        </w:rPr>
        <w:t>In addition to the legislative basis for assurance activities provided for in the Act, the department has important responsibilities under the</w:t>
      </w:r>
      <w:r w:rsidR="005362AE">
        <w:rPr>
          <w:iCs/>
          <w:sz w:val="24"/>
        </w:rPr>
        <w:t>:</w:t>
      </w:r>
    </w:p>
    <w:p w14:paraId="3D746C72" w14:textId="21A98720" w:rsidR="005362AE" w:rsidRDefault="00B85FC0" w:rsidP="005A49D1">
      <w:pPr>
        <w:pStyle w:val="ListBullet"/>
      </w:pPr>
      <w:hyperlink r:id="rId33" w:history="1">
        <w:r w:rsidRPr="00442114">
          <w:rPr>
            <w:rStyle w:val="Hyperlink"/>
            <w:iCs/>
          </w:rPr>
          <w:t>Public Governance, Performance and Accountability</w:t>
        </w:r>
      </w:hyperlink>
      <w:r w:rsidRPr="00625404">
        <w:t xml:space="preserve"> (PGPA) Act 2013 (PGPA Act)</w:t>
      </w:r>
    </w:p>
    <w:p w14:paraId="2207F0A3" w14:textId="1F08491D" w:rsidR="00610E30" w:rsidRDefault="00B85FC0" w:rsidP="005A49D1">
      <w:pPr>
        <w:pStyle w:val="ListBullet"/>
        <w:rPr>
          <w:iCs/>
        </w:rPr>
      </w:pPr>
      <w:hyperlink r:id="rId34" w:history="1">
        <w:r w:rsidRPr="0062647E">
          <w:rPr>
            <w:rStyle w:val="Hyperlink"/>
            <w:iCs/>
          </w:rPr>
          <w:t>PGPA Rule 2014</w:t>
        </w:r>
      </w:hyperlink>
      <w:r w:rsidRPr="00625404">
        <w:rPr>
          <w:iCs/>
        </w:rPr>
        <w:t xml:space="preserve"> (PGPA Rule</w:t>
      </w:r>
      <w:r w:rsidR="00610E30">
        <w:rPr>
          <w:iCs/>
        </w:rPr>
        <w:t>)</w:t>
      </w:r>
    </w:p>
    <w:p w14:paraId="7AE7CBA5" w14:textId="4E9733C6" w:rsidR="005362AE" w:rsidRPr="001C32AF" w:rsidRDefault="00B85FC0" w:rsidP="005A49D1">
      <w:pPr>
        <w:pStyle w:val="ListBullet"/>
        <w:rPr>
          <w:iCs/>
        </w:rPr>
      </w:pPr>
      <w:hyperlink r:id="rId35" w:history="1">
        <w:r w:rsidRPr="001C32AF">
          <w:rPr>
            <w:rStyle w:val="Hyperlink"/>
            <w:iCs/>
          </w:rPr>
          <w:t>Commonwealth Fraud and Corruption Control Framework 2024</w:t>
        </w:r>
      </w:hyperlink>
      <w:r w:rsidR="001C32AF" w:rsidRPr="00A44843">
        <w:t xml:space="preserve"> (fraud and </w:t>
      </w:r>
      <w:r w:rsidR="001C32AF">
        <w:t>corruption</w:t>
      </w:r>
      <w:r w:rsidR="00F338DE">
        <w:t xml:space="preserve"> control</w:t>
      </w:r>
      <w:r w:rsidR="001C32AF" w:rsidRPr="00A44843">
        <w:t xml:space="preserve"> framework)</w:t>
      </w:r>
    </w:p>
    <w:p w14:paraId="15B3351E" w14:textId="1BE99F53" w:rsidR="00B85FC0" w:rsidRPr="00625404" w:rsidRDefault="00B85FC0" w:rsidP="005A49D1">
      <w:pPr>
        <w:pStyle w:val="ListBullet"/>
        <w:rPr>
          <w:iCs/>
        </w:rPr>
      </w:pPr>
      <w:hyperlink r:id="rId36" w:history="1">
        <w:r w:rsidRPr="002316C2">
          <w:rPr>
            <w:rStyle w:val="Hyperlink"/>
            <w:iCs/>
          </w:rPr>
          <w:t>Commonwealth Grants Rules and Principles 2024</w:t>
        </w:r>
      </w:hyperlink>
      <w:r w:rsidRPr="00625404">
        <w:rPr>
          <w:iCs/>
        </w:rPr>
        <w:t xml:space="preserve"> (CGRPs).</w:t>
      </w:r>
    </w:p>
    <w:p w14:paraId="17096DC2" w14:textId="6C91F90F" w:rsidR="00B85FC0" w:rsidRPr="00625404" w:rsidRDefault="00B85FC0" w:rsidP="00B85FC0">
      <w:pPr>
        <w:pStyle w:val="Paragraphtext"/>
        <w:rPr>
          <w:iCs/>
          <w:sz w:val="24"/>
        </w:rPr>
      </w:pPr>
      <w:r w:rsidRPr="00625404">
        <w:rPr>
          <w:iCs/>
          <w:sz w:val="24"/>
        </w:rPr>
        <w:t xml:space="preserve">The </w:t>
      </w:r>
      <w:hyperlink r:id="rId37" w:history="1">
        <w:r w:rsidRPr="00C16E1D">
          <w:rPr>
            <w:rStyle w:val="Hyperlink"/>
            <w:iCs/>
            <w:sz w:val="24"/>
          </w:rPr>
          <w:t>PGPA Act</w:t>
        </w:r>
      </w:hyperlink>
      <w:r w:rsidRPr="00625404">
        <w:rPr>
          <w:iCs/>
          <w:sz w:val="24"/>
        </w:rPr>
        <w:t xml:space="preserve"> establishes requirements for Commonwealth entities to establish and maintain systems of risk oversight and management including internal controls. It requires government funded programs such as Support at Home to be delivered in an efficient, effective, economical and ethical manner.</w:t>
      </w:r>
    </w:p>
    <w:p w14:paraId="5FC4653F" w14:textId="370CA059" w:rsidR="00B85FC0" w:rsidRPr="00625404" w:rsidRDefault="00B85FC0" w:rsidP="00B85FC0">
      <w:pPr>
        <w:pStyle w:val="Paragraphtext"/>
        <w:rPr>
          <w:iCs/>
          <w:sz w:val="24"/>
        </w:rPr>
      </w:pPr>
      <w:r w:rsidRPr="00625404">
        <w:rPr>
          <w:iCs/>
          <w:sz w:val="24"/>
        </w:rPr>
        <w:t xml:space="preserve">The </w:t>
      </w:r>
      <w:hyperlink r:id="rId38" w:history="1">
        <w:r w:rsidRPr="001E309A">
          <w:rPr>
            <w:rStyle w:val="Hyperlink"/>
            <w:iCs/>
            <w:sz w:val="24"/>
          </w:rPr>
          <w:t>PGPA Rule</w:t>
        </w:r>
      </w:hyperlink>
      <w:r w:rsidRPr="00625404">
        <w:rPr>
          <w:iCs/>
          <w:sz w:val="24"/>
        </w:rPr>
        <w:t xml:space="preserve"> mandates </w:t>
      </w:r>
      <w:r w:rsidR="002308F4">
        <w:rPr>
          <w:iCs/>
          <w:sz w:val="24"/>
        </w:rPr>
        <w:t>Australian Government</w:t>
      </w:r>
      <w:r w:rsidR="002308F4" w:rsidRPr="00625404">
        <w:rPr>
          <w:iCs/>
          <w:sz w:val="24"/>
        </w:rPr>
        <w:t xml:space="preserve"> </w:t>
      </w:r>
      <w:r w:rsidRPr="00625404">
        <w:rPr>
          <w:iCs/>
          <w:sz w:val="24"/>
        </w:rPr>
        <w:t>entities to take all reasonable measures to prevent, detect, and respond to fraud and corruption.</w:t>
      </w:r>
    </w:p>
    <w:p w14:paraId="0C6CFD74" w14:textId="7A703F62" w:rsidR="00B85FC0" w:rsidRPr="00625404" w:rsidRDefault="00B85FC0" w:rsidP="00B85FC0">
      <w:pPr>
        <w:pStyle w:val="Paragraphtext"/>
        <w:rPr>
          <w:iCs/>
          <w:sz w:val="24"/>
        </w:rPr>
      </w:pPr>
      <w:r w:rsidRPr="00625404">
        <w:rPr>
          <w:iCs/>
          <w:sz w:val="24"/>
        </w:rPr>
        <w:t xml:space="preserve">The </w:t>
      </w:r>
      <w:hyperlink r:id="rId39" w:history="1">
        <w:r w:rsidR="00F338DE">
          <w:rPr>
            <w:rStyle w:val="Hyperlink"/>
            <w:iCs/>
            <w:sz w:val="24"/>
          </w:rPr>
          <w:t>fraud and corruption control framework</w:t>
        </w:r>
      </w:hyperlink>
      <w:r w:rsidRPr="00625404">
        <w:rPr>
          <w:iCs/>
          <w:sz w:val="24"/>
        </w:rPr>
        <w:t xml:space="preserve">, under the </w:t>
      </w:r>
      <w:hyperlink r:id="rId40" w:history="1">
        <w:r w:rsidRPr="00C16E1D">
          <w:rPr>
            <w:rStyle w:val="Hyperlink"/>
            <w:iCs/>
            <w:sz w:val="24"/>
          </w:rPr>
          <w:t>PGPA Act</w:t>
        </w:r>
      </w:hyperlink>
      <w:r w:rsidRPr="00625404">
        <w:rPr>
          <w:iCs/>
          <w:sz w:val="24"/>
        </w:rPr>
        <w:t>, supports Australian Government entities to effectively manage the risks of fraud and corruption. It comprises the following core elements:</w:t>
      </w:r>
    </w:p>
    <w:p w14:paraId="4F7C125C" w14:textId="3F3C96A0" w:rsidR="00643D0B" w:rsidRPr="0022152D" w:rsidRDefault="00B85FC0" w:rsidP="00494017">
      <w:pPr>
        <w:pStyle w:val="ListBullet2"/>
      </w:pPr>
      <w:r w:rsidRPr="00625404">
        <w:t>governance and oversight</w:t>
      </w:r>
    </w:p>
    <w:p w14:paraId="67580765" w14:textId="126B5411" w:rsidR="00B85FC0" w:rsidRPr="00625404" w:rsidRDefault="00B85FC0" w:rsidP="00494017">
      <w:pPr>
        <w:pStyle w:val="ListBullet2"/>
      </w:pPr>
      <w:r w:rsidRPr="00625404">
        <w:t>targeted and rigorous risk assessments</w:t>
      </w:r>
    </w:p>
    <w:p w14:paraId="3720AAE6" w14:textId="4CA2D503" w:rsidR="00B85FC0" w:rsidRPr="00625404" w:rsidRDefault="00B85FC0" w:rsidP="00494017">
      <w:pPr>
        <w:pStyle w:val="ListBullet2"/>
      </w:pPr>
      <w:r w:rsidRPr="00625404">
        <w:t>informed and targeted control plans</w:t>
      </w:r>
    </w:p>
    <w:p w14:paraId="7B490108" w14:textId="3A84BEC8" w:rsidR="00B85FC0" w:rsidRPr="00625404" w:rsidRDefault="00B85FC0" w:rsidP="00494017">
      <w:pPr>
        <w:pStyle w:val="ListBullet2"/>
      </w:pPr>
      <w:r w:rsidRPr="00625404">
        <w:t>effective controls encompassing appropriate prevention, detection, investigation, referral and reporting mechanisms.</w:t>
      </w:r>
    </w:p>
    <w:p w14:paraId="3AB99B0C" w14:textId="10AED036" w:rsidR="00B85FC0" w:rsidRPr="00625404" w:rsidRDefault="00B85FC0" w:rsidP="00B85FC0">
      <w:pPr>
        <w:pStyle w:val="Paragraphtext"/>
        <w:rPr>
          <w:iCs/>
          <w:sz w:val="24"/>
        </w:rPr>
      </w:pPr>
      <w:r w:rsidRPr="00625404">
        <w:rPr>
          <w:iCs/>
          <w:sz w:val="24"/>
        </w:rPr>
        <w:t xml:space="preserve">The </w:t>
      </w:r>
      <w:r w:rsidR="00A01727">
        <w:rPr>
          <w:iCs/>
          <w:sz w:val="24"/>
        </w:rPr>
        <w:t>fraud and corruption f</w:t>
      </w:r>
      <w:r w:rsidRPr="00625404">
        <w:rPr>
          <w:iCs/>
          <w:sz w:val="24"/>
        </w:rPr>
        <w:t xml:space="preserve">ramework allows Commonwealth entities to manage </w:t>
      </w:r>
      <w:r w:rsidR="0056530D">
        <w:rPr>
          <w:iCs/>
          <w:sz w:val="24"/>
        </w:rPr>
        <w:t>relevant</w:t>
      </w:r>
      <w:r w:rsidRPr="00625404">
        <w:rPr>
          <w:iCs/>
          <w:sz w:val="24"/>
        </w:rPr>
        <w:t xml:space="preserve"> risks in a proportionate</w:t>
      </w:r>
      <w:r w:rsidR="00CD3A8E">
        <w:rPr>
          <w:iCs/>
          <w:sz w:val="24"/>
        </w:rPr>
        <w:t xml:space="preserve"> way</w:t>
      </w:r>
      <w:r w:rsidRPr="00625404">
        <w:rPr>
          <w:iCs/>
          <w:sz w:val="24"/>
        </w:rPr>
        <w:t xml:space="preserve"> and suit</w:t>
      </w:r>
      <w:r w:rsidR="00D971D5">
        <w:rPr>
          <w:iCs/>
          <w:sz w:val="24"/>
        </w:rPr>
        <w:t>ed to</w:t>
      </w:r>
      <w:r w:rsidRPr="00625404">
        <w:rPr>
          <w:iCs/>
          <w:sz w:val="24"/>
        </w:rPr>
        <w:t xml:space="preserve"> the individual circumstances of an entity.</w:t>
      </w:r>
    </w:p>
    <w:p w14:paraId="7D7E0109" w14:textId="093C931B" w:rsidR="00B85FC0" w:rsidRPr="00625404" w:rsidRDefault="00B85FC0" w:rsidP="00B85FC0">
      <w:pPr>
        <w:pStyle w:val="Paragraphtext"/>
        <w:rPr>
          <w:iCs/>
          <w:sz w:val="24"/>
        </w:rPr>
      </w:pPr>
      <w:r w:rsidRPr="00625404">
        <w:rPr>
          <w:iCs/>
          <w:sz w:val="24"/>
        </w:rPr>
        <w:t>The CGRPs establish the policy framework for grants administration and outline requirements to administer grants effectively and transparently.</w:t>
      </w:r>
    </w:p>
    <w:p w14:paraId="0151E579" w14:textId="12F98C0E" w:rsidR="00350EAF" w:rsidRPr="00A602D4" w:rsidRDefault="00B85FC0" w:rsidP="00A602D4">
      <w:pPr>
        <w:pStyle w:val="Paragraphtext"/>
        <w:rPr>
          <w:iCs/>
          <w:sz w:val="24"/>
        </w:rPr>
      </w:pPr>
      <w:r w:rsidRPr="00625404">
        <w:rPr>
          <w:iCs/>
          <w:sz w:val="24"/>
        </w:rPr>
        <w:t>Ongoing assurance is needed to demonstrate compliance with these broader requirements. Assurance activities conducted under this assurance framework will also provide confidence around compliance with relevant PGPA obligations.</w:t>
      </w:r>
      <w:bookmarkStart w:id="30" w:name="_Toc210125804"/>
      <w:bookmarkStart w:id="31" w:name="_Toc210388289"/>
      <w:r w:rsidR="00350EAF">
        <w:br w:type="page"/>
      </w:r>
    </w:p>
    <w:p w14:paraId="37555DA2" w14:textId="7E4D94C9" w:rsidR="00B85FC0" w:rsidRPr="00716D4C" w:rsidRDefault="00B85FC0" w:rsidP="00B85FC0">
      <w:pPr>
        <w:pStyle w:val="Heading2"/>
        <w:rPr>
          <w:rFonts w:eastAsia="Arial"/>
        </w:rPr>
      </w:pPr>
      <w:bookmarkStart w:id="32" w:name="_Toc223509379"/>
      <w:r>
        <w:t>Context</w:t>
      </w:r>
      <w:bookmarkEnd w:id="30"/>
      <w:bookmarkEnd w:id="31"/>
      <w:bookmarkEnd w:id="32"/>
    </w:p>
    <w:p w14:paraId="60F5EEA2" w14:textId="405EE663" w:rsidR="00B85FC0" w:rsidRPr="00AC5F9C" w:rsidRDefault="00B85FC0" w:rsidP="00B85FC0">
      <w:pPr>
        <w:pStyle w:val="Paragraphtext"/>
        <w:rPr>
          <w:iCs/>
          <w:sz w:val="24"/>
        </w:rPr>
      </w:pPr>
      <w:r w:rsidRPr="00AC5F9C">
        <w:rPr>
          <w:iCs/>
          <w:sz w:val="24"/>
        </w:rPr>
        <w:t>The Support at Home program and this assurance framework exist within a broader context of the aged care system and the department’s purpose and objectives. Figure 3 summarises where this assurance framework sits within</w:t>
      </w:r>
      <w:r w:rsidR="00347A4A">
        <w:rPr>
          <w:iCs/>
          <w:sz w:val="24"/>
        </w:rPr>
        <w:t xml:space="preserve"> </w:t>
      </w:r>
      <w:r w:rsidRPr="00AC5F9C">
        <w:rPr>
          <w:iCs/>
          <w:sz w:val="24"/>
        </w:rPr>
        <w:t>and supports this broader context</w:t>
      </w:r>
      <w:r w:rsidR="005644C0" w:rsidRPr="007208E7">
        <w:rPr>
          <w:rStyle w:val="FootnoteReference"/>
          <w:sz w:val="24"/>
        </w:rPr>
        <w:footnoteReference w:id="9"/>
      </w:r>
      <w:r w:rsidRPr="00AC5F9C">
        <w:rPr>
          <w:iCs/>
          <w:sz w:val="24"/>
        </w:rPr>
        <w:t xml:space="preserve">. </w:t>
      </w:r>
    </w:p>
    <w:p w14:paraId="67FDD36E" w14:textId="13B82C03" w:rsidR="0015153F" w:rsidRDefault="00A602D4" w:rsidP="00B85FC0">
      <w:r>
        <w:rPr>
          <w:noProof/>
        </w:rPr>
        <mc:AlternateContent>
          <mc:Choice Requires="wps">
            <w:drawing>
              <wp:anchor distT="0" distB="0" distL="114300" distR="114300" simplePos="0" relativeHeight="251683328" behindDoc="0" locked="0" layoutInCell="1" allowOverlap="1" wp14:anchorId="0097EC34" wp14:editId="38B61D10">
                <wp:simplePos x="0" y="0"/>
                <wp:positionH relativeFrom="column">
                  <wp:posOffset>1681163</wp:posOffset>
                </wp:positionH>
                <wp:positionV relativeFrom="paragraph">
                  <wp:posOffset>2312666</wp:posOffset>
                </wp:positionV>
                <wp:extent cx="297180" cy="594995"/>
                <wp:effectExtent l="3492" t="0" r="0" b="0"/>
                <wp:wrapNone/>
                <wp:docPr id="1975931104" name="Arrow: Up-Down 1" descr="2-way left-right arrow"/>
                <wp:cNvGraphicFramePr/>
                <a:graphic xmlns:a="http://schemas.openxmlformats.org/drawingml/2006/main">
                  <a:graphicData uri="http://schemas.microsoft.com/office/word/2010/wordprocessingShape">
                    <wps:wsp>
                      <wps:cNvSpPr/>
                      <wps:spPr>
                        <a:xfrm rot="5400000">
                          <a:off x="0" y="0"/>
                          <a:ext cx="297180" cy="594995"/>
                        </a:xfrm>
                        <a:prstGeom prst="upDownArrow">
                          <a:avLst/>
                        </a:prstGeom>
                        <a:solidFill>
                          <a:srgbClr val="0070C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svg="http://schemas.microsoft.com/office/drawing/2016/SVG/main" xmlns:a14="http://schemas.microsoft.com/office/drawing/2010/main" xmlns:a16="http://schemas.microsoft.com/office/drawing/2014/main">
            <w:pict w14:anchorId="68A11777">
              <v:shapetype id="_x0000_t70" coordsize="21600,21600" o:spt="70" adj="5400,4320" path="m10800,l21600@0@3@0@3@2,21600@2,10800,21600,0@2@1@2@1@0,0@0xe" w14:anchorId="39BA0CDB">
                <v:stroke joinstyle="miter"/>
                <v:formulas>
                  <v:f eqn="val #1"/>
                  <v:f eqn="val #0"/>
                  <v:f eqn="sum 21600 0 #1"/>
                  <v:f eqn="sum 21600 0 #0"/>
                  <v:f eqn="prod #1 #0 10800"/>
                  <v:f eqn="sum #1 0 @4"/>
                  <v:f eqn="sum 21600 0 @5"/>
                </v:formulas>
                <v:path textboxrect="@1,@5,@3,@6" o:connecttype="custom" o:connectlocs="10800,0;0,@0;@1,10800;0,@2;10800,21600;21600,@2;@3,10800;21600,@0" o:connectangles="270,180,180,180,90,0,0,0"/>
                <v:handles>
                  <v:h position="#0,#1" xrange="0,10800" yrange="0,10800"/>
                </v:handles>
              </v:shapetype>
              <v:shape id="Arrow: Up-Down 1" style="position:absolute;margin-left:132.4pt;margin-top:182.1pt;width:23.4pt;height:46.85pt;rotation:90;z-index:251683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lt="2-way left-right arrow" o:spid="_x0000_s1026" fillcolor="#0070c0" stroked="f" strokeweight="2pt" type="#_x0000_t70" adj=",53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"/>
            </w:pict>
          </mc:Fallback>
        </mc:AlternateContent>
      </w:r>
      <w:r>
        <w:rPr>
          <w:noProof/>
        </w:rPr>
        <mc:AlternateContent>
          <mc:Choice Requires="wps">
            <w:drawing>
              <wp:anchor distT="0" distB="0" distL="114300" distR="114300" simplePos="0" relativeHeight="251675136" behindDoc="0" locked="0" layoutInCell="1" allowOverlap="1" wp14:anchorId="0127B767" wp14:editId="47589DA6">
                <wp:simplePos x="0" y="0"/>
                <wp:positionH relativeFrom="column">
                  <wp:posOffset>3734117</wp:posOffset>
                </wp:positionH>
                <wp:positionV relativeFrom="paragraph">
                  <wp:posOffset>2321560</wp:posOffset>
                </wp:positionV>
                <wp:extent cx="297180" cy="579437"/>
                <wp:effectExtent l="0" t="7620" r="0" b="0"/>
                <wp:wrapNone/>
                <wp:docPr id="303813165" name="Arrow: Up-Down 1" descr="2-way left-right arrow"/>
                <wp:cNvGraphicFramePr/>
                <a:graphic xmlns:a="http://schemas.openxmlformats.org/drawingml/2006/main">
                  <a:graphicData uri="http://schemas.microsoft.com/office/word/2010/wordprocessingShape">
                    <wps:wsp>
                      <wps:cNvSpPr/>
                      <wps:spPr>
                        <a:xfrm rot="5400000">
                          <a:off x="0" y="0"/>
                          <a:ext cx="297180" cy="579437"/>
                        </a:xfrm>
                        <a:prstGeom prst="upDownArrow">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svg="http://schemas.microsoft.com/office/drawing/2016/SVG/main" xmlns:a14="http://schemas.microsoft.com/office/drawing/2010/main" xmlns:a16="http://schemas.microsoft.com/office/drawing/2014/main">
            <w:pict w14:anchorId="199EF9AB">
              <v:shape id="Arrow: Up-Down 1" style="position:absolute;margin-left:294pt;margin-top:182.8pt;width:23.4pt;height:45.6pt;rotation:90;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lt="2-way left-right arrow" o:spid="_x0000_s1026" fillcolor="#5aa2ae [3208]" stroked="f" strokeweight="2pt" type="#_x0000_t70" adj=",55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" w14:anchorId="36FEBEA1"/>
            </w:pict>
          </mc:Fallback>
        </mc:AlternateContent>
      </w:r>
      <w:r>
        <w:rPr>
          <w:noProof/>
        </w:rPr>
        <mc:AlternateContent>
          <mc:Choice Requires="wps">
            <w:drawing>
              <wp:anchor distT="0" distB="0" distL="114300" distR="114300" simplePos="0" relativeHeight="251665920" behindDoc="0" locked="0" layoutInCell="1" allowOverlap="1" wp14:anchorId="06A52AE3" wp14:editId="6BF21EE2">
                <wp:simplePos x="0" y="0"/>
                <wp:positionH relativeFrom="margin">
                  <wp:align>center</wp:align>
                </wp:positionH>
                <wp:positionV relativeFrom="paragraph">
                  <wp:posOffset>1721485</wp:posOffset>
                </wp:positionV>
                <wp:extent cx="297180" cy="571500"/>
                <wp:effectExtent l="0" t="0" r="7620" b="0"/>
                <wp:wrapNone/>
                <wp:docPr id="551438865" name="Arrow: Up-Down 1" descr="down arrow"/>
                <wp:cNvGraphicFramePr/>
                <a:graphic xmlns:a="http://schemas.openxmlformats.org/drawingml/2006/main">
                  <a:graphicData uri="http://schemas.microsoft.com/office/word/2010/wordprocessingShape">
                    <wps:wsp>
                      <wps:cNvSpPr/>
                      <wps:spPr>
                        <a:xfrm>
                          <a:off x="0" y="0"/>
                          <a:ext cx="297180" cy="571500"/>
                        </a:xfrm>
                        <a:prstGeom prst="upDownArrow">
                          <a:avLst/>
                        </a:prstGeom>
                        <a:solidFill>
                          <a:schemeClr val="accent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svg="http://schemas.microsoft.com/office/drawing/2016/SVG/main" xmlns:a14="http://schemas.microsoft.com/office/drawing/2010/main" xmlns:a16="http://schemas.microsoft.com/office/drawing/2014/main">
            <w:pict w14:anchorId="42751238">
              <v:shape id="Arrow: Up-Down 1" style="position:absolute;margin-left:0;margin-top:135.55pt;width:23.4pt;height:45pt;z-index:251665920;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alt="down arrow" o:spid="_x0000_s1026" fillcolor="#629dd1 [3205]" stroked="f" strokeweight="2pt" type="#_x0000_t70" adj=",5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" w14:anchorId="5BA77FA8">
                <w10:wrap anchorx="margin"/>
              </v:shape>
            </w:pict>
          </mc:Fallback>
        </mc:AlternateContent>
      </w:r>
      <w:r w:rsidR="00A309B2">
        <w:rPr>
          <w:iCs/>
          <w:noProof/>
          <w:color w:val="auto"/>
          <w:szCs w:val="21"/>
        </w:rPr>
        <mc:AlternateContent>
          <mc:Choice Requires="wpg">
            <w:drawing>
              <wp:inline distT="0" distB="0" distL="0" distR="0" wp14:anchorId="65D5124D" wp14:editId="33B82FF4">
                <wp:extent cx="5557523" cy="3486150"/>
                <wp:effectExtent l="19050" t="0" r="5080" b="0"/>
                <wp:docPr id="1039966379" name="Group 22" descr="Diagram showing department priorities - Vision: better health and wellbeing for all Australians, now and for future generations; Outcome 3: Ageing and Aged care; Program 3.2 Aged Care Services. these have an arrow pointing to 'Support at Home Assurance Framework'. There is another box with relevant departmental frameworks: Corporate assurance framework, System Governor Compliance Framework, Fraud and corruption control plan. This box has a 2-way arrow with 'Support at Home Assurance Framework'. There is a third box, Legislation: Aged Care Act, PGPA Act, PGPA Rule, Fraud and Corruption Control Framework. This box has a 2-way arrow pointing to 'Support at Home Assurance Framework'."/>
                <wp:cNvGraphicFramePr/>
                <a:graphic xmlns:a="http://schemas.openxmlformats.org/drawingml/2006/main">
                  <a:graphicData uri="http://schemas.microsoft.com/office/word/2010/wordprocessingGroup">
                    <wpg:wgp>
                      <wpg:cNvGrpSpPr/>
                      <wpg:grpSpPr>
                        <a:xfrm>
                          <a:off x="0" y="0"/>
                          <a:ext cx="5557523" cy="3486150"/>
                          <a:chOff x="81278" y="-28575"/>
                          <a:chExt cx="5557523" cy="3486150"/>
                        </a:xfrm>
                      </wpg:grpSpPr>
                      <wpg:grpSp>
                        <wpg:cNvPr id="632700453" name="Group 4"/>
                        <wpg:cNvGrpSpPr/>
                        <wpg:grpSpPr>
                          <a:xfrm>
                            <a:off x="81278" y="1647825"/>
                            <a:ext cx="1571626" cy="1809750"/>
                            <a:chOff x="62228" y="-114300"/>
                            <a:chExt cx="1571626" cy="1809750"/>
                          </a:xfrm>
                        </wpg:grpSpPr>
                        <wps:wsp>
                          <wps:cNvPr id="819919370" name="Freeform: Shape 206992554"/>
                          <wps:cNvSpPr/>
                          <wps:spPr>
                            <a:xfrm>
                              <a:off x="62228" y="19050"/>
                              <a:ext cx="1543050" cy="1676400"/>
                            </a:xfrm>
                            <a:custGeom>
                              <a:avLst/>
                              <a:gdLst>
                                <a:gd name="connsiteX0" fmla="*/ -112 w 1342402"/>
                                <a:gd name="connsiteY0" fmla="*/ 223616 h 1342401"/>
                                <a:gd name="connsiteX1" fmla="*/ 223628 w 1342402"/>
                                <a:gd name="connsiteY1" fmla="*/ -124 h 1342401"/>
                                <a:gd name="connsiteX2" fmla="*/ 1118550 w 1342402"/>
                                <a:gd name="connsiteY2" fmla="*/ -124 h 1342401"/>
                                <a:gd name="connsiteX3" fmla="*/ 1342290 w 1342402"/>
                                <a:gd name="connsiteY3" fmla="*/ 223616 h 1342401"/>
                                <a:gd name="connsiteX4" fmla="*/ 1342290 w 1342402"/>
                                <a:gd name="connsiteY4" fmla="*/ 1118538 h 1342401"/>
                                <a:gd name="connsiteX5" fmla="*/ 1118550 w 1342402"/>
                                <a:gd name="connsiteY5" fmla="*/ 1342278 h 1342401"/>
                                <a:gd name="connsiteX6" fmla="*/ 223628 w 1342402"/>
                                <a:gd name="connsiteY6" fmla="*/ 1342278 h 1342401"/>
                                <a:gd name="connsiteX7" fmla="*/ -112 w 1342402"/>
                                <a:gd name="connsiteY7" fmla="*/ 1118538 h 134240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342402" h="1342401">
                                  <a:moveTo>
                                    <a:pt x="-112" y="223616"/>
                                  </a:moveTo>
                                  <a:cubicBezTo>
                                    <a:pt x="-112" y="100047"/>
                                    <a:pt x="100059" y="-124"/>
                                    <a:pt x="223628" y="-124"/>
                                  </a:cubicBezTo>
                                  <a:lnTo>
                                    <a:pt x="1118550" y="-124"/>
                                  </a:lnTo>
                                  <a:cubicBezTo>
                                    <a:pt x="1242119" y="-124"/>
                                    <a:pt x="1342290" y="100047"/>
                                    <a:pt x="1342290" y="223616"/>
                                  </a:cubicBezTo>
                                  <a:lnTo>
                                    <a:pt x="1342290" y="1118538"/>
                                  </a:lnTo>
                                  <a:cubicBezTo>
                                    <a:pt x="1342290" y="1242107"/>
                                    <a:pt x="1242119" y="1342278"/>
                                    <a:pt x="1118550" y="1342278"/>
                                  </a:cubicBezTo>
                                  <a:lnTo>
                                    <a:pt x="223628" y="1342278"/>
                                  </a:lnTo>
                                  <a:cubicBezTo>
                                    <a:pt x="100059" y="1342278"/>
                                    <a:pt x="-112" y="1242107"/>
                                    <a:pt x="-112" y="1118538"/>
                                  </a:cubicBezTo>
                                  <a:close/>
                                </a:path>
                              </a:pathLst>
                            </a:custGeom>
                            <a:solidFill>
                              <a:schemeClr val="accent3"/>
                            </a:solidFill>
                            <a:ln w="2450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88668767" name="Text Box 25"/>
                          <wps:cNvSpPr txBox="1"/>
                          <wps:spPr>
                            <a:xfrm>
                              <a:off x="119379" y="-114300"/>
                              <a:ext cx="1514475" cy="628649"/>
                            </a:xfrm>
                            <a:prstGeom prst="rect">
                              <a:avLst/>
                            </a:prstGeom>
                            <a:noFill/>
                          </wps:spPr>
                          <wps:txbx>
                            <w:txbxContent>
                              <w:p w14:paraId="3300FB70" w14:textId="77777777" w:rsidR="009A40EE" w:rsidRPr="00AD32AB" w:rsidRDefault="009A40EE" w:rsidP="009A40EE">
                                <w:pPr>
                                  <w:jc w:val="center"/>
                                  <w:textAlignment w:val="baseline"/>
                                  <w:rPr>
                                    <w:rFonts w:cs="Arial"/>
                                    <w:b/>
                                    <w:bCs/>
                                    <w:color w:val="FFFFFF" w:themeColor="background1"/>
                                    <w:sz w:val="20"/>
                                    <w:szCs w:val="20"/>
                                  </w:rPr>
                                </w:pPr>
                                <w:r>
                                  <w:rPr>
                                    <w:rFonts w:cs="Arial"/>
                                    <w:b/>
                                    <w:bCs/>
                                    <w:color w:val="FFFFFF" w:themeColor="background1"/>
                                    <w:sz w:val="20"/>
                                    <w:szCs w:val="20"/>
                                  </w:rPr>
                                  <w:t>RELEVANT DEPARTMENTAL FRAMEWORKS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17" name="Text Box 2"/>
                          <wps:cNvSpPr txBox="1">
                            <a:spLocks noChangeArrowheads="1"/>
                          </wps:cNvSpPr>
                          <wps:spPr bwMode="auto">
                            <a:xfrm>
                              <a:off x="200023" y="495299"/>
                              <a:ext cx="1285875" cy="1143000"/>
                            </a:xfrm>
                            <a:prstGeom prst="roundRect">
                              <a:avLst/>
                            </a:prstGeom>
                            <a:solidFill>
                              <a:schemeClr val="bg1">
                                <a:lumMod val="95000"/>
                              </a:schemeClr>
                            </a:solidFill>
                            <a:ln w="9525">
                              <a:noFill/>
                              <a:miter lim="800000"/>
                              <a:headEnd/>
                              <a:tailEnd/>
                            </a:ln>
                          </wps:spPr>
                          <wps:txbx>
                            <w:txbxContent>
                              <w:p w14:paraId="47BAC670" w14:textId="77777777" w:rsidR="009A40EE" w:rsidRPr="00BC400D" w:rsidRDefault="009A40EE" w:rsidP="009A40EE">
                                <w:pPr>
                                  <w:numPr>
                                    <w:ilvl w:val="0"/>
                                    <w:numId w:val="44"/>
                                  </w:numPr>
                                  <w:spacing w:before="0" w:after="80" w:line="240" w:lineRule="auto"/>
                                  <w:ind w:left="142" w:hanging="142"/>
                                  <w:rPr>
                                    <w:color w:val="1E5E9F" w:themeColor="accent3" w:themeShade="BF"/>
                                    <w:sz w:val="16"/>
                                    <w:szCs w:val="16"/>
                                  </w:rPr>
                                </w:pPr>
                                <w:r w:rsidRPr="00BC400D">
                                  <w:rPr>
                                    <w:color w:val="1E5E9F" w:themeColor="accent3" w:themeShade="BF"/>
                                    <w:sz w:val="16"/>
                                    <w:szCs w:val="16"/>
                                  </w:rPr>
                                  <w:t>Corporate Assurance Framework</w:t>
                                </w:r>
                              </w:p>
                              <w:p w14:paraId="635B8CDA" w14:textId="71C1A08E" w:rsidR="009A40EE" w:rsidRPr="00BC400D" w:rsidRDefault="009A40EE" w:rsidP="009A40EE">
                                <w:pPr>
                                  <w:numPr>
                                    <w:ilvl w:val="0"/>
                                    <w:numId w:val="44"/>
                                  </w:numPr>
                                  <w:spacing w:before="0" w:after="80" w:line="240" w:lineRule="auto"/>
                                  <w:ind w:left="142" w:hanging="142"/>
                                  <w:rPr>
                                    <w:color w:val="1E5E9F" w:themeColor="accent3" w:themeShade="BF"/>
                                    <w:sz w:val="16"/>
                                    <w:szCs w:val="16"/>
                                  </w:rPr>
                                </w:pPr>
                                <w:r w:rsidRPr="00BC400D">
                                  <w:rPr>
                                    <w:color w:val="1E5E9F" w:themeColor="accent3" w:themeShade="BF"/>
                                    <w:sz w:val="16"/>
                                    <w:szCs w:val="16"/>
                                  </w:rPr>
                                  <w:t>System Governor Compliance Framework</w:t>
                                </w:r>
                              </w:p>
                              <w:p w14:paraId="4A37830D" w14:textId="77777777" w:rsidR="009A40EE" w:rsidRPr="00BC400D" w:rsidRDefault="009A40EE" w:rsidP="009A40EE">
                                <w:pPr>
                                  <w:numPr>
                                    <w:ilvl w:val="0"/>
                                    <w:numId w:val="44"/>
                                  </w:numPr>
                                  <w:spacing w:before="0" w:after="80" w:line="240" w:lineRule="auto"/>
                                  <w:ind w:left="142" w:hanging="142"/>
                                  <w:rPr>
                                    <w:color w:val="1E5E9F" w:themeColor="accent3" w:themeShade="BF"/>
                                    <w:sz w:val="16"/>
                                    <w:szCs w:val="16"/>
                                  </w:rPr>
                                </w:pPr>
                                <w:r w:rsidRPr="00BC400D">
                                  <w:rPr>
                                    <w:color w:val="1E5E9F" w:themeColor="accent3" w:themeShade="BF"/>
                                    <w:sz w:val="16"/>
                                    <w:szCs w:val="16"/>
                                  </w:rPr>
                                  <w:t>Fraud and corruption control plan</w:t>
                                </w:r>
                              </w:p>
                            </w:txbxContent>
                          </wps:txbx>
                          <wps:bodyPr rot="0" vert="horz" wrap="square" lIns="36000" tIns="36000" rIns="0" bIns="45720" anchor="t" anchorCtr="0">
                            <a:noAutofit/>
                          </wps:bodyPr>
                        </wps:wsp>
                      </wpg:grpSp>
                      <wpg:grpSp>
                        <wpg:cNvPr id="315745307" name="Group 6"/>
                        <wpg:cNvGrpSpPr/>
                        <wpg:grpSpPr>
                          <a:xfrm>
                            <a:off x="4229101" y="1809750"/>
                            <a:ext cx="1409700" cy="1628775"/>
                            <a:chOff x="-28574" y="-19050"/>
                            <a:chExt cx="1409700" cy="1628775"/>
                          </a:xfrm>
                        </wpg:grpSpPr>
                        <wps:wsp>
                          <wps:cNvPr id="1324521618" name="Freeform: Shape 2"/>
                          <wps:cNvSpPr/>
                          <wps:spPr>
                            <a:xfrm>
                              <a:off x="-28574" y="-19050"/>
                              <a:ext cx="1409700" cy="1628775"/>
                            </a:xfrm>
                            <a:custGeom>
                              <a:avLst/>
                              <a:gdLst>
                                <a:gd name="connsiteX0" fmla="*/ -112 w 1342402"/>
                                <a:gd name="connsiteY0" fmla="*/ 223616 h 1354661"/>
                                <a:gd name="connsiteX1" fmla="*/ 223628 w 1342402"/>
                                <a:gd name="connsiteY1" fmla="*/ -124 h 1354661"/>
                                <a:gd name="connsiteX2" fmla="*/ 1118551 w 1342402"/>
                                <a:gd name="connsiteY2" fmla="*/ -124 h 1354661"/>
                                <a:gd name="connsiteX3" fmla="*/ 1342290 w 1342402"/>
                                <a:gd name="connsiteY3" fmla="*/ 223616 h 1354661"/>
                                <a:gd name="connsiteX4" fmla="*/ 1342290 w 1342402"/>
                                <a:gd name="connsiteY4" fmla="*/ 1130797 h 1354661"/>
                                <a:gd name="connsiteX5" fmla="*/ 1118551 w 1342402"/>
                                <a:gd name="connsiteY5" fmla="*/ 1354537 h 1354661"/>
                                <a:gd name="connsiteX6" fmla="*/ 223628 w 1342402"/>
                                <a:gd name="connsiteY6" fmla="*/ 1354537 h 1354661"/>
                                <a:gd name="connsiteX7" fmla="*/ -112 w 1342402"/>
                                <a:gd name="connsiteY7" fmla="*/ 1130797 h 13546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342402" h="1354661">
                                  <a:moveTo>
                                    <a:pt x="-112" y="223616"/>
                                  </a:moveTo>
                                  <a:cubicBezTo>
                                    <a:pt x="-112" y="100047"/>
                                    <a:pt x="100059" y="-124"/>
                                    <a:pt x="223628" y="-124"/>
                                  </a:cubicBezTo>
                                  <a:lnTo>
                                    <a:pt x="1118551" y="-124"/>
                                  </a:lnTo>
                                  <a:cubicBezTo>
                                    <a:pt x="1242119" y="-124"/>
                                    <a:pt x="1342290" y="100047"/>
                                    <a:pt x="1342290" y="223616"/>
                                  </a:cubicBezTo>
                                  <a:lnTo>
                                    <a:pt x="1342290" y="1130797"/>
                                  </a:lnTo>
                                  <a:cubicBezTo>
                                    <a:pt x="1342290" y="1254366"/>
                                    <a:pt x="1242119" y="1354537"/>
                                    <a:pt x="1118551" y="1354537"/>
                                  </a:cubicBezTo>
                                  <a:lnTo>
                                    <a:pt x="223628" y="1354537"/>
                                  </a:lnTo>
                                  <a:cubicBezTo>
                                    <a:pt x="100059" y="1354537"/>
                                    <a:pt x="-112" y="1254366"/>
                                    <a:pt x="-112" y="1130797"/>
                                  </a:cubicBezTo>
                                  <a:close/>
                                </a:path>
                              </a:pathLst>
                            </a:custGeom>
                            <a:solidFill>
                              <a:schemeClr val="accent5"/>
                            </a:solidFill>
                            <a:ln w="2450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82420201" name="Text Box 25"/>
                          <wps:cNvSpPr txBox="1"/>
                          <wps:spPr>
                            <a:xfrm>
                              <a:off x="57150" y="-19050"/>
                              <a:ext cx="1209675" cy="333375"/>
                            </a:xfrm>
                            <a:prstGeom prst="rect">
                              <a:avLst/>
                            </a:prstGeom>
                            <a:noFill/>
                          </wps:spPr>
                          <wps:txbx>
                            <w:txbxContent>
                              <w:p w14:paraId="4EAB6D3A" w14:textId="77777777" w:rsidR="009A40EE" w:rsidRPr="00AD32AB" w:rsidRDefault="009A40EE" w:rsidP="009A40EE">
                                <w:pPr>
                                  <w:jc w:val="center"/>
                                  <w:textAlignment w:val="baseline"/>
                                  <w:rPr>
                                    <w:rFonts w:cs="Arial"/>
                                    <w:b/>
                                    <w:bCs/>
                                    <w:color w:val="FFFFFF" w:themeColor="background1"/>
                                    <w:sz w:val="20"/>
                                    <w:szCs w:val="20"/>
                                  </w:rPr>
                                </w:pPr>
                                <w:r>
                                  <w:rPr>
                                    <w:rFonts w:cs="Arial"/>
                                    <w:b/>
                                    <w:bCs/>
                                    <w:color w:val="FFFFFF" w:themeColor="background1"/>
                                    <w:sz w:val="20"/>
                                    <w:szCs w:val="20"/>
                                  </w:rPr>
                                  <w:t>LEGISLATION</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702333051" name="Text Box 2"/>
                          <wps:cNvSpPr txBox="1">
                            <a:spLocks noChangeArrowheads="1"/>
                          </wps:cNvSpPr>
                          <wps:spPr bwMode="auto">
                            <a:xfrm>
                              <a:off x="133350" y="323849"/>
                              <a:ext cx="1095375" cy="1009651"/>
                            </a:xfrm>
                            <a:prstGeom prst="roundRect">
                              <a:avLst/>
                            </a:prstGeom>
                            <a:solidFill>
                              <a:schemeClr val="bg1">
                                <a:lumMod val="95000"/>
                              </a:schemeClr>
                            </a:solidFill>
                            <a:ln w="9525">
                              <a:noFill/>
                              <a:miter lim="800000"/>
                              <a:headEnd/>
                              <a:tailEnd/>
                            </a:ln>
                          </wps:spPr>
                          <wps:txbx>
                            <w:txbxContent>
                              <w:p w14:paraId="218A2C4E" w14:textId="77777777" w:rsidR="009A40EE" w:rsidRPr="00BC400D" w:rsidRDefault="009A40EE" w:rsidP="009A40EE">
                                <w:pPr>
                                  <w:numPr>
                                    <w:ilvl w:val="0"/>
                                    <w:numId w:val="44"/>
                                  </w:numPr>
                                  <w:spacing w:before="0" w:after="80" w:line="240" w:lineRule="auto"/>
                                  <w:ind w:left="142" w:hanging="142"/>
                                  <w:rPr>
                                    <w:color w:val="2B5258" w:themeColor="accent5" w:themeShade="80"/>
                                    <w:sz w:val="16"/>
                                    <w:szCs w:val="16"/>
                                  </w:rPr>
                                </w:pPr>
                                <w:r w:rsidRPr="00BC400D">
                                  <w:rPr>
                                    <w:color w:val="2B5258" w:themeColor="accent5" w:themeShade="80"/>
                                    <w:sz w:val="16"/>
                                    <w:szCs w:val="16"/>
                                  </w:rPr>
                                  <w:t>Aged Care Act</w:t>
                                </w:r>
                              </w:p>
                              <w:p w14:paraId="4CD264D5" w14:textId="77777777" w:rsidR="009A40EE" w:rsidRPr="00BC400D" w:rsidRDefault="009A40EE" w:rsidP="009A40EE">
                                <w:pPr>
                                  <w:numPr>
                                    <w:ilvl w:val="0"/>
                                    <w:numId w:val="44"/>
                                  </w:numPr>
                                  <w:spacing w:before="0" w:after="80" w:line="240" w:lineRule="auto"/>
                                  <w:ind w:left="142" w:hanging="142"/>
                                  <w:rPr>
                                    <w:color w:val="2B5258" w:themeColor="accent5" w:themeShade="80"/>
                                    <w:sz w:val="16"/>
                                    <w:szCs w:val="16"/>
                                  </w:rPr>
                                </w:pPr>
                                <w:r w:rsidRPr="00BC400D">
                                  <w:rPr>
                                    <w:color w:val="2B5258" w:themeColor="accent5" w:themeShade="80"/>
                                    <w:sz w:val="16"/>
                                    <w:szCs w:val="16"/>
                                  </w:rPr>
                                  <w:t>PGPA Act</w:t>
                                </w:r>
                              </w:p>
                              <w:p w14:paraId="3E731792" w14:textId="77777777" w:rsidR="009A40EE" w:rsidRPr="00BC400D" w:rsidRDefault="009A40EE" w:rsidP="009A40EE">
                                <w:pPr>
                                  <w:numPr>
                                    <w:ilvl w:val="0"/>
                                    <w:numId w:val="44"/>
                                  </w:numPr>
                                  <w:spacing w:before="0" w:after="80" w:line="240" w:lineRule="auto"/>
                                  <w:ind w:left="142" w:hanging="142"/>
                                  <w:rPr>
                                    <w:color w:val="2B5258" w:themeColor="accent5" w:themeShade="80"/>
                                    <w:sz w:val="16"/>
                                    <w:szCs w:val="16"/>
                                  </w:rPr>
                                </w:pPr>
                                <w:r w:rsidRPr="00BC400D">
                                  <w:rPr>
                                    <w:color w:val="2B5258" w:themeColor="accent5" w:themeShade="80"/>
                                    <w:sz w:val="16"/>
                                    <w:szCs w:val="16"/>
                                  </w:rPr>
                                  <w:t>PGPA Rule</w:t>
                                </w:r>
                              </w:p>
                              <w:p w14:paraId="605C0DDC" w14:textId="77777777" w:rsidR="009A40EE" w:rsidRPr="00BC400D" w:rsidRDefault="009A40EE" w:rsidP="009A40EE">
                                <w:pPr>
                                  <w:numPr>
                                    <w:ilvl w:val="0"/>
                                    <w:numId w:val="44"/>
                                  </w:numPr>
                                  <w:spacing w:before="0" w:after="80" w:line="240" w:lineRule="auto"/>
                                  <w:ind w:left="142" w:hanging="142"/>
                                  <w:rPr>
                                    <w:color w:val="2B5258" w:themeColor="accent5" w:themeShade="80"/>
                                    <w:sz w:val="16"/>
                                    <w:szCs w:val="16"/>
                                  </w:rPr>
                                </w:pPr>
                                <w:r w:rsidRPr="00BC400D">
                                  <w:rPr>
                                    <w:color w:val="2B5258" w:themeColor="accent5" w:themeShade="80"/>
                                    <w:sz w:val="16"/>
                                    <w:szCs w:val="16"/>
                                  </w:rPr>
                                  <w:t>Fraud and Corruption Control Framework</w:t>
                                </w:r>
                              </w:p>
                              <w:p w14:paraId="468C983F" w14:textId="77777777" w:rsidR="009A40EE" w:rsidRPr="00BC400D" w:rsidRDefault="009A40EE" w:rsidP="009A40EE">
                                <w:pPr>
                                  <w:numPr>
                                    <w:ilvl w:val="0"/>
                                    <w:numId w:val="44"/>
                                  </w:numPr>
                                  <w:spacing w:before="0" w:after="80" w:line="240" w:lineRule="auto"/>
                                  <w:ind w:left="142" w:hanging="142"/>
                                  <w:rPr>
                                    <w:color w:val="2B5258" w:themeColor="accent5" w:themeShade="80"/>
                                    <w:sz w:val="16"/>
                                    <w:szCs w:val="16"/>
                                  </w:rPr>
                                </w:pPr>
                                <w:r w:rsidRPr="00BC400D">
                                  <w:rPr>
                                    <w:color w:val="2B5258" w:themeColor="accent5" w:themeShade="80"/>
                                    <w:sz w:val="16"/>
                                    <w:szCs w:val="16"/>
                                  </w:rPr>
                                  <w:t>CGRPs</w:t>
                                </w:r>
                              </w:p>
                            </w:txbxContent>
                          </wps:txbx>
                          <wps:bodyPr rot="0" vert="horz" wrap="square" lIns="36000" tIns="36000" rIns="0" bIns="0" anchor="t" anchorCtr="0">
                            <a:noAutofit/>
                          </wps:bodyPr>
                        </wps:wsp>
                      </wpg:grpSp>
                      <wpg:grpSp>
                        <wpg:cNvPr id="746413070" name="Group 13"/>
                        <wpg:cNvGrpSpPr/>
                        <wpg:grpSpPr>
                          <a:xfrm>
                            <a:off x="2211114" y="2222869"/>
                            <a:ext cx="1436961" cy="781050"/>
                            <a:chOff x="-65361" y="-206006"/>
                            <a:chExt cx="1436961" cy="781050"/>
                          </a:xfrm>
                        </wpg:grpSpPr>
                        <wps:wsp>
                          <wps:cNvPr id="1395831986" name="Freeform: Shape 1"/>
                          <wps:cNvSpPr/>
                          <wps:spPr>
                            <a:xfrm>
                              <a:off x="-65361" y="-206006"/>
                              <a:ext cx="1419223" cy="675005"/>
                            </a:xfrm>
                            <a:custGeom>
                              <a:avLst/>
                              <a:gdLst>
                                <a:gd name="connsiteX0" fmla="*/ -112 w 901064"/>
                                <a:gd name="connsiteY0" fmla="*/ 104081 h 625228"/>
                                <a:gd name="connsiteX1" fmla="*/ 104093 w 901064"/>
                                <a:gd name="connsiteY1" fmla="*/ -124 h 625228"/>
                                <a:gd name="connsiteX2" fmla="*/ 796748 w 901064"/>
                                <a:gd name="connsiteY2" fmla="*/ -124 h 625228"/>
                                <a:gd name="connsiteX3" fmla="*/ 900953 w 901064"/>
                                <a:gd name="connsiteY3" fmla="*/ 104081 h 625228"/>
                                <a:gd name="connsiteX4" fmla="*/ 900953 w 901064"/>
                                <a:gd name="connsiteY4" fmla="*/ 520900 h 625228"/>
                                <a:gd name="connsiteX5" fmla="*/ 796748 w 901064"/>
                                <a:gd name="connsiteY5" fmla="*/ 625104 h 625228"/>
                                <a:gd name="connsiteX6" fmla="*/ 104093 w 901064"/>
                                <a:gd name="connsiteY6" fmla="*/ 625104 h 625228"/>
                                <a:gd name="connsiteX7" fmla="*/ -112 w 901064"/>
                                <a:gd name="connsiteY7" fmla="*/ 520900 h 62522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901064" h="625228">
                                  <a:moveTo>
                                    <a:pt x="-112" y="104081"/>
                                  </a:moveTo>
                                  <a:cubicBezTo>
                                    <a:pt x="-112" y="46529"/>
                                    <a:pt x="46541" y="-124"/>
                                    <a:pt x="104093" y="-124"/>
                                  </a:cubicBezTo>
                                  <a:lnTo>
                                    <a:pt x="796748" y="-124"/>
                                  </a:lnTo>
                                  <a:cubicBezTo>
                                    <a:pt x="854299" y="-124"/>
                                    <a:pt x="900953" y="46529"/>
                                    <a:pt x="900953" y="104081"/>
                                  </a:cubicBezTo>
                                  <a:lnTo>
                                    <a:pt x="900953" y="520900"/>
                                  </a:lnTo>
                                  <a:cubicBezTo>
                                    <a:pt x="900953" y="578451"/>
                                    <a:pt x="854299" y="625104"/>
                                    <a:pt x="796748" y="625104"/>
                                  </a:cubicBezTo>
                                  <a:lnTo>
                                    <a:pt x="104093" y="625104"/>
                                  </a:lnTo>
                                  <a:cubicBezTo>
                                    <a:pt x="46541" y="625104"/>
                                    <a:pt x="-112" y="578451"/>
                                    <a:pt x="-112" y="520900"/>
                                  </a:cubicBezTo>
                                  <a:close/>
                                </a:path>
                              </a:pathLst>
                            </a:custGeom>
                            <a:solidFill>
                              <a:srgbClr val="13396E"/>
                            </a:solidFill>
                            <a:ln w="612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26436880" name="Text Box 4"/>
                          <wps:cNvSpPr txBox="1"/>
                          <wps:spPr>
                            <a:xfrm>
                              <a:off x="-57150" y="-206006"/>
                              <a:ext cx="1428750" cy="781050"/>
                            </a:xfrm>
                            <a:prstGeom prst="rect">
                              <a:avLst/>
                            </a:prstGeom>
                            <a:noFill/>
                          </wps:spPr>
                          <wps:txbx>
                            <w:txbxContent>
                              <w:p w14:paraId="1AB9953C" w14:textId="77777777" w:rsidR="009A40EE" w:rsidRPr="00AD32AB" w:rsidRDefault="009A40EE" w:rsidP="009A40EE">
                                <w:pPr>
                                  <w:jc w:val="center"/>
                                  <w:textAlignment w:val="baseline"/>
                                  <w:rPr>
                                    <w:rFonts w:cs="Arial"/>
                                    <w:b/>
                                    <w:bCs/>
                                    <w:color w:val="FFFFFF"/>
                                    <w:sz w:val="20"/>
                                    <w:szCs w:val="20"/>
                                  </w:rPr>
                                </w:pPr>
                                <w:r>
                                  <w:rPr>
                                    <w:rFonts w:cs="Arial"/>
                                    <w:b/>
                                    <w:bCs/>
                                    <w:color w:val="FFFFFF"/>
                                    <w:sz w:val="20"/>
                                    <w:szCs w:val="20"/>
                                  </w:rPr>
                                  <w:t>SUPPORT AT HOME ASSURANCE FRAMEWORK</w:t>
                                </w:r>
                              </w:p>
                            </w:txbxContent>
                          </wps:txbx>
                          <wps:bodyPr rot="0" spcFirstLastPara="0" vert="horz" wrap="square" lIns="0" tIns="45720" rIns="0" bIns="45720" numCol="1" spcCol="0" rtlCol="0" fromWordArt="0" anchor="t" anchorCtr="0" forceAA="0" compatLnSpc="1">
                            <a:prstTxWarp prst="textNoShape">
                              <a:avLst/>
                            </a:prstTxWarp>
                            <a:noAutofit/>
                          </wps:bodyPr>
                        </wps:wsp>
                      </wpg:grpSp>
                      <wpg:grpSp>
                        <wpg:cNvPr id="28337114" name="Group 19"/>
                        <wpg:cNvGrpSpPr/>
                        <wpg:grpSpPr>
                          <a:xfrm>
                            <a:off x="1762125" y="-28575"/>
                            <a:ext cx="2343150" cy="1933575"/>
                            <a:chOff x="0" y="-28575"/>
                            <a:chExt cx="2343150" cy="1933575"/>
                          </a:xfrm>
                        </wpg:grpSpPr>
                        <wps:wsp>
                          <wps:cNvPr id="1841383429" name="Freeform: Shape 2"/>
                          <wps:cNvSpPr/>
                          <wps:spPr>
                            <a:xfrm>
                              <a:off x="0" y="0"/>
                              <a:ext cx="2343150" cy="1905000"/>
                            </a:xfrm>
                            <a:custGeom>
                              <a:avLst/>
                              <a:gdLst>
                                <a:gd name="connsiteX0" fmla="*/ -112 w 2139261"/>
                                <a:gd name="connsiteY0" fmla="*/ 272653 h 1636626"/>
                                <a:gd name="connsiteX1" fmla="*/ 272665 w 2139261"/>
                                <a:gd name="connsiteY1" fmla="*/ -124 h 1636626"/>
                                <a:gd name="connsiteX2" fmla="*/ 1866373 w 2139261"/>
                                <a:gd name="connsiteY2" fmla="*/ -124 h 1636626"/>
                                <a:gd name="connsiteX3" fmla="*/ 2139150 w 2139261"/>
                                <a:gd name="connsiteY3" fmla="*/ 272653 h 1636626"/>
                                <a:gd name="connsiteX4" fmla="*/ 2139150 w 2139261"/>
                                <a:gd name="connsiteY4" fmla="*/ 1363725 h 1636626"/>
                                <a:gd name="connsiteX5" fmla="*/ 1866373 w 2139261"/>
                                <a:gd name="connsiteY5" fmla="*/ 1636503 h 1636626"/>
                                <a:gd name="connsiteX6" fmla="*/ 272665 w 2139261"/>
                                <a:gd name="connsiteY6" fmla="*/ 1636503 h 1636626"/>
                                <a:gd name="connsiteX7" fmla="*/ -112 w 2139261"/>
                                <a:gd name="connsiteY7" fmla="*/ 1363725 h 163662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139261" h="1636626">
                                  <a:moveTo>
                                    <a:pt x="-112" y="272653"/>
                                  </a:moveTo>
                                  <a:cubicBezTo>
                                    <a:pt x="-112" y="122004"/>
                                    <a:pt x="122016" y="-124"/>
                                    <a:pt x="272665" y="-124"/>
                                  </a:cubicBezTo>
                                  <a:lnTo>
                                    <a:pt x="1866373" y="-124"/>
                                  </a:lnTo>
                                  <a:cubicBezTo>
                                    <a:pt x="2017022" y="-124"/>
                                    <a:pt x="2139150" y="122004"/>
                                    <a:pt x="2139150" y="272653"/>
                                  </a:cubicBezTo>
                                  <a:lnTo>
                                    <a:pt x="2139150" y="1363725"/>
                                  </a:lnTo>
                                  <a:cubicBezTo>
                                    <a:pt x="2139150" y="1514375"/>
                                    <a:pt x="2017022" y="1636503"/>
                                    <a:pt x="1866373" y="1636503"/>
                                  </a:cubicBezTo>
                                  <a:lnTo>
                                    <a:pt x="272665" y="1636503"/>
                                  </a:lnTo>
                                  <a:cubicBezTo>
                                    <a:pt x="122016" y="1636503"/>
                                    <a:pt x="-112" y="1514375"/>
                                    <a:pt x="-112" y="1363725"/>
                                  </a:cubicBezTo>
                                  <a:close/>
                                </a:path>
                              </a:pathLst>
                            </a:custGeom>
                            <a:solidFill>
                              <a:schemeClr val="accent2"/>
                            </a:solidFill>
                            <a:ln w="2450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cNvPr id="1523025855" name="Group 18"/>
                          <wpg:cNvGrpSpPr/>
                          <wpg:grpSpPr>
                            <a:xfrm>
                              <a:off x="133350" y="-28575"/>
                              <a:ext cx="2076450" cy="1688465"/>
                              <a:chOff x="0" y="-76200"/>
                              <a:chExt cx="2076450" cy="1688465"/>
                            </a:xfrm>
                          </wpg:grpSpPr>
                          <wps:wsp>
                            <wps:cNvPr id="171090769" name="Text Box 25"/>
                            <wps:cNvSpPr txBox="1"/>
                            <wps:spPr>
                              <a:xfrm>
                                <a:off x="104773" y="-76200"/>
                                <a:ext cx="1943100" cy="411480"/>
                              </a:xfrm>
                              <a:prstGeom prst="rect">
                                <a:avLst/>
                              </a:prstGeom>
                              <a:noFill/>
                            </wps:spPr>
                            <wps:txbx>
                              <w:txbxContent>
                                <w:p w14:paraId="5C9EEB4C" w14:textId="77777777" w:rsidR="009A40EE" w:rsidRPr="00A94D57" w:rsidRDefault="009A40EE" w:rsidP="009A40EE">
                                  <w:pPr>
                                    <w:jc w:val="center"/>
                                    <w:textAlignment w:val="baseline"/>
                                    <w:rPr>
                                      <w:rFonts w:cs="Arial"/>
                                      <w:b/>
                                      <w:bCs/>
                                      <w:color w:val="FFFFFF" w:themeColor="background1"/>
                                      <w:sz w:val="20"/>
                                      <w:szCs w:val="20"/>
                                    </w:rPr>
                                  </w:pPr>
                                  <w:r>
                                    <w:rPr>
                                      <w:rFonts w:cs="Arial"/>
                                      <w:b/>
                                      <w:bCs/>
                                      <w:color w:val="FFFFFF" w:themeColor="background1"/>
                                      <w:sz w:val="20"/>
                                      <w:szCs w:val="20"/>
                                    </w:rPr>
                                    <w:t>DEPARTMENT PRIORITIES</w:t>
                                  </w:r>
                                </w:p>
                              </w:txbxContent>
                            </wps:txbx>
                            <wps:bodyPr rot="0" spcFirstLastPara="0" vert="horz" wrap="square" lIns="91440" tIns="45720" rIns="91440" bIns="45720" numCol="1" spcCol="0" rtlCol="0" fromWordArt="0" anchor="t" anchorCtr="0" forceAA="0" compatLnSpc="1">
                              <a:prstTxWarp prst="textNoShape">
                                <a:avLst/>
                              </a:prstTxWarp>
                              <a:spAutoFit/>
                            </wps:bodyPr>
                          </wps:wsp>
                          <wps:wsp>
                            <wps:cNvPr id="476661226" name="Text Box 2"/>
                            <wps:cNvSpPr txBox="1">
                              <a:spLocks noChangeArrowheads="1"/>
                            </wps:cNvSpPr>
                            <wps:spPr bwMode="auto">
                              <a:xfrm>
                                <a:off x="0" y="266699"/>
                                <a:ext cx="2057400" cy="466725"/>
                              </a:xfrm>
                              <a:prstGeom prst="roundRect">
                                <a:avLst/>
                              </a:prstGeom>
                              <a:solidFill>
                                <a:schemeClr val="bg1">
                                  <a:lumMod val="95000"/>
                                </a:schemeClr>
                              </a:solidFill>
                              <a:ln w="9525">
                                <a:noFill/>
                                <a:miter lim="800000"/>
                                <a:headEnd/>
                                <a:tailEnd/>
                              </a:ln>
                            </wps:spPr>
                            <wps:txbx>
                              <w:txbxContent>
                                <w:p w14:paraId="57B5ADE8" w14:textId="5EF4D74A" w:rsidR="009A40EE" w:rsidRPr="00BC400D" w:rsidRDefault="009A40EE" w:rsidP="009A40EE">
                                  <w:pPr>
                                    <w:spacing w:after="80"/>
                                    <w:rPr>
                                      <w:color w:val="234F77" w:themeColor="accent2" w:themeShade="80"/>
                                      <w:sz w:val="16"/>
                                      <w:szCs w:val="16"/>
                                    </w:rPr>
                                  </w:pPr>
                                  <w:r w:rsidRPr="00BC400D">
                                    <w:rPr>
                                      <w:b/>
                                      <w:bCs/>
                                      <w:color w:val="234F77" w:themeColor="accent2" w:themeShade="80"/>
                                      <w:sz w:val="16"/>
                                      <w:szCs w:val="16"/>
                                    </w:rPr>
                                    <w:t>Vision:</w:t>
                                  </w:r>
                                  <w:r w:rsidRPr="00BC400D">
                                    <w:rPr>
                                      <w:color w:val="234F77" w:themeColor="accent2" w:themeShade="80"/>
                                      <w:sz w:val="16"/>
                                      <w:szCs w:val="16"/>
                                    </w:rPr>
                                    <w:t xml:space="preserve"> Better health and wellbeing for all Australians, now and for future generations</w:t>
                                  </w:r>
                                </w:p>
                              </w:txbxContent>
                            </wps:txbx>
                            <wps:bodyPr rot="0" vert="horz" wrap="square" lIns="36000" tIns="36000" rIns="0" bIns="0" anchor="t" anchorCtr="0">
                              <a:noAutofit/>
                            </wps:bodyPr>
                          </wps:wsp>
                          <wps:wsp>
                            <wps:cNvPr id="543612611" name="Text Box 2"/>
                            <wps:cNvSpPr txBox="1">
                              <a:spLocks noChangeArrowheads="1"/>
                            </wps:cNvSpPr>
                            <wps:spPr bwMode="auto">
                              <a:xfrm>
                                <a:off x="19050" y="838201"/>
                                <a:ext cx="2057400" cy="288290"/>
                              </a:xfrm>
                              <a:prstGeom prst="roundRect">
                                <a:avLst/>
                              </a:prstGeom>
                              <a:solidFill>
                                <a:schemeClr val="bg1">
                                  <a:lumMod val="95000"/>
                                </a:schemeClr>
                              </a:solidFill>
                              <a:ln w="9525">
                                <a:noFill/>
                                <a:miter lim="800000"/>
                                <a:headEnd/>
                                <a:tailEnd/>
                              </a:ln>
                            </wps:spPr>
                            <wps:txbx>
                              <w:txbxContent>
                                <w:p w14:paraId="6FDD7B50" w14:textId="77777777" w:rsidR="009A40EE" w:rsidRPr="00BC400D" w:rsidRDefault="009A40EE" w:rsidP="009F6848">
                                  <w:pPr>
                                    <w:spacing w:after="80"/>
                                    <w:jc w:val="center"/>
                                    <w:rPr>
                                      <w:color w:val="234F77" w:themeColor="accent2" w:themeShade="80"/>
                                      <w:sz w:val="16"/>
                                      <w:szCs w:val="16"/>
                                    </w:rPr>
                                  </w:pPr>
                                  <w:r w:rsidRPr="00BC400D">
                                    <w:rPr>
                                      <w:b/>
                                      <w:bCs/>
                                      <w:color w:val="234F77" w:themeColor="accent2" w:themeShade="80"/>
                                      <w:sz w:val="16"/>
                                      <w:szCs w:val="16"/>
                                    </w:rPr>
                                    <w:t>Outcome 3:</w:t>
                                  </w:r>
                                  <w:r w:rsidRPr="00BC400D">
                                    <w:rPr>
                                      <w:color w:val="234F77" w:themeColor="accent2" w:themeShade="80"/>
                                      <w:sz w:val="16"/>
                                      <w:szCs w:val="16"/>
                                    </w:rPr>
                                    <w:t xml:space="preserve"> Ageing and Aged Care</w:t>
                                  </w:r>
                                </w:p>
                              </w:txbxContent>
                            </wps:txbx>
                            <wps:bodyPr rot="0" vert="horz" wrap="square" lIns="36000" tIns="54000" rIns="36000" bIns="0" anchor="t" anchorCtr="0">
                              <a:noAutofit/>
                            </wps:bodyPr>
                          </wps:wsp>
                          <wps:wsp>
                            <wps:cNvPr id="1015495772" name="Text Box 2"/>
                            <wps:cNvSpPr txBox="1">
                              <a:spLocks noChangeArrowheads="1"/>
                            </wps:cNvSpPr>
                            <wps:spPr bwMode="auto">
                              <a:xfrm>
                                <a:off x="19050" y="1314450"/>
                                <a:ext cx="2057400" cy="297815"/>
                              </a:xfrm>
                              <a:prstGeom prst="roundRect">
                                <a:avLst/>
                              </a:prstGeom>
                              <a:solidFill>
                                <a:schemeClr val="bg1">
                                  <a:lumMod val="95000"/>
                                </a:schemeClr>
                              </a:solidFill>
                              <a:ln w="9525">
                                <a:noFill/>
                                <a:miter lim="800000"/>
                                <a:headEnd/>
                                <a:tailEnd/>
                              </a:ln>
                            </wps:spPr>
                            <wps:txbx>
                              <w:txbxContent>
                                <w:p w14:paraId="1ED0AAB2" w14:textId="77777777" w:rsidR="009A40EE" w:rsidRPr="00BC400D" w:rsidRDefault="009A40EE" w:rsidP="009A40EE">
                                  <w:pPr>
                                    <w:spacing w:after="80"/>
                                    <w:jc w:val="center"/>
                                    <w:rPr>
                                      <w:color w:val="234F77" w:themeColor="accent2" w:themeShade="80"/>
                                      <w:sz w:val="16"/>
                                      <w:szCs w:val="16"/>
                                    </w:rPr>
                                  </w:pPr>
                                  <w:r w:rsidRPr="00BC400D">
                                    <w:rPr>
                                      <w:b/>
                                      <w:bCs/>
                                      <w:color w:val="234F77" w:themeColor="accent2" w:themeShade="80"/>
                                      <w:sz w:val="16"/>
                                      <w:szCs w:val="16"/>
                                    </w:rPr>
                                    <w:t>Program 3.2</w:t>
                                  </w:r>
                                  <w:r w:rsidRPr="00BC400D">
                                    <w:rPr>
                                      <w:color w:val="234F77" w:themeColor="accent2" w:themeShade="80"/>
                                      <w:sz w:val="16"/>
                                      <w:szCs w:val="16"/>
                                    </w:rPr>
                                    <w:t xml:space="preserve"> Aged Care Services</w:t>
                                  </w:r>
                                </w:p>
                              </w:txbxContent>
                            </wps:txbx>
                            <wps:bodyPr rot="0" vert="horz" wrap="square" lIns="36000" tIns="54000" rIns="36000" bIns="0" anchor="t" anchorCtr="0">
                              <a:noAutofit/>
                            </wps:bodyPr>
                          </wps:wsp>
                        </wpg:grpSp>
                      </wpg:grpSp>
                    </wpg:wgp>
                  </a:graphicData>
                </a:graphic>
              </wp:inline>
            </w:drawing>
          </mc:Choice>
          <mc:Fallback>
            <w:pict>
              <v:group w14:anchorId="65D5124D" id="Group 22" o:spid="_x0000_s1026" alt="Diagram showing department priorities - Vision: better health and wellbeing for all Australians, now and for future generations; Outcome 3: Ageing and Aged care; Program 3.2 Aged Care Services. these have an arrow pointing to 'Support at Home Assurance Framework'. There is another box with relevant departmental frameworks: Corporate assurance framework, System Governor Compliance Framework, Fraud and corruption control plan. This box has a 2-way arrow with 'Support at Home Assurance Framework'. There is a third box, Legislation: Aged Care Act, PGPA Act, PGPA Rule, Fraud and Corruption Control Framework. This box has a 2-way arrow pointing to 'Support at Home Assurance Framework'." style="width:437.6pt;height:274.5pt;mso-position-horizontal-relative:char;mso-position-vertical-relative:line" coordorigin="812,-285" coordsize="55575,348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">
                <v:group id="Group 4" o:spid="_x0000_s1027" style="position:absolute;left:812;top:16478;width:15717;height:18097" coordorigin="622,-1143" coordsize="15716,18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">
                  <v:shape id="Freeform: Shape 206992554" o:spid="_x0000_s1028" style="position:absolute;left:622;top:190;width:15430;height:16764;visibility:visible;mso-wrap-style:square;v-text-anchor:middle" coordsize="1342402,1342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" path="m-112,223616c-112,100047,100059,-124,223628,-124r894922,c1242119,-124,1342290,100047,1342290,223616r,894922c1342290,1242107,1242119,1342278,1118550,1342278r-894922,c100059,1342278,-112,1242107,-112,1118538r,-894922xe" fillcolor="#297fd5 [3206]" stroked="f" strokeweight=".68081mm">
                    <v:stroke joinstyle="miter"/>
                    <v:path arrowok="t" o:connecttype="custom" o:connectlocs="-129,279253;257054,-155;1285739,-155;1542921,279253;1542921,1396838;1285739,1676246;257054,1676246;-129,1396838" o:connectangles="0,0,0,0,0,0,0,0"/>
                  </v:shape>
                  <v:shapetype id="_x0000_t202" coordsize="21600,21600" o:spt="202" path="m,l,21600r21600,l21600,xe">
                    <v:stroke joinstyle="miter"/>
                    <v:path gradientshapeok="t" o:connecttype="rect"/>
                  </v:shapetype>
                  <v:shape id="Text Box 25" o:spid="_x0000_s1029" type="#_x0000_t202" style="position:absolute;left:1193;top:-1143;width:15145;height:6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" filled="f" stroked="f">
                    <v:textbox>
                      <w:txbxContent>
                        <w:p w14:paraId="3300FB70" w14:textId="77777777" w:rsidR="009A40EE" w:rsidRPr="00AD32AB" w:rsidRDefault="009A40EE" w:rsidP="009A40EE">
                          <w:pPr>
                            <w:jc w:val="center"/>
                            <w:textAlignment w:val="baseline"/>
                            <w:rPr>
                              <w:rFonts w:cs="Arial"/>
                              <w:b/>
                              <w:bCs/>
                              <w:color w:val="FFFFFF" w:themeColor="background1"/>
                              <w:sz w:val="20"/>
                              <w:szCs w:val="20"/>
                            </w:rPr>
                          </w:pPr>
                          <w:r>
                            <w:rPr>
                              <w:rFonts w:cs="Arial"/>
                              <w:b/>
                              <w:bCs/>
                              <w:color w:val="FFFFFF" w:themeColor="background1"/>
                              <w:sz w:val="20"/>
                              <w:szCs w:val="20"/>
                            </w:rPr>
                            <w:t>RELEVANT DEPARTMENTAL FRAMEWORKS</w:t>
                          </w:r>
                        </w:p>
                      </w:txbxContent>
                    </v:textbox>
                  </v:shape>
                  <v:roundrect id="_x0000_s1030" style="position:absolute;left:2000;top:4952;width:12858;height:1143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" fillcolor="#f2f2f2 [3052]" stroked="f">
                    <v:stroke joinstyle="miter"/>
                    <v:textbox inset="1mm,1mm,0">
                      <w:txbxContent>
                        <w:p w14:paraId="47BAC670" w14:textId="77777777" w:rsidR="009A40EE" w:rsidRPr="00BC400D" w:rsidRDefault="009A40EE" w:rsidP="009A40EE">
                          <w:pPr>
                            <w:numPr>
                              <w:ilvl w:val="0"/>
                              <w:numId w:val="44"/>
                            </w:numPr>
                            <w:spacing w:before="0" w:after="80" w:line="240" w:lineRule="auto"/>
                            <w:ind w:left="142" w:hanging="142"/>
                            <w:rPr>
                              <w:color w:val="1E5E9F" w:themeColor="accent3" w:themeShade="BF"/>
                              <w:sz w:val="16"/>
                              <w:szCs w:val="16"/>
                            </w:rPr>
                          </w:pPr>
                          <w:r w:rsidRPr="00BC400D">
                            <w:rPr>
                              <w:color w:val="1E5E9F" w:themeColor="accent3" w:themeShade="BF"/>
                              <w:sz w:val="16"/>
                              <w:szCs w:val="16"/>
                            </w:rPr>
                            <w:t>Corporate Assurance Framework</w:t>
                          </w:r>
                        </w:p>
                        <w:p w14:paraId="635B8CDA" w14:textId="71C1A08E" w:rsidR="009A40EE" w:rsidRPr="00BC400D" w:rsidRDefault="009A40EE" w:rsidP="009A40EE">
                          <w:pPr>
                            <w:numPr>
                              <w:ilvl w:val="0"/>
                              <w:numId w:val="44"/>
                            </w:numPr>
                            <w:spacing w:before="0" w:after="80" w:line="240" w:lineRule="auto"/>
                            <w:ind w:left="142" w:hanging="142"/>
                            <w:rPr>
                              <w:color w:val="1E5E9F" w:themeColor="accent3" w:themeShade="BF"/>
                              <w:sz w:val="16"/>
                              <w:szCs w:val="16"/>
                            </w:rPr>
                          </w:pPr>
                          <w:r w:rsidRPr="00BC400D">
                            <w:rPr>
                              <w:color w:val="1E5E9F" w:themeColor="accent3" w:themeShade="BF"/>
                              <w:sz w:val="16"/>
                              <w:szCs w:val="16"/>
                            </w:rPr>
                            <w:t>System Governor Compliance Framework</w:t>
                          </w:r>
                        </w:p>
                        <w:p w14:paraId="4A37830D" w14:textId="77777777" w:rsidR="009A40EE" w:rsidRPr="00BC400D" w:rsidRDefault="009A40EE" w:rsidP="009A40EE">
                          <w:pPr>
                            <w:numPr>
                              <w:ilvl w:val="0"/>
                              <w:numId w:val="44"/>
                            </w:numPr>
                            <w:spacing w:before="0" w:after="80" w:line="240" w:lineRule="auto"/>
                            <w:ind w:left="142" w:hanging="142"/>
                            <w:rPr>
                              <w:color w:val="1E5E9F" w:themeColor="accent3" w:themeShade="BF"/>
                              <w:sz w:val="16"/>
                              <w:szCs w:val="16"/>
                            </w:rPr>
                          </w:pPr>
                          <w:r w:rsidRPr="00BC400D">
                            <w:rPr>
                              <w:color w:val="1E5E9F" w:themeColor="accent3" w:themeShade="BF"/>
                              <w:sz w:val="16"/>
                              <w:szCs w:val="16"/>
                            </w:rPr>
                            <w:t>Fraud and corruption control plan</w:t>
                          </w:r>
                        </w:p>
                      </w:txbxContent>
                    </v:textbox>
                  </v:roundrect>
                </v:group>
                <v:group id="Group 6" o:spid="_x0000_s1031" style="position:absolute;left:42291;top:18097;width:14097;height:16288" coordorigin="-285,-190" coordsize="14097,16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">
                  <v:shape id="Freeform: Shape 2" o:spid="_x0000_s1032" style="position:absolute;left:-285;top:-190;width:14096;height:16287;visibility:visible;mso-wrap-style:square;v-text-anchor:middle" coordsize="1342402,1354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" path="m-112,223616c-112,100047,100059,-124,223628,-124r894923,c1242119,-124,1342290,100047,1342290,223616r,907181c1342290,1254366,1242119,1354537,1118551,1354537r-894923,c100059,1354537,-112,1254366,-112,1130797r,-907181xe" fillcolor="#5aa2ae [3208]" stroked="f" strokeweight=".68081mm">
                    <v:stroke joinstyle="miter"/>
                    <v:path arrowok="t" o:connecttype="custom" o:connectlocs="-118,268864;234839,-149;1174627,-149;1409582,268864;1409582,1359612;1174627,1628626;234839,1628626;-118,1359612" o:connectangles="0,0,0,0,0,0,0,0"/>
                  </v:shape>
                  <v:shape id="Text Box 25" o:spid="_x0000_s1033" type="#_x0000_t202" style="position:absolute;left:571;top:-190;width:12097;height:3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" filled="f" stroked="f">
                    <v:textbox>
                      <w:txbxContent>
                        <w:p w14:paraId="4EAB6D3A" w14:textId="77777777" w:rsidR="009A40EE" w:rsidRPr="00AD32AB" w:rsidRDefault="009A40EE" w:rsidP="009A40EE">
                          <w:pPr>
                            <w:jc w:val="center"/>
                            <w:textAlignment w:val="baseline"/>
                            <w:rPr>
                              <w:rFonts w:cs="Arial"/>
                              <w:b/>
                              <w:bCs/>
                              <w:color w:val="FFFFFF" w:themeColor="background1"/>
                              <w:sz w:val="20"/>
                              <w:szCs w:val="20"/>
                            </w:rPr>
                          </w:pPr>
                          <w:r>
                            <w:rPr>
                              <w:rFonts w:cs="Arial"/>
                              <w:b/>
                              <w:bCs/>
                              <w:color w:val="FFFFFF" w:themeColor="background1"/>
                              <w:sz w:val="20"/>
                              <w:szCs w:val="20"/>
                            </w:rPr>
                            <w:t>LEGISLATION</w:t>
                          </w:r>
                        </w:p>
                      </w:txbxContent>
                    </v:textbox>
                  </v:shape>
                  <v:roundrect id="_x0000_s1034" style="position:absolute;left:1333;top:3238;width:10954;height:1009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" fillcolor="#f2f2f2 [3052]" stroked="f">
                    <v:stroke joinstyle="miter"/>
                    <v:textbox inset="1mm,1mm,0,0">
                      <w:txbxContent>
                        <w:p w14:paraId="218A2C4E" w14:textId="77777777" w:rsidR="009A40EE" w:rsidRPr="00BC400D" w:rsidRDefault="009A40EE" w:rsidP="009A40EE">
                          <w:pPr>
                            <w:numPr>
                              <w:ilvl w:val="0"/>
                              <w:numId w:val="44"/>
                            </w:numPr>
                            <w:spacing w:before="0" w:after="80" w:line="240" w:lineRule="auto"/>
                            <w:ind w:left="142" w:hanging="142"/>
                            <w:rPr>
                              <w:color w:val="2B5258" w:themeColor="accent5" w:themeShade="80"/>
                              <w:sz w:val="16"/>
                              <w:szCs w:val="16"/>
                            </w:rPr>
                          </w:pPr>
                          <w:r w:rsidRPr="00BC400D">
                            <w:rPr>
                              <w:color w:val="2B5258" w:themeColor="accent5" w:themeShade="80"/>
                              <w:sz w:val="16"/>
                              <w:szCs w:val="16"/>
                            </w:rPr>
                            <w:t>Aged Care Act</w:t>
                          </w:r>
                        </w:p>
                        <w:p w14:paraId="4CD264D5" w14:textId="77777777" w:rsidR="009A40EE" w:rsidRPr="00BC400D" w:rsidRDefault="009A40EE" w:rsidP="009A40EE">
                          <w:pPr>
                            <w:numPr>
                              <w:ilvl w:val="0"/>
                              <w:numId w:val="44"/>
                            </w:numPr>
                            <w:spacing w:before="0" w:after="80" w:line="240" w:lineRule="auto"/>
                            <w:ind w:left="142" w:hanging="142"/>
                            <w:rPr>
                              <w:color w:val="2B5258" w:themeColor="accent5" w:themeShade="80"/>
                              <w:sz w:val="16"/>
                              <w:szCs w:val="16"/>
                            </w:rPr>
                          </w:pPr>
                          <w:r w:rsidRPr="00BC400D">
                            <w:rPr>
                              <w:color w:val="2B5258" w:themeColor="accent5" w:themeShade="80"/>
                              <w:sz w:val="16"/>
                              <w:szCs w:val="16"/>
                            </w:rPr>
                            <w:t>PGPA Act</w:t>
                          </w:r>
                        </w:p>
                        <w:p w14:paraId="3E731792" w14:textId="77777777" w:rsidR="009A40EE" w:rsidRPr="00BC400D" w:rsidRDefault="009A40EE" w:rsidP="009A40EE">
                          <w:pPr>
                            <w:numPr>
                              <w:ilvl w:val="0"/>
                              <w:numId w:val="44"/>
                            </w:numPr>
                            <w:spacing w:before="0" w:after="80" w:line="240" w:lineRule="auto"/>
                            <w:ind w:left="142" w:hanging="142"/>
                            <w:rPr>
                              <w:color w:val="2B5258" w:themeColor="accent5" w:themeShade="80"/>
                              <w:sz w:val="16"/>
                              <w:szCs w:val="16"/>
                            </w:rPr>
                          </w:pPr>
                          <w:r w:rsidRPr="00BC400D">
                            <w:rPr>
                              <w:color w:val="2B5258" w:themeColor="accent5" w:themeShade="80"/>
                              <w:sz w:val="16"/>
                              <w:szCs w:val="16"/>
                            </w:rPr>
                            <w:t>PGPA Rule</w:t>
                          </w:r>
                        </w:p>
                        <w:p w14:paraId="605C0DDC" w14:textId="77777777" w:rsidR="009A40EE" w:rsidRPr="00BC400D" w:rsidRDefault="009A40EE" w:rsidP="009A40EE">
                          <w:pPr>
                            <w:numPr>
                              <w:ilvl w:val="0"/>
                              <w:numId w:val="44"/>
                            </w:numPr>
                            <w:spacing w:before="0" w:after="80" w:line="240" w:lineRule="auto"/>
                            <w:ind w:left="142" w:hanging="142"/>
                            <w:rPr>
                              <w:color w:val="2B5258" w:themeColor="accent5" w:themeShade="80"/>
                              <w:sz w:val="16"/>
                              <w:szCs w:val="16"/>
                            </w:rPr>
                          </w:pPr>
                          <w:r w:rsidRPr="00BC400D">
                            <w:rPr>
                              <w:color w:val="2B5258" w:themeColor="accent5" w:themeShade="80"/>
                              <w:sz w:val="16"/>
                              <w:szCs w:val="16"/>
                            </w:rPr>
                            <w:t>Fraud and Corruption Control Framework</w:t>
                          </w:r>
                        </w:p>
                        <w:p w14:paraId="468C983F" w14:textId="77777777" w:rsidR="009A40EE" w:rsidRPr="00BC400D" w:rsidRDefault="009A40EE" w:rsidP="009A40EE">
                          <w:pPr>
                            <w:numPr>
                              <w:ilvl w:val="0"/>
                              <w:numId w:val="44"/>
                            </w:numPr>
                            <w:spacing w:before="0" w:after="80" w:line="240" w:lineRule="auto"/>
                            <w:ind w:left="142" w:hanging="142"/>
                            <w:rPr>
                              <w:color w:val="2B5258" w:themeColor="accent5" w:themeShade="80"/>
                              <w:sz w:val="16"/>
                              <w:szCs w:val="16"/>
                            </w:rPr>
                          </w:pPr>
                          <w:r w:rsidRPr="00BC400D">
                            <w:rPr>
                              <w:color w:val="2B5258" w:themeColor="accent5" w:themeShade="80"/>
                              <w:sz w:val="16"/>
                              <w:szCs w:val="16"/>
                            </w:rPr>
                            <w:t>CGRPs</w:t>
                          </w:r>
                        </w:p>
                      </w:txbxContent>
                    </v:textbox>
                  </v:roundrect>
                </v:group>
                <v:group id="Group 13" o:spid="_x0000_s1035" style="position:absolute;left:22111;top:22228;width:14369;height:7811" coordorigin="-653,-2060" coordsize="14369,7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">
                  <v:shape id="Freeform: Shape 1" o:spid="_x0000_s1036" style="position:absolute;left:-653;top:-2060;width:14191;height:6749;visibility:visible;mso-wrap-style:square;v-text-anchor:middle" coordsize="901064,625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" path="m-112,104081c-112,46529,46541,-124,104093,-124r692655,c854299,-124,900953,46529,900953,104081r,416819c900953,578451,854299,625104,796748,625104r-692655,c46541,625104,-112,578451,-112,520900r,-416819xe" fillcolor="#13396e" stroked="f" strokeweight=".17019mm">
                    <v:stroke joinstyle="miter"/>
                    <v:path arrowok="t" o:connecttype="custom" o:connectlocs="-176,112367;163952,-134;1254920,-134;1419048,112367;1419048,562371;1254920,674871;163952,674871;-176,562371" o:connectangles="0,0,0,0,0,0,0,0"/>
                  </v:shape>
                  <v:shape id="_x0000_s1037" type="#_x0000_t202" style="position:absolute;left:-571;top:-2060;width:14287;height:7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" filled="f" stroked="f">
                    <v:textbox inset="0,,0">
                      <w:txbxContent>
                        <w:p w14:paraId="1AB9953C" w14:textId="77777777" w:rsidR="009A40EE" w:rsidRPr="00AD32AB" w:rsidRDefault="009A40EE" w:rsidP="009A40EE">
                          <w:pPr>
                            <w:jc w:val="center"/>
                            <w:textAlignment w:val="baseline"/>
                            <w:rPr>
                              <w:rFonts w:cs="Arial"/>
                              <w:b/>
                              <w:bCs/>
                              <w:color w:val="FFFFFF"/>
                              <w:sz w:val="20"/>
                              <w:szCs w:val="20"/>
                            </w:rPr>
                          </w:pPr>
                          <w:r>
                            <w:rPr>
                              <w:rFonts w:cs="Arial"/>
                              <w:b/>
                              <w:bCs/>
                              <w:color w:val="FFFFFF"/>
                              <w:sz w:val="20"/>
                              <w:szCs w:val="20"/>
                            </w:rPr>
                            <w:t>SUPPORT AT HOME ASSURANCE FRAMEWORK</w:t>
                          </w:r>
                        </w:p>
                      </w:txbxContent>
                    </v:textbox>
                  </v:shape>
                </v:group>
                <v:group id="Group 19" o:spid="_x0000_s1038" style="position:absolute;left:17621;top:-285;width:23431;height:19335" coordorigin=",-285" coordsize="23431,19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">
                  <v:shape id="Freeform: Shape 2" o:spid="_x0000_s1039" style="position:absolute;width:23431;height:19050;visibility:visible;mso-wrap-style:square;v-text-anchor:middle" coordsize="2139261,1636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" path="m-112,272653c-112,122004,122016,-124,272665,-124r1593708,c2017022,-124,2139150,122004,2139150,272653r,1091072c2139150,1514375,2017022,1636503,1866373,1636503r-1593708,c122016,1636503,-112,1514375,-112,1363725r,-1091072xe" fillcolor="#629dd1 [3205]" stroked="f" strokeweight=".68081mm">
                    <v:stroke joinstyle="miter"/>
                    <v:path arrowok="t" o:connecttype="custom" o:connectlocs="-123,317363;298652,-144;2044254,-144;2343028,317363;2343028,1587349;2044254,1904857;298652,1904857;-123,1587349" o:connectangles="0,0,0,0,0,0,0,0"/>
                  </v:shape>
                  <v:group id="Group 18" o:spid="_x0000_s1040" style="position:absolute;left:1333;top:-285;width:20765;height:16883" coordorigin=",-762" coordsize="20764,16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">
                    <v:shape id="Text Box 25" o:spid="_x0000_s1041" type="#_x0000_t202" style="position:absolute;left:1047;top:-762;width:19431;height:4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" filled="f" stroked="f">
                      <v:textbox style="mso-fit-shape-to-text:t">
                        <w:txbxContent>
                          <w:p w14:paraId="5C9EEB4C" w14:textId="77777777" w:rsidR="009A40EE" w:rsidRPr="00A94D57" w:rsidRDefault="009A40EE" w:rsidP="009A40EE">
                            <w:pPr>
                              <w:jc w:val="center"/>
                              <w:textAlignment w:val="baseline"/>
                              <w:rPr>
                                <w:rFonts w:cs="Arial"/>
                                <w:b/>
                                <w:bCs/>
                                <w:color w:val="FFFFFF" w:themeColor="background1"/>
                                <w:sz w:val="20"/>
                                <w:szCs w:val="20"/>
                              </w:rPr>
                            </w:pPr>
                            <w:r>
                              <w:rPr>
                                <w:rFonts w:cs="Arial"/>
                                <w:b/>
                                <w:bCs/>
                                <w:color w:val="FFFFFF" w:themeColor="background1"/>
                                <w:sz w:val="20"/>
                                <w:szCs w:val="20"/>
                              </w:rPr>
                              <w:t>DEPARTMENT PRIORITIES</w:t>
                            </w:r>
                          </w:p>
                        </w:txbxContent>
                      </v:textbox>
                    </v:shape>
                    <v:roundrect id="_x0000_s1042" style="position:absolute;top:2666;width:20574;height:466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" fillcolor="#f2f2f2 [3052]" stroked="f">
                      <v:stroke joinstyle="miter"/>
                      <v:textbox inset="1mm,1mm,0,0">
                        <w:txbxContent>
                          <w:p w14:paraId="57B5ADE8" w14:textId="5EF4D74A" w:rsidR="009A40EE" w:rsidRPr="00BC400D" w:rsidRDefault="009A40EE" w:rsidP="009A40EE">
                            <w:pPr>
                              <w:spacing w:after="80"/>
                              <w:rPr>
                                <w:color w:val="234F77" w:themeColor="accent2" w:themeShade="80"/>
                                <w:sz w:val="16"/>
                                <w:szCs w:val="16"/>
                              </w:rPr>
                            </w:pPr>
                            <w:r w:rsidRPr="00BC400D">
                              <w:rPr>
                                <w:b/>
                                <w:bCs/>
                                <w:color w:val="234F77" w:themeColor="accent2" w:themeShade="80"/>
                                <w:sz w:val="16"/>
                                <w:szCs w:val="16"/>
                              </w:rPr>
                              <w:t>Vision:</w:t>
                            </w:r>
                            <w:r w:rsidRPr="00BC400D">
                              <w:rPr>
                                <w:color w:val="234F77" w:themeColor="accent2" w:themeShade="80"/>
                                <w:sz w:val="16"/>
                                <w:szCs w:val="16"/>
                              </w:rPr>
                              <w:t xml:space="preserve"> Better health and wellbeing for all Australians, now and for future generations</w:t>
                            </w:r>
                          </w:p>
                        </w:txbxContent>
                      </v:textbox>
                    </v:roundrect>
                    <v:roundrect id="_x0000_s1043" style="position:absolute;left:190;top:8382;width:20574;height:288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" fillcolor="#f2f2f2 [3052]" stroked="f">
                      <v:stroke joinstyle="miter"/>
                      <v:textbox inset="1mm,1.5mm,1mm,0">
                        <w:txbxContent>
                          <w:p w14:paraId="6FDD7B50" w14:textId="77777777" w:rsidR="009A40EE" w:rsidRPr="00BC400D" w:rsidRDefault="009A40EE" w:rsidP="009F6848">
                            <w:pPr>
                              <w:spacing w:after="80"/>
                              <w:jc w:val="center"/>
                              <w:rPr>
                                <w:color w:val="234F77" w:themeColor="accent2" w:themeShade="80"/>
                                <w:sz w:val="16"/>
                                <w:szCs w:val="16"/>
                              </w:rPr>
                            </w:pPr>
                            <w:r w:rsidRPr="00BC400D">
                              <w:rPr>
                                <w:b/>
                                <w:bCs/>
                                <w:color w:val="234F77" w:themeColor="accent2" w:themeShade="80"/>
                                <w:sz w:val="16"/>
                                <w:szCs w:val="16"/>
                              </w:rPr>
                              <w:t>Outcome 3:</w:t>
                            </w:r>
                            <w:r w:rsidRPr="00BC400D">
                              <w:rPr>
                                <w:color w:val="234F77" w:themeColor="accent2" w:themeShade="80"/>
                                <w:sz w:val="16"/>
                                <w:szCs w:val="16"/>
                              </w:rPr>
                              <w:t xml:space="preserve"> Ageing and Aged Care</w:t>
                            </w:r>
                          </w:p>
                        </w:txbxContent>
                      </v:textbox>
                    </v:roundrect>
                    <v:roundrect id="_x0000_s1044" style="position:absolute;left:190;top:13144;width:20574;height:297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" fillcolor="#f2f2f2 [3052]" stroked="f">
                      <v:stroke joinstyle="miter"/>
                      <v:textbox inset="1mm,1.5mm,1mm,0">
                        <w:txbxContent>
                          <w:p w14:paraId="1ED0AAB2" w14:textId="77777777" w:rsidR="009A40EE" w:rsidRPr="00BC400D" w:rsidRDefault="009A40EE" w:rsidP="009A40EE">
                            <w:pPr>
                              <w:spacing w:after="80"/>
                              <w:jc w:val="center"/>
                              <w:rPr>
                                <w:color w:val="234F77" w:themeColor="accent2" w:themeShade="80"/>
                                <w:sz w:val="16"/>
                                <w:szCs w:val="16"/>
                              </w:rPr>
                            </w:pPr>
                            <w:r w:rsidRPr="00BC400D">
                              <w:rPr>
                                <w:b/>
                                <w:bCs/>
                                <w:color w:val="234F77" w:themeColor="accent2" w:themeShade="80"/>
                                <w:sz w:val="16"/>
                                <w:szCs w:val="16"/>
                              </w:rPr>
                              <w:t>Program 3.2</w:t>
                            </w:r>
                            <w:r w:rsidRPr="00BC400D">
                              <w:rPr>
                                <w:color w:val="234F77" w:themeColor="accent2" w:themeShade="80"/>
                                <w:sz w:val="16"/>
                                <w:szCs w:val="16"/>
                              </w:rPr>
                              <w:t xml:space="preserve"> Aged Care Services</w:t>
                            </w:r>
                          </w:p>
                        </w:txbxContent>
                      </v:textbox>
                    </v:roundrect>
                  </v:group>
                </v:group>
                <w10:anchorlock/>
              </v:group>
            </w:pict>
          </mc:Fallback>
        </mc:AlternateContent>
      </w:r>
    </w:p>
    <w:p w14:paraId="08348356" w14:textId="127A5496" w:rsidR="00135FF1" w:rsidRPr="005A49D1" w:rsidRDefault="005A49D1" w:rsidP="005A49D1">
      <w:pPr>
        <w:pStyle w:val="Caption"/>
      </w:pPr>
      <w:r>
        <w:t xml:space="preserve">Figure </w:t>
      </w:r>
      <w:r>
        <w:fldChar w:fldCharType="begin"/>
      </w:r>
      <w:r>
        <w:instrText xml:space="preserve"> SEQ Figure \* ARABIC </w:instrText>
      </w:r>
      <w:r>
        <w:fldChar w:fldCharType="separate"/>
      </w:r>
      <w:r w:rsidR="00A279BA">
        <w:rPr>
          <w:noProof/>
        </w:rPr>
        <w:t>3</w:t>
      </w:r>
      <w:r>
        <w:fldChar w:fldCharType="end"/>
      </w:r>
      <w:r w:rsidR="0015153F" w:rsidRPr="005A49D1">
        <w:t xml:space="preserve">: Assurance </w:t>
      </w:r>
      <w:r w:rsidR="005644C0" w:rsidRPr="005A49D1">
        <w:t>f</w:t>
      </w:r>
      <w:r w:rsidR="0015153F" w:rsidRPr="005A49D1">
        <w:t>ramework context</w:t>
      </w:r>
      <w:bookmarkStart w:id="33" w:name="_Toc210388290"/>
      <w:r w:rsidR="00135FF1" w:rsidRPr="005A49D1">
        <w:rPr>
          <w:rFonts w:eastAsia="Arial"/>
        </w:rPr>
        <w:br w:type="page"/>
      </w:r>
    </w:p>
    <w:p w14:paraId="4E0C609F" w14:textId="3A451B49" w:rsidR="008D2E30" w:rsidRPr="00A31672" w:rsidRDefault="008D2E30" w:rsidP="00A31672">
      <w:pPr>
        <w:pStyle w:val="Heading3"/>
        <w:rPr>
          <w:rFonts w:eastAsia="Arial"/>
        </w:rPr>
      </w:pPr>
      <w:bookmarkStart w:id="34" w:name="_Toc223509380"/>
      <w:r w:rsidRPr="00A31672">
        <w:rPr>
          <w:rFonts w:eastAsia="Arial"/>
        </w:rPr>
        <w:t>System Governor aged care compliance framework</w:t>
      </w:r>
      <w:bookmarkEnd w:id="33"/>
      <w:bookmarkEnd w:id="34"/>
    </w:p>
    <w:p w14:paraId="4BE399D0" w14:textId="29989260" w:rsidR="008D2E30" w:rsidRDefault="008D2E30" w:rsidP="008D2E30">
      <w:pPr>
        <w:spacing w:after="240"/>
        <w:rPr>
          <w:iCs/>
        </w:rPr>
      </w:pPr>
      <w:r w:rsidRPr="00AC5F9C">
        <w:rPr>
          <w:iCs/>
        </w:rPr>
        <w:t>There is</w:t>
      </w:r>
      <w:r w:rsidRPr="00AC5F9C" w:rsidDel="000004B3">
        <w:rPr>
          <w:iCs/>
        </w:rPr>
        <w:t xml:space="preserve"> </w:t>
      </w:r>
      <w:r w:rsidRPr="00AC5F9C">
        <w:rPr>
          <w:iCs/>
        </w:rPr>
        <w:t xml:space="preserve">strong alignment and interaction between this assurance framework and the compliance framework. Support at Home </w:t>
      </w:r>
      <w:r w:rsidR="00A91922">
        <w:rPr>
          <w:iCs/>
        </w:rPr>
        <w:t xml:space="preserve">program assurance </w:t>
      </w:r>
      <w:r w:rsidRPr="00AC5F9C">
        <w:rPr>
          <w:iCs/>
        </w:rPr>
        <w:t>is driven by continuous improvement in line with the graduated compliance approach outlined in the compliance framework</w:t>
      </w:r>
      <w:r w:rsidR="00CF6D06">
        <w:rPr>
          <w:iCs/>
        </w:rPr>
        <w:t>. This is</w:t>
      </w:r>
      <w:r w:rsidRPr="00AC5F9C">
        <w:rPr>
          <w:iCs/>
        </w:rPr>
        <w:t xml:space="preserve"> summarised in Figure 4.</w:t>
      </w:r>
    </w:p>
    <w:p w14:paraId="1FC460A9" w14:textId="7A06BA0C" w:rsidR="008D2E30" w:rsidRPr="00D57188" w:rsidRDefault="00FA18F5" w:rsidP="005A49D1">
      <w:pPr>
        <w:pStyle w:val="Caption"/>
        <w:rPr>
          <w:b w:val="0"/>
          <w:bCs w:val="0"/>
          <w:sz w:val="24"/>
          <w:szCs w:val="24"/>
        </w:rPr>
      </w:pPr>
      <w:r>
        <w:rPr>
          <w:noProof/>
          <w:sz w:val="24"/>
          <w:szCs w:val="24"/>
        </w:rPr>
        <w:drawing>
          <wp:inline distT="0" distB="0" distL="0" distR="0" wp14:anchorId="263BDA7E" wp14:editId="2F4ED1E8">
            <wp:extent cx="5759450" cy="2934586"/>
            <wp:effectExtent l="0" t="0" r="0" b="0"/>
            <wp:docPr id="72827680" name="Picture 2" descr="A diagram showing the compliance model. Compliance activities are prevent, detect, respond, proportionate response, continuous improvement. Proportionate response has 4 levels: 1 - educate, 2 - assist, 3 - detect and correct, 4 - prosecu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27680" name="Picture 2" descr="A diagram showing the compliance model. Compliance activities are prevent, detect, respond, proportionate response, continuous improvement. Proportionate response has 4 levels: 1 - educate, 2 - assist, 3 - detect and correct, 4 - prosecute. "/>
                    <pic:cNvPicPr/>
                  </pic:nvPicPr>
                  <pic:blipFill rotWithShape="1">
                    <a:blip r:embed="rId41">
                      <a:extLst>
                        <a:ext uri="{28A0092B-C50C-407E-A947-70E740481C1C}">
                          <a14:useLocalDpi xmlns:a14="http://schemas.microsoft.com/office/drawing/2010/main" val="0"/>
                        </a:ext>
                      </a:extLst>
                    </a:blip>
                    <a:srcRect b="9420"/>
                    <a:stretch>
                      <a:fillRect/>
                    </a:stretch>
                  </pic:blipFill>
                  <pic:spPr bwMode="auto">
                    <a:xfrm>
                      <a:off x="0" y="0"/>
                      <a:ext cx="5759450" cy="2934586"/>
                    </a:xfrm>
                    <a:prstGeom prst="rect">
                      <a:avLst/>
                    </a:prstGeom>
                    <a:ln>
                      <a:noFill/>
                    </a:ln>
                    <a:extLst>
                      <a:ext uri="{53640926-AAD7-44D8-BBD7-CCE9431645EC}">
                        <a14:shadowObscured xmlns:a14="http://schemas.microsoft.com/office/drawing/2010/main"/>
                      </a:ext>
                    </a:extLst>
                  </pic:spPr>
                </pic:pic>
              </a:graphicData>
            </a:graphic>
          </wp:inline>
        </w:drawing>
      </w:r>
      <w:r w:rsidR="005A49D1">
        <w:t xml:space="preserve">Figure </w:t>
      </w:r>
      <w:r w:rsidR="005A49D1">
        <w:fldChar w:fldCharType="begin"/>
      </w:r>
      <w:r w:rsidR="005A49D1">
        <w:instrText xml:space="preserve"> SEQ Figure \* ARABIC </w:instrText>
      </w:r>
      <w:r w:rsidR="005A49D1">
        <w:fldChar w:fldCharType="separate"/>
      </w:r>
      <w:r w:rsidR="00A279BA">
        <w:rPr>
          <w:noProof/>
        </w:rPr>
        <w:t>4</w:t>
      </w:r>
      <w:r w:rsidR="005A49D1">
        <w:fldChar w:fldCharType="end"/>
      </w:r>
      <w:r w:rsidR="008D2E30" w:rsidRPr="005A49D1">
        <w:t>: Aged care compliance model from the System Governor aged care compliance framework</w:t>
      </w:r>
      <w:r w:rsidR="00EB4F61" w:rsidRPr="005A49D1">
        <w:t xml:space="preserve"> (see </w:t>
      </w:r>
      <w:r w:rsidR="00D74020" w:rsidRPr="005A49D1">
        <w:t>Appendix</w:t>
      </w:r>
      <w:r w:rsidR="0023392D" w:rsidRPr="005A49D1">
        <w:t xml:space="preserve"> </w:t>
      </w:r>
      <w:r w:rsidR="00722582" w:rsidRPr="005A49D1">
        <w:t>A</w:t>
      </w:r>
      <w:r w:rsidR="0023392D" w:rsidRPr="005A49D1">
        <w:t xml:space="preserve"> for </w:t>
      </w:r>
      <w:r w:rsidR="002C7E43" w:rsidRPr="005A49D1">
        <w:t>a</w:t>
      </w:r>
      <w:r w:rsidR="00592959" w:rsidRPr="005A49D1">
        <w:t xml:space="preserve"> </w:t>
      </w:r>
      <w:r w:rsidR="00D57188" w:rsidRPr="005A49D1">
        <w:t>larger scale version of this diagram).</w:t>
      </w:r>
    </w:p>
    <w:p w14:paraId="749A787E" w14:textId="5ED0B20F" w:rsidR="00D55267" w:rsidRDefault="008D2E30" w:rsidP="00567695">
      <w:pPr>
        <w:spacing w:after="240"/>
        <w:rPr>
          <w:iCs/>
        </w:rPr>
      </w:pPr>
      <w:r w:rsidRPr="00567695">
        <w:rPr>
          <w:iCs/>
        </w:rPr>
        <w:t>The System Governor’s compliance functions are articulated in the compliance framework. The compliance framework outlines prevention, detection and response strategies to address situations where</w:t>
      </w:r>
      <w:r w:rsidR="00BA23D1">
        <w:rPr>
          <w:iCs/>
        </w:rPr>
        <w:t xml:space="preserve"> a provider</w:t>
      </w:r>
      <w:r w:rsidR="004A0354">
        <w:rPr>
          <w:iCs/>
        </w:rPr>
        <w:t>:</w:t>
      </w:r>
    </w:p>
    <w:p w14:paraId="06235A25" w14:textId="63085337" w:rsidR="00D55267" w:rsidRDefault="008D2E30" w:rsidP="00494017">
      <w:pPr>
        <w:pStyle w:val="ListBullet2"/>
      </w:pPr>
      <w:r w:rsidRPr="00D55267">
        <w:t>has failed (or potentially failed) to comply</w:t>
      </w:r>
    </w:p>
    <w:p w14:paraId="607EF92C" w14:textId="323980A0" w:rsidR="004A6951" w:rsidRDefault="008D2E30" w:rsidP="00494017">
      <w:pPr>
        <w:pStyle w:val="ListBullet2"/>
      </w:pPr>
      <w:r w:rsidRPr="00D55267">
        <w:t>is unwilling to meet its obligations.</w:t>
      </w:r>
    </w:p>
    <w:p w14:paraId="3292BE8D" w14:textId="66E4B1E6" w:rsidR="00135FF1" w:rsidRPr="00A602D4" w:rsidRDefault="008D2E30" w:rsidP="00A602D4">
      <w:pPr>
        <w:rPr>
          <w:iCs/>
        </w:rPr>
      </w:pPr>
      <w:r w:rsidRPr="004A6951">
        <w:rPr>
          <w:iCs/>
        </w:rPr>
        <w:t>The intent of the graduated compliance model is to support voluntary compliance and continuous improvement where possible. Assurance activities covered by this assurance framework sit under level 2</w:t>
      </w:r>
      <w:r w:rsidR="005644C0" w:rsidRPr="004A6951">
        <w:rPr>
          <w:iCs/>
        </w:rPr>
        <w:t>-</w:t>
      </w:r>
      <w:r w:rsidRPr="004A6951">
        <w:rPr>
          <w:iCs/>
        </w:rPr>
        <w:t xml:space="preserve"> </w:t>
      </w:r>
      <w:r w:rsidR="009E0EC4" w:rsidRPr="004A6951">
        <w:rPr>
          <w:iCs/>
        </w:rPr>
        <w:t xml:space="preserve">Assist, </w:t>
      </w:r>
      <w:r w:rsidRPr="004A6951">
        <w:rPr>
          <w:iCs/>
        </w:rPr>
        <w:t>in the compliance model.</w:t>
      </w:r>
      <w:bookmarkStart w:id="35" w:name="_Toc210125805"/>
      <w:bookmarkStart w:id="36" w:name="_Toc210388291"/>
      <w:r w:rsidR="00135FF1">
        <w:br w:type="page"/>
      </w:r>
    </w:p>
    <w:p w14:paraId="2CCBBE54" w14:textId="619F2D1E" w:rsidR="008D2E30" w:rsidRPr="00716D4C" w:rsidRDefault="008D2E30" w:rsidP="008D2E30">
      <w:pPr>
        <w:pStyle w:val="Heading2"/>
        <w:rPr>
          <w:rFonts w:eastAsia="Arial"/>
        </w:rPr>
      </w:pPr>
      <w:bookmarkStart w:id="37" w:name="_Toc223509381"/>
      <w:r>
        <w:t>Assurance framework overview</w:t>
      </w:r>
      <w:bookmarkEnd w:id="35"/>
      <w:bookmarkEnd w:id="36"/>
      <w:bookmarkEnd w:id="37"/>
    </w:p>
    <w:p w14:paraId="1F515577" w14:textId="3400D2A9" w:rsidR="008D2E30" w:rsidRPr="00567695" w:rsidRDefault="00486276" w:rsidP="008D2E30">
      <w:pPr>
        <w:rPr>
          <w:iCs/>
        </w:rPr>
      </w:pPr>
      <w:r w:rsidRPr="00567695">
        <w:rPr>
          <w:iCs/>
        </w:rPr>
        <w:t xml:space="preserve">The purpose of this assurance framework is to outline </w:t>
      </w:r>
      <w:r w:rsidR="00DF18DB">
        <w:rPr>
          <w:iCs/>
        </w:rPr>
        <w:t>a</w:t>
      </w:r>
      <w:r w:rsidRPr="00567695">
        <w:rPr>
          <w:iCs/>
        </w:rPr>
        <w:t xml:space="preserve"> risk-based assurance approach to provide confidence in the integrity of Support at Home</w:t>
      </w:r>
      <w:r w:rsidR="0069561E">
        <w:rPr>
          <w:iCs/>
        </w:rPr>
        <w:t>.</w:t>
      </w:r>
      <w:r w:rsidRPr="00567695">
        <w:rPr>
          <w:iCs/>
        </w:rPr>
        <w:t xml:space="preserve"> </w:t>
      </w:r>
      <w:r w:rsidR="008D2E30" w:rsidRPr="00567695">
        <w:rPr>
          <w:iCs/>
        </w:rPr>
        <w:t>This assurance framework and related activities will ultimately support informed choice and value for money</w:t>
      </w:r>
      <w:r w:rsidR="006C14D9">
        <w:rPr>
          <w:rStyle w:val="FootnoteReference"/>
          <w:iCs/>
        </w:rPr>
        <w:footnoteReference w:id="10"/>
      </w:r>
      <w:r w:rsidR="008D2E30" w:rsidRPr="00567695">
        <w:rPr>
          <w:iCs/>
        </w:rPr>
        <w:t xml:space="preserve"> for </w:t>
      </w:r>
      <w:r w:rsidR="00EA77DC">
        <w:rPr>
          <w:iCs/>
        </w:rPr>
        <w:t>participant</w:t>
      </w:r>
      <w:r w:rsidR="008D2E30" w:rsidRPr="00567695">
        <w:rPr>
          <w:iCs/>
        </w:rPr>
        <w:t>s in the Support at Home program</w:t>
      </w:r>
      <w:r w:rsidR="00280472">
        <w:rPr>
          <w:iCs/>
        </w:rPr>
        <w:t>. It will also</w:t>
      </w:r>
      <w:r w:rsidR="008D2E30" w:rsidRPr="00567695">
        <w:rPr>
          <w:iCs/>
        </w:rPr>
        <w:t xml:space="preserve"> protect the public’s investment in the program and support the System Governor to fulfil </w:t>
      </w:r>
      <w:r w:rsidR="006A0810">
        <w:rPr>
          <w:iCs/>
        </w:rPr>
        <w:t>its</w:t>
      </w:r>
      <w:r w:rsidR="006A0810" w:rsidRPr="00567695">
        <w:rPr>
          <w:iCs/>
        </w:rPr>
        <w:t xml:space="preserve"> </w:t>
      </w:r>
      <w:r w:rsidR="008D2E30" w:rsidRPr="00567695">
        <w:rPr>
          <w:iCs/>
        </w:rPr>
        <w:t>obligations under the Act.</w:t>
      </w:r>
    </w:p>
    <w:p w14:paraId="0B511353" w14:textId="1E9E77AF" w:rsidR="008D2E30" w:rsidRPr="00567695" w:rsidRDefault="008D2E30" w:rsidP="008D2E30">
      <w:pPr>
        <w:pStyle w:val="Paragraphtext"/>
        <w:rPr>
          <w:iCs/>
          <w:sz w:val="24"/>
        </w:rPr>
      </w:pPr>
      <w:r w:rsidRPr="00567695">
        <w:rPr>
          <w:iCs/>
          <w:sz w:val="24"/>
        </w:rPr>
        <w:t>This document outlines the department’s approach to conducting S</w:t>
      </w:r>
      <w:r w:rsidR="005644C0">
        <w:rPr>
          <w:iCs/>
          <w:sz w:val="24"/>
        </w:rPr>
        <w:t xml:space="preserve">upport </w:t>
      </w:r>
      <w:r w:rsidRPr="00567695">
        <w:rPr>
          <w:iCs/>
          <w:sz w:val="24"/>
        </w:rPr>
        <w:t>a</w:t>
      </w:r>
      <w:r w:rsidR="005644C0">
        <w:rPr>
          <w:iCs/>
          <w:sz w:val="24"/>
        </w:rPr>
        <w:t xml:space="preserve">t </w:t>
      </w:r>
      <w:r w:rsidRPr="00567695">
        <w:rPr>
          <w:iCs/>
          <w:sz w:val="24"/>
        </w:rPr>
        <w:t>H</w:t>
      </w:r>
      <w:r w:rsidR="005644C0">
        <w:rPr>
          <w:iCs/>
          <w:sz w:val="24"/>
        </w:rPr>
        <w:t>ome</w:t>
      </w:r>
      <w:r w:rsidRPr="00567695">
        <w:rPr>
          <w:iCs/>
          <w:sz w:val="24"/>
        </w:rPr>
        <w:t xml:space="preserve"> program assurance </w:t>
      </w:r>
      <w:r w:rsidR="00080411" w:rsidRPr="00567695">
        <w:rPr>
          <w:iCs/>
          <w:sz w:val="24"/>
        </w:rPr>
        <w:t>activi</w:t>
      </w:r>
      <w:r w:rsidR="00080411">
        <w:rPr>
          <w:iCs/>
          <w:sz w:val="24"/>
        </w:rPr>
        <w:t>ties.</w:t>
      </w:r>
      <w:r w:rsidRPr="00567695">
        <w:rPr>
          <w:iCs/>
          <w:sz w:val="24"/>
        </w:rPr>
        <w:t xml:space="preserve"> It specifies the purpose, benefits, roles and responsibilities</w:t>
      </w:r>
      <w:r w:rsidR="006D5B90">
        <w:rPr>
          <w:iCs/>
          <w:sz w:val="24"/>
        </w:rPr>
        <w:t>.</w:t>
      </w:r>
    </w:p>
    <w:p w14:paraId="405F1A5D" w14:textId="77777777" w:rsidR="008D2E30" w:rsidRPr="00494017" w:rsidRDefault="008D2E30" w:rsidP="00494017">
      <w:pPr>
        <w:pStyle w:val="Heading3"/>
      </w:pPr>
      <w:bookmarkStart w:id="38" w:name="_Toc210388292"/>
      <w:bookmarkStart w:id="39" w:name="_Toc223509382"/>
      <w:r w:rsidRPr="00494017">
        <w:t>A focus on payment integrity</w:t>
      </w:r>
      <w:bookmarkEnd w:id="38"/>
      <w:bookmarkEnd w:id="39"/>
    </w:p>
    <w:p w14:paraId="1B833901" w14:textId="4DF5F63E" w:rsidR="008D2E30" w:rsidRPr="00567695" w:rsidRDefault="009E0EC4" w:rsidP="00567695">
      <w:pPr>
        <w:rPr>
          <w:iCs/>
        </w:rPr>
      </w:pPr>
      <w:r>
        <w:rPr>
          <w:iCs/>
        </w:rPr>
        <w:t>This assurance framework</w:t>
      </w:r>
      <w:r w:rsidR="008D2E30" w:rsidRPr="00567695">
        <w:rPr>
          <w:iCs/>
        </w:rPr>
        <w:t xml:space="preserve"> has a particular focus on provider payment integrity to minimise </w:t>
      </w:r>
      <w:r w:rsidRPr="0013275D">
        <w:rPr>
          <w:iCs/>
        </w:rPr>
        <w:t xml:space="preserve">payment </w:t>
      </w:r>
      <w:r w:rsidR="008D2E30" w:rsidRPr="0013275D">
        <w:rPr>
          <w:iCs/>
        </w:rPr>
        <w:t>misuse, fraud and error.</w:t>
      </w:r>
      <w:r w:rsidR="00714574" w:rsidRPr="0013275D">
        <w:rPr>
          <w:i/>
          <w:iCs/>
        </w:rPr>
        <w:t xml:space="preserve"> </w:t>
      </w:r>
      <w:r w:rsidR="00FF74A5" w:rsidRPr="0013275D">
        <w:rPr>
          <w:iCs/>
        </w:rPr>
        <w:t>P</w:t>
      </w:r>
      <w:r w:rsidR="008D2E30" w:rsidRPr="0013275D">
        <w:rPr>
          <w:iCs/>
        </w:rPr>
        <w:t>ayment integrity refers to the management, administration, accounting, and reporting of aged care funding, in line with applicable legislation, funding or other program requirements</w:t>
      </w:r>
      <w:r w:rsidR="0013275D" w:rsidRPr="0013275D">
        <w:rPr>
          <w:rStyle w:val="FootnoteReference"/>
          <w:iCs/>
        </w:rPr>
        <w:footnoteReference w:id="11"/>
      </w:r>
      <w:r w:rsidR="008D2E30" w:rsidRPr="0013275D">
        <w:rPr>
          <w:iCs/>
        </w:rPr>
        <w:t xml:space="preserve">. </w:t>
      </w:r>
      <w:r w:rsidR="008D2E30" w:rsidRPr="00567695">
        <w:rPr>
          <w:iCs/>
        </w:rPr>
        <w:t>This includes any self-reporting from providers that ultimately impacts their Support at Home funding.</w:t>
      </w:r>
    </w:p>
    <w:p w14:paraId="142E9F54" w14:textId="406249B1" w:rsidR="008D2E30" w:rsidRPr="00567695" w:rsidRDefault="008D2E30" w:rsidP="00567695">
      <w:pPr>
        <w:rPr>
          <w:iCs/>
        </w:rPr>
      </w:pPr>
      <w:r w:rsidRPr="00567695">
        <w:rPr>
          <w:iCs/>
        </w:rPr>
        <w:t>Under the Act, assurance activities may focus on any aspect of the System Governor’s functions, including but not limited to how providers:</w:t>
      </w:r>
    </w:p>
    <w:p w14:paraId="5BA30353" w14:textId="30DF5E2F" w:rsidR="008D2E30" w:rsidRPr="00567695" w:rsidRDefault="008D2E30" w:rsidP="00494017">
      <w:pPr>
        <w:pStyle w:val="ListBullet2"/>
      </w:pPr>
      <w:r w:rsidRPr="00567695">
        <w:t>use subsidy or grants and charge for services, including justification for costs charged</w:t>
      </w:r>
    </w:p>
    <w:p w14:paraId="17C36EA2" w14:textId="77777777" w:rsidR="008D2E30" w:rsidRPr="00567695" w:rsidRDefault="008D2E30" w:rsidP="00494017">
      <w:pPr>
        <w:pStyle w:val="ListBullet2"/>
      </w:pPr>
      <w:r w:rsidRPr="00567695">
        <w:t>structure their financial accounting for delivery of services</w:t>
      </w:r>
    </w:p>
    <w:p w14:paraId="3F77EA69" w14:textId="77777777" w:rsidR="008D2E30" w:rsidRPr="00567695" w:rsidRDefault="008D2E30" w:rsidP="00494017">
      <w:pPr>
        <w:pStyle w:val="ListBullet2"/>
      </w:pPr>
      <w:r w:rsidRPr="00567695">
        <w:t>deliver funded aged care services</w:t>
      </w:r>
    </w:p>
    <w:p w14:paraId="76688267" w14:textId="6C09D938" w:rsidR="008D2E30" w:rsidRPr="00567695" w:rsidRDefault="008D2E30" w:rsidP="00494017">
      <w:pPr>
        <w:pStyle w:val="ListBullet2"/>
      </w:pPr>
      <w:r w:rsidRPr="00567695">
        <w:t xml:space="preserve">work with the </w:t>
      </w:r>
      <w:r w:rsidR="00853D4B">
        <w:t>participant</w:t>
      </w:r>
      <w:r w:rsidR="00853D4B" w:rsidRPr="00567695">
        <w:t xml:space="preserve">s </w:t>
      </w:r>
      <w:r w:rsidRPr="00567695">
        <w:t>to whom they deliver funded aged care services</w:t>
      </w:r>
    </w:p>
    <w:p w14:paraId="225F9577" w14:textId="77777777" w:rsidR="008D2E30" w:rsidRPr="00567695" w:rsidRDefault="008D2E30" w:rsidP="00494017">
      <w:pPr>
        <w:pStyle w:val="ListBullet2"/>
      </w:pPr>
      <w:r w:rsidRPr="00567695">
        <w:t>keep records and information</w:t>
      </w:r>
    </w:p>
    <w:p w14:paraId="47F5CD5F" w14:textId="77777777" w:rsidR="008D2E30" w:rsidRPr="00567695" w:rsidRDefault="008D2E30" w:rsidP="00494017">
      <w:pPr>
        <w:pStyle w:val="ListBullet2"/>
      </w:pPr>
      <w:r w:rsidRPr="00567695">
        <w:t>apply and document procedures.</w:t>
      </w:r>
    </w:p>
    <w:p w14:paraId="3BD498DE" w14:textId="77777777" w:rsidR="008D2E30" w:rsidRPr="00567695" w:rsidRDefault="008D2E30" w:rsidP="00567695">
      <w:pPr>
        <w:rPr>
          <w:iCs/>
        </w:rPr>
      </w:pPr>
      <w:r w:rsidRPr="00567695">
        <w:rPr>
          <w:iCs/>
        </w:rPr>
        <w:t>It should also be noted that assurance measures related to aged care needs assessments are conducted separately under its own assurance framework.</w:t>
      </w:r>
    </w:p>
    <w:p w14:paraId="65F950F1" w14:textId="77777777" w:rsidR="008D2E30" w:rsidRPr="00494017" w:rsidRDefault="008D2E30" w:rsidP="00494017">
      <w:pPr>
        <w:pStyle w:val="Heading3"/>
      </w:pPr>
      <w:bookmarkStart w:id="40" w:name="_Toc210388293"/>
      <w:bookmarkStart w:id="41" w:name="_Toc223509383"/>
      <w:r w:rsidRPr="00494017">
        <w:t>Managing fraud</w:t>
      </w:r>
      <w:bookmarkEnd w:id="40"/>
      <w:bookmarkEnd w:id="41"/>
    </w:p>
    <w:p w14:paraId="28A314A7" w14:textId="15B1F255" w:rsidR="008D2E30" w:rsidRPr="00567695" w:rsidRDefault="008D2E30" w:rsidP="00567695">
      <w:pPr>
        <w:rPr>
          <w:iCs/>
        </w:rPr>
      </w:pPr>
      <w:r w:rsidRPr="00567695">
        <w:rPr>
          <w:iCs/>
        </w:rPr>
        <w:t>A key risk to payment integrity is fraud</w:t>
      </w:r>
      <w:r w:rsidR="002510C0">
        <w:rPr>
          <w:iCs/>
        </w:rPr>
        <w:t>.</w:t>
      </w:r>
      <w:r w:rsidRPr="00567695">
        <w:rPr>
          <w:iCs/>
        </w:rPr>
        <w:t xml:space="preserve"> The Support at Home assurance program will work closely with the Fraud and Integrity Branch to prevent and detect potential instances of fraud. Program assurance will include ‘follow the money’ activities to confirm there is evidence that goods or services are delivered to </w:t>
      </w:r>
      <w:r w:rsidR="00EA77DC">
        <w:rPr>
          <w:iCs/>
        </w:rPr>
        <w:t>participant</w:t>
      </w:r>
      <w:r w:rsidRPr="00567695">
        <w:rPr>
          <w:iCs/>
        </w:rPr>
        <w:t>s</w:t>
      </w:r>
      <w:r w:rsidR="008A00AF">
        <w:rPr>
          <w:iCs/>
        </w:rPr>
        <w:t xml:space="preserve">. Program assurance </w:t>
      </w:r>
      <w:r w:rsidR="007414E8">
        <w:rPr>
          <w:iCs/>
        </w:rPr>
        <w:t>will also</w:t>
      </w:r>
      <w:r w:rsidRPr="00567695">
        <w:rPr>
          <w:iCs/>
        </w:rPr>
        <w:t xml:space="preserve"> look to assure </w:t>
      </w:r>
      <w:r w:rsidR="00612832">
        <w:rPr>
          <w:iCs/>
        </w:rPr>
        <w:t xml:space="preserve">that </w:t>
      </w:r>
      <w:r w:rsidRPr="00567695">
        <w:rPr>
          <w:iCs/>
        </w:rPr>
        <w:t>funds are being used for intended purposes.</w:t>
      </w:r>
    </w:p>
    <w:p w14:paraId="135C221D" w14:textId="77777777" w:rsidR="008D2E30" w:rsidRPr="00567695" w:rsidRDefault="008D2E30" w:rsidP="00567695">
      <w:pPr>
        <w:rPr>
          <w:iCs/>
        </w:rPr>
      </w:pPr>
      <w:r w:rsidRPr="00567695">
        <w:rPr>
          <w:iCs/>
        </w:rPr>
        <w:t>The department’s fraud detection capabilities in aged care programs include strategic data and intelligence sharing initiatives, including collaboration with key government agencies. The department is also a member and plays an active role in the Fraud Fusion Taskforce.</w:t>
      </w:r>
    </w:p>
    <w:p w14:paraId="50956509" w14:textId="54F1DB5F" w:rsidR="008D2E30" w:rsidRPr="00567695" w:rsidRDefault="008D2E30" w:rsidP="00567695">
      <w:pPr>
        <w:rPr>
          <w:iCs/>
        </w:rPr>
      </w:pPr>
      <w:r w:rsidRPr="00567695">
        <w:rPr>
          <w:iCs/>
        </w:rPr>
        <w:t>The department takes its obligations in relation to fraud and corruption allegations seriously</w:t>
      </w:r>
      <w:r w:rsidR="00447FAC">
        <w:rPr>
          <w:iCs/>
        </w:rPr>
        <w:t>.</w:t>
      </w:r>
      <w:r w:rsidRPr="00567695">
        <w:rPr>
          <w:iCs/>
        </w:rPr>
        <w:t xml:space="preserve"> </w:t>
      </w:r>
      <w:r w:rsidR="00447FAC">
        <w:rPr>
          <w:iCs/>
        </w:rPr>
        <w:t>P</w:t>
      </w:r>
      <w:r w:rsidRPr="00567695">
        <w:rPr>
          <w:iCs/>
        </w:rPr>
        <w:t>rocesses</w:t>
      </w:r>
      <w:r w:rsidR="00447FAC">
        <w:rPr>
          <w:iCs/>
        </w:rPr>
        <w:t xml:space="preserve"> are</w:t>
      </w:r>
      <w:r w:rsidRPr="00567695">
        <w:rPr>
          <w:iCs/>
        </w:rPr>
        <w:t xml:space="preserve"> in place to ensure all allegations of fraud and corruption are appropriately managed and investigated. The department manages allegations of fraud in aged care in accordance with the </w:t>
      </w:r>
      <w:r w:rsidR="00F338DE">
        <w:rPr>
          <w:iCs/>
        </w:rPr>
        <w:t>fraud and corruption control framework</w:t>
      </w:r>
      <w:r w:rsidRPr="00567695">
        <w:rPr>
          <w:iCs/>
        </w:rPr>
        <w:t>.</w:t>
      </w:r>
      <w:r w:rsidR="00D41775">
        <w:rPr>
          <w:iCs/>
        </w:rPr>
        <w:t xml:space="preserve"> </w:t>
      </w:r>
      <w:r w:rsidRPr="00567695">
        <w:rPr>
          <w:iCs/>
        </w:rPr>
        <w:t>Anyone wishing to report concerns relating to an aged care provider, can do so anonymously, by submitting information through the department’s fraud reporting channels:</w:t>
      </w:r>
    </w:p>
    <w:p w14:paraId="0E51F472" w14:textId="77777777" w:rsidR="008D2E30" w:rsidRPr="0011477F" w:rsidRDefault="008D2E30" w:rsidP="008D2E30">
      <w:pPr>
        <w:shd w:val="clear" w:color="auto" w:fill="FFFFFF"/>
        <w:ind w:left="426"/>
        <w:rPr>
          <w:rFonts w:cs="Arial"/>
          <w:color w:val="313131"/>
          <w:sz w:val="21"/>
          <w:szCs w:val="21"/>
        </w:rPr>
      </w:pPr>
      <w:r w:rsidRPr="008B5745">
        <w:rPr>
          <w:b/>
          <w:bCs/>
          <w:iCs/>
        </w:rPr>
        <w:t xml:space="preserve">Telephone: </w:t>
      </w:r>
      <w:hyperlink r:id="rId42" w:history="1">
        <w:r w:rsidRPr="00C01712">
          <w:rPr>
            <w:rStyle w:val="Hyperlink"/>
          </w:rPr>
          <w:t>1800 829 403</w:t>
        </w:r>
      </w:hyperlink>
      <w:r w:rsidRPr="0011477F">
        <w:rPr>
          <w:rFonts w:cs="Arial"/>
          <w:sz w:val="21"/>
          <w:szCs w:val="21"/>
        </w:rPr>
        <w:t xml:space="preserve"> </w:t>
      </w:r>
      <w:r w:rsidRPr="008B5745">
        <w:rPr>
          <w:iCs/>
        </w:rPr>
        <w:t>(this hotline is open 9am to 5pm Australian Eastern Standard Time, Monday to Friday)</w:t>
      </w:r>
    </w:p>
    <w:p w14:paraId="791B7BA6" w14:textId="77777777" w:rsidR="008D2E30" w:rsidRPr="0011477F" w:rsidRDefault="008D2E30" w:rsidP="008D2E30">
      <w:pPr>
        <w:shd w:val="clear" w:color="auto" w:fill="FFFFFF"/>
        <w:ind w:left="426"/>
        <w:rPr>
          <w:rFonts w:cs="Arial"/>
          <w:color w:val="313131"/>
          <w:sz w:val="21"/>
          <w:szCs w:val="21"/>
        </w:rPr>
      </w:pPr>
      <w:r w:rsidRPr="009C33BC">
        <w:rPr>
          <w:b/>
          <w:bCs/>
          <w:iCs/>
        </w:rPr>
        <w:t xml:space="preserve">Email: </w:t>
      </w:r>
      <w:hyperlink r:id="rId43" w:history="1">
        <w:r w:rsidRPr="009C33BC">
          <w:rPr>
            <w:rStyle w:val="Hyperlink"/>
          </w:rPr>
          <w:t>reportfraudorcorruption@health.gov.au</w:t>
        </w:r>
      </w:hyperlink>
    </w:p>
    <w:p w14:paraId="2E637F06" w14:textId="77777777" w:rsidR="008D2E30" w:rsidRDefault="008D2E30" w:rsidP="008D2E30">
      <w:pPr>
        <w:shd w:val="clear" w:color="auto" w:fill="FFFFFF"/>
        <w:spacing w:after="60"/>
        <w:ind w:left="426"/>
      </w:pPr>
      <w:r w:rsidRPr="009C33BC">
        <w:rPr>
          <w:b/>
          <w:bCs/>
          <w:iCs/>
        </w:rPr>
        <w:t>Website: </w:t>
      </w:r>
      <w:hyperlink r:id="rId44" w:history="1">
        <w:r w:rsidRPr="00C01712">
          <w:rPr>
            <w:rStyle w:val="Hyperlink"/>
          </w:rPr>
          <w:t>Report suspected fraud form</w:t>
        </w:r>
      </w:hyperlink>
    </w:p>
    <w:p w14:paraId="3A0CDC6D" w14:textId="77777777" w:rsidR="008D2E30" w:rsidRPr="00716D4C" w:rsidRDefault="008D2E30" w:rsidP="008D2E30">
      <w:pPr>
        <w:pStyle w:val="Heading2"/>
      </w:pPr>
      <w:bookmarkStart w:id="42" w:name="_Toc75440023"/>
      <w:bookmarkStart w:id="43" w:name="_Toc210125807"/>
      <w:bookmarkStart w:id="44" w:name="_Toc210388294"/>
      <w:bookmarkStart w:id="45" w:name="_Toc223509384"/>
      <w:bookmarkEnd w:id="42"/>
      <w:r w:rsidRPr="00716D4C">
        <w:t>Principles</w:t>
      </w:r>
      <w:bookmarkEnd w:id="43"/>
      <w:bookmarkEnd w:id="44"/>
      <w:bookmarkEnd w:id="45"/>
    </w:p>
    <w:p w14:paraId="1A7113DF" w14:textId="66AA50FD" w:rsidR="008D2E30" w:rsidRPr="00615279" w:rsidRDefault="008D2E30" w:rsidP="00615279">
      <w:pPr>
        <w:pStyle w:val="Caption"/>
        <w:rPr>
          <w:sz w:val="24"/>
          <w:szCs w:val="24"/>
        </w:rPr>
      </w:pPr>
      <w:r w:rsidRPr="00D46AD2">
        <w:rPr>
          <w:b w:val="0"/>
          <w:bCs w:val="0"/>
          <w:iCs/>
          <w:noProof/>
          <w:color w:val="000000" w:themeColor="text1"/>
          <w:sz w:val="24"/>
          <w:szCs w:val="24"/>
        </w:rPr>
        <mc:AlternateContent>
          <mc:Choice Requires="wpg">
            <w:drawing>
              <wp:anchor distT="0" distB="0" distL="114300" distR="114300" simplePos="0" relativeHeight="251638272" behindDoc="0" locked="0" layoutInCell="1" allowOverlap="1" wp14:anchorId="35C0BA93" wp14:editId="60327109">
                <wp:simplePos x="0" y="0"/>
                <wp:positionH relativeFrom="column">
                  <wp:posOffset>-386080</wp:posOffset>
                </wp:positionH>
                <wp:positionV relativeFrom="paragraph">
                  <wp:posOffset>269387</wp:posOffset>
                </wp:positionV>
                <wp:extent cx="6775450" cy="2375535"/>
                <wp:effectExtent l="0" t="0" r="6350" b="0"/>
                <wp:wrapTopAndBottom/>
                <wp:docPr id="433457527" name="Group 22" descr="1. Continuous improvement - The assurance program is driven by an intent to continuously improve performance, capability and culture of providers as well as the assurance approach itself. This is in line with a graduated approach to compliance and the Statement of Principles under the Act. &#10;&#10;2. Risk-based and data driven: The department will manage risks proportionately, maintaining essential safeguards while minimising administrative burden. Data and digital technology will be leveraged to inform Support at Home assurance activities.&#10;&#10;3. Collaboration, engagement, and trust: The department will be a transparent and responsive communicator in conducting assurance activities to build trust and confidence in the assurance of Support at Home."/>
                <wp:cNvGraphicFramePr/>
                <a:graphic xmlns:a="http://schemas.openxmlformats.org/drawingml/2006/main">
                  <a:graphicData uri="http://schemas.microsoft.com/office/word/2010/wordprocessingGroup">
                    <wpg:wgp>
                      <wpg:cNvGrpSpPr/>
                      <wpg:grpSpPr>
                        <a:xfrm>
                          <a:off x="0" y="0"/>
                          <a:ext cx="6775450" cy="2375535"/>
                          <a:chOff x="0" y="0"/>
                          <a:chExt cx="6775761" cy="2377115"/>
                        </a:xfrm>
                      </wpg:grpSpPr>
                      <wps:wsp>
                        <wps:cNvPr id="39" name="Rectangle: Rounded Corners 38">
                          <a:extLst>
                            <a:ext uri="{FF2B5EF4-FFF2-40B4-BE49-F238E27FC236}">
                              <a16:creationId xmlns:a16="http://schemas.microsoft.com/office/drawing/2014/main" id="{1DAE04A0-BAEA-448F-2757-32E02602B606}"/>
                            </a:ext>
                          </a:extLst>
                        </wps:cNvPr>
                        <wps:cNvSpPr/>
                        <wps:spPr>
                          <a:xfrm>
                            <a:off x="44971" y="50967"/>
                            <a:ext cx="6730728" cy="720000"/>
                          </a:xfrm>
                          <a:prstGeom prst="roundRect">
                            <a:avLst>
                              <a:gd name="adj" fmla="val 50000"/>
                            </a:avLst>
                          </a:prstGeom>
                          <a:solidFill>
                            <a:schemeClr val="accent2">
                              <a:lumMod val="60000"/>
                              <a:lumOff val="40000"/>
                            </a:schemeClr>
                          </a:solidFill>
                          <a:ln w="38100">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1282916087" name="Group 21"/>
                        <wpg:cNvGrpSpPr/>
                        <wpg:grpSpPr>
                          <a:xfrm>
                            <a:off x="0" y="0"/>
                            <a:ext cx="6775761" cy="2377115"/>
                            <a:chOff x="0" y="0"/>
                            <a:chExt cx="6775761" cy="2377115"/>
                          </a:xfrm>
                        </wpg:grpSpPr>
                        <wps:wsp>
                          <wps:cNvPr id="44" name="TextBox 43">
                            <a:extLst>
                              <a:ext uri="{FF2B5EF4-FFF2-40B4-BE49-F238E27FC236}">
                                <a16:creationId xmlns:a16="http://schemas.microsoft.com/office/drawing/2014/main" id="{7D121CBF-AAA7-C7BE-8766-03F9F29E3A1B}"/>
                              </a:ext>
                            </a:extLst>
                          </wps:cNvPr>
                          <wps:cNvSpPr txBox="1"/>
                          <wps:spPr>
                            <a:xfrm>
                              <a:off x="747118" y="17939"/>
                              <a:ext cx="5951829" cy="805669"/>
                            </a:xfrm>
                            <a:prstGeom prst="rect">
                              <a:avLst/>
                            </a:prstGeom>
                            <a:noFill/>
                          </wps:spPr>
                          <wps:txbx>
                            <w:txbxContent>
                              <w:p w14:paraId="499270EE" w14:textId="77777777" w:rsidR="008D2E30" w:rsidRPr="00B84282" w:rsidRDefault="008D2E30" w:rsidP="00B83498">
                                <w:pPr>
                                  <w:spacing w:before="0" w:after="0"/>
                                  <w:textAlignment w:val="baseline"/>
                                  <w:rPr>
                                    <w:rFonts w:eastAsia="Inter Medium" w:cs="Arial"/>
                                    <w:b/>
                                    <w:bCs/>
                                    <w:color w:val="234F77" w:themeColor="accent2" w:themeShade="80"/>
                                    <w:kern w:val="24"/>
                                    <w:lang w:val="en-US"/>
                                  </w:rPr>
                                </w:pPr>
                                <w:r w:rsidRPr="00B84282">
                                  <w:rPr>
                                    <w:rFonts w:eastAsia="Inter Medium" w:cs="Arial"/>
                                    <w:b/>
                                    <w:bCs/>
                                    <w:color w:val="234F77" w:themeColor="accent2" w:themeShade="80"/>
                                    <w:kern w:val="24"/>
                                    <w:lang w:val="en-US"/>
                                  </w:rPr>
                                  <w:t>Continuous Improvement</w:t>
                                </w:r>
                              </w:p>
                              <w:p w14:paraId="1203374D" w14:textId="0A275265" w:rsidR="008D2E30" w:rsidRPr="00BE04C6" w:rsidRDefault="008D2E30" w:rsidP="00B83498">
                                <w:pPr>
                                  <w:spacing w:before="0" w:after="0"/>
                                  <w:textAlignment w:val="baseline"/>
                                  <w:rPr>
                                    <w:rFonts w:eastAsia="Arial"/>
                                    <w:color w:val="242852" w:themeColor="text2"/>
                                    <w:kern w:val="24"/>
                                    <w:sz w:val="20"/>
                                    <w:szCs w:val="20"/>
                                  </w:rPr>
                                </w:pPr>
                                <w:r w:rsidRPr="00BE04C6">
                                  <w:rPr>
                                    <w:rFonts w:eastAsia="Arial"/>
                                    <w:color w:val="242852" w:themeColor="text2"/>
                                    <w:kern w:val="24"/>
                                    <w:sz w:val="20"/>
                                    <w:szCs w:val="20"/>
                                  </w:rPr>
                                  <w:t>The assurance program is driven by an intent to continuously improve performance, capability and culture of providers as well as the assurance approach itself</w:t>
                                </w:r>
                                <w:r w:rsidR="00D712FB">
                                  <w:rPr>
                                    <w:rFonts w:eastAsia="Arial"/>
                                    <w:color w:val="242852" w:themeColor="text2"/>
                                    <w:kern w:val="24"/>
                                    <w:sz w:val="20"/>
                                    <w:szCs w:val="20"/>
                                  </w:rPr>
                                  <w:t>. This is</w:t>
                                </w:r>
                                <w:r w:rsidRPr="00BE04C6">
                                  <w:rPr>
                                    <w:rFonts w:eastAsia="Arial"/>
                                    <w:color w:val="242852" w:themeColor="text2"/>
                                    <w:kern w:val="24"/>
                                    <w:sz w:val="20"/>
                                    <w:szCs w:val="20"/>
                                  </w:rPr>
                                  <w:t xml:space="preserve"> in line with a graduated approach to compliance and the Statement of Principles under the Act.</w:t>
                                </w:r>
                              </w:p>
                            </w:txbxContent>
                          </wps:txbx>
                          <wps:bodyPr wrap="square" rtlCol="0">
                            <a:noAutofit/>
                          </wps:bodyPr>
                        </wps:wsp>
                        <wps:wsp>
                          <wps:cNvPr id="418603229" name="Rectangle: Rounded Corners 38"/>
                          <wps:cNvSpPr/>
                          <wps:spPr>
                            <a:xfrm>
                              <a:off x="45396" y="823608"/>
                              <a:ext cx="6730365" cy="720000"/>
                            </a:xfrm>
                            <a:prstGeom prst="roundRect">
                              <a:avLst>
                                <a:gd name="adj" fmla="val 50000"/>
                              </a:avLst>
                            </a:prstGeom>
                            <a:solidFill>
                              <a:schemeClr val="accent2">
                                <a:lumMod val="40000"/>
                                <a:lumOff val="60000"/>
                              </a:schemeClr>
                            </a:solidFill>
                            <a:ln w="38100">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75010358" name="Rectangle: Rounded Corners 38"/>
                          <wps:cNvSpPr/>
                          <wps:spPr>
                            <a:xfrm>
                              <a:off x="25941" y="1608306"/>
                              <a:ext cx="6730365" cy="720000"/>
                            </a:xfrm>
                            <a:prstGeom prst="roundRect">
                              <a:avLst>
                                <a:gd name="adj" fmla="val 50000"/>
                              </a:avLst>
                            </a:prstGeom>
                            <a:solidFill>
                              <a:schemeClr val="accent2">
                                <a:lumMod val="20000"/>
                                <a:lumOff val="80000"/>
                              </a:schemeClr>
                            </a:solidFill>
                            <a:ln w="38100">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7" name="TextBox 46">
                            <a:extLst>
                              <a:ext uri="{FF2B5EF4-FFF2-40B4-BE49-F238E27FC236}">
                                <a16:creationId xmlns:a16="http://schemas.microsoft.com/office/drawing/2014/main" id="{1B86D53A-0488-9204-4CCB-FE86F55775E9}"/>
                              </a:ext>
                            </a:extLst>
                          </wps:cNvPr>
                          <wps:cNvSpPr txBox="1"/>
                          <wps:spPr>
                            <a:xfrm>
                              <a:off x="747118" y="816703"/>
                              <a:ext cx="5854334" cy="797455"/>
                            </a:xfrm>
                            <a:prstGeom prst="rect">
                              <a:avLst/>
                            </a:prstGeom>
                            <a:noFill/>
                          </wps:spPr>
                          <wps:txbx>
                            <w:txbxContent>
                              <w:p w14:paraId="206D3A79" w14:textId="77777777" w:rsidR="008D2E30" w:rsidRPr="00B84282" w:rsidRDefault="008D2E30" w:rsidP="00B83498">
                                <w:pPr>
                                  <w:spacing w:before="0" w:after="0"/>
                                  <w:textAlignment w:val="baseline"/>
                                  <w:rPr>
                                    <w:rFonts w:eastAsia="Inter Medium" w:cs="Arial"/>
                                    <w:b/>
                                    <w:bCs/>
                                    <w:color w:val="234F77" w:themeColor="accent2" w:themeShade="80"/>
                                    <w:kern w:val="24"/>
                                    <w:lang w:val="en-US"/>
                                  </w:rPr>
                                </w:pPr>
                                <w:r w:rsidRPr="00B84282">
                                  <w:rPr>
                                    <w:rFonts w:eastAsia="Inter Medium" w:cs="Arial"/>
                                    <w:b/>
                                    <w:bCs/>
                                    <w:color w:val="234F77" w:themeColor="accent2" w:themeShade="80"/>
                                    <w:kern w:val="24"/>
                                    <w:lang w:val="en-US"/>
                                  </w:rPr>
                                  <w:t>Risk-based and data driven</w:t>
                                </w:r>
                              </w:p>
                              <w:p w14:paraId="196901F6" w14:textId="77777777" w:rsidR="008D2E30" w:rsidRPr="00BE04C6" w:rsidRDefault="008D2E30" w:rsidP="00B83498">
                                <w:pPr>
                                  <w:spacing w:before="0" w:after="0"/>
                                  <w:textAlignment w:val="baseline"/>
                                  <w:rPr>
                                    <w:rFonts w:eastAsia="Arial"/>
                                    <w:color w:val="242852" w:themeColor="text2"/>
                                    <w:kern w:val="24"/>
                                    <w:sz w:val="20"/>
                                    <w:szCs w:val="20"/>
                                  </w:rPr>
                                </w:pPr>
                                <w:r w:rsidRPr="00BE04C6">
                                  <w:rPr>
                                    <w:rFonts w:eastAsia="Arial"/>
                                    <w:color w:val="242852" w:themeColor="text2"/>
                                    <w:kern w:val="24"/>
                                    <w:sz w:val="20"/>
                                    <w:szCs w:val="20"/>
                                  </w:rPr>
                                  <w:t>The department will manage risks proportionately, maintaining essential safeguards while minimising administrative burden. Data and digital technology will be leveraged to inform Support at Home assurance activities.</w:t>
                                </w:r>
                              </w:p>
                            </w:txbxContent>
                          </wps:txbx>
                          <wps:bodyPr wrap="square" rtlCol="0">
                            <a:spAutoFit/>
                          </wps:bodyPr>
                        </wps:wsp>
                        <wps:wsp>
                          <wps:cNvPr id="49" name="TextBox 48">
                            <a:extLst>
                              <a:ext uri="{FF2B5EF4-FFF2-40B4-BE49-F238E27FC236}">
                                <a16:creationId xmlns:a16="http://schemas.microsoft.com/office/drawing/2014/main" id="{336CBFA4-936C-848F-40F1-9BFF92A3E6B5}"/>
                              </a:ext>
                            </a:extLst>
                          </wps:cNvPr>
                          <wps:cNvSpPr txBox="1"/>
                          <wps:spPr>
                            <a:xfrm>
                              <a:off x="747118" y="1635739"/>
                              <a:ext cx="5929902" cy="629068"/>
                            </a:xfrm>
                            <a:prstGeom prst="rect">
                              <a:avLst/>
                            </a:prstGeom>
                            <a:noFill/>
                          </wps:spPr>
                          <wps:txbx>
                            <w:txbxContent>
                              <w:p w14:paraId="6C7CF136" w14:textId="77777777" w:rsidR="008D2E30" w:rsidRPr="00B84282" w:rsidRDefault="008D2E30" w:rsidP="00B83498">
                                <w:pPr>
                                  <w:spacing w:before="0" w:after="0"/>
                                  <w:textAlignment w:val="baseline"/>
                                  <w:rPr>
                                    <w:rFonts w:eastAsia="Inter Medium" w:cs="Arial"/>
                                    <w:b/>
                                    <w:bCs/>
                                    <w:color w:val="234F77" w:themeColor="accent2" w:themeShade="80"/>
                                    <w:kern w:val="24"/>
                                    <w:lang w:val="en-US"/>
                                  </w:rPr>
                                </w:pPr>
                                <w:r w:rsidRPr="00B84282">
                                  <w:rPr>
                                    <w:rFonts w:eastAsia="Inter Medium" w:cs="Arial"/>
                                    <w:b/>
                                    <w:bCs/>
                                    <w:color w:val="234F77" w:themeColor="accent2" w:themeShade="80"/>
                                    <w:kern w:val="24"/>
                                    <w:lang w:val="en-US"/>
                                  </w:rPr>
                                  <w:t>Collaboration, engagement, and trust</w:t>
                                </w:r>
                              </w:p>
                              <w:p w14:paraId="103EA353" w14:textId="4175ED31" w:rsidR="008D2E30" w:rsidRPr="00BE04C6" w:rsidRDefault="008D2E30" w:rsidP="00B83498">
                                <w:pPr>
                                  <w:spacing w:before="0" w:after="0"/>
                                  <w:textAlignment w:val="baseline"/>
                                  <w:rPr>
                                    <w:rFonts w:eastAsia="Arial"/>
                                    <w:color w:val="242852" w:themeColor="text2"/>
                                    <w:kern w:val="24"/>
                                    <w:sz w:val="20"/>
                                    <w:szCs w:val="20"/>
                                  </w:rPr>
                                </w:pPr>
                                <w:r w:rsidRPr="00BE04C6">
                                  <w:rPr>
                                    <w:rFonts w:eastAsia="Arial"/>
                                    <w:color w:val="242852" w:themeColor="text2"/>
                                    <w:kern w:val="24"/>
                                    <w:sz w:val="20"/>
                                    <w:szCs w:val="20"/>
                                  </w:rPr>
                                  <w:t>The department will be a transparent and responsive communicator in conducting assurance activities to build trust and confidence in the assurance of Support at Home.</w:t>
                                </w:r>
                              </w:p>
                            </w:txbxContent>
                          </wps:txbx>
                          <wps:bodyPr wrap="square" rtlCol="0">
                            <a:spAutoFit/>
                          </wps:bodyPr>
                        </wps:wsp>
                        <pic:pic xmlns:pic="http://schemas.openxmlformats.org/drawingml/2006/picture">
                          <pic:nvPicPr>
                            <pic:cNvPr id="9" name="Graphic 8" descr="Badge 1 with solid fill">
                              <a:extLst>
                                <a:ext uri="{FF2B5EF4-FFF2-40B4-BE49-F238E27FC236}">
                                  <a16:creationId xmlns:a16="http://schemas.microsoft.com/office/drawing/2014/main" id="{0E5864C1-06E9-8053-D142-0457E14C7205}"/>
                                </a:ext>
                              </a:extLst>
                            </pic:cNvPr>
                            <pic:cNvPicPr>
                              <a:picLocks noChangeAspect="1"/>
                            </pic:cNvPicPr>
                          </pic:nvPicPr>
                          <pic:blipFill>
                            <a:blip r:embed="rId45">
                              <a:extLst>
                                <a:ext uri="{96DAC541-7B7A-43D3-8B79-37D633B846F1}">
                                  <asvg:svgBlip xmlns:asvg="http://schemas.microsoft.com/office/drawing/2016/SVG/main" r:embed="rId46"/>
                                </a:ext>
                              </a:extLst>
                            </a:blip>
                            <a:stretch>
                              <a:fillRect/>
                            </a:stretch>
                          </pic:blipFill>
                          <pic:spPr>
                            <a:xfrm>
                              <a:off x="19456" y="0"/>
                              <a:ext cx="807720" cy="807720"/>
                            </a:xfrm>
                            <a:prstGeom prst="rect">
                              <a:avLst/>
                            </a:prstGeom>
                          </pic:spPr>
                        </pic:pic>
                        <pic:pic xmlns:pic="http://schemas.openxmlformats.org/drawingml/2006/picture">
                          <pic:nvPicPr>
                            <pic:cNvPr id="11" name="Graphic 10" descr="Badge with solid fill">
                              <a:extLst>
                                <a:ext uri="{FF2B5EF4-FFF2-40B4-BE49-F238E27FC236}">
                                  <a16:creationId xmlns:a16="http://schemas.microsoft.com/office/drawing/2014/main" id="{22D29326-EC66-056A-C9B8-81CC5D3FAB10}"/>
                                </a:ext>
                              </a:extLst>
                            </pic:cNvPr>
                            <pic:cNvPicPr>
                              <a:picLocks noChangeAspect="1"/>
                            </pic:cNvPicPr>
                          </pic:nvPicPr>
                          <pic:blipFill>
                            <a:blip r:embed="rId47">
                              <a:extLst>
                                <a:ext uri="{96DAC541-7B7A-43D3-8B79-37D633B846F1}">
                                  <asvg:svgBlip xmlns:asvg="http://schemas.microsoft.com/office/drawing/2016/SVG/main" r:embed="rId48"/>
                                </a:ext>
                              </a:extLst>
                            </a:blip>
                            <a:stretch>
                              <a:fillRect/>
                            </a:stretch>
                          </pic:blipFill>
                          <pic:spPr>
                            <a:xfrm>
                              <a:off x="12971" y="778212"/>
                              <a:ext cx="807720" cy="807720"/>
                            </a:xfrm>
                            <a:prstGeom prst="rect">
                              <a:avLst/>
                            </a:prstGeom>
                          </pic:spPr>
                        </pic:pic>
                        <pic:pic xmlns:pic="http://schemas.openxmlformats.org/drawingml/2006/picture">
                          <pic:nvPicPr>
                            <pic:cNvPr id="19" name="Graphic 18" descr="Badge 3 with solid fill">
                              <a:extLst>
                                <a:ext uri="{FF2B5EF4-FFF2-40B4-BE49-F238E27FC236}">
                                  <a16:creationId xmlns:a16="http://schemas.microsoft.com/office/drawing/2014/main" id="{C550EE1F-FB14-3E0C-9C3C-684C4E3274A9}"/>
                                </a:ext>
                              </a:extLst>
                            </pic:cNvPr>
                            <pic:cNvPicPr>
                              <a:picLocks noChangeAspect="1"/>
                            </pic:cNvPicPr>
                          </pic:nvPicPr>
                          <pic:blipFill>
                            <a:blip r:embed="rId49">
                              <a:extLst>
                                <a:ext uri="{96DAC541-7B7A-43D3-8B79-37D633B846F1}">
                                  <asvg:svgBlip xmlns:asvg="http://schemas.microsoft.com/office/drawing/2016/SVG/main" r:embed="rId50"/>
                                </a:ext>
                              </a:extLst>
                            </a:blip>
                            <a:stretch>
                              <a:fillRect/>
                            </a:stretch>
                          </pic:blipFill>
                          <pic:spPr>
                            <a:xfrm>
                              <a:off x="0" y="1569395"/>
                              <a:ext cx="807720" cy="807720"/>
                            </a:xfrm>
                            <a:prstGeom prst="rect">
                              <a:avLst/>
                            </a:prstGeom>
                          </pic:spPr>
                        </pic:pic>
                      </wpg:grpSp>
                    </wpg:wgp>
                  </a:graphicData>
                </a:graphic>
                <wp14:sizeRelH relativeFrom="margin">
                  <wp14:pctWidth>0</wp14:pctWidth>
                </wp14:sizeRelH>
                <wp14:sizeRelV relativeFrom="margin">
                  <wp14:pctHeight>0</wp14:pctHeight>
                </wp14:sizeRelV>
              </wp:anchor>
            </w:drawing>
          </mc:Choice>
          <mc:Fallback>
            <w:pict>
              <v:group w14:anchorId="35C0BA93" id="_x0000_s1045" alt="1. Continuous improvement - The assurance program is driven by an intent to continuously improve performance, capability and culture of providers as well as the assurance approach itself. This is in line with a graduated approach to compliance and the Statement of Principles under the Act. &#10;&#10;2. Risk-based and data driven: The department will manage risks proportionately, maintaining essential safeguards while minimising administrative burden. Data and digital technology will be leveraged to inform Support at Home assurance activities.&#10;&#10;3. Collaboration, engagement, and trust: The department will be a transparent and responsive communicator in conducting assurance activities to build trust and confidence in the assurance of Support at Home." style="position:absolute;margin-left:-30.4pt;margin-top:21.2pt;width:533.5pt;height:187.05pt;z-index:251638272;mso-position-horizontal-relative:text;mso-position-vertical-relative:text;mso-width-relative:margin;mso-height-relative:margin" coordsize="67757,23771"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">
                <v:roundrect id="Rectangle: Rounded Corners 38" o:spid="_x0000_s1046" style="position:absolute;left:449;top:509;width:67307;height:720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" fillcolor="#a0c3e3 [1941]" stroked="f" strokeweight="3pt"/>
                <v:group id="Group 21" o:spid="_x0000_s1047" style="position:absolute;width:67757;height:23771" coordsize="67757,23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">
                  <v:shape id="TextBox 43" o:spid="_x0000_s1048" type="#_x0000_t202" style="position:absolute;left:7471;top:179;width:59518;height:8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" filled="f" stroked="f">
                    <v:textbox>
                      <w:txbxContent>
                        <w:p w14:paraId="499270EE" w14:textId="77777777" w:rsidR="008D2E30" w:rsidRPr="00B84282" w:rsidRDefault="008D2E30" w:rsidP="00B83498">
                          <w:pPr>
                            <w:spacing w:before="0" w:after="0"/>
                            <w:textAlignment w:val="baseline"/>
                            <w:rPr>
                              <w:rFonts w:eastAsia="Inter Medium" w:cs="Arial"/>
                              <w:b/>
                              <w:bCs/>
                              <w:color w:val="234F77" w:themeColor="accent2" w:themeShade="80"/>
                              <w:kern w:val="24"/>
                              <w:lang w:val="en-US"/>
                            </w:rPr>
                          </w:pPr>
                          <w:r w:rsidRPr="00B84282">
                            <w:rPr>
                              <w:rFonts w:eastAsia="Inter Medium" w:cs="Arial"/>
                              <w:b/>
                              <w:bCs/>
                              <w:color w:val="234F77" w:themeColor="accent2" w:themeShade="80"/>
                              <w:kern w:val="24"/>
                              <w:lang w:val="en-US"/>
                            </w:rPr>
                            <w:t>Continuous Improvement</w:t>
                          </w:r>
                        </w:p>
                        <w:p w14:paraId="1203374D" w14:textId="0A275265" w:rsidR="008D2E30" w:rsidRPr="00BE04C6" w:rsidRDefault="008D2E30" w:rsidP="00B83498">
                          <w:pPr>
                            <w:spacing w:before="0" w:after="0"/>
                            <w:textAlignment w:val="baseline"/>
                            <w:rPr>
                              <w:rFonts w:eastAsia="Arial"/>
                              <w:color w:val="242852" w:themeColor="text2"/>
                              <w:kern w:val="24"/>
                              <w:sz w:val="20"/>
                              <w:szCs w:val="20"/>
                            </w:rPr>
                          </w:pPr>
                          <w:r w:rsidRPr="00BE04C6">
                            <w:rPr>
                              <w:rFonts w:eastAsia="Arial"/>
                              <w:color w:val="242852" w:themeColor="text2"/>
                              <w:kern w:val="24"/>
                              <w:sz w:val="20"/>
                              <w:szCs w:val="20"/>
                            </w:rPr>
                            <w:t>The assurance program is driven by an intent to continuously improve performance, capability and culture of providers as well as the assurance approach itself</w:t>
                          </w:r>
                          <w:r w:rsidR="00D712FB">
                            <w:rPr>
                              <w:rFonts w:eastAsia="Arial"/>
                              <w:color w:val="242852" w:themeColor="text2"/>
                              <w:kern w:val="24"/>
                              <w:sz w:val="20"/>
                              <w:szCs w:val="20"/>
                            </w:rPr>
                            <w:t>. This is</w:t>
                          </w:r>
                          <w:r w:rsidRPr="00BE04C6">
                            <w:rPr>
                              <w:rFonts w:eastAsia="Arial"/>
                              <w:color w:val="242852" w:themeColor="text2"/>
                              <w:kern w:val="24"/>
                              <w:sz w:val="20"/>
                              <w:szCs w:val="20"/>
                            </w:rPr>
                            <w:t xml:space="preserve"> in line with a graduated approach to compliance and the Statement of Principles under the Act.</w:t>
                          </w:r>
                        </w:p>
                      </w:txbxContent>
                    </v:textbox>
                  </v:shape>
                  <v:roundrect id="Rectangle: Rounded Corners 38" o:spid="_x0000_s1049" style="position:absolute;left:453;top:8236;width:67304;height:720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" fillcolor="#c0d7ec [1301]" stroked="f" strokeweight="3pt"/>
                  <v:roundrect id="Rectangle: Rounded Corners 38" o:spid="_x0000_s1050" style="position:absolute;left:259;top:16083;width:67304;height:720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" fillcolor="#dfebf5 [661]" stroked="f" strokeweight="3pt"/>
                  <v:shape id="TextBox 46" o:spid="_x0000_s1051" type="#_x0000_t202" style="position:absolute;left:7471;top:8167;width:58543;height:79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" filled="f" stroked="f">
                    <v:textbox style="mso-fit-shape-to-text:t">
                      <w:txbxContent>
                        <w:p w14:paraId="206D3A79" w14:textId="77777777" w:rsidR="008D2E30" w:rsidRPr="00B84282" w:rsidRDefault="008D2E30" w:rsidP="00B83498">
                          <w:pPr>
                            <w:spacing w:before="0" w:after="0"/>
                            <w:textAlignment w:val="baseline"/>
                            <w:rPr>
                              <w:rFonts w:eastAsia="Inter Medium" w:cs="Arial"/>
                              <w:b/>
                              <w:bCs/>
                              <w:color w:val="234F77" w:themeColor="accent2" w:themeShade="80"/>
                              <w:kern w:val="24"/>
                              <w:lang w:val="en-US"/>
                            </w:rPr>
                          </w:pPr>
                          <w:r w:rsidRPr="00B84282">
                            <w:rPr>
                              <w:rFonts w:eastAsia="Inter Medium" w:cs="Arial"/>
                              <w:b/>
                              <w:bCs/>
                              <w:color w:val="234F77" w:themeColor="accent2" w:themeShade="80"/>
                              <w:kern w:val="24"/>
                              <w:lang w:val="en-US"/>
                            </w:rPr>
                            <w:t>Risk-based and data driven</w:t>
                          </w:r>
                        </w:p>
                        <w:p w14:paraId="196901F6" w14:textId="77777777" w:rsidR="008D2E30" w:rsidRPr="00BE04C6" w:rsidRDefault="008D2E30" w:rsidP="00B83498">
                          <w:pPr>
                            <w:spacing w:before="0" w:after="0"/>
                            <w:textAlignment w:val="baseline"/>
                            <w:rPr>
                              <w:rFonts w:eastAsia="Arial"/>
                              <w:color w:val="242852" w:themeColor="text2"/>
                              <w:kern w:val="24"/>
                              <w:sz w:val="20"/>
                              <w:szCs w:val="20"/>
                            </w:rPr>
                          </w:pPr>
                          <w:r w:rsidRPr="00BE04C6">
                            <w:rPr>
                              <w:rFonts w:eastAsia="Arial"/>
                              <w:color w:val="242852" w:themeColor="text2"/>
                              <w:kern w:val="24"/>
                              <w:sz w:val="20"/>
                              <w:szCs w:val="20"/>
                            </w:rPr>
                            <w:t>The department will manage risks proportionately, maintaining essential safeguards while minimising administrative burden. Data and digital technology will be leveraged to inform Support at Home assurance activities.</w:t>
                          </w:r>
                        </w:p>
                      </w:txbxContent>
                    </v:textbox>
                  </v:shape>
                  <v:shape id="TextBox 48" o:spid="_x0000_s1052" type="#_x0000_t202" style="position:absolute;left:7471;top:16357;width:59299;height:6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" filled="f" stroked="f">
                    <v:textbox style="mso-fit-shape-to-text:t">
                      <w:txbxContent>
                        <w:p w14:paraId="6C7CF136" w14:textId="77777777" w:rsidR="008D2E30" w:rsidRPr="00B84282" w:rsidRDefault="008D2E30" w:rsidP="00B83498">
                          <w:pPr>
                            <w:spacing w:before="0" w:after="0"/>
                            <w:textAlignment w:val="baseline"/>
                            <w:rPr>
                              <w:rFonts w:eastAsia="Inter Medium" w:cs="Arial"/>
                              <w:b/>
                              <w:bCs/>
                              <w:color w:val="234F77" w:themeColor="accent2" w:themeShade="80"/>
                              <w:kern w:val="24"/>
                              <w:lang w:val="en-US"/>
                            </w:rPr>
                          </w:pPr>
                          <w:r w:rsidRPr="00B84282">
                            <w:rPr>
                              <w:rFonts w:eastAsia="Inter Medium" w:cs="Arial"/>
                              <w:b/>
                              <w:bCs/>
                              <w:color w:val="234F77" w:themeColor="accent2" w:themeShade="80"/>
                              <w:kern w:val="24"/>
                              <w:lang w:val="en-US"/>
                            </w:rPr>
                            <w:t>Collaboration, engagement, and trust</w:t>
                          </w:r>
                        </w:p>
                        <w:p w14:paraId="103EA353" w14:textId="4175ED31" w:rsidR="008D2E30" w:rsidRPr="00BE04C6" w:rsidRDefault="008D2E30" w:rsidP="00B83498">
                          <w:pPr>
                            <w:spacing w:before="0" w:after="0"/>
                            <w:textAlignment w:val="baseline"/>
                            <w:rPr>
                              <w:rFonts w:eastAsia="Arial"/>
                              <w:color w:val="242852" w:themeColor="text2"/>
                              <w:kern w:val="24"/>
                              <w:sz w:val="20"/>
                              <w:szCs w:val="20"/>
                            </w:rPr>
                          </w:pPr>
                          <w:r w:rsidRPr="00BE04C6">
                            <w:rPr>
                              <w:rFonts w:eastAsia="Arial"/>
                              <w:color w:val="242852" w:themeColor="text2"/>
                              <w:kern w:val="24"/>
                              <w:sz w:val="20"/>
                              <w:szCs w:val="20"/>
                            </w:rPr>
                            <w:t>The department will be a transparent and responsive communicator in conducting assurance activities to build trust and confidence in the assurance of Support at Home.</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8" o:spid="_x0000_s1053" type="#_x0000_t75" alt="Badge 1 with solid fill" style="position:absolute;left:194;width:8077;height:80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">
                    <v:imagedata r:id="rId51" o:title="Badge 1 with solid fill"/>
                  </v:shape>
                  <v:shape id="Graphic 10" o:spid="_x0000_s1054" type="#_x0000_t75" alt="Badge with solid fill" style="position:absolute;left:129;top:7782;width:8077;height:80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">
                    <v:imagedata r:id="rId52" o:title="Badge with solid fill"/>
                  </v:shape>
                  <v:shape id="Graphic 18" o:spid="_x0000_s1055" type="#_x0000_t75" alt="Badge 3 with solid fill" style="position:absolute;top:15693;width:8077;height:80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">
                    <v:imagedata r:id="rId53" o:title="Badge 3 with solid fill"/>
                  </v:shape>
                </v:group>
                <w10:wrap type="topAndBottom"/>
              </v:group>
            </w:pict>
          </mc:Fallback>
        </mc:AlternateContent>
      </w:r>
      <w:r w:rsidRPr="00D46AD2">
        <w:rPr>
          <w:b w:val="0"/>
          <w:bCs w:val="0"/>
          <w:iCs/>
          <w:color w:val="000000" w:themeColor="text1"/>
          <w:sz w:val="24"/>
          <w:szCs w:val="24"/>
        </w:rPr>
        <w:t>Figure 5 summarises the core principles that underpin this assurance framework.</w:t>
      </w:r>
    </w:p>
    <w:p w14:paraId="6DFECB2E" w14:textId="77777777" w:rsidR="00494017" w:rsidRDefault="005A49D1" w:rsidP="005A49D1">
      <w:pPr>
        <w:pStyle w:val="Caption"/>
      </w:pPr>
      <w:r>
        <w:t xml:space="preserve">Figure </w:t>
      </w:r>
      <w:r>
        <w:fldChar w:fldCharType="begin"/>
      </w:r>
      <w:r>
        <w:instrText xml:space="preserve"> SEQ Figure \* ARABIC </w:instrText>
      </w:r>
      <w:r>
        <w:fldChar w:fldCharType="separate"/>
      </w:r>
      <w:r w:rsidR="00A279BA">
        <w:rPr>
          <w:noProof/>
        </w:rPr>
        <w:t>5</w:t>
      </w:r>
      <w:r>
        <w:fldChar w:fldCharType="end"/>
      </w:r>
      <w:r w:rsidR="008D2E30" w:rsidRPr="005A49D1">
        <w:t>: Assurance framework principles</w:t>
      </w:r>
      <w:bookmarkStart w:id="46" w:name="_Toc210125808"/>
      <w:bookmarkStart w:id="47" w:name="_Toc210388295"/>
    </w:p>
    <w:p w14:paraId="79ADCC40" w14:textId="6D8DA4F9" w:rsidR="00A602D4" w:rsidRPr="00494017" w:rsidRDefault="00A602D4" w:rsidP="00494017">
      <w:r w:rsidRPr="00494017">
        <w:br w:type="page"/>
      </w:r>
    </w:p>
    <w:p w14:paraId="40AD00DB" w14:textId="73D97D6E" w:rsidR="008D2E30" w:rsidRDefault="008D2E30" w:rsidP="008D2E30">
      <w:pPr>
        <w:pStyle w:val="Heading2"/>
      </w:pPr>
      <w:bookmarkStart w:id="48" w:name="_Toc223509385"/>
      <w:r>
        <w:t>Benefits</w:t>
      </w:r>
      <w:bookmarkEnd w:id="46"/>
      <w:bookmarkEnd w:id="47"/>
      <w:bookmarkEnd w:id="48"/>
    </w:p>
    <w:p w14:paraId="4806A04F" w14:textId="2190A44A" w:rsidR="008D2E30" w:rsidRPr="00BE04C6" w:rsidRDefault="00370E9C" w:rsidP="008D2E30">
      <w:pPr>
        <w:rPr>
          <w:iCs/>
        </w:rPr>
      </w:pPr>
      <w:r>
        <w:rPr>
          <w:iCs/>
        </w:rPr>
        <w:t>Program a</w:t>
      </w:r>
      <w:r w:rsidR="008D2E30" w:rsidRPr="00BE04C6">
        <w:rPr>
          <w:iCs/>
        </w:rPr>
        <w:t>ssurance provides objective insights into the effectiveness, progress, and financial integrity of Support at Home. It prevents, detects, and responds to non-compliance in line with the compliance framework and fosters continuous improvement for the sector and the department.</w:t>
      </w:r>
    </w:p>
    <w:p w14:paraId="07EF1F67" w14:textId="68675B2D" w:rsidR="00114A38" w:rsidRPr="00114A38" w:rsidRDefault="00114A38" w:rsidP="00114A38">
      <w:pPr>
        <w:tabs>
          <w:tab w:val="num" w:pos="720"/>
        </w:tabs>
        <w:rPr>
          <w:iCs/>
        </w:rPr>
      </w:pPr>
      <w:r w:rsidRPr="00114A38">
        <w:rPr>
          <w:iCs/>
        </w:rPr>
        <w:t>An effective assurance program builds confidence that Support at Home is operating as intended.</w:t>
      </w:r>
      <w:r>
        <w:rPr>
          <w:iCs/>
        </w:rPr>
        <w:t xml:space="preserve"> </w:t>
      </w:r>
      <w:r w:rsidRPr="00114A38">
        <w:rPr>
          <w:iCs/>
        </w:rPr>
        <w:t>It helps manage risks and identifies opportunities to improve outcomes.</w:t>
      </w:r>
    </w:p>
    <w:p w14:paraId="1929E696" w14:textId="14184C6F" w:rsidR="008D2E30" w:rsidRPr="00716D4C" w:rsidRDefault="008D2E30" w:rsidP="00D25B80">
      <w:pPr>
        <w:pStyle w:val="Heading1"/>
        <w:spacing w:before="240"/>
      </w:pPr>
      <w:bookmarkStart w:id="49" w:name="_Toc210125809"/>
      <w:bookmarkStart w:id="50" w:name="_Toc210388296"/>
      <w:bookmarkStart w:id="51" w:name="_Toc223509386"/>
      <w:r>
        <w:t>Governance</w:t>
      </w:r>
      <w:bookmarkEnd w:id="49"/>
      <w:bookmarkEnd w:id="50"/>
      <w:bookmarkEnd w:id="51"/>
    </w:p>
    <w:bookmarkStart w:id="52" w:name="_Three_Lines_Model"/>
    <w:bookmarkEnd w:id="52"/>
    <w:p w14:paraId="777FC45B" w14:textId="77777777" w:rsidR="008D2E30" w:rsidRPr="005B0243" w:rsidRDefault="008D2E30" w:rsidP="009353E6">
      <w:pPr>
        <w:pStyle w:val="Heading2"/>
        <w:spacing w:before="0" w:after="120"/>
      </w:pPr>
      <w:r w:rsidRPr="005B0243">
        <w:fldChar w:fldCharType="begin"/>
      </w:r>
      <w:r w:rsidRPr="005B0243">
        <w:instrText>HYPERLINK  \l "_Three_Lines_Model"</w:instrText>
      </w:r>
      <w:r w:rsidRPr="005B0243">
        <w:fldChar w:fldCharType="separate"/>
      </w:r>
      <w:bookmarkStart w:id="53" w:name="_Toc210125810"/>
      <w:bookmarkStart w:id="54" w:name="_Toc210388297"/>
      <w:bookmarkStart w:id="55" w:name="_Toc223509387"/>
      <w:r w:rsidRPr="005B0243">
        <w:rPr>
          <w:rStyle w:val="Hyperlink"/>
          <w:color w:val="000000" w:themeColor="text1"/>
          <w:u w:val="none"/>
        </w:rPr>
        <w:t>Three Lines Model</w:t>
      </w:r>
      <w:bookmarkEnd w:id="53"/>
      <w:bookmarkEnd w:id="54"/>
      <w:bookmarkEnd w:id="55"/>
      <w:r w:rsidRPr="005B0243">
        <w:fldChar w:fldCharType="end"/>
      </w:r>
    </w:p>
    <w:p w14:paraId="7B9CDC47" w14:textId="44FB7C2E" w:rsidR="008D2E30" w:rsidRPr="007910F5" w:rsidRDefault="008D2E30" w:rsidP="009353E6">
      <w:pPr>
        <w:spacing w:before="0"/>
        <w:rPr>
          <w:iCs/>
        </w:rPr>
      </w:pPr>
      <w:r w:rsidRPr="007910F5">
        <w:rPr>
          <w:iCs/>
        </w:rPr>
        <w:t>The assurance framework applies the Three Lines Model</w:t>
      </w:r>
      <w:r w:rsidR="006B13AF">
        <w:rPr>
          <w:iCs/>
        </w:rPr>
        <w:t>. This</w:t>
      </w:r>
      <w:r w:rsidRPr="007910F5">
        <w:rPr>
          <w:iCs/>
        </w:rPr>
        <w:t xml:space="preserve"> is a globally recognised model for organisational governance, assurance, and risk management and underpins the department’s corporate Assurance Framework. Using this model, there are ‘three lines’ that each play a different role in providing assurance over Support at Home where the:</w:t>
      </w:r>
    </w:p>
    <w:p w14:paraId="4BBB8E7F" w14:textId="77777777" w:rsidR="008D2E30" w:rsidRPr="007910F5" w:rsidRDefault="008D2E30" w:rsidP="00494017">
      <w:pPr>
        <w:pStyle w:val="ListBullet2"/>
      </w:pPr>
      <w:r w:rsidRPr="007910F5">
        <w:t>first line refers to operational management</w:t>
      </w:r>
    </w:p>
    <w:p w14:paraId="75567DF8" w14:textId="77777777" w:rsidR="008D2E30" w:rsidRPr="007910F5" w:rsidRDefault="008D2E30" w:rsidP="00494017">
      <w:pPr>
        <w:pStyle w:val="ListBullet2"/>
      </w:pPr>
      <w:r w:rsidRPr="007910F5">
        <w:t>second line refers to risk management and oversight functions</w:t>
      </w:r>
    </w:p>
    <w:p w14:paraId="122B7926" w14:textId="58B27D74" w:rsidR="008D2E30" w:rsidRPr="007910F5" w:rsidRDefault="008D2E30" w:rsidP="00494017">
      <w:pPr>
        <w:pStyle w:val="ListBullet2"/>
      </w:pPr>
      <w:r w:rsidRPr="007910F5">
        <w:t>third line refers to independent audit.</w:t>
      </w:r>
    </w:p>
    <w:p w14:paraId="46E1FE16" w14:textId="77777777" w:rsidR="00413A49" w:rsidRDefault="00413A49" w:rsidP="008D2E30">
      <w:pPr>
        <w:rPr>
          <w:iCs/>
        </w:rPr>
        <w:sectPr w:rsidR="00413A49" w:rsidSect="00607E2C">
          <w:type w:val="continuous"/>
          <w:pgSz w:w="11906" w:h="16838"/>
          <w:pgMar w:top="1560" w:right="1418" w:bottom="709" w:left="1418" w:header="709" w:footer="468" w:gutter="0"/>
          <w:cols w:space="708"/>
          <w:docGrid w:linePitch="360"/>
        </w:sectPr>
      </w:pPr>
    </w:p>
    <w:tbl>
      <w:tblPr>
        <w:tblStyle w:val="TableGrid"/>
        <w:tblpPr w:leftFromText="180" w:rightFromText="180" w:vertAnchor="page" w:horzAnchor="margin" w:tblpY="1681"/>
        <w:tblW w:w="9154" w:type="dxa"/>
        <w:tblCellMar>
          <w:top w:w="28" w:type="dxa"/>
          <w:bottom w:w="28" w:type="dxa"/>
        </w:tblCellMar>
        <w:tblLook w:val="0420" w:firstRow="1" w:lastRow="0" w:firstColumn="0" w:lastColumn="0" w:noHBand="0" w:noVBand="1"/>
      </w:tblPr>
      <w:tblGrid>
        <w:gridCol w:w="3051"/>
        <w:gridCol w:w="3051"/>
        <w:gridCol w:w="3052"/>
      </w:tblGrid>
      <w:tr w:rsidR="00B7293C" w:rsidRPr="00FE11A2" w14:paraId="246C4E76" w14:textId="77777777" w:rsidTr="004C3002">
        <w:trPr>
          <w:trHeight w:val="423"/>
        </w:trPr>
        <w:tc>
          <w:tcPr>
            <w:tcW w:w="3051" w:type="dxa"/>
            <w:tcBorders>
              <w:top w:val="single" w:sz="48" w:space="0" w:color="FFFFFF" w:themeColor="background1"/>
              <w:left w:val="nil"/>
              <w:bottom w:val="single" w:sz="48" w:space="0" w:color="FFFFFF" w:themeColor="background1"/>
              <w:right w:val="single" w:sz="48" w:space="0" w:color="595959" w:themeColor="text1" w:themeTint="A6"/>
            </w:tcBorders>
            <w:shd w:val="clear" w:color="auto" w:fill="595959" w:themeFill="text1" w:themeFillTint="A6"/>
            <w:vAlign w:val="center"/>
          </w:tcPr>
          <w:p w14:paraId="6F5C28D4" w14:textId="77777777" w:rsidR="00B7293C" w:rsidRPr="00FE11A2" w:rsidRDefault="00B7293C" w:rsidP="004C3002">
            <w:pPr>
              <w:pStyle w:val="TableHeaderWhite"/>
            </w:pPr>
            <w:r w:rsidRPr="00FE11A2">
              <w:t>First line</w:t>
            </w:r>
          </w:p>
        </w:tc>
        <w:tc>
          <w:tcPr>
            <w:tcW w:w="3051" w:type="dxa"/>
            <w:tcBorders>
              <w:top w:val="single" w:sz="48" w:space="0" w:color="FFFFFF" w:themeColor="background1"/>
              <w:left w:val="single" w:sz="48" w:space="0" w:color="595959" w:themeColor="text1" w:themeTint="A6"/>
              <w:bottom w:val="single" w:sz="48" w:space="0" w:color="FFFFFF" w:themeColor="background1"/>
              <w:right w:val="single" w:sz="48" w:space="0" w:color="595959" w:themeColor="text1" w:themeTint="A6"/>
            </w:tcBorders>
            <w:shd w:val="clear" w:color="auto" w:fill="595959" w:themeFill="text1" w:themeFillTint="A6"/>
            <w:vAlign w:val="center"/>
          </w:tcPr>
          <w:p w14:paraId="3D974739" w14:textId="77777777" w:rsidR="00B7293C" w:rsidRPr="00FE11A2" w:rsidRDefault="00B7293C" w:rsidP="004C3002">
            <w:pPr>
              <w:pStyle w:val="TableHeaderWhite"/>
            </w:pPr>
            <w:r w:rsidRPr="00FE11A2">
              <w:t>Second line</w:t>
            </w:r>
          </w:p>
        </w:tc>
        <w:tc>
          <w:tcPr>
            <w:tcW w:w="3052" w:type="dxa"/>
            <w:tcBorders>
              <w:top w:val="single" w:sz="48" w:space="0" w:color="FFFFFF" w:themeColor="background1"/>
              <w:left w:val="single" w:sz="48" w:space="0" w:color="595959" w:themeColor="text1" w:themeTint="A6"/>
              <w:bottom w:val="single" w:sz="48" w:space="0" w:color="FFFFFF" w:themeColor="background1"/>
              <w:right w:val="single" w:sz="48" w:space="0" w:color="FFFFFF" w:themeColor="background1"/>
            </w:tcBorders>
            <w:shd w:val="clear" w:color="auto" w:fill="595959" w:themeFill="text1" w:themeFillTint="A6"/>
            <w:vAlign w:val="center"/>
          </w:tcPr>
          <w:p w14:paraId="6F94396F" w14:textId="77777777" w:rsidR="00B7293C" w:rsidRPr="00FE11A2" w:rsidRDefault="00B7293C" w:rsidP="004C3002">
            <w:pPr>
              <w:pStyle w:val="TableHeaderWhite"/>
            </w:pPr>
            <w:r w:rsidRPr="00FE11A2">
              <w:t>Third line</w:t>
            </w:r>
          </w:p>
        </w:tc>
      </w:tr>
      <w:tr w:rsidR="00B7293C" w:rsidRPr="00FE11A2" w14:paraId="32A5F78E" w14:textId="77777777" w:rsidTr="004C3002">
        <w:tc>
          <w:tcPr>
            <w:tcW w:w="3051" w:type="dxa"/>
            <w:tcBorders>
              <w:top w:val="single" w:sz="48" w:space="0" w:color="FFFFFF" w:themeColor="background1"/>
              <w:left w:val="single" w:sz="48" w:space="0" w:color="FFFFFF" w:themeColor="background1"/>
              <w:bottom w:val="single" w:sz="48" w:space="0" w:color="FFFFFF" w:themeColor="background1"/>
              <w:right w:val="single" w:sz="48" w:space="0" w:color="FFFFFF" w:themeColor="background1"/>
            </w:tcBorders>
            <w:shd w:val="clear" w:color="auto" w:fill="BCD9DE" w:themeFill="accent5" w:themeFillTint="66"/>
          </w:tcPr>
          <w:p w14:paraId="6A0AD783" w14:textId="77777777" w:rsidR="00B7293C" w:rsidRPr="00FE11A2" w:rsidRDefault="00B7293C" w:rsidP="004C3002">
            <w:pPr>
              <w:pStyle w:val="Tabletext"/>
              <w:rPr>
                <w:rFonts w:eastAsia="Arial"/>
              </w:rPr>
            </w:pPr>
            <w:r w:rsidRPr="00FE11A2">
              <w:rPr>
                <w:rFonts w:eastAsia="Arial"/>
              </w:rPr>
              <w:t>The first line refers to those who are directly involved in delivering Support at Home. The first line is responsible for administering the program (including monitoring, managing provider and sector behaviour and program risk management), engaging with the sector for program management purposes and implementing program improvements resulting from program administration and assurance activities.</w:t>
            </w:r>
          </w:p>
        </w:tc>
        <w:tc>
          <w:tcPr>
            <w:tcW w:w="3051" w:type="dxa"/>
            <w:tcBorders>
              <w:top w:val="single" w:sz="48" w:space="0" w:color="FFFFFF" w:themeColor="background1"/>
              <w:left w:val="single" w:sz="48" w:space="0" w:color="FFFFFF" w:themeColor="background1"/>
              <w:bottom w:val="single" w:sz="48" w:space="0" w:color="FFFFFF" w:themeColor="background1"/>
              <w:right w:val="single" w:sz="48" w:space="0" w:color="FFFFFF" w:themeColor="background1"/>
            </w:tcBorders>
            <w:shd w:val="clear" w:color="auto" w:fill="A0C3E3" w:themeFill="accent2" w:themeFillTint="99"/>
          </w:tcPr>
          <w:p w14:paraId="766C547B" w14:textId="4AD59208" w:rsidR="00B7293C" w:rsidRPr="00FE11A2" w:rsidRDefault="00B7293C" w:rsidP="004C3002">
            <w:pPr>
              <w:pStyle w:val="Tabletext"/>
              <w:rPr>
                <w:rFonts w:eastAsia="Arial"/>
                <w:lang w:val="en-US"/>
              </w:rPr>
            </w:pPr>
            <w:r w:rsidRPr="00FE11A2">
              <w:rPr>
                <w:rFonts w:eastAsia="Arial"/>
              </w:rPr>
              <w:t xml:space="preserve">The second line refers to program assurance staff. Responsibilities include </w:t>
            </w:r>
            <w:r w:rsidRPr="00FE11A2">
              <w:rPr>
                <w:rFonts w:eastAsia="Arial"/>
                <w:lang w:val="en-US"/>
              </w:rPr>
              <w:t>establishing the Support at Home assurance framework, developing an assurance plan, conducting assurance activities and communicating outcomes to relevant stakeholders.</w:t>
            </w:r>
          </w:p>
          <w:p w14:paraId="34F1E9AC" w14:textId="77777777" w:rsidR="00B7293C" w:rsidRPr="00FE11A2" w:rsidRDefault="00B7293C" w:rsidP="004C3002">
            <w:pPr>
              <w:pStyle w:val="Tabletext"/>
              <w:rPr>
                <w:rFonts w:eastAsia="Arial"/>
              </w:rPr>
            </w:pPr>
            <w:r w:rsidRPr="00FE11A2">
              <w:rPr>
                <w:rFonts w:eastAsia="Arial"/>
                <w:lang w:val="en-US"/>
              </w:rPr>
              <w:t>Second line also covers assurance over Support at Home assessments conducted by the Access and Home Support Division.</w:t>
            </w:r>
          </w:p>
        </w:tc>
        <w:tc>
          <w:tcPr>
            <w:tcW w:w="3052" w:type="dxa"/>
            <w:tcBorders>
              <w:top w:val="single" w:sz="48" w:space="0" w:color="FFFFFF" w:themeColor="background1"/>
              <w:left w:val="single" w:sz="48" w:space="0" w:color="FFFFFF" w:themeColor="background1"/>
              <w:bottom w:val="single" w:sz="48" w:space="0" w:color="FFFFFF" w:themeColor="background1"/>
              <w:right w:val="single" w:sz="48" w:space="0" w:color="FFFFFF" w:themeColor="background1"/>
            </w:tcBorders>
            <w:shd w:val="clear" w:color="auto" w:fill="072B62" w:themeFill="background2" w:themeFillShade="40"/>
          </w:tcPr>
          <w:p w14:paraId="3F9E300B" w14:textId="77777777" w:rsidR="00B7293C" w:rsidRPr="00FE11A2" w:rsidRDefault="00B7293C" w:rsidP="00B7293C">
            <w:pPr>
              <w:keepNext/>
              <w:keepLines/>
              <w:spacing w:before="0" w:after="60" w:line="260" w:lineRule="atLeast"/>
              <w:rPr>
                <w:rFonts w:eastAsia="Arial"/>
                <w:color w:val="242852" w:themeColor="text2"/>
                <w:sz w:val="20"/>
                <w:szCs w:val="20"/>
              </w:rPr>
            </w:pPr>
            <w:r w:rsidRPr="00FE11A2">
              <w:rPr>
                <w:rFonts w:eastAsia="Arial"/>
                <w:color w:val="FFFFFF" w:themeColor="background1"/>
                <w:sz w:val="20"/>
                <w:szCs w:val="20"/>
              </w:rPr>
              <w:t xml:space="preserve">The third line refers to independent assurance functions that provide objective observation and advice on the effectiveness of Support at Home. An internal function delivered by the department’s corporate Assurance Branch. Assurance may also be provided by external parties. </w:t>
            </w:r>
          </w:p>
        </w:tc>
      </w:tr>
      <w:tr w:rsidR="00B7293C" w:rsidRPr="00FE11A2" w14:paraId="5DC2DD6A" w14:textId="77777777" w:rsidTr="004C3002">
        <w:tc>
          <w:tcPr>
            <w:tcW w:w="3051" w:type="dxa"/>
            <w:tcBorders>
              <w:top w:val="single" w:sz="48" w:space="0" w:color="FFFFFF" w:themeColor="background1"/>
              <w:left w:val="single" w:sz="48" w:space="0" w:color="FFFFFF" w:themeColor="background1"/>
              <w:bottom w:val="single" w:sz="48" w:space="0" w:color="FFFFFF" w:themeColor="background1"/>
              <w:right w:val="single" w:sz="48" w:space="0" w:color="595959" w:themeColor="text1" w:themeTint="A6"/>
            </w:tcBorders>
            <w:shd w:val="clear" w:color="auto" w:fill="595959" w:themeFill="text1" w:themeFillTint="A6"/>
          </w:tcPr>
          <w:p w14:paraId="2416C918" w14:textId="77777777" w:rsidR="00B7293C" w:rsidRPr="00FE11A2" w:rsidRDefault="00B7293C" w:rsidP="00B7293C">
            <w:pPr>
              <w:keepNext/>
              <w:keepLines/>
              <w:spacing w:before="0" w:after="60" w:line="260" w:lineRule="atLeast"/>
              <w:jc w:val="center"/>
              <w:rPr>
                <w:rFonts w:eastAsia="Arial"/>
                <w:b/>
                <w:color w:val="FFFFFF" w:themeColor="background1"/>
                <w:sz w:val="20"/>
                <w:szCs w:val="20"/>
              </w:rPr>
            </w:pPr>
          </w:p>
        </w:tc>
        <w:tc>
          <w:tcPr>
            <w:tcW w:w="3051" w:type="dxa"/>
            <w:tcBorders>
              <w:top w:val="single" w:sz="48" w:space="0" w:color="FFFFFF" w:themeColor="background1"/>
              <w:left w:val="single" w:sz="48" w:space="0" w:color="595959" w:themeColor="text1" w:themeTint="A6"/>
              <w:bottom w:val="single" w:sz="48" w:space="0" w:color="FFFFFF" w:themeColor="background1"/>
              <w:right w:val="nil"/>
            </w:tcBorders>
            <w:shd w:val="clear" w:color="auto" w:fill="595959" w:themeFill="text1" w:themeFillTint="A6"/>
          </w:tcPr>
          <w:p w14:paraId="192D74A3" w14:textId="77777777" w:rsidR="00B7293C" w:rsidRPr="00FE11A2" w:rsidRDefault="00B7293C" w:rsidP="004C3002">
            <w:pPr>
              <w:pStyle w:val="TableHeaderWhite"/>
            </w:pPr>
            <w:r w:rsidRPr="00FE11A2">
              <w:t>Department roles</w:t>
            </w:r>
          </w:p>
        </w:tc>
        <w:tc>
          <w:tcPr>
            <w:tcW w:w="3052" w:type="dxa"/>
            <w:tcBorders>
              <w:top w:val="single" w:sz="48" w:space="0" w:color="FFFFFF" w:themeColor="background1"/>
              <w:left w:val="nil"/>
              <w:bottom w:val="single" w:sz="48" w:space="0" w:color="FFFFFF" w:themeColor="background1"/>
              <w:right w:val="single" w:sz="48" w:space="0" w:color="FFFFFF" w:themeColor="background1"/>
            </w:tcBorders>
            <w:shd w:val="clear" w:color="auto" w:fill="595959" w:themeFill="text1" w:themeFillTint="A6"/>
          </w:tcPr>
          <w:p w14:paraId="7FE05FA9" w14:textId="77777777" w:rsidR="00B7293C" w:rsidRPr="00FE11A2" w:rsidRDefault="00B7293C" w:rsidP="00B7293C">
            <w:pPr>
              <w:keepNext/>
              <w:keepLines/>
              <w:spacing w:before="0" w:after="60" w:line="260" w:lineRule="atLeast"/>
              <w:jc w:val="center"/>
              <w:rPr>
                <w:rFonts w:eastAsia="Arial"/>
                <w:b/>
                <w:color w:val="FFFFFF" w:themeColor="background1"/>
                <w:sz w:val="22"/>
                <w:szCs w:val="22"/>
              </w:rPr>
            </w:pPr>
          </w:p>
        </w:tc>
      </w:tr>
      <w:tr w:rsidR="00B7293C" w:rsidRPr="00FE11A2" w14:paraId="6A223F97" w14:textId="77777777" w:rsidTr="004C3002">
        <w:trPr>
          <w:trHeight w:val="359"/>
        </w:trPr>
        <w:tc>
          <w:tcPr>
            <w:tcW w:w="3051" w:type="dxa"/>
            <w:tcBorders>
              <w:top w:val="single" w:sz="48" w:space="0" w:color="FFFFFF" w:themeColor="background1"/>
              <w:left w:val="single" w:sz="36" w:space="0" w:color="FFFFFF" w:themeColor="background1"/>
              <w:bottom w:val="single" w:sz="48" w:space="0" w:color="FFFFFF" w:themeColor="background1"/>
              <w:right w:val="single" w:sz="48" w:space="0" w:color="FFFFFF" w:themeColor="background1"/>
            </w:tcBorders>
            <w:shd w:val="clear" w:color="auto" w:fill="BCD9DE" w:themeFill="accent5" w:themeFillTint="66"/>
            <w:vAlign w:val="center"/>
          </w:tcPr>
          <w:p w14:paraId="17B511A3" w14:textId="77777777" w:rsidR="00B7293C" w:rsidRPr="00FE11A2" w:rsidRDefault="00B7293C" w:rsidP="004C3002">
            <w:pPr>
              <w:pStyle w:val="Tabletext"/>
              <w:rPr>
                <w:rFonts w:eastAsia="Arial"/>
                <w:i/>
              </w:rPr>
            </w:pPr>
            <w:r w:rsidRPr="00FE11A2">
              <w:rPr>
                <w:rFonts w:eastAsia="Arial"/>
              </w:rPr>
              <w:t>Access and Home Support Division</w:t>
            </w:r>
          </w:p>
        </w:tc>
        <w:tc>
          <w:tcPr>
            <w:tcW w:w="3051" w:type="dxa"/>
            <w:tcBorders>
              <w:top w:val="single" w:sz="48" w:space="0" w:color="FFFFFF" w:themeColor="background1"/>
              <w:left w:val="single" w:sz="48" w:space="0" w:color="FFFFFF" w:themeColor="background1"/>
              <w:bottom w:val="single" w:sz="48" w:space="0" w:color="FFFFFF" w:themeColor="background1"/>
              <w:right w:val="single" w:sz="48" w:space="0" w:color="FFFFFF" w:themeColor="background1"/>
            </w:tcBorders>
            <w:shd w:val="clear" w:color="auto" w:fill="A0C3E3" w:themeFill="accent2" w:themeFillTint="99"/>
            <w:vAlign w:val="center"/>
          </w:tcPr>
          <w:p w14:paraId="187263CC" w14:textId="77777777" w:rsidR="00B7293C" w:rsidRPr="00FE11A2" w:rsidRDefault="00B7293C" w:rsidP="004C3002">
            <w:pPr>
              <w:pStyle w:val="Tabletext"/>
              <w:rPr>
                <w:rFonts w:eastAsia="Arial"/>
              </w:rPr>
            </w:pPr>
            <w:r w:rsidRPr="00FE11A2">
              <w:rPr>
                <w:rFonts w:eastAsia="Arial"/>
              </w:rPr>
              <w:t>Provider Payments Assurance Branch</w:t>
            </w:r>
          </w:p>
        </w:tc>
        <w:tc>
          <w:tcPr>
            <w:tcW w:w="3052" w:type="dxa"/>
            <w:tcBorders>
              <w:top w:val="single" w:sz="48" w:space="0" w:color="FFFFFF" w:themeColor="background1"/>
              <w:left w:val="single" w:sz="48" w:space="0" w:color="FFFFFF" w:themeColor="background1"/>
              <w:bottom w:val="single" w:sz="48" w:space="0" w:color="FFFFFF" w:themeColor="background1"/>
              <w:right w:val="single" w:sz="48" w:space="0" w:color="FFFFFF" w:themeColor="background1"/>
            </w:tcBorders>
            <w:shd w:val="clear" w:color="auto" w:fill="072B62" w:themeFill="background2" w:themeFillShade="40"/>
            <w:vAlign w:val="center"/>
          </w:tcPr>
          <w:p w14:paraId="776B4AD2" w14:textId="77777777" w:rsidR="00B7293C" w:rsidRPr="00FE11A2" w:rsidRDefault="00B7293C" w:rsidP="00B7293C">
            <w:pPr>
              <w:keepNext/>
              <w:keepLines/>
              <w:spacing w:before="0" w:after="60" w:line="260" w:lineRule="atLeast"/>
              <w:jc w:val="center"/>
              <w:rPr>
                <w:rFonts w:eastAsia="Arial"/>
                <w:color w:val="242852" w:themeColor="text2"/>
                <w:sz w:val="20"/>
                <w:szCs w:val="20"/>
              </w:rPr>
            </w:pPr>
            <w:r w:rsidRPr="00FE11A2">
              <w:rPr>
                <w:rFonts w:eastAsia="Arial"/>
                <w:color w:val="FFFFFF" w:themeColor="background1"/>
                <w:sz w:val="20"/>
                <w:szCs w:val="20"/>
              </w:rPr>
              <w:t>Internal Audit</w:t>
            </w:r>
          </w:p>
        </w:tc>
      </w:tr>
      <w:tr w:rsidR="00B7293C" w:rsidRPr="00FE11A2" w14:paraId="2BFADC19" w14:textId="77777777" w:rsidTr="004C3002">
        <w:trPr>
          <w:trHeight w:val="395"/>
        </w:trPr>
        <w:tc>
          <w:tcPr>
            <w:tcW w:w="3051" w:type="dxa"/>
            <w:tcBorders>
              <w:top w:val="single" w:sz="48" w:space="0" w:color="FFFFFF" w:themeColor="background1"/>
              <w:left w:val="single" w:sz="36" w:space="0" w:color="FFFFFF" w:themeColor="background1"/>
              <w:bottom w:val="single" w:sz="48" w:space="0" w:color="FFFFFF" w:themeColor="background1"/>
              <w:right w:val="single" w:sz="48" w:space="0" w:color="FFFFFF" w:themeColor="background1"/>
            </w:tcBorders>
            <w:vAlign w:val="center"/>
          </w:tcPr>
          <w:p w14:paraId="3EEE73E0" w14:textId="77777777" w:rsidR="00B7293C" w:rsidRPr="00FE11A2" w:rsidRDefault="00B7293C" w:rsidP="004C3002">
            <w:pPr>
              <w:pStyle w:val="Tabletext"/>
              <w:rPr>
                <w:rFonts w:eastAsia="Arial"/>
              </w:rPr>
            </w:pPr>
          </w:p>
        </w:tc>
        <w:tc>
          <w:tcPr>
            <w:tcW w:w="3051" w:type="dxa"/>
            <w:tcBorders>
              <w:top w:val="single" w:sz="48" w:space="0" w:color="FFFFFF" w:themeColor="background1"/>
              <w:left w:val="single" w:sz="48" w:space="0" w:color="FFFFFF" w:themeColor="background1"/>
              <w:bottom w:val="single" w:sz="48" w:space="0" w:color="FFFFFF" w:themeColor="background1"/>
              <w:right w:val="single" w:sz="48" w:space="0" w:color="FFFFFF" w:themeColor="background1"/>
            </w:tcBorders>
            <w:shd w:val="clear" w:color="auto" w:fill="A0C3E3" w:themeFill="accent2" w:themeFillTint="99"/>
            <w:vAlign w:val="center"/>
          </w:tcPr>
          <w:p w14:paraId="5CE0210E" w14:textId="77777777" w:rsidR="00B7293C" w:rsidRPr="00FE11A2" w:rsidRDefault="00B7293C" w:rsidP="004C3002">
            <w:pPr>
              <w:pStyle w:val="Tabletext"/>
              <w:rPr>
                <w:rFonts w:eastAsia="Arial"/>
              </w:rPr>
            </w:pPr>
            <w:r w:rsidRPr="00FE11A2">
              <w:rPr>
                <w:rFonts w:eastAsia="Arial"/>
              </w:rPr>
              <w:t>Fraud and Integrity Branch</w:t>
            </w:r>
          </w:p>
        </w:tc>
        <w:tc>
          <w:tcPr>
            <w:tcW w:w="3052" w:type="dxa"/>
            <w:tcBorders>
              <w:top w:val="single" w:sz="48" w:space="0" w:color="FFFFFF" w:themeColor="background1"/>
              <w:left w:val="single" w:sz="48" w:space="0" w:color="FFFFFF" w:themeColor="background1"/>
              <w:bottom w:val="single" w:sz="48" w:space="0" w:color="FFFFFF" w:themeColor="background1"/>
              <w:right w:val="single" w:sz="48" w:space="0" w:color="FFFFFF" w:themeColor="background1"/>
            </w:tcBorders>
            <w:vAlign w:val="center"/>
          </w:tcPr>
          <w:p w14:paraId="1D60F745" w14:textId="77777777" w:rsidR="00B7293C" w:rsidRPr="00FE11A2" w:rsidRDefault="00B7293C" w:rsidP="00B7293C">
            <w:pPr>
              <w:keepNext/>
              <w:keepLines/>
              <w:spacing w:before="0" w:after="60" w:line="260" w:lineRule="atLeast"/>
              <w:jc w:val="center"/>
              <w:rPr>
                <w:rFonts w:eastAsia="Arial"/>
                <w:color w:val="242852" w:themeColor="text2"/>
                <w:sz w:val="20"/>
                <w:szCs w:val="20"/>
              </w:rPr>
            </w:pPr>
          </w:p>
        </w:tc>
      </w:tr>
      <w:tr w:rsidR="00B7293C" w:rsidRPr="00FE11A2" w14:paraId="3787BC3F" w14:textId="77777777" w:rsidTr="004C3002">
        <w:trPr>
          <w:trHeight w:val="389"/>
        </w:trPr>
        <w:tc>
          <w:tcPr>
            <w:tcW w:w="3051" w:type="dxa"/>
            <w:tcBorders>
              <w:top w:val="single" w:sz="48" w:space="0" w:color="FFFFFF" w:themeColor="background1"/>
              <w:left w:val="single" w:sz="36" w:space="0" w:color="FFFFFF" w:themeColor="background1"/>
              <w:bottom w:val="single" w:sz="48" w:space="0" w:color="FFFFFF" w:themeColor="background1"/>
              <w:right w:val="single" w:sz="48" w:space="0" w:color="FFFFFF" w:themeColor="background1"/>
            </w:tcBorders>
            <w:shd w:val="clear" w:color="auto" w:fill="BCD9DE" w:themeFill="accent5" w:themeFillTint="66"/>
            <w:vAlign w:val="center"/>
          </w:tcPr>
          <w:p w14:paraId="51DA703D" w14:textId="77777777" w:rsidR="00B7293C" w:rsidRPr="00FE11A2" w:rsidRDefault="00B7293C" w:rsidP="004C3002">
            <w:pPr>
              <w:pStyle w:val="Tabletext"/>
              <w:rPr>
                <w:rFonts w:eastAsia="Arial"/>
              </w:rPr>
            </w:pPr>
            <w:r w:rsidRPr="00FE11A2">
              <w:rPr>
                <w:rFonts w:eastAsia="Arial"/>
              </w:rPr>
              <w:t>Executive Committee</w:t>
            </w:r>
          </w:p>
        </w:tc>
        <w:tc>
          <w:tcPr>
            <w:tcW w:w="3051" w:type="dxa"/>
            <w:tcBorders>
              <w:top w:val="single" w:sz="48" w:space="0" w:color="FFFFFF" w:themeColor="background1"/>
              <w:left w:val="single" w:sz="36" w:space="0" w:color="FFFFFF" w:themeColor="background1"/>
              <w:bottom w:val="single" w:sz="48" w:space="0" w:color="FFFFFF" w:themeColor="background1"/>
              <w:right w:val="single" w:sz="48" w:space="0" w:color="FFFFFF" w:themeColor="background1"/>
            </w:tcBorders>
            <w:shd w:val="clear" w:color="auto" w:fill="A0C3E3" w:themeFill="accent2" w:themeFillTint="99"/>
            <w:vAlign w:val="center"/>
          </w:tcPr>
          <w:p w14:paraId="4410C71A" w14:textId="77777777" w:rsidR="00B7293C" w:rsidRPr="00FE11A2" w:rsidRDefault="00B7293C" w:rsidP="004C3002">
            <w:pPr>
              <w:pStyle w:val="Tabletext"/>
              <w:rPr>
                <w:rFonts w:eastAsia="Arial"/>
              </w:rPr>
            </w:pPr>
            <w:r w:rsidRPr="00FE11A2">
              <w:rPr>
                <w:rFonts w:eastAsia="Arial"/>
              </w:rPr>
              <w:t>Executive Committee</w:t>
            </w:r>
          </w:p>
        </w:tc>
        <w:tc>
          <w:tcPr>
            <w:tcW w:w="3052" w:type="dxa"/>
            <w:tcBorders>
              <w:top w:val="single" w:sz="48" w:space="0" w:color="FFFFFF" w:themeColor="background1"/>
              <w:left w:val="single" w:sz="48" w:space="0" w:color="FFFFFF" w:themeColor="background1"/>
              <w:bottom w:val="single" w:sz="48" w:space="0" w:color="FFFFFF" w:themeColor="background1"/>
              <w:right w:val="single" w:sz="48" w:space="0" w:color="FFFFFF" w:themeColor="background1"/>
            </w:tcBorders>
            <w:vAlign w:val="center"/>
          </w:tcPr>
          <w:p w14:paraId="52B2FC59" w14:textId="77777777" w:rsidR="00B7293C" w:rsidRPr="00FE11A2" w:rsidRDefault="00B7293C" w:rsidP="00B7293C">
            <w:pPr>
              <w:keepNext/>
              <w:keepLines/>
              <w:spacing w:before="0" w:after="60" w:line="260" w:lineRule="atLeast"/>
              <w:jc w:val="center"/>
              <w:rPr>
                <w:rFonts w:eastAsia="Arial"/>
                <w:color w:val="242852" w:themeColor="text2"/>
                <w:sz w:val="20"/>
                <w:szCs w:val="20"/>
              </w:rPr>
            </w:pPr>
          </w:p>
        </w:tc>
      </w:tr>
      <w:tr w:rsidR="00B7293C" w:rsidRPr="00FE11A2" w14:paraId="550139BB" w14:textId="77777777" w:rsidTr="004C3002">
        <w:trPr>
          <w:trHeight w:val="412"/>
        </w:trPr>
        <w:tc>
          <w:tcPr>
            <w:tcW w:w="3051" w:type="dxa"/>
            <w:tcBorders>
              <w:top w:val="single" w:sz="48" w:space="0" w:color="FFFFFF" w:themeColor="background1"/>
              <w:left w:val="single" w:sz="36" w:space="0" w:color="FFFFFF" w:themeColor="background1"/>
              <w:bottom w:val="single" w:sz="48" w:space="0" w:color="FFFFFF" w:themeColor="background1"/>
              <w:right w:val="single" w:sz="48" w:space="0" w:color="FFFFFF" w:themeColor="background1"/>
            </w:tcBorders>
            <w:vAlign w:val="center"/>
          </w:tcPr>
          <w:p w14:paraId="6D4D9586" w14:textId="77777777" w:rsidR="00B7293C" w:rsidRPr="00FE11A2" w:rsidRDefault="00B7293C" w:rsidP="004C3002">
            <w:pPr>
              <w:pStyle w:val="Tabletext"/>
              <w:rPr>
                <w:rFonts w:eastAsia="Arial"/>
              </w:rPr>
            </w:pPr>
          </w:p>
        </w:tc>
        <w:tc>
          <w:tcPr>
            <w:tcW w:w="3051" w:type="dxa"/>
            <w:tcBorders>
              <w:top w:val="single" w:sz="48" w:space="0" w:color="FFFFFF" w:themeColor="background1"/>
              <w:left w:val="single" w:sz="36" w:space="0" w:color="FFFFFF" w:themeColor="background1"/>
              <w:bottom w:val="single" w:sz="48" w:space="0" w:color="FFFFFF" w:themeColor="background1"/>
              <w:right w:val="single" w:sz="48" w:space="0" w:color="FFFFFF" w:themeColor="background1"/>
            </w:tcBorders>
            <w:shd w:val="clear" w:color="auto" w:fill="A0C3E3" w:themeFill="accent2" w:themeFillTint="99"/>
            <w:vAlign w:val="center"/>
          </w:tcPr>
          <w:p w14:paraId="546E314F" w14:textId="77777777" w:rsidR="00B7293C" w:rsidRPr="00FE11A2" w:rsidRDefault="00B7293C" w:rsidP="004C3002">
            <w:pPr>
              <w:pStyle w:val="Tabletext"/>
              <w:rPr>
                <w:rFonts w:eastAsia="Arial"/>
              </w:rPr>
            </w:pPr>
            <w:r w:rsidRPr="00FE11A2">
              <w:rPr>
                <w:rFonts w:eastAsia="Arial"/>
              </w:rPr>
              <w:t>Audit and Risk Committee</w:t>
            </w:r>
          </w:p>
        </w:tc>
        <w:tc>
          <w:tcPr>
            <w:tcW w:w="3052" w:type="dxa"/>
            <w:tcBorders>
              <w:top w:val="single" w:sz="48" w:space="0" w:color="FFFFFF" w:themeColor="background1"/>
              <w:left w:val="single" w:sz="36" w:space="0" w:color="FFFFFF" w:themeColor="background1"/>
              <w:bottom w:val="single" w:sz="48" w:space="0" w:color="FFFFFF" w:themeColor="background1"/>
              <w:right w:val="single" w:sz="48" w:space="0" w:color="FFFFFF" w:themeColor="background1"/>
            </w:tcBorders>
            <w:shd w:val="clear" w:color="auto" w:fill="072B62" w:themeFill="background2" w:themeFillShade="40"/>
            <w:vAlign w:val="center"/>
          </w:tcPr>
          <w:p w14:paraId="226698D0" w14:textId="77777777" w:rsidR="00B7293C" w:rsidRPr="00FE11A2" w:rsidRDefault="00B7293C" w:rsidP="00B7293C">
            <w:pPr>
              <w:keepNext/>
              <w:keepLines/>
              <w:spacing w:before="0" w:after="60" w:line="260" w:lineRule="atLeast"/>
              <w:jc w:val="center"/>
              <w:rPr>
                <w:rFonts w:eastAsia="Arial"/>
                <w:color w:val="242852" w:themeColor="text2"/>
                <w:sz w:val="20"/>
                <w:szCs w:val="20"/>
              </w:rPr>
            </w:pPr>
            <w:r w:rsidRPr="00FE11A2">
              <w:rPr>
                <w:rFonts w:eastAsia="Arial"/>
                <w:color w:val="FFFFFF" w:themeColor="background1"/>
                <w:sz w:val="20"/>
                <w:szCs w:val="20"/>
              </w:rPr>
              <w:t>Audit and Risk Committee</w:t>
            </w:r>
          </w:p>
        </w:tc>
      </w:tr>
      <w:tr w:rsidR="00B7293C" w:rsidRPr="00FE11A2" w14:paraId="49A2A7B5" w14:textId="77777777" w:rsidTr="004C3002">
        <w:trPr>
          <w:trHeight w:val="420"/>
        </w:trPr>
        <w:tc>
          <w:tcPr>
            <w:tcW w:w="3051" w:type="dxa"/>
            <w:tcBorders>
              <w:top w:val="single" w:sz="48" w:space="0" w:color="FFFFFF" w:themeColor="background1"/>
              <w:left w:val="single" w:sz="36" w:space="0" w:color="FFFFFF" w:themeColor="background1"/>
              <w:bottom w:val="single" w:sz="48" w:space="0" w:color="FFFFFF" w:themeColor="background1"/>
              <w:right w:val="single" w:sz="48" w:space="0" w:color="FFFFFF" w:themeColor="background1"/>
            </w:tcBorders>
            <w:shd w:val="clear" w:color="auto" w:fill="BCD9DE" w:themeFill="accent5" w:themeFillTint="66"/>
            <w:vAlign w:val="center"/>
          </w:tcPr>
          <w:p w14:paraId="2B10906E" w14:textId="77777777" w:rsidR="00B7293C" w:rsidRPr="00FE11A2" w:rsidRDefault="00B7293C" w:rsidP="004C3002">
            <w:pPr>
              <w:pStyle w:val="Tabletext"/>
              <w:rPr>
                <w:rFonts w:eastAsia="Arial"/>
              </w:rPr>
            </w:pPr>
            <w:r w:rsidRPr="00FE11A2">
              <w:rPr>
                <w:rFonts w:eastAsia="Arial"/>
              </w:rPr>
              <w:t>Delivery Committee</w:t>
            </w:r>
          </w:p>
        </w:tc>
        <w:tc>
          <w:tcPr>
            <w:tcW w:w="3051" w:type="dxa"/>
            <w:tcBorders>
              <w:top w:val="single" w:sz="48" w:space="0" w:color="FFFFFF" w:themeColor="background1"/>
              <w:left w:val="single" w:sz="36" w:space="0" w:color="FFFFFF" w:themeColor="background1"/>
              <w:bottom w:val="single" w:sz="48" w:space="0" w:color="FFFFFF" w:themeColor="background1"/>
              <w:right w:val="single" w:sz="48" w:space="0" w:color="FFFFFF" w:themeColor="background1"/>
            </w:tcBorders>
            <w:shd w:val="clear" w:color="auto" w:fill="A0C3E3" w:themeFill="accent2" w:themeFillTint="99"/>
            <w:vAlign w:val="center"/>
          </w:tcPr>
          <w:p w14:paraId="3581891A" w14:textId="77777777" w:rsidR="00B7293C" w:rsidRPr="00FE11A2" w:rsidRDefault="00B7293C" w:rsidP="004C3002">
            <w:pPr>
              <w:pStyle w:val="Tabletext"/>
              <w:rPr>
                <w:rFonts w:eastAsia="Arial"/>
              </w:rPr>
            </w:pPr>
            <w:r w:rsidRPr="00FE11A2">
              <w:rPr>
                <w:rFonts w:eastAsia="Arial"/>
              </w:rPr>
              <w:t>Delivery Committee</w:t>
            </w:r>
          </w:p>
        </w:tc>
        <w:tc>
          <w:tcPr>
            <w:tcW w:w="3052" w:type="dxa"/>
            <w:tcBorders>
              <w:top w:val="single" w:sz="48" w:space="0" w:color="FFFFFF" w:themeColor="background1"/>
              <w:left w:val="single" w:sz="48" w:space="0" w:color="FFFFFF" w:themeColor="background1"/>
              <w:bottom w:val="single" w:sz="48" w:space="0" w:color="FFFFFF" w:themeColor="background1"/>
              <w:right w:val="single" w:sz="48" w:space="0" w:color="FFFFFF" w:themeColor="background1"/>
            </w:tcBorders>
            <w:vAlign w:val="center"/>
          </w:tcPr>
          <w:p w14:paraId="45758CAD" w14:textId="77777777" w:rsidR="00B7293C" w:rsidRPr="00FE11A2" w:rsidRDefault="00B7293C" w:rsidP="00B7293C">
            <w:pPr>
              <w:keepNext/>
              <w:keepLines/>
              <w:spacing w:before="0" w:after="60" w:line="260" w:lineRule="atLeast"/>
              <w:jc w:val="center"/>
              <w:rPr>
                <w:rFonts w:eastAsia="Arial"/>
                <w:color w:val="242852" w:themeColor="text2"/>
                <w:sz w:val="20"/>
                <w:szCs w:val="20"/>
              </w:rPr>
            </w:pPr>
          </w:p>
        </w:tc>
      </w:tr>
      <w:tr w:rsidR="00B7293C" w:rsidRPr="00FE11A2" w14:paraId="17A85BBF" w14:textId="77777777" w:rsidTr="004C3002">
        <w:trPr>
          <w:trHeight w:val="483"/>
        </w:trPr>
        <w:tc>
          <w:tcPr>
            <w:tcW w:w="3051" w:type="dxa"/>
            <w:tcBorders>
              <w:top w:val="single" w:sz="48" w:space="0" w:color="FFFFFF" w:themeColor="background1"/>
              <w:left w:val="single" w:sz="36" w:space="0" w:color="FFFFFF" w:themeColor="background1"/>
              <w:bottom w:val="single" w:sz="48" w:space="0" w:color="FFFFFF" w:themeColor="background1"/>
              <w:right w:val="single" w:sz="48" w:space="0" w:color="FFFFFF" w:themeColor="background1"/>
            </w:tcBorders>
            <w:shd w:val="clear" w:color="auto" w:fill="BCD9DE" w:themeFill="accent5" w:themeFillTint="66"/>
            <w:vAlign w:val="center"/>
          </w:tcPr>
          <w:p w14:paraId="0008A2F3" w14:textId="77777777" w:rsidR="00B7293C" w:rsidRPr="00FE11A2" w:rsidRDefault="00B7293C" w:rsidP="004C3002">
            <w:pPr>
              <w:pStyle w:val="Tabletext"/>
              <w:rPr>
                <w:rFonts w:eastAsia="Arial"/>
              </w:rPr>
            </w:pPr>
            <w:r w:rsidRPr="00FE11A2">
              <w:rPr>
                <w:rFonts w:eastAsia="Arial"/>
              </w:rPr>
              <w:t>Senior Responsible Owners and relevant Governance Boards</w:t>
            </w:r>
          </w:p>
        </w:tc>
        <w:tc>
          <w:tcPr>
            <w:tcW w:w="3051" w:type="dxa"/>
            <w:tcBorders>
              <w:top w:val="single" w:sz="48" w:space="0" w:color="FFFFFF" w:themeColor="background1"/>
              <w:left w:val="single" w:sz="36" w:space="0" w:color="FFFFFF" w:themeColor="background1"/>
              <w:bottom w:val="single" w:sz="48" w:space="0" w:color="FFFFFF" w:themeColor="background1"/>
              <w:right w:val="single" w:sz="48" w:space="0" w:color="FFFFFF" w:themeColor="background1"/>
            </w:tcBorders>
            <w:shd w:val="clear" w:color="auto" w:fill="A0C3E3" w:themeFill="accent2" w:themeFillTint="99"/>
            <w:vAlign w:val="center"/>
          </w:tcPr>
          <w:p w14:paraId="665FEFBC" w14:textId="77777777" w:rsidR="00B7293C" w:rsidRPr="00FE11A2" w:rsidRDefault="00B7293C" w:rsidP="004C3002">
            <w:pPr>
              <w:pStyle w:val="Tabletext"/>
              <w:rPr>
                <w:rFonts w:eastAsia="Arial"/>
              </w:rPr>
            </w:pPr>
            <w:r w:rsidRPr="00FE11A2">
              <w:rPr>
                <w:rFonts w:eastAsia="Arial"/>
              </w:rPr>
              <w:t>Senior Responsible Owners and relevant Governance Boards</w:t>
            </w:r>
          </w:p>
        </w:tc>
        <w:tc>
          <w:tcPr>
            <w:tcW w:w="3052" w:type="dxa"/>
            <w:tcBorders>
              <w:top w:val="single" w:sz="48" w:space="0" w:color="FFFFFF" w:themeColor="background1"/>
              <w:left w:val="single" w:sz="48" w:space="0" w:color="FFFFFF" w:themeColor="background1"/>
              <w:bottom w:val="single" w:sz="48" w:space="0" w:color="FFFFFF" w:themeColor="background1"/>
              <w:right w:val="single" w:sz="48" w:space="0" w:color="FFFFFF" w:themeColor="background1"/>
            </w:tcBorders>
            <w:vAlign w:val="center"/>
          </w:tcPr>
          <w:p w14:paraId="097CE6A1" w14:textId="77777777" w:rsidR="00B7293C" w:rsidRPr="00FE11A2" w:rsidRDefault="00B7293C" w:rsidP="00B7293C">
            <w:pPr>
              <w:keepNext/>
              <w:keepLines/>
              <w:spacing w:before="0" w:after="60" w:line="260" w:lineRule="atLeast"/>
              <w:jc w:val="center"/>
              <w:rPr>
                <w:rFonts w:eastAsia="Arial"/>
                <w:color w:val="242852" w:themeColor="text2"/>
                <w:sz w:val="20"/>
                <w:szCs w:val="20"/>
              </w:rPr>
            </w:pPr>
          </w:p>
        </w:tc>
      </w:tr>
      <w:tr w:rsidR="00B7293C" w:rsidRPr="00FE11A2" w14:paraId="6C70D6B9" w14:textId="77777777" w:rsidTr="004C3002">
        <w:trPr>
          <w:trHeight w:val="367"/>
        </w:trPr>
        <w:tc>
          <w:tcPr>
            <w:tcW w:w="3051" w:type="dxa"/>
            <w:tcBorders>
              <w:top w:val="single" w:sz="48" w:space="0" w:color="FFFFFF" w:themeColor="background1"/>
              <w:left w:val="single" w:sz="36" w:space="0" w:color="FFFFFF"/>
              <w:bottom w:val="single" w:sz="48" w:space="0" w:color="FFFFFF" w:themeColor="background1"/>
              <w:right w:val="single" w:sz="48" w:space="0" w:color="595959" w:themeColor="text1" w:themeTint="A6"/>
            </w:tcBorders>
            <w:shd w:val="clear" w:color="auto" w:fill="595959" w:themeFill="text1" w:themeFillTint="A6"/>
            <w:vAlign w:val="center"/>
          </w:tcPr>
          <w:p w14:paraId="30D47D23" w14:textId="77777777" w:rsidR="00B7293C" w:rsidRPr="00FE11A2" w:rsidRDefault="00B7293C" w:rsidP="00B7293C">
            <w:pPr>
              <w:keepNext/>
              <w:keepLines/>
              <w:spacing w:before="0" w:after="60" w:line="260" w:lineRule="atLeast"/>
              <w:jc w:val="center"/>
              <w:rPr>
                <w:rFonts w:eastAsia="Arial"/>
                <w:b/>
                <w:color w:val="FFFFFF" w:themeColor="background1"/>
                <w:sz w:val="20"/>
                <w:szCs w:val="20"/>
              </w:rPr>
            </w:pPr>
          </w:p>
        </w:tc>
        <w:tc>
          <w:tcPr>
            <w:tcW w:w="3051" w:type="dxa"/>
            <w:tcBorders>
              <w:top w:val="single" w:sz="48" w:space="0" w:color="FFFFFF" w:themeColor="background1"/>
              <w:left w:val="single" w:sz="48" w:space="0" w:color="595959" w:themeColor="text1" w:themeTint="A6"/>
              <w:bottom w:val="single" w:sz="48" w:space="0" w:color="FFFFFF" w:themeColor="background1"/>
              <w:right w:val="single" w:sz="48" w:space="0" w:color="595959" w:themeColor="text1" w:themeTint="A6"/>
            </w:tcBorders>
            <w:shd w:val="clear" w:color="auto" w:fill="595959" w:themeFill="text1" w:themeFillTint="A6"/>
            <w:vAlign w:val="center"/>
          </w:tcPr>
          <w:p w14:paraId="62D17DE1" w14:textId="77777777" w:rsidR="00B7293C" w:rsidRPr="00FE11A2" w:rsidRDefault="00B7293C" w:rsidP="004C3002">
            <w:pPr>
              <w:pStyle w:val="TableHeaderWhite"/>
            </w:pPr>
            <w:r w:rsidRPr="00FE11A2">
              <w:t>External</w:t>
            </w:r>
          </w:p>
        </w:tc>
        <w:tc>
          <w:tcPr>
            <w:tcW w:w="3052" w:type="dxa"/>
            <w:tcBorders>
              <w:top w:val="single" w:sz="48" w:space="0" w:color="FFFFFF" w:themeColor="background1"/>
              <w:left w:val="single" w:sz="48" w:space="0" w:color="595959" w:themeColor="text1" w:themeTint="A6"/>
              <w:bottom w:val="single" w:sz="48" w:space="0" w:color="FFFFFF" w:themeColor="background1"/>
              <w:right w:val="single" w:sz="48" w:space="0" w:color="FFFFFF" w:themeColor="background1"/>
            </w:tcBorders>
            <w:shd w:val="clear" w:color="auto" w:fill="595959" w:themeFill="text1" w:themeFillTint="A6"/>
            <w:vAlign w:val="center"/>
          </w:tcPr>
          <w:p w14:paraId="19D71C99" w14:textId="77777777" w:rsidR="00B7293C" w:rsidRPr="00FE11A2" w:rsidRDefault="00B7293C" w:rsidP="00B7293C">
            <w:pPr>
              <w:keepNext/>
              <w:keepLines/>
              <w:spacing w:before="0" w:after="60" w:line="260" w:lineRule="atLeast"/>
              <w:jc w:val="center"/>
              <w:rPr>
                <w:rFonts w:eastAsia="Arial"/>
                <w:b/>
                <w:color w:val="FFFFFF" w:themeColor="background1"/>
                <w:sz w:val="20"/>
                <w:szCs w:val="20"/>
              </w:rPr>
            </w:pPr>
          </w:p>
        </w:tc>
      </w:tr>
      <w:tr w:rsidR="00B7293C" w:rsidRPr="00FE11A2" w14:paraId="619FB16F" w14:textId="77777777" w:rsidTr="004C3002">
        <w:trPr>
          <w:trHeight w:val="334"/>
        </w:trPr>
        <w:tc>
          <w:tcPr>
            <w:tcW w:w="3051" w:type="dxa"/>
            <w:tcBorders>
              <w:top w:val="single" w:sz="48" w:space="0" w:color="FFFFFF" w:themeColor="background1"/>
              <w:left w:val="single" w:sz="36" w:space="0" w:color="FFFFFF"/>
              <w:bottom w:val="single" w:sz="48" w:space="0" w:color="FFFFFF" w:themeColor="background1"/>
              <w:right w:val="single" w:sz="48" w:space="0" w:color="FFFFFF" w:themeColor="background1"/>
            </w:tcBorders>
            <w:shd w:val="clear" w:color="auto" w:fill="BCD9DE" w:themeFill="accent5" w:themeFillTint="66"/>
            <w:vAlign w:val="center"/>
          </w:tcPr>
          <w:p w14:paraId="3FEA5970" w14:textId="77777777" w:rsidR="00B7293C" w:rsidRPr="00FE11A2" w:rsidDel="00A04916" w:rsidRDefault="00B7293C" w:rsidP="004C3002">
            <w:pPr>
              <w:pStyle w:val="Tabletext"/>
              <w:rPr>
                <w:rFonts w:eastAsia="Arial"/>
              </w:rPr>
            </w:pPr>
            <w:r w:rsidRPr="00FE11A2">
              <w:rPr>
                <w:rFonts w:eastAsia="Arial"/>
              </w:rPr>
              <w:t>Providers</w:t>
            </w:r>
          </w:p>
        </w:tc>
        <w:tc>
          <w:tcPr>
            <w:tcW w:w="3051" w:type="dxa"/>
            <w:tcBorders>
              <w:top w:val="single" w:sz="48" w:space="0" w:color="FFFFFF" w:themeColor="background1"/>
              <w:left w:val="single" w:sz="48" w:space="0" w:color="FFFFFF" w:themeColor="background1"/>
              <w:bottom w:val="single" w:sz="48" w:space="0" w:color="FFFFFF" w:themeColor="background1"/>
              <w:right w:val="single" w:sz="48" w:space="0" w:color="FFFFFF" w:themeColor="background1"/>
            </w:tcBorders>
            <w:vAlign w:val="center"/>
          </w:tcPr>
          <w:p w14:paraId="1C75FCA0" w14:textId="77777777" w:rsidR="00B7293C" w:rsidRPr="00FE11A2" w:rsidRDefault="00B7293C" w:rsidP="004C3002">
            <w:pPr>
              <w:pStyle w:val="Tabletext"/>
              <w:rPr>
                <w:rFonts w:eastAsia="Arial"/>
              </w:rPr>
            </w:pPr>
          </w:p>
        </w:tc>
        <w:tc>
          <w:tcPr>
            <w:tcW w:w="3052" w:type="dxa"/>
            <w:tcBorders>
              <w:top w:val="single" w:sz="48" w:space="0" w:color="FFFFFF" w:themeColor="background1"/>
              <w:left w:val="single" w:sz="48" w:space="0" w:color="FFFFFF" w:themeColor="background1"/>
              <w:bottom w:val="single" w:sz="48" w:space="0" w:color="FFFFFF" w:themeColor="background1"/>
              <w:right w:val="single" w:sz="48" w:space="0" w:color="FFFFFF" w:themeColor="background1"/>
            </w:tcBorders>
            <w:shd w:val="clear" w:color="auto" w:fill="072B62" w:themeFill="background2" w:themeFillShade="40"/>
            <w:vAlign w:val="center"/>
          </w:tcPr>
          <w:p w14:paraId="75693EEB" w14:textId="77777777" w:rsidR="00B7293C" w:rsidRPr="00FE11A2" w:rsidRDefault="00B7293C" w:rsidP="00B7293C">
            <w:pPr>
              <w:keepNext/>
              <w:keepLines/>
              <w:spacing w:before="0" w:after="60" w:line="260" w:lineRule="atLeast"/>
              <w:jc w:val="center"/>
              <w:rPr>
                <w:rFonts w:eastAsia="Arial"/>
                <w:color w:val="242852" w:themeColor="text2"/>
                <w:sz w:val="20"/>
                <w:szCs w:val="20"/>
              </w:rPr>
            </w:pPr>
            <w:r w:rsidRPr="00FE11A2">
              <w:rPr>
                <w:rFonts w:eastAsia="Arial"/>
                <w:color w:val="FFFFFF" w:themeColor="background1"/>
                <w:sz w:val="20"/>
                <w:szCs w:val="20"/>
              </w:rPr>
              <w:t>External Assurance</w:t>
            </w:r>
          </w:p>
        </w:tc>
      </w:tr>
      <w:tr w:rsidR="00B7293C" w:rsidRPr="00FE11A2" w14:paraId="2E683F36" w14:textId="77777777" w:rsidTr="004C3002">
        <w:trPr>
          <w:trHeight w:val="356"/>
        </w:trPr>
        <w:tc>
          <w:tcPr>
            <w:tcW w:w="3051" w:type="dxa"/>
            <w:tcBorders>
              <w:top w:val="single" w:sz="48" w:space="0" w:color="FFFFFF" w:themeColor="background1"/>
              <w:left w:val="single" w:sz="36" w:space="0" w:color="FFFFFF"/>
              <w:bottom w:val="single" w:sz="48" w:space="0" w:color="FFFFFF" w:themeColor="background1"/>
              <w:right w:val="single" w:sz="48" w:space="0" w:color="FFFFFF" w:themeColor="background1"/>
            </w:tcBorders>
            <w:shd w:val="clear" w:color="auto" w:fill="BCD9DE" w:themeFill="accent5" w:themeFillTint="66"/>
            <w:vAlign w:val="center"/>
          </w:tcPr>
          <w:p w14:paraId="4666D71A" w14:textId="77777777" w:rsidR="00B7293C" w:rsidRPr="00FE11A2" w:rsidDel="00A04916" w:rsidRDefault="00B7293C" w:rsidP="004C3002">
            <w:pPr>
              <w:pStyle w:val="Tabletext"/>
              <w:rPr>
                <w:rFonts w:eastAsia="Arial"/>
              </w:rPr>
            </w:pPr>
            <w:r w:rsidRPr="00FE11A2">
              <w:rPr>
                <w:rFonts w:eastAsia="Arial"/>
              </w:rPr>
              <w:t>Services Australia</w:t>
            </w:r>
          </w:p>
        </w:tc>
        <w:tc>
          <w:tcPr>
            <w:tcW w:w="3051" w:type="dxa"/>
            <w:tcBorders>
              <w:top w:val="single" w:sz="48" w:space="0" w:color="FFFFFF" w:themeColor="background1"/>
              <w:left w:val="single" w:sz="48" w:space="0" w:color="FFFFFF" w:themeColor="background1"/>
              <w:bottom w:val="single" w:sz="48" w:space="0" w:color="FFFFFF" w:themeColor="background1"/>
              <w:right w:val="single" w:sz="48" w:space="0" w:color="FFFFFF" w:themeColor="background1"/>
            </w:tcBorders>
            <w:vAlign w:val="center"/>
          </w:tcPr>
          <w:p w14:paraId="7256C9DF" w14:textId="77777777" w:rsidR="00B7293C" w:rsidRPr="00FE11A2" w:rsidRDefault="00B7293C" w:rsidP="004C3002">
            <w:pPr>
              <w:pStyle w:val="Tabletext"/>
              <w:rPr>
                <w:rFonts w:eastAsia="Arial"/>
              </w:rPr>
            </w:pPr>
          </w:p>
        </w:tc>
        <w:tc>
          <w:tcPr>
            <w:tcW w:w="3052" w:type="dxa"/>
            <w:tcBorders>
              <w:top w:val="single" w:sz="48" w:space="0" w:color="FFFFFF" w:themeColor="background1"/>
              <w:left w:val="single" w:sz="48" w:space="0" w:color="FFFFFF" w:themeColor="background1"/>
              <w:bottom w:val="single" w:sz="48" w:space="0" w:color="FFFFFF" w:themeColor="background1"/>
              <w:right w:val="single" w:sz="48" w:space="0" w:color="FFFFFF" w:themeColor="background1"/>
            </w:tcBorders>
            <w:vAlign w:val="center"/>
          </w:tcPr>
          <w:p w14:paraId="068B7084" w14:textId="77777777" w:rsidR="00B7293C" w:rsidRPr="00FE11A2" w:rsidRDefault="00B7293C" w:rsidP="00B7293C">
            <w:pPr>
              <w:keepNext/>
              <w:keepLines/>
              <w:spacing w:before="0" w:after="60" w:line="260" w:lineRule="atLeast"/>
              <w:jc w:val="center"/>
              <w:rPr>
                <w:rFonts w:eastAsia="Arial"/>
                <w:color w:val="242852" w:themeColor="text2"/>
                <w:sz w:val="20"/>
                <w:szCs w:val="20"/>
              </w:rPr>
            </w:pPr>
          </w:p>
        </w:tc>
      </w:tr>
      <w:tr w:rsidR="00B7293C" w:rsidRPr="00FE11A2" w14:paraId="3779FEDD" w14:textId="77777777" w:rsidTr="004C3002">
        <w:trPr>
          <w:cantSplit/>
          <w:trHeight w:val="419"/>
        </w:trPr>
        <w:tc>
          <w:tcPr>
            <w:tcW w:w="3051" w:type="dxa"/>
            <w:tcBorders>
              <w:top w:val="single" w:sz="48" w:space="0" w:color="FFFFFF" w:themeColor="background1"/>
              <w:left w:val="single" w:sz="36" w:space="0" w:color="FFFFFF"/>
              <w:bottom w:val="single" w:sz="48" w:space="0" w:color="FFFFFF" w:themeColor="background1"/>
              <w:right w:val="single" w:sz="48" w:space="0" w:color="595959" w:themeColor="text1" w:themeTint="A6"/>
            </w:tcBorders>
            <w:shd w:val="clear" w:color="auto" w:fill="595959" w:themeFill="text1" w:themeFillTint="A6"/>
            <w:vAlign w:val="center"/>
          </w:tcPr>
          <w:p w14:paraId="704DCA7D" w14:textId="77777777" w:rsidR="00B7293C" w:rsidRPr="00FE11A2" w:rsidRDefault="00B7293C" w:rsidP="00B7293C">
            <w:pPr>
              <w:keepNext/>
              <w:keepLines/>
              <w:spacing w:before="0" w:after="60" w:line="260" w:lineRule="atLeast"/>
              <w:jc w:val="center"/>
              <w:rPr>
                <w:rFonts w:eastAsia="Arial"/>
                <w:b/>
                <w:color w:val="FFFFFF" w:themeColor="background1"/>
                <w:sz w:val="20"/>
                <w:szCs w:val="20"/>
              </w:rPr>
            </w:pPr>
          </w:p>
        </w:tc>
        <w:tc>
          <w:tcPr>
            <w:tcW w:w="3051" w:type="dxa"/>
            <w:tcBorders>
              <w:top w:val="single" w:sz="48" w:space="0" w:color="FFFFFF" w:themeColor="background1"/>
              <w:left w:val="single" w:sz="48" w:space="0" w:color="595959" w:themeColor="text1" w:themeTint="A6"/>
              <w:bottom w:val="single" w:sz="48" w:space="0" w:color="FFFFFF" w:themeColor="background1"/>
              <w:right w:val="single" w:sz="48" w:space="0" w:color="595959" w:themeColor="text1" w:themeTint="A6"/>
            </w:tcBorders>
            <w:shd w:val="clear" w:color="auto" w:fill="595959" w:themeFill="text1" w:themeFillTint="A6"/>
            <w:vAlign w:val="center"/>
          </w:tcPr>
          <w:p w14:paraId="735E0F60" w14:textId="77777777" w:rsidR="00B7293C" w:rsidRPr="00FE11A2" w:rsidRDefault="00B7293C" w:rsidP="004C3002">
            <w:pPr>
              <w:pStyle w:val="TableHeaderWhite"/>
            </w:pPr>
            <w:r w:rsidRPr="00FE11A2">
              <w:t>Regulators</w:t>
            </w:r>
          </w:p>
        </w:tc>
        <w:tc>
          <w:tcPr>
            <w:tcW w:w="3052" w:type="dxa"/>
            <w:tcBorders>
              <w:top w:val="single" w:sz="48" w:space="0" w:color="FFFFFF" w:themeColor="background1"/>
              <w:left w:val="single" w:sz="48" w:space="0" w:color="595959" w:themeColor="text1" w:themeTint="A6"/>
              <w:bottom w:val="single" w:sz="48" w:space="0" w:color="FFFFFF" w:themeColor="background1"/>
              <w:right w:val="single" w:sz="48" w:space="0" w:color="FFFFFF" w:themeColor="background1"/>
            </w:tcBorders>
            <w:shd w:val="clear" w:color="auto" w:fill="595959" w:themeFill="text1" w:themeFillTint="A6"/>
            <w:vAlign w:val="center"/>
          </w:tcPr>
          <w:p w14:paraId="7A80BA5A" w14:textId="77777777" w:rsidR="00B7293C" w:rsidRPr="00FE11A2" w:rsidRDefault="00B7293C" w:rsidP="00B7293C">
            <w:pPr>
              <w:keepNext/>
              <w:keepLines/>
              <w:spacing w:before="0" w:after="60" w:line="260" w:lineRule="atLeast"/>
              <w:jc w:val="center"/>
              <w:rPr>
                <w:rFonts w:eastAsia="Arial"/>
                <w:b/>
                <w:color w:val="FFFFFF" w:themeColor="background1"/>
                <w:sz w:val="20"/>
                <w:szCs w:val="20"/>
              </w:rPr>
            </w:pPr>
          </w:p>
        </w:tc>
      </w:tr>
      <w:tr w:rsidR="00B7293C" w:rsidRPr="00FE11A2" w14:paraId="5F9149C8" w14:textId="77777777" w:rsidTr="004C3002">
        <w:trPr>
          <w:cantSplit/>
          <w:trHeight w:val="1266"/>
        </w:trPr>
        <w:tc>
          <w:tcPr>
            <w:tcW w:w="3051" w:type="dxa"/>
            <w:tcBorders>
              <w:top w:val="single" w:sz="48" w:space="0" w:color="FFFFFF" w:themeColor="background1"/>
              <w:left w:val="single" w:sz="36" w:space="0" w:color="FFFFFF"/>
              <w:bottom w:val="single" w:sz="48" w:space="0" w:color="FFFFFF" w:themeColor="background1"/>
              <w:right w:val="single" w:sz="48" w:space="0" w:color="FFFFFF" w:themeColor="background1"/>
            </w:tcBorders>
            <w:shd w:val="clear" w:color="auto" w:fill="BCD9DE" w:themeFill="accent5" w:themeFillTint="66"/>
            <w:vAlign w:val="center"/>
          </w:tcPr>
          <w:p w14:paraId="5E333AFA" w14:textId="77777777" w:rsidR="00B7293C" w:rsidRPr="00FE11A2" w:rsidRDefault="00B7293C" w:rsidP="00B7293C">
            <w:pPr>
              <w:keepNext/>
              <w:keepLines/>
              <w:spacing w:before="0" w:after="60" w:line="260" w:lineRule="atLeast"/>
              <w:jc w:val="center"/>
              <w:rPr>
                <w:rFonts w:eastAsia="Arial"/>
                <w:color w:val="242852" w:themeColor="text2"/>
                <w:sz w:val="20"/>
                <w:szCs w:val="20"/>
              </w:rPr>
            </w:pPr>
            <w:r w:rsidRPr="00FE11A2">
              <w:rPr>
                <w:rFonts w:eastAsia="Arial"/>
                <w:color w:val="242852" w:themeColor="text2"/>
                <w:sz w:val="20"/>
                <w:szCs w:val="20"/>
              </w:rPr>
              <w:t>Aged Care Quality and Safety Commission and other Regulators</w:t>
            </w:r>
          </w:p>
        </w:tc>
        <w:tc>
          <w:tcPr>
            <w:tcW w:w="3051" w:type="dxa"/>
            <w:tcBorders>
              <w:top w:val="single" w:sz="48" w:space="0" w:color="FFFFFF" w:themeColor="background1"/>
              <w:left w:val="single" w:sz="36" w:space="0" w:color="FFFFFF"/>
              <w:bottom w:val="single" w:sz="48" w:space="0" w:color="FFFFFF" w:themeColor="background1"/>
              <w:right w:val="single" w:sz="48" w:space="0" w:color="FFFFFF" w:themeColor="background1"/>
            </w:tcBorders>
            <w:shd w:val="clear" w:color="auto" w:fill="A0C3E3" w:themeFill="accent2" w:themeFillTint="99"/>
            <w:vAlign w:val="center"/>
          </w:tcPr>
          <w:p w14:paraId="6E6A68BA" w14:textId="77777777" w:rsidR="00B7293C" w:rsidRPr="00FE11A2" w:rsidRDefault="00B7293C" w:rsidP="00B7293C">
            <w:pPr>
              <w:keepNext/>
              <w:keepLines/>
              <w:spacing w:before="0" w:after="60" w:line="260" w:lineRule="atLeast"/>
              <w:jc w:val="center"/>
              <w:rPr>
                <w:rFonts w:eastAsia="Arial"/>
                <w:color w:val="242852" w:themeColor="text2"/>
                <w:sz w:val="20"/>
                <w:szCs w:val="20"/>
              </w:rPr>
            </w:pPr>
            <w:r w:rsidRPr="00FE11A2">
              <w:rPr>
                <w:rFonts w:eastAsia="Arial"/>
                <w:color w:val="242852" w:themeColor="text2"/>
                <w:sz w:val="20"/>
                <w:szCs w:val="20"/>
              </w:rPr>
              <w:t>Aged Care Quality and Safety Commission and other Regulators</w:t>
            </w:r>
          </w:p>
        </w:tc>
        <w:tc>
          <w:tcPr>
            <w:tcW w:w="3052" w:type="dxa"/>
            <w:tcBorders>
              <w:top w:val="single" w:sz="48" w:space="0" w:color="FFFFFF" w:themeColor="background1"/>
              <w:left w:val="single" w:sz="36" w:space="0" w:color="FFFFFF"/>
              <w:bottom w:val="single" w:sz="48" w:space="0" w:color="FFFFFF" w:themeColor="background1"/>
              <w:right w:val="single" w:sz="48" w:space="0" w:color="FFFFFF" w:themeColor="background1"/>
            </w:tcBorders>
            <w:shd w:val="clear" w:color="auto" w:fill="072B62" w:themeFill="background2" w:themeFillShade="40"/>
            <w:vAlign w:val="center"/>
          </w:tcPr>
          <w:p w14:paraId="03409498" w14:textId="77777777" w:rsidR="00B7293C" w:rsidRPr="00FE11A2" w:rsidRDefault="00B7293C" w:rsidP="00B7293C">
            <w:pPr>
              <w:keepNext/>
              <w:keepLines/>
              <w:spacing w:before="0" w:after="60" w:line="260" w:lineRule="atLeast"/>
              <w:jc w:val="center"/>
              <w:rPr>
                <w:rFonts w:eastAsia="Arial"/>
                <w:color w:val="242852" w:themeColor="text2"/>
                <w:sz w:val="20"/>
                <w:szCs w:val="20"/>
              </w:rPr>
            </w:pPr>
            <w:r w:rsidRPr="00FE11A2">
              <w:rPr>
                <w:rFonts w:eastAsia="Arial"/>
                <w:color w:val="FFFFFF" w:themeColor="background1"/>
                <w:sz w:val="20"/>
                <w:szCs w:val="20"/>
              </w:rPr>
              <w:t>Aged Care Quality and Safety Commission and other Regulators</w:t>
            </w:r>
          </w:p>
        </w:tc>
      </w:tr>
    </w:tbl>
    <w:p w14:paraId="6BFE41A2" w14:textId="14A9AFD3" w:rsidR="00F35CAC" w:rsidRPr="00F35CAC" w:rsidRDefault="005A49D1" w:rsidP="005A49D1">
      <w:pPr>
        <w:pStyle w:val="Caption"/>
        <w:rPr>
          <w:sz w:val="24"/>
          <w:szCs w:val="24"/>
        </w:rPr>
      </w:pPr>
      <w:r>
        <w:t xml:space="preserve">Figure </w:t>
      </w:r>
      <w:r>
        <w:fldChar w:fldCharType="begin"/>
      </w:r>
      <w:r>
        <w:instrText xml:space="preserve"> SEQ Figure \* ARABIC </w:instrText>
      </w:r>
      <w:r>
        <w:fldChar w:fldCharType="separate"/>
      </w:r>
      <w:r w:rsidR="00A279BA">
        <w:rPr>
          <w:noProof/>
        </w:rPr>
        <w:t>6</w:t>
      </w:r>
      <w:r>
        <w:fldChar w:fldCharType="end"/>
      </w:r>
      <w:r w:rsidR="00F35CAC" w:rsidRPr="005A49D1">
        <w:t>: Overview of the Three Lines Model in the context of Support at Home</w:t>
      </w:r>
    </w:p>
    <w:p w14:paraId="2EDAEAE9" w14:textId="5283B577" w:rsidR="008D2E30" w:rsidRPr="00E57DCF" w:rsidRDefault="008D2E30" w:rsidP="00E57DCF">
      <w:pPr>
        <w:rPr>
          <w:iCs/>
        </w:rPr>
      </w:pPr>
      <w:r w:rsidRPr="00E57DCF">
        <w:rPr>
          <w:iCs/>
        </w:rPr>
        <w:t xml:space="preserve">For assurance to best achieve its purpose, information needs to be effectively communicated between key </w:t>
      </w:r>
      <w:r w:rsidRPr="00950C1E">
        <w:rPr>
          <w:iCs/>
        </w:rPr>
        <w:t>stakeholders across the three lines. For this assurance framework, all relevant assurance information needs to be shared with the System Governor</w:t>
      </w:r>
      <w:r w:rsidR="0022452A" w:rsidRPr="00950C1E">
        <w:rPr>
          <w:iCs/>
        </w:rPr>
        <w:t xml:space="preserve">. </w:t>
      </w:r>
      <w:r w:rsidR="00AA167B" w:rsidRPr="00950C1E">
        <w:rPr>
          <w:iCs/>
        </w:rPr>
        <w:t>This</w:t>
      </w:r>
      <w:r w:rsidRPr="00950C1E">
        <w:rPr>
          <w:iCs/>
        </w:rPr>
        <w:t xml:space="preserve"> support</w:t>
      </w:r>
      <w:r w:rsidR="008B1100" w:rsidRPr="00950C1E">
        <w:rPr>
          <w:iCs/>
        </w:rPr>
        <w:t xml:space="preserve">s </w:t>
      </w:r>
      <w:r w:rsidRPr="00950C1E">
        <w:rPr>
          <w:iCs/>
        </w:rPr>
        <w:t xml:space="preserve">effective execution of </w:t>
      </w:r>
      <w:r w:rsidR="0066593B" w:rsidRPr="00950C1E">
        <w:rPr>
          <w:iCs/>
        </w:rPr>
        <w:t xml:space="preserve">the </w:t>
      </w:r>
      <w:r w:rsidR="00950C1E" w:rsidRPr="00950C1E">
        <w:rPr>
          <w:iCs/>
        </w:rPr>
        <w:t xml:space="preserve">System </w:t>
      </w:r>
      <w:r w:rsidR="0066593B" w:rsidRPr="00950C1E">
        <w:rPr>
          <w:iCs/>
        </w:rPr>
        <w:t xml:space="preserve">Governor’s </w:t>
      </w:r>
      <w:r w:rsidRPr="00950C1E">
        <w:rPr>
          <w:iCs/>
        </w:rPr>
        <w:t>role in upholding the integrity of the aged care system.</w:t>
      </w:r>
    </w:p>
    <w:p w14:paraId="1F72B21B" w14:textId="21D56668" w:rsidR="008D2E30" w:rsidRPr="00E57DCF" w:rsidRDefault="008D2E30" w:rsidP="00E57DCF">
      <w:pPr>
        <w:rPr>
          <w:iCs/>
        </w:rPr>
      </w:pPr>
      <w:r w:rsidRPr="00E57DCF">
        <w:rPr>
          <w:iCs/>
        </w:rPr>
        <w:t xml:space="preserve">This assurance framework primarily focuses on the second line activities conducted by </w:t>
      </w:r>
      <w:r w:rsidR="00370E9C">
        <w:rPr>
          <w:iCs/>
        </w:rPr>
        <w:t xml:space="preserve">the </w:t>
      </w:r>
      <w:r w:rsidRPr="00E57DCF">
        <w:rPr>
          <w:iCs/>
        </w:rPr>
        <w:t>Provider Payments Assurance Branch. It also considers all other assurance roles within the aged care system to ensure a coordinated approach. In addition to the Support at Home Policy and Operations Branch, the department relies on providers and Services Australia to conduct and be accountable for first line assurance relating to their areas of responsibility.</w:t>
      </w:r>
    </w:p>
    <w:p w14:paraId="0E2777E6" w14:textId="77777777" w:rsidR="008D2E30" w:rsidRDefault="008D2E30" w:rsidP="008D2E30">
      <w:pPr>
        <w:pStyle w:val="Heading2"/>
      </w:pPr>
      <w:bookmarkStart w:id="56" w:name="_Toc210125811"/>
      <w:bookmarkStart w:id="57" w:name="_Toc210388298"/>
      <w:bookmarkStart w:id="58" w:name="_Toc223509388"/>
      <w:r>
        <w:t>Assurance roles and responsibilities</w:t>
      </w:r>
      <w:bookmarkEnd w:id="56"/>
      <w:bookmarkEnd w:id="57"/>
      <w:bookmarkEnd w:id="58"/>
    </w:p>
    <w:p w14:paraId="1B2F6DFA" w14:textId="12C664E6" w:rsidR="008D2E30" w:rsidRPr="00E57DCF" w:rsidRDefault="008D2E30" w:rsidP="00E57DCF">
      <w:pPr>
        <w:rPr>
          <w:iCs/>
        </w:rPr>
      </w:pPr>
      <w:r w:rsidRPr="00E57DCF">
        <w:rPr>
          <w:iCs/>
        </w:rPr>
        <w:t>Table 2 outlines the roles and responsibilities of key stakeholders as they relate to this assurance framework.</w:t>
      </w:r>
    </w:p>
    <w:p w14:paraId="1D7F6991" w14:textId="3E24FB15" w:rsidR="008D2E30" w:rsidRPr="00655076" w:rsidRDefault="004C3002" w:rsidP="004C3002">
      <w:pPr>
        <w:pStyle w:val="Caption"/>
        <w:rPr>
          <w:b w:val="0"/>
          <w:bCs w:val="0"/>
        </w:rPr>
      </w:pPr>
      <w:r>
        <w:t xml:space="preserve">Table </w:t>
      </w:r>
      <w:r>
        <w:fldChar w:fldCharType="begin"/>
      </w:r>
      <w:r>
        <w:instrText xml:space="preserve"> SEQ Table \* ARABIC </w:instrText>
      </w:r>
      <w:r>
        <w:fldChar w:fldCharType="separate"/>
      </w:r>
      <w:r>
        <w:rPr>
          <w:noProof/>
        </w:rPr>
        <w:t>2</w:t>
      </w:r>
      <w:r>
        <w:fldChar w:fldCharType="end"/>
      </w:r>
      <w:r w:rsidR="008D2E30" w:rsidRPr="00655076">
        <w:t>: Assurance roles and responsibilities</w:t>
      </w:r>
    </w:p>
    <w:p w14:paraId="16A562B8" w14:textId="77777777" w:rsidR="001A04AC" w:rsidRPr="00655076" w:rsidRDefault="001A04AC" w:rsidP="00E711CB">
      <w:pPr>
        <w:pStyle w:val="TableHeader"/>
        <w:rPr>
          <w:color w:val="002060"/>
        </w:rPr>
      </w:pPr>
      <w:r w:rsidRPr="00655076">
        <w:rPr>
          <w:color w:val="002060"/>
        </w:rPr>
        <w:t>Department of Health, Disability and Ageing</w:t>
      </w:r>
    </w:p>
    <w:tbl>
      <w:tblPr>
        <w:tblStyle w:val="DepartmentofHealthtable"/>
        <w:tblW w:w="9072" w:type="dxa"/>
        <w:tblLook w:val="04A0" w:firstRow="1" w:lastRow="0" w:firstColumn="1" w:lastColumn="0" w:noHBand="0" w:noVBand="1"/>
      </w:tblPr>
      <w:tblGrid>
        <w:gridCol w:w="1843"/>
        <w:gridCol w:w="7229"/>
      </w:tblGrid>
      <w:tr w:rsidR="008D2E30" w:rsidRPr="009F7F48" w14:paraId="32F2FE7F" w14:textId="77777777" w:rsidTr="004C3002">
        <w:trPr>
          <w:cnfStyle w:val="100000000000" w:firstRow="1" w:lastRow="0" w:firstColumn="0" w:lastColumn="0" w:oddVBand="0" w:evenVBand="0" w:oddHBand="0" w:evenHBand="0" w:firstRowFirstColumn="0" w:firstRowLastColumn="0" w:lastRowFirstColumn="0" w:lastRowLastColumn="0"/>
          <w:trHeight w:val="495"/>
          <w:tblHeader/>
        </w:trPr>
        <w:tc>
          <w:tcPr>
            <w:cnfStyle w:val="001000000000" w:firstRow="0" w:lastRow="0" w:firstColumn="1" w:lastColumn="0" w:oddVBand="0" w:evenVBand="0" w:oddHBand="0" w:evenHBand="0" w:firstRowFirstColumn="0" w:firstRowLastColumn="0" w:lastRowFirstColumn="0" w:lastRowLastColumn="0"/>
            <w:tcW w:w="1843" w:type="dxa"/>
            <w:shd w:val="clear" w:color="auto" w:fill="141545"/>
            <w:vAlign w:val="top"/>
          </w:tcPr>
          <w:p w14:paraId="3C01AF40" w14:textId="77777777" w:rsidR="008D2E30" w:rsidRPr="009F7F48" w:rsidRDefault="008D2E30" w:rsidP="004C3002">
            <w:pPr>
              <w:pStyle w:val="TableHeaderWhite"/>
              <w:jc w:val="left"/>
              <w:rPr>
                <w:b/>
              </w:rPr>
            </w:pPr>
            <w:r w:rsidRPr="009F7F48">
              <w:rPr>
                <w:b/>
              </w:rPr>
              <w:t>Role</w:t>
            </w:r>
          </w:p>
        </w:tc>
        <w:tc>
          <w:tcPr>
            <w:tcW w:w="7229" w:type="dxa"/>
            <w:shd w:val="clear" w:color="auto" w:fill="141545"/>
            <w:vAlign w:val="top"/>
          </w:tcPr>
          <w:p w14:paraId="27AD0058" w14:textId="77777777" w:rsidR="008D2E30" w:rsidRPr="009F7F48" w:rsidRDefault="008D2E30" w:rsidP="004C3002">
            <w:pPr>
              <w:pStyle w:val="TableHeaderWhite"/>
              <w:jc w:val="left"/>
              <w:cnfStyle w:val="100000000000" w:firstRow="1" w:lastRow="0" w:firstColumn="0" w:lastColumn="0" w:oddVBand="0" w:evenVBand="0" w:oddHBand="0" w:evenHBand="0" w:firstRowFirstColumn="0" w:firstRowLastColumn="0" w:lastRowFirstColumn="0" w:lastRowLastColumn="0"/>
              <w:rPr>
                <w:b/>
              </w:rPr>
            </w:pPr>
            <w:r w:rsidRPr="009F7F48">
              <w:rPr>
                <w:b/>
              </w:rPr>
              <w:t xml:space="preserve">Responsibility </w:t>
            </w:r>
          </w:p>
        </w:tc>
      </w:tr>
      <w:tr w:rsidR="008D2E30" w:rsidRPr="009F7F48" w14:paraId="21404DD0" w14:textId="77777777" w:rsidTr="004C3002">
        <w:trPr>
          <w:trHeight w:val="4482"/>
        </w:trPr>
        <w:tc>
          <w:tcPr>
            <w:cnfStyle w:val="001000000000" w:firstRow="0" w:lastRow="0" w:firstColumn="1" w:lastColumn="0" w:oddVBand="0" w:evenVBand="0" w:oddHBand="0" w:evenHBand="0" w:firstRowFirstColumn="0" w:firstRowLastColumn="0" w:lastRowFirstColumn="0" w:lastRowLastColumn="0"/>
            <w:tcW w:w="1843" w:type="dxa"/>
          </w:tcPr>
          <w:p w14:paraId="0C2FD607" w14:textId="77777777" w:rsidR="008D2E30" w:rsidRPr="004C3002" w:rsidRDefault="008D2E30" w:rsidP="004C3002">
            <w:r w:rsidRPr="004C3002">
              <w:t>Provider Payments Assurance Branch</w:t>
            </w:r>
          </w:p>
        </w:tc>
        <w:tc>
          <w:tcPr>
            <w:tcW w:w="7229" w:type="dxa"/>
          </w:tcPr>
          <w:p w14:paraId="223290FA" w14:textId="2FF4A51F" w:rsidR="008D2E30" w:rsidRPr="004C3002" w:rsidRDefault="008D2E30" w:rsidP="004C3002">
            <w:pPr>
              <w:pStyle w:val="ListBullet2"/>
              <w:cnfStyle w:val="000000000000" w:firstRow="0" w:lastRow="0" w:firstColumn="0" w:lastColumn="0" w:oddVBand="0" w:evenVBand="0" w:oddHBand="0" w:evenHBand="0" w:firstRowFirstColumn="0" w:firstRowLastColumn="0" w:lastRowFirstColumn="0" w:lastRowLastColumn="0"/>
            </w:pPr>
            <w:r w:rsidRPr="0078492B">
              <w:t>Assis</w:t>
            </w:r>
            <w:r w:rsidRPr="004C3002">
              <w:t>t the System Governor to plan, conduct, and report on assurance activities in line with this assurance framework.</w:t>
            </w:r>
          </w:p>
          <w:p w14:paraId="08F096C6" w14:textId="756E28F1" w:rsidR="008D2E30" w:rsidRPr="004C3002" w:rsidRDefault="008D2E30" w:rsidP="004C3002">
            <w:pPr>
              <w:pStyle w:val="ListBullet2"/>
              <w:cnfStyle w:val="000000000000" w:firstRow="0" w:lastRow="0" w:firstColumn="0" w:lastColumn="0" w:oddVBand="0" w:evenVBand="0" w:oddHBand="0" w:evenHBand="0" w:firstRowFirstColumn="0" w:firstRowLastColumn="0" w:lastRowFirstColumn="0" w:lastRowLastColumn="0"/>
            </w:pPr>
            <w:r w:rsidRPr="004C3002">
              <w:t xml:space="preserve">Develop an assurance plan and regularly review and update the assurance framework as needed. </w:t>
            </w:r>
          </w:p>
          <w:p w14:paraId="10D4D624" w14:textId="42DC4272" w:rsidR="008D2E30" w:rsidRPr="004C3002" w:rsidRDefault="008D2E30" w:rsidP="004C3002">
            <w:pPr>
              <w:pStyle w:val="ListBullet2"/>
              <w:cnfStyle w:val="000000000000" w:firstRow="0" w:lastRow="0" w:firstColumn="0" w:lastColumn="0" w:oddVBand="0" w:evenVBand="0" w:oddHBand="0" w:evenHBand="0" w:firstRowFirstColumn="0" w:firstRowLastColumn="0" w:lastRowFirstColumn="0" w:lastRowLastColumn="0"/>
            </w:pPr>
            <w:r w:rsidRPr="004C3002">
              <w:t>Engage with relevant internal stakeholders (including the Support at Home Policy and Operations Branch</w:t>
            </w:r>
            <w:r w:rsidR="00F35CAC" w:rsidRPr="004C3002">
              <w:t>,</w:t>
            </w:r>
            <w:r w:rsidRPr="004C3002">
              <w:t xml:space="preserve"> and the Fraud and Integrity Branch), providers, Services Australia and the Commission as appropriate to inform scope and planning of assurance activities.</w:t>
            </w:r>
          </w:p>
          <w:p w14:paraId="5027DCFF" w14:textId="02273E9C" w:rsidR="008D2E30" w:rsidRPr="004C3002" w:rsidRDefault="008D2E30" w:rsidP="004C3002">
            <w:pPr>
              <w:pStyle w:val="ListBullet2"/>
              <w:cnfStyle w:val="000000000000" w:firstRow="0" w:lastRow="0" w:firstColumn="0" w:lastColumn="0" w:oddVBand="0" w:evenVBand="0" w:oddHBand="0" w:evenHBand="0" w:firstRowFirstColumn="0" w:firstRowLastColumn="0" w:lastRowFirstColumn="0" w:lastRowLastColumn="0"/>
            </w:pPr>
            <w:r w:rsidRPr="004C3002">
              <w:t xml:space="preserve">Communicate assurance outcomes to relevant stakeholders including the System Governor and other parties such as providers, Fraud and Integrity Branch, Access and Home Support Division and the Commission. Share intelligence with the Commission in line with their remit as the national regulator. </w:t>
            </w:r>
          </w:p>
          <w:p w14:paraId="351113EC" w14:textId="77777777" w:rsidR="00EB70CD" w:rsidRPr="004C3002" w:rsidRDefault="008D2E30" w:rsidP="004C3002">
            <w:pPr>
              <w:pStyle w:val="ListBullet2"/>
              <w:cnfStyle w:val="000000000000" w:firstRow="0" w:lastRow="0" w:firstColumn="0" w:lastColumn="0" w:oddVBand="0" w:evenVBand="0" w:oddHBand="0" w:evenHBand="0" w:firstRowFirstColumn="0" w:firstRowLastColumn="0" w:lastRowFirstColumn="0" w:lastRowLastColumn="0"/>
            </w:pPr>
            <w:r w:rsidRPr="004C3002">
              <w:t>Consider intelligence from the department as appropriate.</w:t>
            </w:r>
          </w:p>
          <w:p w14:paraId="141C6AF7" w14:textId="2F6AF3A0" w:rsidR="008D2E30" w:rsidRPr="00EB70CD" w:rsidRDefault="008D2E30" w:rsidP="004C3002">
            <w:pPr>
              <w:pStyle w:val="ListBullet2"/>
              <w:cnfStyle w:val="000000000000" w:firstRow="0" w:lastRow="0" w:firstColumn="0" w:lastColumn="0" w:oddVBand="0" w:evenVBand="0" w:oddHBand="0" w:evenHBand="0" w:firstRowFirstColumn="0" w:firstRowLastColumn="0" w:lastRowFirstColumn="0" w:lastRowLastColumn="0"/>
            </w:pPr>
            <w:r w:rsidRPr="004C3002">
              <w:t>Communicate about program assurance activities through the Support at Home Community of Practice and other channels as appr</w:t>
            </w:r>
            <w:r w:rsidRPr="00EB70CD">
              <w:t>opriate.</w:t>
            </w:r>
          </w:p>
        </w:tc>
      </w:tr>
      <w:tr w:rsidR="008D2E30" w:rsidRPr="00EB70CD" w14:paraId="1F35DB8E" w14:textId="77777777" w:rsidTr="004C3002">
        <w:trPr>
          <w:trHeight w:val="1180"/>
        </w:trPr>
        <w:tc>
          <w:tcPr>
            <w:cnfStyle w:val="001000000000" w:firstRow="0" w:lastRow="0" w:firstColumn="1" w:lastColumn="0" w:oddVBand="0" w:evenVBand="0" w:oddHBand="0" w:evenHBand="0" w:firstRowFirstColumn="0" w:firstRowLastColumn="0" w:lastRowFirstColumn="0" w:lastRowLastColumn="0"/>
            <w:tcW w:w="1843" w:type="dxa"/>
          </w:tcPr>
          <w:p w14:paraId="3AF5F45D" w14:textId="77777777" w:rsidR="008D2E30" w:rsidRPr="004C3002" w:rsidRDefault="008D2E30" w:rsidP="004C3002">
            <w:bookmarkStart w:id="59" w:name="_Hlk205300943"/>
            <w:r w:rsidRPr="004C3002">
              <w:t xml:space="preserve">Access and Home Support Division </w:t>
            </w:r>
          </w:p>
        </w:tc>
        <w:tc>
          <w:tcPr>
            <w:tcW w:w="7229" w:type="dxa"/>
          </w:tcPr>
          <w:p w14:paraId="08AC586C" w14:textId="2C762442" w:rsidR="008D2E30" w:rsidRPr="004C3002" w:rsidRDefault="008D2E30" w:rsidP="004C3002">
            <w:pPr>
              <w:pStyle w:val="ListBullet2"/>
              <w:cnfStyle w:val="000000000000" w:firstRow="0" w:lastRow="0" w:firstColumn="0" w:lastColumn="0" w:oddVBand="0" w:evenVBand="0" w:oddHBand="0" w:evenHBand="0" w:firstRowFirstColumn="0" w:firstRowLastColumn="0" w:lastRowFirstColumn="0" w:lastRowLastColumn="0"/>
            </w:pPr>
            <w:r w:rsidRPr="00EB70CD">
              <w:t>Cond</w:t>
            </w:r>
            <w:r w:rsidRPr="004C3002">
              <w:t xml:space="preserve">uct first line assurance </w:t>
            </w:r>
            <w:r w:rsidR="00CE224C" w:rsidRPr="004C3002">
              <w:t xml:space="preserve">and </w:t>
            </w:r>
            <w:r w:rsidRPr="004C3002">
              <w:t xml:space="preserve">assurance over assessments. </w:t>
            </w:r>
          </w:p>
          <w:p w14:paraId="56C8E965" w14:textId="77777777" w:rsidR="008D2E30" w:rsidRPr="004C3002" w:rsidRDefault="008D2E30" w:rsidP="004C3002">
            <w:pPr>
              <w:pStyle w:val="ListBullet2"/>
              <w:cnfStyle w:val="000000000000" w:firstRow="0" w:lastRow="0" w:firstColumn="0" w:lastColumn="0" w:oddVBand="0" w:evenVBand="0" w:oddHBand="0" w:evenHBand="0" w:firstRowFirstColumn="0" w:firstRowLastColumn="0" w:lastRowFirstColumn="0" w:lastRowLastColumn="0"/>
            </w:pPr>
            <w:r w:rsidRPr="004C3002">
              <w:t xml:space="preserve">Conduct program administration activities including monitoring, managing provider and sector </w:t>
            </w:r>
            <w:proofErr w:type="spellStart"/>
            <w:r w:rsidRPr="004C3002">
              <w:t>behaviour</w:t>
            </w:r>
            <w:proofErr w:type="spellEnd"/>
            <w:r w:rsidRPr="004C3002">
              <w:t xml:space="preserve"> and program risk management.</w:t>
            </w:r>
          </w:p>
          <w:p w14:paraId="74AEB070" w14:textId="665C3A13" w:rsidR="008D2E30" w:rsidRPr="00EB70CD" w:rsidRDefault="008D2E30" w:rsidP="004C3002">
            <w:pPr>
              <w:pStyle w:val="ListBullet2"/>
              <w:cnfStyle w:val="000000000000" w:firstRow="0" w:lastRow="0" w:firstColumn="0" w:lastColumn="0" w:oddVBand="0" w:evenVBand="0" w:oddHBand="0" w:evenHBand="0" w:firstRowFirstColumn="0" w:firstRowLastColumn="0" w:lastRowFirstColumn="0" w:lastRowLastColumn="0"/>
            </w:pPr>
            <w:r w:rsidRPr="004C3002">
              <w:t>Convene the Support at Home Community of Practice</w:t>
            </w:r>
            <w:r w:rsidR="009540DC" w:rsidRPr="004C3002">
              <w:t xml:space="preserve"> </w:t>
            </w:r>
            <w:r w:rsidRPr="004C3002">
              <w:t>to facilitate ongoing engagement between key stakeholders</w:t>
            </w:r>
            <w:r w:rsidR="007C7139" w:rsidRPr="004C3002">
              <w:t>.</w:t>
            </w:r>
            <w:r w:rsidRPr="004C3002">
              <w:t xml:space="preserve"> </w:t>
            </w:r>
            <w:r w:rsidR="009540DC" w:rsidRPr="004C3002">
              <w:t>The C</w:t>
            </w:r>
            <w:r w:rsidR="00523354" w:rsidRPr="004C3002">
              <w:t xml:space="preserve">ommunity </w:t>
            </w:r>
            <w:r w:rsidR="00523354">
              <w:t>of Practice</w:t>
            </w:r>
            <w:r w:rsidRPr="00EB70CD">
              <w:t xml:space="preserve"> promote</w:t>
            </w:r>
            <w:r w:rsidR="009540DC">
              <w:t>s</w:t>
            </w:r>
            <w:r w:rsidRPr="00EB70CD">
              <w:t xml:space="preserve"> improved understanding of program requirements and better practices including where common themes have emerged through assurance activities. </w:t>
            </w:r>
          </w:p>
          <w:p w14:paraId="6CB3B657" w14:textId="77777777" w:rsidR="008D2E30" w:rsidRPr="00EB70CD" w:rsidRDefault="008D2E30" w:rsidP="004C3002">
            <w:pPr>
              <w:pStyle w:val="ListBullet2"/>
              <w:cnfStyle w:val="000000000000" w:firstRow="0" w:lastRow="0" w:firstColumn="0" w:lastColumn="0" w:oddVBand="0" w:evenVBand="0" w:oddHBand="0" w:evenHBand="0" w:firstRowFirstColumn="0" w:firstRowLastColumn="0" w:lastRowFirstColumn="0" w:lastRowLastColumn="0"/>
            </w:pPr>
            <w:r w:rsidRPr="00EB70CD">
              <w:t xml:space="preserve">Provide data and information as requested to support assurance activities. </w:t>
            </w:r>
          </w:p>
          <w:p w14:paraId="456718F9" w14:textId="77777777" w:rsidR="008D2E30" w:rsidRPr="00EB70CD" w:rsidRDefault="008D2E30" w:rsidP="004C3002">
            <w:pPr>
              <w:pStyle w:val="ListBullet2"/>
              <w:cnfStyle w:val="000000000000" w:firstRow="0" w:lastRow="0" w:firstColumn="0" w:lastColumn="0" w:oddVBand="0" w:evenVBand="0" w:oddHBand="0" w:evenHBand="0" w:firstRowFirstColumn="0" w:firstRowLastColumn="0" w:lastRowFirstColumn="0" w:lastRowLastColumn="0"/>
            </w:pPr>
            <w:r w:rsidRPr="00EB70CD">
              <w:t xml:space="preserve">Implement program improvement opportunities resulting from assurance activities including re-considering program settings, enhanced documentation and education to support sector compliance. </w:t>
            </w:r>
          </w:p>
        </w:tc>
      </w:tr>
      <w:bookmarkEnd w:id="59"/>
      <w:tr w:rsidR="008D2E30" w:rsidRPr="009F7F48" w14:paraId="76D5D4E8" w14:textId="77777777" w:rsidTr="004C3002">
        <w:trPr>
          <w:trHeight w:val="900"/>
        </w:trPr>
        <w:tc>
          <w:tcPr>
            <w:cnfStyle w:val="001000000000" w:firstRow="0" w:lastRow="0" w:firstColumn="1" w:lastColumn="0" w:oddVBand="0" w:evenVBand="0" w:oddHBand="0" w:evenHBand="0" w:firstRowFirstColumn="0" w:firstRowLastColumn="0" w:lastRowFirstColumn="0" w:lastRowLastColumn="0"/>
            <w:tcW w:w="1843" w:type="dxa"/>
          </w:tcPr>
          <w:p w14:paraId="70349AEB" w14:textId="77777777" w:rsidR="008D2E30" w:rsidRPr="004C3002" w:rsidRDefault="008D2E30" w:rsidP="004C3002">
            <w:r w:rsidRPr="004C3002">
              <w:t>Fraud and Integrity Branch</w:t>
            </w:r>
          </w:p>
        </w:tc>
        <w:tc>
          <w:tcPr>
            <w:tcW w:w="7229" w:type="dxa"/>
          </w:tcPr>
          <w:p w14:paraId="2D281C63" w14:textId="0B4CA777" w:rsidR="008D2E30" w:rsidRPr="00447E86" w:rsidRDefault="008D2E30" w:rsidP="004C3002">
            <w:pPr>
              <w:pStyle w:val="ListBullet2"/>
              <w:cnfStyle w:val="000000000000" w:firstRow="0" w:lastRow="0" w:firstColumn="0" w:lastColumn="0" w:oddVBand="0" w:evenVBand="0" w:oddHBand="0" w:evenHBand="0" w:firstRowFirstColumn="0" w:firstRowLastColumn="0" w:lastRowFirstColumn="0" w:lastRowLastColumn="0"/>
              <w:rPr>
                <w:sz w:val="21"/>
                <w:szCs w:val="21"/>
              </w:rPr>
            </w:pPr>
            <w:r w:rsidRPr="00EB70CD">
              <w:t>Regularly engage with Provider Payments Assurance Branch to share intelligence to inform the planning and conduct of assurance activities and relevant fraud investigations</w:t>
            </w:r>
            <w:r w:rsidR="00FA5D03">
              <w:t xml:space="preserve"> where appropriate</w:t>
            </w:r>
            <w:r w:rsidRPr="00EB70CD">
              <w:t>.</w:t>
            </w:r>
          </w:p>
        </w:tc>
      </w:tr>
    </w:tbl>
    <w:p w14:paraId="0DAE7C3E" w14:textId="77777777" w:rsidR="001A04AC" w:rsidRPr="00655076" w:rsidRDefault="001A04AC" w:rsidP="00EB70CD">
      <w:pPr>
        <w:pStyle w:val="TableHeader"/>
        <w:rPr>
          <w:color w:val="002060"/>
        </w:rPr>
      </w:pPr>
      <w:r w:rsidRPr="00655076">
        <w:rPr>
          <w:color w:val="002060"/>
        </w:rPr>
        <w:t>External stakeholders</w:t>
      </w:r>
    </w:p>
    <w:tbl>
      <w:tblPr>
        <w:tblStyle w:val="DepartmentofHealthtable"/>
        <w:tblW w:w="9072" w:type="dxa"/>
        <w:tblLook w:val="04A0" w:firstRow="1" w:lastRow="0" w:firstColumn="1" w:lastColumn="0" w:noHBand="0" w:noVBand="1"/>
      </w:tblPr>
      <w:tblGrid>
        <w:gridCol w:w="1843"/>
        <w:gridCol w:w="7229"/>
      </w:tblGrid>
      <w:tr w:rsidR="001A04AC" w:rsidRPr="009F7F48" w14:paraId="0801643B" w14:textId="77777777" w:rsidTr="004C3002">
        <w:trPr>
          <w:cnfStyle w:val="100000000000" w:firstRow="1" w:lastRow="0" w:firstColumn="0" w:lastColumn="0" w:oddVBand="0" w:evenVBand="0" w:oddHBand="0" w:evenHBand="0" w:firstRowFirstColumn="0" w:firstRowLastColumn="0" w:lastRowFirstColumn="0" w:lastRowLastColumn="0"/>
          <w:trHeight w:val="495"/>
          <w:tblHeader/>
        </w:trPr>
        <w:tc>
          <w:tcPr>
            <w:cnfStyle w:val="001000000000" w:firstRow="0" w:lastRow="0" w:firstColumn="1" w:lastColumn="0" w:oddVBand="0" w:evenVBand="0" w:oddHBand="0" w:evenHBand="0" w:firstRowFirstColumn="0" w:firstRowLastColumn="0" w:lastRowFirstColumn="0" w:lastRowLastColumn="0"/>
            <w:tcW w:w="1843" w:type="dxa"/>
            <w:shd w:val="clear" w:color="auto" w:fill="141545"/>
            <w:vAlign w:val="top"/>
          </w:tcPr>
          <w:p w14:paraId="57EA830D" w14:textId="77777777" w:rsidR="001A04AC" w:rsidRPr="009F7F48" w:rsidRDefault="001A04AC" w:rsidP="004C3002">
            <w:pPr>
              <w:pStyle w:val="TableHeaderWhite"/>
              <w:jc w:val="left"/>
              <w:rPr>
                <w:b/>
              </w:rPr>
            </w:pPr>
            <w:r w:rsidRPr="009F7F48">
              <w:rPr>
                <w:b/>
              </w:rPr>
              <w:t>Role</w:t>
            </w:r>
          </w:p>
        </w:tc>
        <w:tc>
          <w:tcPr>
            <w:tcW w:w="7229" w:type="dxa"/>
            <w:shd w:val="clear" w:color="auto" w:fill="141545"/>
            <w:vAlign w:val="top"/>
          </w:tcPr>
          <w:p w14:paraId="5AB25F5D" w14:textId="3634EE35" w:rsidR="001A04AC" w:rsidRPr="009F7F48" w:rsidRDefault="001A04AC" w:rsidP="004C3002">
            <w:pPr>
              <w:pStyle w:val="TableHeaderWhite"/>
              <w:jc w:val="left"/>
              <w:cnfStyle w:val="100000000000" w:firstRow="1" w:lastRow="0" w:firstColumn="0" w:lastColumn="0" w:oddVBand="0" w:evenVBand="0" w:oddHBand="0" w:evenHBand="0" w:firstRowFirstColumn="0" w:firstRowLastColumn="0" w:lastRowFirstColumn="0" w:lastRowLastColumn="0"/>
              <w:rPr>
                <w:b/>
              </w:rPr>
            </w:pPr>
            <w:r w:rsidRPr="009F7F48">
              <w:rPr>
                <w:b/>
              </w:rPr>
              <w:t>Responsibility</w:t>
            </w:r>
          </w:p>
        </w:tc>
      </w:tr>
      <w:tr w:rsidR="008D2E30" w:rsidRPr="009F7F48" w14:paraId="351F7FE4" w14:textId="77777777" w:rsidTr="009973A2">
        <w:trPr>
          <w:trHeight w:val="1531"/>
        </w:trPr>
        <w:tc>
          <w:tcPr>
            <w:cnfStyle w:val="001000000000" w:firstRow="0" w:lastRow="0" w:firstColumn="1" w:lastColumn="0" w:oddVBand="0" w:evenVBand="0" w:oddHBand="0" w:evenHBand="0" w:firstRowFirstColumn="0" w:firstRowLastColumn="0" w:lastRowFirstColumn="0" w:lastRowLastColumn="0"/>
            <w:tcW w:w="1843" w:type="dxa"/>
          </w:tcPr>
          <w:p w14:paraId="5F7663B5" w14:textId="77777777" w:rsidR="008D2E30" w:rsidRPr="004C3002" w:rsidRDefault="008D2E30" w:rsidP="004C3002">
            <w:r w:rsidRPr="004C3002">
              <w:t>Services Australia</w:t>
            </w:r>
          </w:p>
        </w:tc>
        <w:tc>
          <w:tcPr>
            <w:tcW w:w="7229" w:type="dxa"/>
          </w:tcPr>
          <w:p w14:paraId="13DE3923" w14:textId="0726E69F" w:rsidR="00960D14" w:rsidRPr="00960D14" w:rsidRDefault="008D2E30" w:rsidP="004C3002">
            <w:pPr>
              <w:pStyle w:val="ListBullet2"/>
              <w:cnfStyle w:val="000000000000" w:firstRow="0" w:lastRow="0" w:firstColumn="0" w:lastColumn="0" w:oddVBand="0" w:evenVBand="0" w:oddHBand="0" w:evenHBand="0" w:firstRowFirstColumn="0" w:firstRowLastColumn="0" w:lastRowFirstColumn="0" w:lastRowLastColumn="0"/>
            </w:pPr>
            <w:r w:rsidRPr="00EB70CD">
              <w:t xml:space="preserve">Conduct relevant first line assurance activities to provide confidence over the integrity of claims processing for Support at Home. </w:t>
            </w:r>
          </w:p>
          <w:p w14:paraId="24A04FBB" w14:textId="4B870219" w:rsidR="008D2E30" w:rsidRPr="00783763" w:rsidRDefault="008D2E30" w:rsidP="004C3002">
            <w:pPr>
              <w:pStyle w:val="ListBullet2"/>
              <w:cnfStyle w:val="000000000000" w:firstRow="0" w:lastRow="0" w:firstColumn="0" w:lastColumn="0" w:oddVBand="0" w:evenVBand="0" w:oddHBand="0" w:evenHBand="0" w:firstRowFirstColumn="0" w:firstRowLastColumn="0" w:lastRowFirstColumn="0" w:lastRowLastColumn="0"/>
              <w:rPr>
                <w:sz w:val="21"/>
                <w:szCs w:val="21"/>
              </w:rPr>
            </w:pPr>
            <w:r w:rsidRPr="00EB70CD">
              <w:t>Regularly engage with the department to support the resolution of any issues, ensure compliance with program requirements, and work together towards continuous improvement.</w:t>
            </w:r>
            <w:r>
              <w:rPr>
                <w:sz w:val="21"/>
                <w:szCs w:val="21"/>
              </w:rPr>
              <w:t xml:space="preserve"> </w:t>
            </w:r>
            <w:r w:rsidRPr="00783763">
              <w:rPr>
                <w:sz w:val="21"/>
                <w:szCs w:val="21"/>
              </w:rPr>
              <w:t xml:space="preserve"> </w:t>
            </w:r>
          </w:p>
        </w:tc>
      </w:tr>
      <w:tr w:rsidR="008D2E30" w:rsidRPr="009F7F48" w14:paraId="2969D8D8" w14:textId="77777777" w:rsidTr="00DD4272">
        <w:tc>
          <w:tcPr>
            <w:cnfStyle w:val="001000000000" w:firstRow="0" w:lastRow="0" w:firstColumn="1" w:lastColumn="0" w:oddVBand="0" w:evenVBand="0" w:oddHBand="0" w:evenHBand="0" w:firstRowFirstColumn="0" w:firstRowLastColumn="0" w:lastRowFirstColumn="0" w:lastRowLastColumn="0"/>
            <w:tcW w:w="1843" w:type="dxa"/>
          </w:tcPr>
          <w:p w14:paraId="147A2832" w14:textId="77777777" w:rsidR="008D2E30" w:rsidRPr="004C3002" w:rsidRDefault="008D2E30" w:rsidP="004C3002">
            <w:r w:rsidRPr="004C3002">
              <w:t>The Aged Care Quality and Safety Commission</w:t>
            </w:r>
          </w:p>
        </w:tc>
        <w:tc>
          <w:tcPr>
            <w:tcW w:w="7229" w:type="dxa"/>
          </w:tcPr>
          <w:p w14:paraId="2D64BBE4" w14:textId="5DA117F5" w:rsidR="008D2E30" w:rsidRPr="00EB70CD" w:rsidRDefault="008D2E30" w:rsidP="004C3002">
            <w:pPr>
              <w:pStyle w:val="ListBullet2"/>
              <w:cnfStyle w:val="000000000000" w:firstRow="0" w:lastRow="0" w:firstColumn="0" w:lastColumn="0" w:oddVBand="0" w:evenVBand="0" w:oddHBand="0" w:evenHBand="0" w:firstRowFirstColumn="0" w:firstRowLastColumn="0" w:lastRowFirstColumn="0" w:lastRowLastColumn="0"/>
            </w:pPr>
            <w:r w:rsidRPr="00EB70CD">
              <w:t>Regularly engage with the department to share intelligence to inform planning for assurance activities</w:t>
            </w:r>
            <w:r w:rsidR="00BF5D12">
              <w:t xml:space="preserve"> and </w:t>
            </w:r>
            <w:r w:rsidRPr="00EB70CD">
              <w:t xml:space="preserve">ensure clear roles and responsibilities, and referral pathways to avoid duplication. </w:t>
            </w:r>
          </w:p>
          <w:p w14:paraId="0C88D660" w14:textId="77777777" w:rsidR="008D2E30" w:rsidRPr="00EB70CD" w:rsidRDefault="008D2E30" w:rsidP="004C3002">
            <w:pPr>
              <w:pStyle w:val="ListBullet2"/>
              <w:cnfStyle w:val="000000000000" w:firstRow="0" w:lastRow="0" w:firstColumn="0" w:lastColumn="0" w:oddVBand="0" w:evenVBand="0" w:oddHBand="0" w:evenHBand="0" w:firstRowFirstColumn="0" w:firstRowLastColumn="0" w:lastRowFirstColumn="0" w:lastRowLastColumn="0"/>
            </w:pPr>
            <w:r w:rsidRPr="00EB70CD">
              <w:t xml:space="preserve">Refer identified issues relating to system integrity to the System Governor. </w:t>
            </w:r>
          </w:p>
          <w:p w14:paraId="7894CB5B" w14:textId="77777777" w:rsidR="008D2E30" w:rsidRPr="00EB70CD" w:rsidRDefault="008D2E30" w:rsidP="004C3002">
            <w:pPr>
              <w:pStyle w:val="ListBullet2"/>
              <w:cnfStyle w:val="000000000000" w:firstRow="0" w:lastRow="0" w:firstColumn="0" w:lastColumn="0" w:oddVBand="0" w:evenVBand="0" w:oddHBand="0" w:evenHBand="0" w:firstRowFirstColumn="0" w:firstRowLastColumn="0" w:lastRowFirstColumn="0" w:lastRowLastColumn="0"/>
            </w:pPr>
            <w:r w:rsidRPr="00EB70CD">
              <w:t>Consider intelligence from the department as appropriate.</w:t>
            </w:r>
          </w:p>
          <w:p w14:paraId="1111F2CD" w14:textId="30937093" w:rsidR="00960D14" w:rsidRPr="00960D14" w:rsidRDefault="008D2E30" w:rsidP="004C3002">
            <w:pPr>
              <w:pStyle w:val="ListBullet2"/>
              <w:cnfStyle w:val="000000000000" w:firstRow="0" w:lastRow="0" w:firstColumn="0" w:lastColumn="0" w:oddVBand="0" w:evenVBand="0" w:oddHBand="0" w:evenHBand="0" w:firstRowFirstColumn="0" w:firstRowLastColumn="0" w:lastRowFirstColumn="0" w:lastRowLastColumn="0"/>
            </w:pPr>
            <w:r w:rsidRPr="00EB70CD">
              <w:t xml:space="preserve">Receive and action referrals from the department for issues relating to quality and safety. </w:t>
            </w:r>
          </w:p>
          <w:p w14:paraId="639A16CE" w14:textId="12C7ABAE" w:rsidR="008D2E30" w:rsidRPr="00783763" w:rsidRDefault="008D2E30" w:rsidP="004C3002">
            <w:pPr>
              <w:pStyle w:val="ListBullet2"/>
              <w:cnfStyle w:val="000000000000" w:firstRow="0" w:lastRow="0" w:firstColumn="0" w:lastColumn="0" w:oddVBand="0" w:evenVBand="0" w:oddHBand="0" w:evenHBand="0" w:firstRowFirstColumn="0" w:firstRowLastColumn="0" w:lastRowFirstColumn="0" w:lastRowLastColumn="0"/>
              <w:rPr>
                <w:sz w:val="21"/>
                <w:szCs w:val="21"/>
              </w:rPr>
            </w:pPr>
            <w:r w:rsidRPr="00EB70CD">
              <w:t>Undertake compliance action in line with powers under the Act as needed.</w:t>
            </w:r>
            <w:r w:rsidRPr="00C075ED">
              <w:t xml:space="preserve"> </w:t>
            </w:r>
          </w:p>
        </w:tc>
      </w:tr>
      <w:tr w:rsidR="008D2E30" w:rsidRPr="009F7F48" w14:paraId="0646F30A" w14:textId="77777777" w:rsidTr="009973A2">
        <w:trPr>
          <w:trHeight w:val="613"/>
        </w:trPr>
        <w:tc>
          <w:tcPr>
            <w:cnfStyle w:val="001000000000" w:firstRow="0" w:lastRow="0" w:firstColumn="1" w:lastColumn="0" w:oddVBand="0" w:evenVBand="0" w:oddHBand="0" w:evenHBand="0" w:firstRowFirstColumn="0" w:firstRowLastColumn="0" w:lastRowFirstColumn="0" w:lastRowLastColumn="0"/>
            <w:tcW w:w="1843" w:type="dxa"/>
          </w:tcPr>
          <w:p w14:paraId="5CB0A18C" w14:textId="77777777" w:rsidR="008D2E30" w:rsidRPr="004C3002" w:rsidRDefault="008D2E30" w:rsidP="004C3002">
            <w:r w:rsidRPr="004C3002">
              <w:t>Providers and the sector</w:t>
            </w:r>
          </w:p>
        </w:tc>
        <w:tc>
          <w:tcPr>
            <w:tcW w:w="7229" w:type="dxa"/>
          </w:tcPr>
          <w:p w14:paraId="7F3251D8" w14:textId="057B6D2A" w:rsidR="008D2E30" w:rsidRPr="00EB70CD" w:rsidRDefault="008D2E30" w:rsidP="004C3002">
            <w:pPr>
              <w:pStyle w:val="ListBullet2"/>
              <w:cnfStyle w:val="000000000000" w:firstRow="0" w:lastRow="0" w:firstColumn="0" w:lastColumn="0" w:oddVBand="0" w:evenVBand="0" w:oddHBand="0" w:evenHBand="0" w:firstRowFirstColumn="0" w:firstRowLastColumn="0" w:lastRowFirstColumn="0" w:lastRowLastColumn="0"/>
            </w:pPr>
            <w:r w:rsidRPr="00EB70CD">
              <w:t>Conduct relevant first line assurance activities to provide confidence that services are being provided in line with Support at Home program requirements.</w:t>
            </w:r>
          </w:p>
          <w:p w14:paraId="487AD171" w14:textId="77777777" w:rsidR="008D2E30" w:rsidRPr="00EB70CD" w:rsidRDefault="008D2E30" w:rsidP="004C3002">
            <w:pPr>
              <w:pStyle w:val="ListBullet2"/>
              <w:cnfStyle w:val="000000000000" w:firstRow="0" w:lastRow="0" w:firstColumn="0" w:lastColumn="0" w:oddVBand="0" w:evenVBand="0" w:oddHBand="0" w:evenHBand="0" w:firstRowFirstColumn="0" w:firstRowLastColumn="0" w:lastRowFirstColumn="0" w:lastRowLastColumn="0"/>
            </w:pPr>
            <w:r w:rsidRPr="00EB70CD">
              <w:t xml:space="preserve">Cooperate with assurance activities conducted by the department including timely provision of requested information. </w:t>
            </w:r>
          </w:p>
          <w:p w14:paraId="2AC1AD33" w14:textId="77777777" w:rsidR="008D2E30" w:rsidRPr="00EB70CD" w:rsidRDefault="008D2E30" w:rsidP="004C3002">
            <w:pPr>
              <w:pStyle w:val="ListBullet2"/>
              <w:cnfStyle w:val="000000000000" w:firstRow="0" w:lastRow="0" w:firstColumn="0" w:lastColumn="0" w:oddVBand="0" w:evenVBand="0" w:oddHBand="0" w:evenHBand="0" w:firstRowFirstColumn="0" w:firstRowLastColumn="0" w:lastRowFirstColumn="0" w:lastRowLastColumn="0"/>
            </w:pPr>
            <w:r w:rsidRPr="00EB70CD">
              <w:t xml:space="preserve">Action recommendations from relevant assurance activities to support continuous improvement and to address identified risks and concerns. </w:t>
            </w:r>
          </w:p>
          <w:p w14:paraId="631E4C80" w14:textId="79AEB1E8" w:rsidR="008D2E30" w:rsidRPr="00EB70CD" w:rsidRDefault="008D2E30" w:rsidP="004C3002">
            <w:pPr>
              <w:pStyle w:val="ListBullet2"/>
              <w:cnfStyle w:val="000000000000" w:firstRow="0" w:lastRow="0" w:firstColumn="0" w:lastColumn="0" w:oddVBand="0" w:evenVBand="0" w:oddHBand="0" w:evenHBand="0" w:firstRowFirstColumn="0" w:firstRowLastColumn="0" w:lastRowFirstColumn="0" w:lastRowLastColumn="0"/>
            </w:pPr>
            <w:r w:rsidRPr="00EB70CD">
              <w:t xml:space="preserve">Facilitate </w:t>
            </w:r>
            <w:r w:rsidR="00EA77DC">
              <w:t>participant</w:t>
            </w:r>
            <w:r w:rsidRPr="00EB70CD">
              <w:t xml:space="preserve">s </w:t>
            </w:r>
            <w:r w:rsidR="008A1350">
              <w:t xml:space="preserve">to </w:t>
            </w:r>
            <w:r w:rsidRPr="00EB70CD">
              <w:t>exercis</w:t>
            </w:r>
            <w:r w:rsidR="008A1350">
              <w:t>e</w:t>
            </w:r>
            <w:r w:rsidRPr="00EB70CD">
              <w:t xml:space="preserve"> their rights, including through supported decision making, and in collaboration with participants’ supporters.</w:t>
            </w:r>
          </w:p>
          <w:p w14:paraId="1C69B593" w14:textId="678340D9" w:rsidR="008D2E30" w:rsidRPr="00EB70CD" w:rsidRDefault="008D2E30" w:rsidP="004C3002">
            <w:pPr>
              <w:pStyle w:val="ListBullet2"/>
              <w:cnfStyle w:val="000000000000" w:firstRow="0" w:lastRow="0" w:firstColumn="0" w:lastColumn="0" w:oddVBand="0" w:evenVBand="0" w:oddHBand="0" w:evenHBand="0" w:firstRowFirstColumn="0" w:firstRowLastColumn="0" w:lastRowFirstColumn="0" w:lastRowLastColumn="0"/>
            </w:pPr>
            <w:r w:rsidRPr="00EB70CD">
              <w:t xml:space="preserve">Inform </w:t>
            </w:r>
            <w:r w:rsidR="00EA77DC">
              <w:t>participant</w:t>
            </w:r>
            <w:r w:rsidRPr="00EB70CD">
              <w:t xml:space="preserve">s their personal information may be used for the purposes </w:t>
            </w:r>
            <w:r w:rsidRPr="00B26CB2">
              <w:t>of assurance</w:t>
            </w:r>
            <w:r w:rsidR="00B26CB2">
              <w:t>.</w:t>
            </w:r>
          </w:p>
          <w:p w14:paraId="1E679189" w14:textId="1BF3DED0" w:rsidR="008D2E30" w:rsidRPr="009876F9" w:rsidRDefault="008D2E30" w:rsidP="004C3002">
            <w:pPr>
              <w:pStyle w:val="ListBullet2"/>
              <w:cnfStyle w:val="000000000000" w:firstRow="0" w:lastRow="0" w:firstColumn="0" w:lastColumn="0" w:oddVBand="0" w:evenVBand="0" w:oddHBand="0" w:evenHBand="0" w:firstRowFirstColumn="0" w:firstRowLastColumn="0" w:lastRowFirstColumn="0" w:lastRowLastColumn="0"/>
              <w:rPr>
                <w:sz w:val="21"/>
                <w:szCs w:val="21"/>
              </w:rPr>
            </w:pPr>
            <w:r w:rsidRPr="00EB70CD">
              <w:t>Sector takes a continuous improvement approach, using</w:t>
            </w:r>
            <w:r w:rsidR="00EB70CD">
              <w:t xml:space="preserve"> </w:t>
            </w:r>
            <w:r w:rsidRPr="00EB70CD">
              <w:t>program assurance learnings shared by the department through the Community of Practice and published reports.</w:t>
            </w:r>
          </w:p>
        </w:tc>
      </w:tr>
      <w:tr w:rsidR="008D2E30" w:rsidRPr="009F7F48" w14:paraId="11854824" w14:textId="77777777" w:rsidTr="009973A2">
        <w:trPr>
          <w:trHeight w:val="952"/>
        </w:trPr>
        <w:tc>
          <w:tcPr>
            <w:cnfStyle w:val="001000000000" w:firstRow="0" w:lastRow="0" w:firstColumn="1" w:lastColumn="0" w:oddVBand="0" w:evenVBand="0" w:oddHBand="0" w:evenHBand="0" w:firstRowFirstColumn="0" w:firstRowLastColumn="0" w:lastRowFirstColumn="0" w:lastRowLastColumn="0"/>
            <w:tcW w:w="1843" w:type="dxa"/>
          </w:tcPr>
          <w:p w14:paraId="6AE677EF" w14:textId="315BB826" w:rsidR="008D2E30" w:rsidRPr="004C3002" w:rsidRDefault="00D963D7" w:rsidP="004C3002">
            <w:r w:rsidRPr="004C3002">
              <w:t>P</w:t>
            </w:r>
            <w:r w:rsidR="00EA77DC" w:rsidRPr="004C3002">
              <w:t>articipant</w:t>
            </w:r>
            <w:r w:rsidR="008D2E30" w:rsidRPr="004C3002">
              <w:t>s</w:t>
            </w:r>
          </w:p>
        </w:tc>
        <w:tc>
          <w:tcPr>
            <w:tcW w:w="7229" w:type="dxa"/>
          </w:tcPr>
          <w:p w14:paraId="2693F999" w14:textId="77777777" w:rsidR="008D2E30" w:rsidRPr="00EB70CD" w:rsidRDefault="008D2E30" w:rsidP="004C3002">
            <w:pPr>
              <w:pStyle w:val="ListBullet2"/>
              <w:cnfStyle w:val="000000000000" w:firstRow="0" w:lastRow="0" w:firstColumn="0" w:lastColumn="0" w:oddVBand="0" w:evenVBand="0" w:oddHBand="0" w:evenHBand="0" w:firstRowFirstColumn="0" w:firstRowLastColumn="0" w:lastRowFirstColumn="0" w:lastRowLastColumn="0"/>
            </w:pPr>
            <w:r w:rsidRPr="00EB70CD">
              <w:t xml:space="preserve">Cooperate with providers to support proper use of program funds. </w:t>
            </w:r>
          </w:p>
          <w:p w14:paraId="15DB1A1B" w14:textId="5D79AA98" w:rsidR="008D2E30" w:rsidRPr="008016AF" w:rsidRDefault="00E6285E" w:rsidP="004C3002">
            <w:pPr>
              <w:pStyle w:val="ListBullet2"/>
              <w:cnfStyle w:val="000000000000" w:firstRow="0" w:lastRow="0" w:firstColumn="0" w:lastColumn="0" w:oddVBand="0" w:evenVBand="0" w:oddHBand="0" w:evenHBand="0" w:firstRowFirstColumn="0" w:firstRowLastColumn="0" w:lastRowFirstColumn="0" w:lastRowLastColumn="0"/>
              <w:rPr>
                <w:sz w:val="21"/>
                <w:szCs w:val="21"/>
              </w:rPr>
            </w:pPr>
            <w:r>
              <w:t>M</w:t>
            </w:r>
            <w:r w:rsidR="008D2E30" w:rsidRPr="00EB70CD">
              <w:t>ay be asked to provide information or documents to support assurance activities.</w:t>
            </w:r>
          </w:p>
        </w:tc>
      </w:tr>
    </w:tbl>
    <w:p w14:paraId="412D47BF" w14:textId="77777777" w:rsidR="008D2E30" w:rsidRPr="004C3002" w:rsidRDefault="008D2E30" w:rsidP="004C3002">
      <w:pPr>
        <w:sectPr w:rsidR="008D2E30" w:rsidRPr="004C3002" w:rsidSect="00413A49">
          <w:pgSz w:w="11906" w:h="16838"/>
          <w:pgMar w:top="1560" w:right="1418" w:bottom="709" w:left="1418" w:header="709" w:footer="468" w:gutter="0"/>
          <w:cols w:space="708"/>
          <w:docGrid w:linePitch="360"/>
        </w:sectPr>
      </w:pPr>
    </w:p>
    <w:p w14:paraId="01264CD9" w14:textId="77777777" w:rsidR="008D2E30" w:rsidRPr="00C87DDC" w:rsidRDefault="008D2E30" w:rsidP="008D2E30">
      <w:pPr>
        <w:pStyle w:val="Heading1"/>
      </w:pPr>
      <w:bookmarkStart w:id="60" w:name="_Toc210125812"/>
      <w:bookmarkStart w:id="61" w:name="_Toc210388299"/>
      <w:bookmarkStart w:id="62" w:name="_Toc223509389"/>
      <w:r>
        <w:t>Assurance approach</w:t>
      </w:r>
      <w:bookmarkEnd w:id="60"/>
      <w:bookmarkEnd w:id="61"/>
      <w:bookmarkEnd w:id="62"/>
    </w:p>
    <w:p w14:paraId="355EC7DF" w14:textId="4C4811CB" w:rsidR="008D2E30" w:rsidRPr="004F0516" w:rsidRDefault="008D2E30" w:rsidP="004F0516">
      <w:pPr>
        <w:rPr>
          <w:iCs/>
        </w:rPr>
      </w:pPr>
      <w:r w:rsidRPr="004F0516">
        <w:rPr>
          <w:iCs/>
        </w:rPr>
        <w:t>An assurance plan will be published for Support at Home outlining assurance priorities and a range of potential assurance activities</w:t>
      </w:r>
      <w:r w:rsidR="00ED0F7A">
        <w:rPr>
          <w:iCs/>
        </w:rPr>
        <w:t xml:space="preserve">. Assurance activities </w:t>
      </w:r>
      <w:r w:rsidRPr="004F0516">
        <w:rPr>
          <w:iCs/>
        </w:rPr>
        <w:t>will be used flexibly, based on risk and available resourcing.</w:t>
      </w:r>
    </w:p>
    <w:p w14:paraId="102681D8" w14:textId="6019791C" w:rsidR="008D2E30" w:rsidRPr="004F0516" w:rsidRDefault="008D2E30" w:rsidP="008D2E30">
      <w:pPr>
        <w:rPr>
          <w:iCs/>
        </w:rPr>
      </w:pPr>
      <w:r w:rsidRPr="004F0516">
        <w:rPr>
          <w:iCs/>
        </w:rPr>
        <w:t xml:space="preserve">The approach to developing the assurance plan follows the assurance lifecycle outlined in the department’s </w:t>
      </w:r>
      <w:r w:rsidR="00197CAA">
        <w:rPr>
          <w:iCs/>
        </w:rPr>
        <w:t>c</w:t>
      </w:r>
      <w:r w:rsidR="00197CAA" w:rsidRPr="004F0516">
        <w:rPr>
          <w:iCs/>
        </w:rPr>
        <w:t xml:space="preserve">orporate </w:t>
      </w:r>
      <w:r w:rsidRPr="004F0516">
        <w:rPr>
          <w:iCs/>
        </w:rPr>
        <w:t>Assurance Framework and is summarised below</w:t>
      </w:r>
      <w:r w:rsidR="00370E9C">
        <w:rPr>
          <w:iCs/>
        </w:rPr>
        <w:t xml:space="preserve"> in Figure 7</w:t>
      </w:r>
      <w:r w:rsidRPr="004F0516">
        <w:rPr>
          <w:iCs/>
        </w:rPr>
        <w:t>.</w:t>
      </w:r>
    </w:p>
    <w:p w14:paraId="304FF38E" w14:textId="45F47A4B" w:rsidR="008D2E30" w:rsidRDefault="00272E4D" w:rsidP="008D2E30">
      <w:pPr>
        <w:rPr>
          <w:lang w:val="en"/>
        </w:rPr>
      </w:pPr>
      <w:r>
        <w:rPr>
          <w:noProof/>
        </w:rPr>
        <w:drawing>
          <wp:inline distT="0" distB="0" distL="0" distR="0" wp14:anchorId="4F0477B2" wp14:editId="44D8C6E0">
            <wp:extent cx="5203372" cy="3230879"/>
            <wp:effectExtent l="0" t="0" r="0" b="8255"/>
            <wp:docPr id="6" name="Picture 6" descr="A circular diagram showing the continuous improvement cycle in a circle: &#10;1. Identify assurance needs&#10;2. Understand existing assurance&#10;3. Prioritise through risk&#10;4. Undertake assurance&#10;5. Report and monitor&#10;6. Implement and refine (points back to 1 in the 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circular diagram showing the continuous improvement cycle in a circle: &#10;1. Identify assurance needs&#10;2. Understand existing assurance&#10;3. Prioritise through risk&#10;4. Undertake assurance&#10;5. Report and monitor&#10;6. Implement and refine (points back to 1 in the circle)."/>
                    <pic:cNvPicPr/>
                  </pic:nvPicPr>
                  <pic:blipFill>
                    <a:blip r:embed="rId54" cstate="print">
                      <a:extLst>
                        <a:ext uri="{28A0092B-C50C-407E-A947-70E740481C1C}">
                          <a14:useLocalDpi xmlns:a14="http://schemas.microsoft.com/office/drawing/2010/main" val="0"/>
                        </a:ext>
                      </a:extLst>
                    </a:blip>
                    <a:stretch>
                      <a:fillRect/>
                    </a:stretch>
                  </pic:blipFill>
                  <pic:spPr>
                    <a:xfrm>
                      <a:off x="0" y="0"/>
                      <a:ext cx="5238670" cy="3252796"/>
                    </a:xfrm>
                    <a:prstGeom prst="rect">
                      <a:avLst/>
                    </a:prstGeom>
                  </pic:spPr>
                </pic:pic>
              </a:graphicData>
            </a:graphic>
          </wp:inline>
        </w:drawing>
      </w:r>
    </w:p>
    <w:p w14:paraId="46784328" w14:textId="3613C48C" w:rsidR="008D2E30" w:rsidRPr="00C00063" w:rsidRDefault="004C3002" w:rsidP="004C3002">
      <w:pPr>
        <w:pStyle w:val="Caption"/>
        <w:rPr>
          <w:b w:val="0"/>
          <w:bCs w:val="0"/>
        </w:rPr>
      </w:pPr>
      <w:bookmarkStart w:id="63" w:name="_Toc75430545"/>
      <w:bookmarkStart w:id="64" w:name="_Toc75439269"/>
      <w:bookmarkStart w:id="65" w:name="_Toc75439988"/>
      <w:bookmarkStart w:id="66" w:name="_Toc75440069"/>
      <w:bookmarkStart w:id="67" w:name="_Toc75430548"/>
      <w:bookmarkStart w:id="68" w:name="_Toc75439272"/>
      <w:bookmarkStart w:id="69" w:name="_Toc75439991"/>
      <w:bookmarkStart w:id="70" w:name="_Toc75440072"/>
      <w:bookmarkEnd w:id="63"/>
      <w:bookmarkEnd w:id="64"/>
      <w:bookmarkEnd w:id="65"/>
      <w:bookmarkEnd w:id="66"/>
      <w:bookmarkEnd w:id="67"/>
      <w:bookmarkEnd w:id="68"/>
      <w:bookmarkEnd w:id="69"/>
      <w:bookmarkEnd w:id="70"/>
      <w:r>
        <w:t xml:space="preserve">Figure </w:t>
      </w:r>
      <w:r>
        <w:fldChar w:fldCharType="begin"/>
      </w:r>
      <w:r>
        <w:instrText xml:space="preserve"> SEQ Figure \* ARABIC </w:instrText>
      </w:r>
      <w:r>
        <w:fldChar w:fldCharType="separate"/>
      </w:r>
      <w:r w:rsidR="00A279BA">
        <w:rPr>
          <w:noProof/>
        </w:rPr>
        <w:t>7</w:t>
      </w:r>
      <w:r>
        <w:fldChar w:fldCharType="end"/>
      </w:r>
      <w:r w:rsidR="008D2E30" w:rsidRPr="00C00063">
        <w:t>: The assurance lifecycle</w:t>
      </w:r>
    </w:p>
    <w:p w14:paraId="0EB53ACD" w14:textId="64FEBF8D" w:rsidR="008D2E30" w:rsidRPr="00C87DDC" w:rsidRDefault="008D2E30" w:rsidP="008D2E30">
      <w:pPr>
        <w:pStyle w:val="Heading2"/>
      </w:pPr>
      <w:bookmarkStart w:id="71" w:name="_Toc210125813"/>
      <w:bookmarkStart w:id="72" w:name="_Toc210388300"/>
      <w:bookmarkStart w:id="73" w:name="_Toc223509390"/>
      <w:r>
        <w:t xml:space="preserve">Phase 1: </w:t>
      </w:r>
      <w:r w:rsidR="00370E9C">
        <w:t>Identify a</w:t>
      </w:r>
      <w:r w:rsidRPr="00C87DDC">
        <w:t xml:space="preserve">ssurance </w:t>
      </w:r>
      <w:r>
        <w:t>needs</w:t>
      </w:r>
      <w:bookmarkEnd w:id="71"/>
      <w:bookmarkEnd w:id="72"/>
      <w:bookmarkEnd w:id="73"/>
    </w:p>
    <w:p w14:paraId="599D7D6C" w14:textId="03DF84CC" w:rsidR="008D2E30" w:rsidRPr="004F0516" w:rsidRDefault="008D2E30" w:rsidP="004F0516">
      <w:pPr>
        <w:rPr>
          <w:iCs/>
        </w:rPr>
      </w:pPr>
      <w:r w:rsidRPr="004F0516">
        <w:rPr>
          <w:iCs/>
        </w:rPr>
        <w:t>The first step in the assurance lifecycle is to identify where there are needs for assurance.</w:t>
      </w:r>
    </w:p>
    <w:p w14:paraId="09E185DC" w14:textId="67E26DF5" w:rsidR="008D2E30" w:rsidRPr="004F0516" w:rsidRDefault="008D2E30" w:rsidP="004F0516">
      <w:pPr>
        <w:rPr>
          <w:iCs/>
        </w:rPr>
      </w:pPr>
      <w:r w:rsidRPr="004F0516">
        <w:rPr>
          <w:iCs/>
        </w:rPr>
        <w:t>It is expected that by 2035, Support at Home will help around 1.4 million people stay in their homes as they age. The significant scale of and investment into the program establishes a clear need for assurance activities for Support at Home.</w:t>
      </w:r>
    </w:p>
    <w:p w14:paraId="2BD8F26F" w14:textId="16B78480" w:rsidR="008D2E30" w:rsidRPr="004F0516" w:rsidRDefault="008D2E30" w:rsidP="004F0516">
      <w:pPr>
        <w:rPr>
          <w:iCs/>
        </w:rPr>
      </w:pPr>
      <w:r w:rsidRPr="004F0516">
        <w:rPr>
          <w:iCs/>
        </w:rPr>
        <w:t xml:space="preserve">This assurance framework and the related program of assurance activities </w:t>
      </w:r>
      <w:r w:rsidR="008770A8">
        <w:rPr>
          <w:iCs/>
        </w:rPr>
        <w:t xml:space="preserve">in the </w:t>
      </w:r>
      <w:r w:rsidRPr="004F0516">
        <w:rPr>
          <w:iCs/>
        </w:rPr>
        <w:t>assurance plan, are designed to address this assurance need. The following steps outline how specific focus areas and methodologies for assurance will be identified and prioritised as part of the assurance plan.</w:t>
      </w:r>
      <w:bookmarkStart w:id="74" w:name="_Toc75430551"/>
      <w:bookmarkStart w:id="75" w:name="_Toc75439275"/>
      <w:bookmarkStart w:id="76" w:name="_Toc75439994"/>
      <w:bookmarkStart w:id="77" w:name="_Toc75440075"/>
      <w:bookmarkStart w:id="78" w:name="_Toc75430542"/>
      <w:bookmarkStart w:id="79" w:name="_Toc75439266"/>
      <w:bookmarkStart w:id="80" w:name="_Toc75439985"/>
      <w:bookmarkStart w:id="81" w:name="_Toc75440066"/>
      <w:bookmarkStart w:id="82" w:name="_Toc20141072"/>
      <w:bookmarkEnd w:id="74"/>
      <w:bookmarkEnd w:id="75"/>
      <w:bookmarkEnd w:id="76"/>
      <w:bookmarkEnd w:id="77"/>
      <w:bookmarkEnd w:id="78"/>
      <w:bookmarkEnd w:id="79"/>
      <w:bookmarkEnd w:id="80"/>
      <w:bookmarkEnd w:id="81"/>
    </w:p>
    <w:p w14:paraId="3CD957ED" w14:textId="6DF8A367" w:rsidR="008D2E30" w:rsidRPr="00C87DDC" w:rsidRDefault="008D2E30" w:rsidP="006D2E0D">
      <w:pPr>
        <w:pStyle w:val="Heading2"/>
      </w:pPr>
      <w:bookmarkStart w:id="83" w:name="_Toc210125814"/>
      <w:bookmarkStart w:id="84" w:name="_Toc210388301"/>
      <w:bookmarkStart w:id="85" w:name="_Toc223509391"/>
      <w:bookmarkEnd w:id="82"/>
      <w:r>
        <w:t xml:space="preserve">Phase 2: </w:t>
      </w:r>
      <w:bookmarkEnd w:id="83"/>
      <w:bookmarkEnd w:id="84"/>
      <w:r w:rsidR="008B36FB">
        <w:t>Understanding existing assurance</w:t>
      </w:r>
      <w:bookmarkEnd w:id="85"/>
    </w:p>
    <w:p w14:paraId="790F0380" w14:textId="77777777" w:rsidR="008D2E30" w:rsidRPr="00240D71" w:rsidRDefault="008D2E30" w:rsidP="00240D71">
      <w:pPr>
        <w:rPr>
          <w:iCs/>
        </w:rPr>
      </w:pPr>
      <w:r w:rsidRPr="00240D71">
        <w:rPr>
          <w:iCs/>
        </w:rPr>
        <w:t>A variety of mechanisms will be used to identify and prioritise focus areas for program assurance activities.</w:t>
      </w:r>
    </w:p>
    <w:p w14:paraId="50062EA0" w14:textId="77777777" w:rsidR="008D2E30" w:rsidRPr="00240D71" w:rsidRDefault="008D2E30" w:rsidP="00240D71">
      <w:pPr>
        <w:rPr>
          <w:iCs/>
        </w:rPr>
      </w:pPr>
      <w:r w:rsidRPr="00240D71">
        <w:rPr>
          <w:iCs/>
        </w:rPr>
        <w:t>In reviewing the assurance environment, the department will consider:</w:t>
      </w:r>
    </w:p>
    <w:p w14:paraId="183783F9" w14:textId="1621C9CE" w:rsidR="008D2E30" w:rsidRPr="004C3002" w:rsidRDefault="008D2E30" w:rsidP="004C3002">
      <w:pPr>
        <w:pStyle w:val="ListBullet"/>
      </w:pPr>
      <w:r w:rsidRPr="004C3002">
        <w:t>Current controls – What controls are in place and have these been recently tested?</w:t>
      </w:r>
    </w:p>
    <w:p w14:paraId="24CEA4C0" w14:textId="709EC613" w:rsidR="008D2E30" w:rsidRPr="004C3002" w:rsidRDefault="008D2E30" w:rsidP="004C3002">
      <w:pPr>
        <w:pStyle w:val="ListBullet"/>
      </w:pPr>
      <w:r w:rsidRPr="004C3002">
        <w:t>Recent assurance – What assurance activities have recently taken place (both internal and external) and what were the outcomes of those activities?</w:t>
      </w:r>
    </w:p>
    <w:p w14:paraId="2693238E" w14:textId="0F9F0F21" w:rsidR="008D2E30" w:rsidRPr="004C3002" w:rsidRDefault="008D2E30" w:rsidP="004C3002">
      <w:pPr>
        <w:pStyle w:val="ListBullet"/>
      </w:pPr>
      <w:r w:rsidRPr="004C3002">
        <w:t>Planned assurance – What other assurance activities (both internal and external – if any) are planned for the next 12 months and what coverage do they provide?</w:t>
      </w:r>
    </w:p>
    <w:p w14:paraId="75C7D533" w14:textId="30F636BD" w:rsidR="008D2E30" w:rsidRPr="004C3002" w:rsidRDefault="008D2E30" w:rsidP="004C3002">
      <w:pPr>
        <w:pStyle w:val="ListBullet"/>
      </w:pPr>
      <w:r w:rsidRPr="004C3002">
        <w:t>Other intelligence – Any other relevant intelligence from across the aged care system that provides insight into the current state of Support at Home</w:t>
      </w:r>
      <w:r w:rsidR="001919E7" w:rsidRPr="004C3002">
        <w:t>.</w:t>
      </w:r>
      <w:r w:rsidRPr="004C3002">
        <w:t xml:space="preserve"> </w:t>
      </w:r>
      <w:r w:rsidR="00A64690" w:rsidRPr="004C3002">
        <w:t>Includes</w:t>
      </w:r>
      <w:r w:rsidRPr="004C3002">
        <w:t xml:space="preserve"> broader intelligence relating to fraud management across the Commonwealth.</w:t>
      </w:r>
    </w:p>
    <w:p w14:paraId="0E4B04D5" w14:textId="32874DEA" w:rsidR="004C3002" w:rsidRDefault="008D2E30" w:rsidP="004179E3">
      <w:pPr>
        <w:rPr>
          <w:iCs/>
        </w:rPr>
      </w:pPr>
      <w:r w:rsidRPr="006A6B49">
        <w:rPr>
          <w:iCs/>
        </w:rPr>
        <w:t>This information will inform the assessment of risk and the prioritisation that occurs in the next step.</w:t>
      </w:r>
    </w:p>
    <w:p w14:paraId="6F052A3B" w14:textId="0F3C1E13" w:rsidR="008D2E30" w:rsidRDefault="008D2E30" w:rsidP="004179E3">
      <w:pPr>
        <w:pStyle w:val="Heading2"/>
        <w:tabs>
          <w:tab w:val="left" w:pos="4395"/>
        </w:tabs>
      </w:pPr>
      <w:bookmarkStart w:id="86" w:name="_Toc210125815"/>
      <w:bookmarkStart w:id="87" w:name="_Toc210388302"/>
      <w:bookmarkStart w:id="88" w:name="_Toc223509392"/>
      <w:r>
        <w:t>Phase 3: Risk prioritisation</w:t>
      </w:r>
      <w:bookmarkEnd w:id="86"/>
      <w:bookmarkEnd w:id="87"/>
      <w:bookmarkEnd w:id="88"/>
    </w:p>
    <w:p w14:paraId="1F57E590" w14:textId="7E978AD3" w:rsidR="00E9387B" w:rsidRDefault="008D2E30" w:rsidP="00E9387B">
      <w:r w:rsidRPr="009F7F48">
        <w:t xml:space="preserve">A risk-based approach </w:t>
      </w:r>
      <w:r>
        <w:t xml:space="preserve">will </w:t>
      </w:r>
      <w:r w:rsidRPr="009F7F48">
        <w:t xml:space="preserve">prioritise the allocation of resources to the assurance activities that will be of greatest value to the </w:t>
      </w:r>
      <w:r>
        <w:t>d</w:t>
      </w:r>
      <w:r w:rsidRPr="009F7F48">
        <w:t>epartment</w:t>
      </w:r>
      <w:r>
        <w:t>.</w:t>
      </w:r>
      <w:r w:rsidRPr="009F7F48">
        <w:t xml:space="preserve"> </w:t>
      </w:r>
      <w:r>
        <w:t>T</w:t>
      </w:r>
      <w:r w:rsidRPr="009F7F48">
        <w:t>he following risk</w:t>
      </w:r>
      <w:r>
        <w:t xml:space="preserve"> themes will inform Support at Home program assurance activities</w:t>
      </w:r>
      <w:r w:rsidRPr="00A279BA">
        <w:t>:</w:t>
      </w:r>
    </w:p>
    <w:p w14:paraId="512D3781" w14:textId="11E51883" w:rsidR="00A279BA" w:rsidRPr="00A279BA" w:rsidRDefault="00A279BA" w:rsidP="00E9387B">
      <w:r w:rsidRPr="00A279BA">
        <w:rPr>
          <w:noProof/>
        </w:rPr>
        <w:drawing>
          <wp:inline distT="0" distB="0" distL="0" distR="0" wp14:anchorId="1CEA0354" wp14:editId="337DAEFF">
            <wp:extent cx="6406084" cy="2381250"/>
            <wp:effectExtent l="0" t="0" r="0" b="0"/>
            <wp:docPr id="661450970" name="Picture 1" descr="A diagram showing the compliance model. Compliance activities are prevent, detect, respond, proportionate response, continuous improvement. Proportionate response has 4 levels: 1 - educate, 2 - assist, 3 - detect and correct, 4 - prosecu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450970" name="Picture 1" descr="A diagram showing the compliance model. Compliance activities are prevent, detect, respond, proportionate response, continuous improvement. Proportionate response has 4 levels: 1 - educate, 2 - assist, 3 - detect and correct, 4 - prosecute. "/>
                    <pic:cNvPicPr/>
                  </pic:nvPicPr>
                  <pic:blipFill>
                    <a:blip r:embed="rId55"/>
                    <a:stretch>
                      <a:fillRect/>
                    </a:stretch>
                  </pic:blipFill>
                  <pic:spPr>
                    <a:xfrm>
                      <a:off x="0" y="0"/>
                      <a:ext cx="6408359" cy="2382096"/>
                    </a:xfrm>
                    <a:prstGeom prst="rect">
                      <a:avLst/>
                    </a:prstGeom>
                  </pic:spPr>
                </pic:pic>
              </a:graphicData>
            </a:graphic>
          </wp:inline>
        </w:drawing>
      </w:r>
    </w:p>
    <w:p w14:paraId="58BA3B67" w14:textId="701C3A3D" w:rsidR="00E9387B" w:rsidRDefault="00A279BA" w:rsidP="00A279BA">
      <w:pPr>
        <w:pStyle w:val="Caption"/>
      </w:pPr>
      <w:r>
        <w:t xml:space="preserve">Figure </w:t>
      </w:r>
      <w:r>
        <w:fldChar w:fldCharType="begin"/>
      </w:r>
      <w:r>
        <w:instrText xml:space="preserve"> SEQ Figure \* ARABIC </w:instrText>
      </w:r>
      <w:r>
        <w:fldChar w:fldCharType="separate"/>
      </w:r>
      <w:r>
        <w:rPr>
          <w:noProof/>
        </w:rPr>
        <w:t>8</w:t>
      </w:r>
      <w:r>
        <w:fldChar w:fldCharType="end"/>
      </w:r>
      <w:r w:rsidR="00E9387B" w:rsidRPr="00C00063">
        <w:t>: Support at Home program assurance risk themes</w:t>
      </w:r>
    </w:p>
    <w:p w14:paraId="5E7E83A8" w14:textId="77777777" w:rsidR="00A279BA" w:rsidRDefault="00A279BA" w:rsidP="00A279BA">
      <w:pPr>
        <w:sectPr w:rsidR="00A279BA" w:rsidSect="001845E6">
          <w:pgSz w:w="11906" w:h="16838"/>
          <w:pgMar w:top="1701" w:right="1274" w:bottom="1418" w:left="1418" w:header="709" w:footer="341" w:gutter="0"/>
          <w:cols w:space="708"/>
          <w:docGrid w:linePitch="360"/>
        </w:sectPr>
      </w:pPr>
    </w:p>
    <w:p w14:paraId="0E0128B6" w14:textId="0AB46E74" w:rsidR="008D2E30" w:rsidRPr="00C87DDC" w:rsidRDefault="008D2E30" w:rsidP="008D2E30">
      <w:pPr>
        <w:pStyle w:val="Heading2"/>
      </w:pPr>
      <w:bookmarkStart w:id="89" w:name="_Toc210125816"/>
      <w:bookmarkStart w:id="90" w:name="_Toc210388303"/>
      <w:bookmarkStart w:id="91" w:name="_Toc223509393"/>
      <w:r>
        <w:t>Phase 4: Undertaking assurance</w:t>
      </w:r>
      <w:bookmarkEnd w:id="89"/>
      <w:bookmarkEnd w:id="90"/>
      <w:bookmarkEnd w:id="91"/>
    </w:p>
    <w:p w14:paraId="5D838257" w14:textId="6CA5E851" w:rsidR="008D2E30" w:rsidRPr="006C3493" w:rsidRDefault="008D2E30" w:rsidP="00E5634E">
      <w:r w:rsidRPr="006C3493">
        <w:t xml:space="preserve">The assurance plan </w:t>
      </w:r>
      <w:r>
        <w:t xml:space="preserve">will </w:t>
      </w:r>
      <w:r w:rsidRPr="006C3493">
        <w:t xml:space="preserve">set out activities </w:t>
      </w:r>
      <w:r>
        <w:t>to</w:t>
      </w:r>
      <w:r w:rsidRPr="006C3493">
        <w:t xml:space="preserve"> assure the integrity and transparency of Support at Home funding</w:t>
      </w:r>
      <w:r w:rsidR="00B27B51">
        <w:t xml:space="preserve">. It aims to </w:t>
      </w:r>
      <w:r w:rsidRPr="006C3493">
        <w:t>minimis</w:t>
      </w:r>
      <w:r w:rsidR="00B27B51">
        <w:t>e</w:t>
      </w:r>
      <w:r w:rsidRPr="006C3493">
        <w:t xml:space="preserve"> the risk of </w:t>
      </w:r>
      <w:r w:rsidR="000B35E0">
        <w:t xml:space="preserve">provider </w:t>
      </w:r>
      <w:r w:rsidRPr="006C3493">
        <w:t xml:space="preserve">payment errors, misuse and fraud. To achieve this, different types of assurance activities </w:t>
      </w:r>
      <w:r>
        <w:t>will be</w:t>
      </w:r>
      <w:r w:rsidRPr="006C3493">
        <w:t xml:space="preserve"> available to the department</w:t>
      </w:r>
      <w:r>
        <w:t>.</w:t>
      </w:r>
    </w:p>
    <w:p w14:paraId="6BC3B146" w14:textId="236D7EF9" w:rsidR="008D2E30" w:rsidRDefault="008D2E30" w:rsidP="00E5634E">
      <w:r w:rsidRPr="004F7092">
        <w:t xml:space="preserve">Assurance activities </w:t>
      </w:r>
      <w:r>
        <w:t>will be</w:t>
      </w:r>
      <w:r w:rsidRPr="004F7092">
        <w:t xml:space="preserve"> conducted under Part 12</w:t>
      </w:r>
      <w:r w:rsidR="00D2451B">
        <w:t>,</w:t>
      </w:r>
      <w:r w:rsidRPr="004F7092">
        <w:t xml:space="preserve"> </w:t>
      </w:r>
      <w:r>
        <w:t>Chapter 6</w:t>
      </w:r>
      <w:r w:rsidRPr="004F7092">
        <w:t xml:space="preserve"> </w:t>
      </w:r>
      <w:r w:rsidR="00D2451B">
        <w:t xml:space="preserve">of </w:t>
      </w:r>
      <w:r w:rsidRPr="004F7092">
        <w:t xml:space="preserve">the Act in conjunction with providers. </w:t>
      </w:r>
      <w:r>
        <w:t>T</w:t>
      </w:r>
      <w:r w:rsidRPr="00A568C7">
        <w:t xml:space="preserve">he department </w:t>
      </w:r>
      <w:r>
        <w:t xml:space="preserve">will </w:t>
      </w:r>
      <w:r w:rsidRPr="00A568C7">
        <w:t>also undertake</w:t>
      </w:r>
      <w:r>
        <w:t xml:space="preserve"> related </w:t>
      </w:r>
      <w:r w:rsidRPr="00A568C7">
        <w:t>activities</w:t>
      </w:r>
      <w:r w:rsidRPr="004F7092">
        <w:t xml:space="preserve"> </w:t>
      </w:r>
      <w:r w:rsidRPr="00A568C7">
        <w:t xml:space="preserve">to inform the planning and targeting of </w:t>
      </w:r>
      <w:r>
        <w:t>program assurance</w:t>
      </w:r>
      <w:r w:rsidRPr="00A568C7">
        <w:t>.</w:t>
      </w:r>
    </w:p>
    <w:p w14:paraId="04952BDE" w14:textId="77AF2D12" w:rsidR="008D2E30" w:rsidRPr="004C3002" w:rsidRDefault="008D2E30" w:rsidP="00A279BA">
      <w:r>
        <w:t>Table 3 provides a summary of the types of assurance activities available to the department.</w:t>
      </w:r>
      <w:r w:rsidR="00494017">
        <w:t xml:space="preserve"> </w:t>
      </w:r>
      <w:r w:rsidR="004C3002">
        <w:t xml:space="preserve">Table </w:t>
      </w:r>
      <w:r w:rsidR="004C3002">
        <w:fldChar w:fldCharType="begin"/>
      </w:r>
      <w:r w:rsidR="004C3002">
        <w:instrText xml:space="preserve"> SEQ Table \* ARABIC </w:instrText>
      </w:r>
      <w:r w:rsidR="004C3002">
        <w:fldChar w:fldCharType="separate"/>
      </w:r>
      <w:r w:rsidR="004C3002">
        <w:rPr>
          <w:noProof/>
        </w:rPr>
        <w:t>3</w:t>
      </w:r>
      <w:r w:rsidR="004C3002">
        <w:fldChar w:fldCharType="end"/>
      </w:r>
      <w:r w:rsidRPr="004C3002">
        <w:t>: Summary of assurance activities</w:t>
      </w:r>
    </w:p>
    <w:p w14:paraId="56F53A3B" w14:textId="77777777" w:rsidR="00606F31" w:rsidRPr="001E0DC0" w:rsidRDefault="00606F31" w:rsidP="00E711CB">
      <w:pPr>
        <w:pStyle w:val="TableHeader"/>
        <w:rPr>
          <w:color w:val="253356" w:themeColor="accent1" w:themeShade="80"/>
        </w:rPr>
      </w:pPr>
      <w:r w:rsidRPr="001E0DC0">
        <w:rPr>
          <w:color w:val="253356" w:themeColor="accent1" w:themeShade="80"/>
        </w:rPr>
        <w:t>Assurance activities</w:t>
      </w:r>
    </w:p>
    <w:tbl>
      <w:tblPr>
        <w:tblStyle w:val="DepartmentofHealthtable"/>
        <w:tblW w:w="9072" w:type="dxa"/>
        <w:tblLook w:val="04A0" w:firstRow="1" w:lastRow="0" w:firstColumn="1" w:lastColumn="0" w:noHBand="0" w:noVBand="1"/>
      </w:tblPr>
      <w:tblGrid>
        <w:gridCol w:w="2410"/>
        <w:gridCol w:w="6662"/>
      </w:tblGrid>
      <w:tr w:rsidR="008D2E30" w:rsidRPr="009F7F48" w14:paraId="1FDCCF34" w14:textId="77777777" w:rsidTr="009973A2">
        <w:trPr>
          <w:cnfStyle w:val="100000000000" w:firstRow="1" w:lastRow="0" w:firstColumn="0" w:lastColumn="0" w:oddVBand="0" w:evenVBand="0" w:oddHBand="0" w:evenHBand="0" w:firstRowFirstColumn="0" w:firstRowLastColumn="0" w:lastRowFirstColumn="0" w:lastRowLastColumn="0"/>
          <w:trHeight w:val="495"/>
          <w:tblHeader/>
        </w:trPr>
        <w:tc>
          <w:tcPr>
            <w:cnfStyle w:val="001000000000" w:firstRow="0" w:lastRow="0" w:firstColumn="1" w:lastColumn="0" w:oddVBand="0" w:evenVBand="0" w:oddHBand="0" w:evenHBand="0" w:firstRowFirstColumn="0" w:firstRowLastColumn="0" w:lastRowFirstColumn="0" w:lastRowLastColumn="0"/>
            <w:tcW w:w="2410" w:type="dxa"/>
            <w:shd w:val="clear" w:color="auto" w:fill="141545"/>
          </w:tcPr>
          <w:p w14:paraId="69C09181" w14:textId="77777777" w:rsidR="008D2E30" w:rsidRPr="009F7F48" w:rsidRDefault="008D2E30" w:rsidP="00E5634E">
            <w:pPr>
              <w:pStyle w:val="TableHeader"/>
              <w:rPr>
                <w:b/>
              </w:rPr>
            </w:pPr>
            <w:r>
              <w:rPr>
                <w:b/>
              </w:rPr>
              <w:t>Activity</w:t>
            </w:r>
          </w:p>
        </w:tc>
        <w:tc>
          <w:tcPr>
            <w:tcW w:w="6662" w:type="dxa"/>
            <w:shd w:val="clear" w:color="auto" w:fill="141545"/>
          </w:tcPr>
          <w:p w14:paraId="1B9AE200" w14:textId="77777777" w:rsidR="008D2E30" w:rsidRPr="009F7F48" w:rsidRDefault="008D2E30" w:rsidP="00E5634E">
            <w:pPr>
              <w:pStyle w:val="TableHeader"/>
              <w:cnfStyle w:val="100000000000" w:firstRow="1" w:lastRow="0" w:firstColumn="0" w:lastColumn="0" w:oddVBand="0" w:evenVBand="0" w:oddHBand="0" w:evenHBand="0" w:firstRowFirstColumn="0" w:firstRowLastColumn="0" w:lastRowFirstColumn="0" w:lastRowLastColumn="0"/>
              <w:rPr>
                <w:b/>
              </w:rPr>
            </w:pPr>
            <w:r>
              <w:rPr>
                <w:b/>
              </w:rPr>
              <w:t>Description</w:t>
            </w:r>
          </w:p>
        </w:tc>
      </w:tr>
      <w:tr w:rsidR="008D2E30" w:rsidRPr="00E5634E" w14:paraId="24DBE6C1" w14:textId="77777777" w:rsidTr="009973A2">
        <w:trPr>
          <w:cantSplit/>
          <w:trHeight w:val="2460"/>
        </w:trPr>
        <w:tc>
          <w:tcPr>
            <w:cnfStyle w:val="001000000000" w:firstRow="0" w:lastRow="0" w:firstColumn="1" w:lastColumn="0" w:oddVBand="0" w:evenVBand="0" w:oddHBand="0" w:evenHBand="0" w:firstRowFirstColumn="0" w:firstRowLastColumn="0" w:lastRowFirstColumn="0" w:lastRowLastColumn="0"/>
            <w:tcW w:w="2410" w:type="dxa"/>
          </w:tcPr>
          <w:p w14:paraId="556DC3A5" w14:textId="77777777" w:rsidR="008D2E30" w:rsidRPr="00E5634E" w:rsidRDefault="008D2E30" w:rsidP="00E5634E">
            <w:pPr>
              <w:rPr>
                <w:b w:val="0"/>
                <w:bCs/>
              </w:rPr>
            </w:pPr>
            <w:r w:rsidRPr="00E5634E">
              <w:rPr>
                <w:bCs/>
              </w:rPr>
              <w:t>Provider Rolling Review (PRR)</w:t>
            </w:r>
          </w:p>
        </w:tc>
        <w:tc>
          <w:tcPr>
            <w:tcW w:w="6662" w:type="dxa"/>
          </w:tcPr>
          <w:p w14:paraId="6EF77EDC" w14:textId="1316BCFD" w:rsidR="008D2E30" w:rsidRPr="00E5634E" w:rsidRDefault="000F0CA9" w:rsidP="00E5634E">
            <w:pPr>
              <w:cnfStyle w:val="000000000000" w:firstRow="0" w:lastRow="0" w:firstColumn="0" w:lastColumn="0" w:oddVBand="0" w:evenVBand="0" w:oddHBand="0" w:evenHBand="0" w:firstRowFirstColumn="0" w:firstRowLastColumn="0" w:lastRowFirstColumn="0" w:lastRowLastColumn="0"/>
            </w:pPr>
            <w:r>
              <w:t>O</w:t>
            </w:r>
            <w:r w:rsidR="008D2E30" w:rsidRPr="00E5634E">
              <w:t>ngoing rolling review</w:t>
            </w:r>
            <w:r>
              <w:t>s</w:t>
            </w:r>
            <w:r w:rsidR="008D2E30" w:rsidRPr="00E5634E">
              <w:t xml:space="preserve"> of providers will deliver a series of consistent checks across the provider cohort to verify compliance with relevant responsibilities and legislated requirements. This review will systematically test whether goods and services claimed under the program are in line with the intent and scope of the program.</w:t>
            </w:r>
          </w:p>
          <w:p w14:paraId="27CAA9AC" w14:textId="19509F32" w:rsidR="008D2E30" w:rsidRPr="00C4242E" w:rsidRDefault="008D2E30" w:rsidP="00C4242E">
            <w:pPr>
              <w:cnfStyle w:val="000000000000" w:firstRow="0" w:lastRow="0" w:firstColumn="0" w:lastColumn="0" w:oddVBand="0" w:evenVBand="0" w:oddHBand="0" w:evenHBand="0" w:firstRowFirstColumn="0" w:firstRowLastColumn="0" w:lastRowFirstColumn="0" w:lastRowLastColumn="0"/>
            </w:pPr>
            <w:r w:rsidRPr="00E5634E">
              <w:t>This review will analyse program data and information from provider</w:t>
            </w:r>
            <w:r w:rsidR="00B4356B">
              <w:t xml:space="preserve">s. This may include </w:t>
            </w:r>
            <w:r w:rsidR="00B4356B" w:rsidRPr="00B4356B">
              <w:t>monthly statements, invoices, service agreements, and evidence supporting individual transactions.</w:t>
            </w:r>
          </w:p>
        </w:tc>
      </w:tr>
      <w:tr w:rsidR="008D2E30" w:rsidRPr="009F7F48" w14:paraId="786B5B7D" w14:textId="77777777" w:rsidTr="009973A2">
        <w:trPr>
          <w:trHeight w:val="798"/>
        </w:trPr>
        <w:tc>
          <w:tcPr>
            <w:cnfStyle w:val="001000000000" w:firstRow="0" w:lastRow="0" w:firstColumn="1" w:lastColumn="0" w:oddVBand="0" w:evenVBand="0" w:oddHBand="0" w:evenHBand="0" w:firstRowFirstColumn="0" w:firstRowLastColumn="0" w:lastRowFirstColumn="0" w:lastRowLastColumn="0"/>
            <w:tcW w:w="2410" w:type="dxa"/>
          </w:tcPr>
          <w:p w14:paraId="23304797" w14:textId="77777777" w:rsidR="008D2E30" w:rsidRPr="0026379E" w:rsidRDefault="008D2E30" w:rsidP="009973A2">
            <w:pPr>
              <w:spacing w:after="60"/>
              <w:rPr>
                <w:b w:val="0"/>
                <w:szCs w:val="22"/>
              </w:rPr>
            </w:pPr>
            <w:r w:rsidRPr="0026379E">
              <w:rPr>
                <w:szCs w:val="22"/>
              </w:rPr>
              <w:t xml:space="preserve">Deep </w:t>
            </w:r>
            <w:r>
              <w:rPr>
                <w:szCs w:val="22"/>
              </w:rPr>
              <w:t>d</w:t>
            </w:r>
            <w:r w:rsidRPr="0026379E">
              <w:rPr>
                <w:szCs w:val="22"/>
              </w:rPr>
              <w:t>ives</w:t>
            </w:r>
          </w:p>
        </w:tc>
        <w:tc>
          <w:tcPr>
            <w:tcW w:w="6662" w:type="dxa"/>
          </w:tcPr>
          <w:p w14:paraId="0E373EA8" w14:textId="77777777" w:rsidR="008D2E30" w:rsidRPr="002C36F3" w:rsidRDefault="008D2E30" w:rsidP="00E5634E">
            <w:pPr>
              <w:cnfStyle w:val="000000000000" w:firstRow="0" w:lastRow="0" w:firstColumn="0" w:lastColumn="0" w:oddVBand="0" w:evenVBand="0" w:oddHBand="0" w:evenHBand="0" w:firstRowFirstColumn="0" w:firstRowLastColumn="0" w:lastRowFirstColumn="0" w:lastRowLastColumn="0"/>
              <w:rPr>
                <w:rFonts w:cstheme="minorBidi"/>
                <w:lang w:val="en-US"/>
              </w:rPr>
            </w:pPr>
            <w:r>
              <w:t xml:space="preserve">Deep dives </w:t>
            </w:r>
            <w:r w:rsidRPr="00215FCA">
              <w:t xml:space="preserve">of </w:t>
            </w:r>
            <w:r>
              <w:t>one or more</w:t>
            </w:r>
            <w:r w:rsidRPr="00215FCA">
              <w:t xml:space="preserve"> identified risk area</w:t>
            </w:r>
            <w:r>
              <w:t>s</w:t>
            </w:r>
            <w:r w:rsidRPr="00215FCA">
              <w:t xml:space="preserve"> related to </w:t>
            </w:r>
            <w:r>
              <w:t>Support at Home</w:t>
            </w:r>
            <w:r w:rsidRPr="00215FCA">
              <w:t xml:space="preserve"> </w:t>
            </w:r>
            <w:r>
              <w:t xml:space="preserve">will help </w:t>
            </w:r>
            <w:r w:rsidRPr="00215FCA">
              <w:t xml:space="preserve">understand causes and identify areas for improvement. </w:t>
            </w:r>
          </w:p>
        </w:tc>
      </w:tr>
      <w:tr w:rsidR="008D2E30" w:rsidRPr="009F7F48" w14:paraId="48B29E34" w14:textId="77777777" w:rsidTr="009973A2">
        <w:trPr>
          <w:trHeight w:val="1283"/>
        </w:trPr>
        <w:tc>
          <w:tcPr>
            <w:cnfStyle w:val="001000000000" w:firstRow="0" w:lastRow="0" w:firstColumn="1" w:lastColumn="0" w:oddVBand="0" w:evenVBand="0" w:oddHBand="0" w:evenHBand="0" w:firstRowFirstColumn="0" w:firstRowLastColumn="0" w:lastRowFirstColumn="0" w:lastRowLastColumn="0"/>
            <w:tcW w:w="2410" w:type="dxa"/>
          </w:tcPr>
          <w:p w14:paraId="49A1CDE9" w14:textId="77777777" w:rsidR="008D2E30" w:rsidRPr="0026379E" w:rsidRDefault="008D2E30" w:rsidP="009973A2">
            <w:pPr>
              <w:spacing w:after="60"/>
              <w:rPr>
                <w:b w:val="0"/>
                <w:szCs w:val="22"/>
              </w:rPr>
            </w:pPr>
            <w:r w:rsidRPr="0026379E">
              <w:rPr>
                <w:szCs w:val="22"/>
              </w:rPr>
              <w:t>Surveys</w:t>
            </w:r>
          </w:p>
        </w:tc>
        <w:tc>
          <w:tcPr>
            <w:tcW w:w="6662" w:type="dxa"/>
          </w:tcPr>
          <w:p w14:paraId="5F653517" w14:textId="26B45230" w:rsidR="008D2E30" w:rsidRPr="002C36F3" w:rsidRDefault="008D2E30" w:rsidP="00E5634E">
            <w:pPr>
              <w:cnfStyle w:val="000000000000" w:firstRow="0" w:lastRow="0" w:firstColumn="0" w:lastColumn="0" w:oddVBand="0" w:evenVBand="0" w:oddHBand="0" w:evenHBand="0" w:firstRowFirstColumn="0" w:firstRowLastColumn="0" w:lastRowFirstColumn="0" w:lastRowLastColumn="0"/>
              <w:rPr>
                <w:rFonts w:cstheme="minorBidi"/>
                <w:lang w:val="en-US"/>
              </w:rPr>
            </w:pPr>
            <w:r w:rsidRPr="00215FCA">
              <w:t xml:space="preserve">Set of targeted questions </w:t>
            </w:r>
            <w:r>
              <w:t>for</w:t>
            </w:r>
            <w:r w:rsidRPr="00215FCA">
              <w:t xml:space="preserve"> </w:t>
            </w:r>
            <w:r>
              <w:t>p</w:t>
            </w:r>
            <w:r w:rsidRPr="00215FCA">
              <w:t xml:space="preserve">roviders or </w:t>
            </w:r>
            <w:r w:rsidR="00EA77DC">
              <w:t>participant</w:t>
            </w:r>
            <w:r w:rsidRPr="00215FCA">
              <w:t xml:space="preserve">s </w:t>
            </w:r>
            <w:r>
              <w:t xml:space="preserve">will </w:t>
            </w:r>
            <w:r w:rsidRPr="00215FCA">
              <w:t xml:space="preserve">elicit feedback </w:t>
            </w:r>
            <w:r>
              <w:t xml:space="preserve">on topics related to key focus areas. </w:t>
            </w:r>
            <w:r w:rsidRPr="00215FCA">
              <w:t>Surveys can be delivered as an online or paper form, or as an interview where more detailed feedback is required.</w:t>
            </w:r>
          </w:p>
        </w:tc>
      </w:tr>
    </w:tbl>
    <w:p w14:paraId="3FAD12DD" w14:textId="77777777" w:rsidR="008914F1" w:rsidRDefault="008914F1">
      <w:r>
        <w:br w:type="page"/>
      </w:r>
    </w:p>
    <w:p w14:paraId="5243D463" w14:textId="5C2C262C" w:rsidR="00606F31" w:rsidRPr="00606F31" w:rsidRDefault="00606F31" w:rsidP="004C3002">
      <w:pPr>
        <w:pStyle w:val="TableHeader"/>
      </w:pPr>
      <w:r w:rsidRPr="00606F31">
        <w:t>Related activities</w:t>
      </w:r>
    </w:p>
    <w:tbl>
      <w:tblPr>
        <w:tblStyle w:val="DepartmentofHealthtable"/>
        <w:tblW w:w="9072" w:type="dxa"/>
        <w:tblLook w:val="04A0" w:firstRow="1" w:lastRow="0" w:firstColumn="1" w:lastColumn="0" w:noHBand="0" w:noVBand="1"/>
      </w:tblPr>
      <w:tblGrid>
        <w:gridCol w:w="2410"/>
        <w:gridCol w:w="6662"/>
      </w:tblGrid>
      <w:tr w:rsidR="00606F31" w:rsidRPr="009F7F48" w14:paraId="28BF84DE" w14:textId="77777777" w:rsidTr="00E711CB">
        <w:trPr>
          <w:cnfStyle w:val="100000000000" w:firstRow="1" w:lastRow="0" w:firstColumn="0" w:lastColumn="0" w:oddVBand="0" w:evenVBand="0" w:oddHBand="0" w:evenHBand="0" w:firstRowFirstColumn="0" w:firstRowLastColumn="0" w:lastRowFirstColumn="0" w:lastRowLastColumn="0"/>
          <w:trHeight w:val="495"/>
          <w:tblHeader/>
        </w:trPr>
        <w:tc>
          <w:tcPr>
            <w:cnfStyle w:val="001000000000" w:firstRow="0" w:lastRow="0" w:firstColumn="1" w:lastColumn="0" w:oddVBand="0" w:evenVBand="0" w:oddHBand="0" w:evenHBand="0" w:firstRowFirstColumn="0" w:firstRowLastColumn="0" w:lastRowFirstColumn="0" w:lastRowLastColumn="0"/>
            <w:tcW w:w="2410" w:type="dxa"/>
            <w:shd w:val="clear" w:color="auto" w:fill="141545"/>
          </w:tcPr>
          <w:p w14:paraId="36F9FC73" w14:textId="77777777" w:rsidR="00606F31" w:rsidRPr="009F7F48" w:rsidRDefault="00606F31" w:rsidP="00E711CB">
            <w:pPr>
              <w:pStyle w:val="TableHeader"/>
              <w:rPr>
                <w:b/>
              </w:rPr>
            </w:pPr>
            <w:r>
              <w:rPr>
                <w:b/>
              </w:rPr>
              <w:t>Activity</w:t>
            </w:r>
          </w:p>
        </w:tc>
        <w:tc>
          <w:tcPr>
            <w:tcW w:w="6662" w:type="dxa"/>
            <w:shd w:val="clear" w:color="auto" w:fill="141545"/>
          </w:tcPr>
          <w:p w14:paraId="2F569C86" w14:textId="77777777" w:rsidR="00606F31" w:rsidRPr="009F7F48" w:rsidRDefault="00606F31" w:rsidP="00E711CB">
            <w:pPr>
              <w:pStyle w:val="TableHeader"/>
              <w:cnfStyle w:val="100000000000" w:firstRow="1" w:lastRow="0" w:firstColumn="0" w:lastColumn="0" w:oddVBand="0" w:evenVBand="0" w:oddHBand="0" w:evenHBand="0" w:firstRowFirstColumn="0" w:firstRowLastColumn="0" w:lastRowFirstColumn="0" w:lastRowLastColumn="0"/>
              <w:rPr>
                <w:b/>
              </w:rPr>
            </w:pPr>
            <w:r>
              <w:rPr>
                <w:b/>
              </w:rPr>
              <w:t>Description</w:t>
            </w:r>
          </w:p>
        </w:tc>
      </w:tr>
      <w:tr w:rsidR="008D2E30" w:rsidRPr="009F7F48" w14:paraId="2702B80F" w14:textId="77777777" w:rsidTr="009973A2">
        <w:trPr>
          <w:trHeight w:val="1254"/>
        </w:trPr>
        <w:tc>
          <w:tcPr>
            <w:cnfStyle w:val="001000000000" w:firstRow="0" w:lastRow="0" w:firstColumn="1" w:lastColumn="0" w:oddVBand="0" w:evenVBand="0" w:oddHBand="0" w:evenHBand="0" w:firstRowFirstColumn="0" w:firstRowLastColumn="0" w:lastRowFirstColumn="0" w:lastRowLastColumn="0"/>
            <w:tcW w:w="2410" w:type="dxa"/>
          </w:tcPr>
          <w:p w14:paraId="64DA2B9A" w14:textId="77777777" w:rsidR="008D2E30" w:rsidRPr="0026379E" w:rsidRDefault="008D2E30" w:rsidP="009973A2">
            <w:pPr>
              <w:spacing w:after="60"/>
              <w:rPr>
                <w:b w:val="0"/>
                <w:szCs w:val="22"/>
              </w:rPr>
            </w:pPr>
            <w:r w:rsidRPr="0026379E">
              <w:rPr>
                <w:szCs w:val="22"/>
              </w:rPr>
              <w:t xml:space="preserve">Desktop </w:t>
            </w:r>
            <w:r>
              <w:rPr>
                <w:szCs w:val="22"/>
              </w:rPr>
              <w:t>d</w:t>
            </w:r>
            <w:r w:rsidRPr="0026379E">
              <w:rPr>
                <w:szCs w:val="22"/>
              </w:rPr>
              <w:t>iscovery</w:t>
            </w:r>
          </w:p>
        </w:tc>
        <w:tc>
          <w:tcPr>
            <w:tcW w:w="6662" w:type="dxa"/>
          </w:tcPr>
          <w:p w14:paraId="20C7AB48" w14:textId="7079CFBE" w:rsidR="008D2E30" w:rsidRPr="002C36F3" w:rsidRDefault="008D2E30" w:rsidP="00E5634E">
            <w:pPr>
              <w:cnfStyle w:val="000000000000" w:firstRow="0" w:lastRow="0" w:firstColumn="0" w:lastColumn="0" w:oddVBand="0" w:evenVBand="0" w:oddHBand="0" w:evenHBand="0" w:firstRowFirstColumn="0" w:firstRowLastColumn="0" w:lastRowFirstColumn="0" w:lastRowLastColumn="0"/>
              <w:rPr>
                <w:rFonts w:cstheme="minorBidi"/>
                <w:lang w:val="en-US"/>
              </w:rPr>
            </w:pPr>
            <w:r w:rsidRPr="00126751">
              <w:t>Standalone desktop analys</w:t>
            </w:r>
            <w:r>
              <w:t>e</w:t>
            </w:r>
            <w:r w:rsidRPr="00126751">
              <w:t xml:space="preserve">s of </w:t>
            </w:r>
            <w:r>
              <w:t>program</w:t>
            </w:r>
            <w:r w:rsidRPr="00126751">
              <w:t xml:space="preserve"> data and publicly available information </w:t>
            </w:r>
            <w:r>
              <w:t xml:space="preserve">will help </w:t>
            </w:r>
            <w:r w:rsidRPr="00126751">
              <w:t>identify insights, trends, patterns and anomalies</w:t>
            </w:r>
            <w:r w:rsidR="00DC6D55">
              <w:t>. Analysis</w:t>
            </w:r>
            <w:r w:rsidRPr="00126751">
              <w:t xml:space="preserve"> may warrant further targeted investigation as part of </w:t>
            </w:r>
            <w:r>
              <w:t>p</w:t>
            </w:r>
            <w:r w:rsidRPr="00126751">
              <w:t xml:space="preserve">rovider </w:t>
            </w:r>
            <w:r>
              <w:t>r</w:t>
            </w:r>
            <w:r w:rsidRPr="00126751">
              <w:t xml:space="preserve">olling </w:t>
            </w:r>
            <w:r>
              <w:t>r</w:t>
            </w:r>
            <w:r w:rsidRPr="00126751">
              <w:t xml:space="preserve">eviews or </w:t>
            </w:r>
            <w:r>
              <w:t>d</w:t>
            </w:r>
            <w:r w:rsidRPr="00126751">
              <w:t xml:space="preserve">eep </w:t>
            </w:r>
            <w:r>
              <w:t>d</w:t>
            </w:r>
            <w:r w:rsidRPr="00126751">
              <w:t>ive</w:t>
            </w:r>
            <w:r>
              <w:t>s</w:t>
            </w:r>
            <w:r w:rsidRPr="00126751">
              <w:t>.</w:t>
            </w:r>
          </w:p>
        </w:tc>
      </w:tr>
      <w:tr w:rsidR="008D2E30" w:rsidRPr="009F7F48" w14:paraId="0C3984FB" w14:textId="77777777" w:rsidTr="009973A2">
        <w:trPr>
          <w:trHeight w:val="767"/>
        </w:trPr>
        <w:tc>
          <w:tcPr>
            <w:cnfStyle w:val="001000000000" w:firstRow="0" w:lastRow="0" w:firstColumn="1" w:lastColumn="0" w:oddVBand="0" w:evenVBand="0" w:oddHBand="0" w:evenHBand="0" w:firstRowFirstColumn="0" w:firstRowLastColumn="0" w:lastRowFirstColumn="0" w:lastRowLastColumn="0"/>
            <w:tcW w:w="2410" w:type="dxa"/>
          </w:tcPr>
          <w:p w14:paraId="2E5BD531" w14:textId="77777777" w:rsidR="008D2E30" w:rsidRPr="0026379E" w:rsidRDefault="008D2E30" w:rsidP="009973A2">
            <w:pPr>
              <w:spacing w:after="60"/>
              <w:rPr>
                <w:b w:val="0"/>
                <w:szCs w:val="22"/>
              </w:rPr>
            </w:pPr>
            <w:r w:rsidRPr="0026379E">
              <w:rPr>
                <w:szCs w:val="22"/>
              </w:rPr>
              <w:t xml:space="preserve">Intelligence </w:t>
            </w:r>
            <w:r>
              <w:rPr>
                <w:szCs w:val="22"/>
              </w:rPr>
              <w:t>g</w:t>
            </w:r>
            <w:r w:rsidRPr="0026379E">
              <w:rPr>
                <w:szCs w:val="22"/>
              </w:rPr>
              <w:t>athering</w:t>
            </w:r>
          </w:p>
        </w:tc>
        <w:tc>
          <w:tcPr>
            <w:tcW w:w="6662" w:type="dxa"/>
          </w:tcPr>
          <w:p w14:paraId="140E860E" w14:textId="62844BE3" w:rsidR="008D2E30" w:rsidRPr="002C36F3" w:rsidRDefault="008D2E30" w:rsidP="00E5634E">
            <w:pPr>
              <w:cnfStyle w:val="000000000000" w:firstRow="0" w:lastRow="0" w:firstColumn="0" w:lastColumn="0" w:oddVBand="0" w:evenVBand="0" w:oddHBand="0" w:evenHBand="0" w:firstRowFirstColumn="0" w:firstRowLastColumn="0" w:lastRowFirstColumn="0" w:lastRowLastColumn="0"/>
              <w:rPr>
                <w:rFonts w:cstheme="minorBidi"/>
                <w:lang w:val="en-US"/>
              </w:rPr>
            </w:pPr>
            <w:r>
              <w:t xml:space="preserve">This activity will leverage </w:t>
            </w:r>
            <w:r w:rsidRPr="00215FCA">
              <w:t xml:space="preserve">the department's </w:t>
            </w:r>
            <w:r>
              <w:t xml:space="preserve">program administration and </w:t>
            </w:r>
            <w:r w:rsidRPr="00215FCA">
              <w:t>other second line functions</w:t>
            </w:r>
            <w:r>
              <w:t>. It will also consider intelligence from relevant</w:t>
            </w:r>
            <w:r w:rsidRPr="00215FCA">
              <w:t xml:space="preserve"> inter-agency capabilities</w:t>
            </w:r>
            <w:r>
              <w:t>. This will help</w:t>
            </w:r>
            <w:r w:rsidRPr="00215FCA">
              <w:t xml:space="preserve"> collect insights, knowledge and findings around specific areas relevant to the </w:t>
            </w:r>
            <w:r>
              <w:t>p</w:t>
            </w:r>
            <w:r w:rsidRPr="00215FCA">
              <w:t xml:space="preserve">rogram to assist with targeting areas of assurance. This activity </w:t>
            </w:r>
            <w:r>
              <w:t xml:space="preserve">will </w:t>
            </w:r>
            <w:r w:rsidRPr="00215FCA">
              <w:t xml:space="preserve">consider how findings and insights </w:t>
            </w:r>
            <w:r w:rsidR="00532A0F">
              <w:t xml:space="preserve">can be shared </w:t>
            </w:r>
            <w:r w:rsidRPr="00215FCA">
              <w:t>with stakeholders</w:t>
            </w:r>
            <w:r w:rsidR="00AA3B27">
              <w:t xml:space="preserve"> </w:t>
            </w:r>
            <w:r w:rsidRPr="00215FCA">
              <w:t xml:space="preserve">to enhance effectiveness of </w:t>
            </w:r>
            <w:r w:rsidR="005843C0" w:rsidRPr="00215FCA">
              <w:t>assurance</w:t>
            </w:r>
            <w:r w:rsidR="005843C0">
              <w:t xml:space="preserve"> and </w:t>
            </w:r>
            <w:r w:rsidR="005843C0" w:rsidRPr="00215FCA">
              <w:t>investigation</w:t>
            </w:r>
            <w:r w:rsidR="000873AD">
              <w:t>s</w:t>
            </w:r>
            <w:r w:rsidR="005843C0">
              <w:t>.</w:t>
            </w:r>
          </w:p>
        </w:tc>
      </w:tr>
    </w:tbl>
    <w:p w14:paraId="4A4D29E6" w14:textId="63C46854" w:rsidR="00F41861" w:rsidRDefault="008D2E30" w:rsidP="00E758CB">
      <w:r w:rsidRPr="00225300">
        <w:t>The selection of</w:t>
      </w:r>
      <w:r>
        <w:t xml:space="preserve"> </w:t>
      </w:r>
      <w:r w:rsidRPr="00225300">
        <w:t xml:space="preserve">assurance activities depends on the </w:t>
      </w:r>
      <w:r>
        <w:t xml:space="preserve">level of </w:t>
      </w:r>
      <w:r w:rsidRPr="00225300">
        <w:t>identified</w:t>
      </w:r>
      <w:r>
        <w:t xml:space="preserve"> risk</w:t>
      </w:r>
      <w:r w:rsidRPr="00225300">
        <w:t xml:space="preserve"> and the level of </w:t>
      </w:r>
      <w:r>
        <w:t>’</w:t>
      </w:r>
      <w:r w:rsidRPr="00225300">
        <w:t>assurance confidence</w:t>
      </w:r>
      <w:r>
        <w:t>’</w:t>
      </w:r>
      <w:r w:rsidRPr="00225300">
        <w:t xml:space="preserve"> required</w:t>
      </w:r>
      <w:r>
        <w:t>. A</w:t>
      </w:r>
      <w:r w:rsidRPr="008E24DD">
        <w:t xml:space="preserve">ssurance confidence refers to the level of </w:t>
      </w:r>
      <w:r>
        <w:t xml:space="preserve">confidence in </w:t>
      </w:r>
      <w:r w:rsidRPr="008E24DD">
        <w:t>the accuracy and completeness of the assurance information.</w:t>
      </w:r>
      <w:r w:rsidRPr="009647F7">
        <w:t xml:space="preserve"> </w:t>
      </w:r>
      <w:r w:rsidR="00950431">
        <w:t xml:space="preserve">Using a mix of assurance activities helps the department gain confidence across </w:t>
      </w:r>
      <w:r w:rsidRPr="009647F7">
        <w:t>a variety of focus areas and providers</w:t>
      </w:r>
      <w:r w:rsidR="00BA6DB8">
        <w:t>,</w:t>
      </w:r>
      <w:r w:rsidRPr="009647F7">
        <w:t xml:space="preserve"> proportion</w:t>
      </w:r>
      <w:r w:rsidR="00BA6DB8">
        <w:t>ate</w:t>
      </w:r>
      <w:r w:rsidRPr="009647F7">
        <w:t xml:space="preserve"> to risk and available resources.</w:t>
      </w:r>
    </w:p>
    <w:p w14:paraId="4D6EA9FE" w14:textId="3FE9F93A" w:rsidR="00F41861" w:rsidRPr="00E758CB" w:rsidRDefault="008D2E30" w:rsidP="00E758CB">
      <w:r w:rsidRPr="00E758CB">
        <w:t>Regardless of the type of assurance activity selected, the</w:t>
      </w:r>
      <w:r w:rsidR="00F41861" w:rsidRPr="00E758CB">
        <w:t xml:space="preserve"> methodologies used will align with </w:t>
      </w:r>
      <w:r w:rsidR="005D30BA" w:rsidRPr="00E758CB">
        <w:t>the following International Organisation for Standardisation (ISO) standards</w:t>
      </w:r>
      <w:r w:rsidR="00F41861" w:rsidRPr="00E758CB">
        <w:t>,</w:t>
      </w:r>
      <w:r w:rsidRPr="00E758CB">
        <w:t xml:space="preserve"> </w:t>
      </w:r>
      <w:r w:rsidR="00F41861" w:rsidRPr="00E758CB">
        <w:t>where appropriate:</w:t>
      </w:r>
    </w:p>
    <w:p w14:paraId="31C856B5" w14:textId="3CA6BD99" w:rsidR="005D30BA" w:rsidRPr="00E758CB" w:rsidRDefault="008D2E30" w:rsidP="005A49D1">
      <w:pPr>
        <w:pStyle w:val="ListBullet"/>
      </w:pPr>
      <w:r w:rsidRPr="00E758CB">
        <w:t xml:space="preserve">AS/NZS ISO 19011:2019 </w:t>
      </w:r>
      <w:r w:rsidRPr="00A279BA">
        <w:rPr>
          <w:rStyle w:val="Emphasis"/>
        </w:rPr>
        <w:t>Guidelines for auditing management systems</w:t>
      </w:r>
    </w:p>
    <w:p w14:paraId="001D96BE" w14:textId="359C02EF" w:rsidR="008D2E30" w:rsidRPr="00E758CB" w:rsidRDefault="005D30BA" w:rsidP="005A49D1">
      <w:pPr>
        <w:pStyle w:val="ListBullet"/>
      </w:pPr>
      <w:r w:rsidRPr="00E758CB">
        <w:t xml:space="preserve">AS/NZS ISO 9001:2016 </w:t>
      </w:r>
      <w:r w:rsidRPr="00A279BA">
        <w:rPr>
          <w:rStyle w:val="Emphasis"/>
        </w:rPr>
        <w:t>Quality management systems.</w:t>
      </w:r>
    </w:p>
    <w:p w14:paraId="0A2CAC9A" w14:textId="0D355D01" w:rsidR="008D2E30" w:rsidRDefault="008D2E30" w:rsidP="00E5634E">
      <w:r>
        <w:t>T</w:t>
      </w:r>
      <w:r w:rsidRPr="009F7F48">
        <w:t xml:space="preserve">he </w:t>
      </w:r>
      <w:r>
        <w:t>a</w:t>
      </w:r>
      <w:r w:rsidRPr="009F7F48">
        <w:t xml:space="preserve">ssurance </w:t>
      </w:r>
      <w:r>
        <w:t>p</w:t>
      </w:r>
      <w:r w:rsidRPr="009F7F48">
        <w:t>lan</w:t>
      </w:r>
      <w:r>
        <w:t xml:space="preserve"> provides flexibility to adjust activities as required to respond to changing risks and resource availability. Each primary assurance activity will be guided by t</w:t>
      </w:r>
      <w:r w:rsidRPr="009F7F48">
        <w:t xml:space="preserve">erms of </w:t>
      </w:r>
      <w:r>
        <w:t>r</w:t>
      </w:r>
      <w:r w:rsidRPr="009F7F48">
        <w:t xml:space="preserve">eference </w:t>
      </w:r>
      <w:r>
        <w:t>detail</w:t>
      </w:r>
      <w:r w:rsidR="00203CFD">
        <w:t>ing</w:t>
      </w:r>
      <w:r w:rsidRPr="009F7F48">
        <w:t xml:space="preserve"> the selected methodology</w:t>
      </w:r>
      <w:r>
        <w:t>,</w:t>
      </w:r>
      <w:r w:rsidRPr="009F7F48">
        <w:t xml:space="preserve"> the scope of the activity </w:t>
      </w:r>
      <w:r>
        <w:t>and approach to provider selection</w:t>
      </w:r>
      <w:r w:rsidRPr="009F7F48">
        <w:t>.</w:t>
      </w:r>
    </w:p>
    <w:p w14:paraId="6EE63E8D" w14:textId="77777777" w:rsidR="008D2E30" w:rsidRPr="00C87DDC" w:rsidRDefault="008D2E30" w:rsidP="008D2E30">
      <w:pPr>
        <w:pStyle w:val="Heading2"/>
      </w:pPr>
      <w:bookmarkStart w:id="92" w:name="_Toc210125817"/>
      <w:bookmarkStart w:id="93" w:name="_Toc210388304"/>
      <w:bookmarkStart w:id="94" w:name="_Toc223509394"/>
      <w:r w:rsidRPr="0019031F">
        <w:t>Phase 5: Report and monitor</w:t>
      </w:r>
      <w:bookmarkEnd w:id="92"/>
      <w:bookmarkEnd w:id="93"/>
      <w:bookmarkEnd w:id="94"/>
    </w:p>
    <w:p w14:paraId="11FA8EB1" w14:textId="3AACD6BF" w:rsidR="008D2E30" w:rsidRPr="003035EE" w:rsidRDefault="008D2E30" w:rsidP="00E5634E">
      <w:r>
        <w:t>P</w:t>
      </w:r>
      <w:r w:rsidRPr="003035EE">
        <w:t xml:space="preserve">rimary assurance activities </w:t>
      </w:r>
      <w:r>
        <w:t>may</w:t>
      </w:r>
      <w:r w:rsidRPr="003035EE">
        <w:t xml:space="preserve"> include the development of </w:t>
      </w:r>
      <w:r>
        <w:t xml:space="preserve">individual provider reports and/or review-wide summary </w:t>
      </w:r>
      <w:r w:rsidRPr="003035EE">
        <w:t>report</w:t>
      </w:r>
      <w:r>
        <w:t>s</w:t>
      </w:r>
      <w:r w:rsidRPr="003035EE">
        <w:t xml:space="preserve"> </w:t>
      </w:r>
      <w:r>
        <w:t>containing</w:t>
      </w:r>
      <w:r w:rsidRPr="003035EE">
        <w:t xml:space="preserve"> key findings, conclusions and recommendations</w:t>
      </w:r>
      <w:r>
        <w:t>. A</w:t>
      </w:r>
      <w:r w:rsidRPr="00D4241D">
        <w:t xml:space="preserve"> version of the</w:t>
      </w:r>
      <w:r>
        <w:t>se</w:t>
      </w:r>
      <w:r w:rsidRPr="00D4241D">
        <w:t xml:space="preserve"> report</w:t>
      </w:r>
      <w:r>
        <w:t>s</w:t>
      </w:r>
      <w:r w:rsidRPr="00D4241D">
        <w:t xml:space="preserve"> may be published under section 510 of the Act. Published reports may include personal information about a provider to which the report</w:t>
      </w:r>
      <w:r w:rsidRPr="003035EE">
        <w:t xml:space="preserve"> relates</w:t>
      </w:r>
      <w:r w:rsidR="00DB2515">
        <w:t>. Published reports</w:t>
      </w:r>
      <w:r w:rsidRPr="003035EE">
        <w:t xml:space="preserve"> will comply with the department’s legal obligations</w:t>
      </w:r>
      <w:r>
        <w:t>,</w:t>
      </w:r>
      <w:r w:rsidRPr="003035EE">
        <w:t xml:space="preserve"> including </w:t>
      </w:r>
      <w:r>
        <w:t xml:space="preserve">its </w:t>
      </w:r>
      <w:r w:rsidRPr="003035EE">
        <w:t xml:space="preserve">obligations under the </w:t>
      </w:r>
      <w:r w:rsidRPr="00B251F7">
        <w:rPr>
          <w:i/>
          <w:iCs/>
        </w:rPr>
        <w:t>Privacy Act 1988</w:t>
      </w:r>
      <w:r w:rsidR="00765997">
        <w:rPr>
          <w:i/>
          <w:iCs/>
        </w:rPr>
        <w:t>.</w:t>
      </w:r>
    </w:p>
    <w:p w14:paraId="5440E102" w14:textId="77777777" w:rsidR="008D2E30" w:rsidRPr="00494017" w:rsidRDefault="008D2E30" w:rsidP="00494017">
      <w:pPr>
        <w:pStyle w:val="Heading3"/>
      </w:pPr>
      <w:bookmarkStart w:id="95" w:name="_Toc210388305"/>
      <w:bookmarkStart w:id="96" w:name="_Toc223509395"/>
      <w:r w:rsidRPr="00494017">
        <w:t>Procedural fairness</w:t>
      </w:r>
      <w:bookmarkEnd w:id="95"/>
      <w:bookmarkEnd w:id="96"/>
    </w:p>
    <w:p w14:paraId="5804F938" w14:textId="533DB259" w:rsidR="008D2E30" w:rsidRDefault="008D2E30" w:rsidP="00E5634E">
      <w:r w:rsidRPr="00511F3E">
        <w:t>If the System Governor is considering including a finding, conclusion or recommendation, in a report under subsection 510(3), that is critical (either expressly or impliedly) of a provider, the System Governor must give the provider a statement setting out the finding, conclusion or recommendation; and a reasonable opportunity to respond to the finding, conclusion or recommendation.</w:t>
      </w:r>
    </w:p>
    <w:p w14:paraId="51D9BDF9" w14:textId="00EFE903" w:rsidR="008D2E30" w:rsidRPr="003035EE" w:rsidRDefault="00094464" w:rsidP="00E5634E">
      <w:r>
        <w:t>T</w:t>
      </w:r>
      <w:r w:rsidR="008D2E30" w:rsidRPr="003035EE">
        <w:t xml:space="preserve">he department will </w:t>
      </w:r>
      <w:r>
        <w:t>take</w:t>
      </w:r>
      <w:r w:rsidR="008D2E30" w:rsidRPr="003035EE">
        <w:t xml:space="preserve"> a constructive and transparent approach to determining and communicating findings, conclusions and recommendations with providers</w:t>
      </w:r>
      <w:r w:rsidR="008D2E30">
        <w:t>.</w:t>
      </w:r>
      <w:r w:rsidR="008D2E30" w:rsidRPr="003035EE">
        <w:t xml:space="preserve"> </w:t>
      </w:r>
      <w:r w:rsidR="00E62826">
        <w:t>This reflects the</w:t>
      </w:r>
      <w:r w:rsidR="00E62826" w:rsidRPr="003035EE">
        <w:t xml:space="preserve"> </w:t>
      </w:r>
      <w:r w:rsidR="00E62826">
        <w:t>a</w:t>
      </w:r>
      <w:r w:rsidR="00E62826" w:rsidRPr="003035EE">
        <w:t xml:space="preserve">ssurance </w:t>
      </w:r>
      <w:r w:rsidR="00E62826">
        <w:t>f</w:t>
      </w:r>
      <w:r w:rsidR="00E62826" w:rsidRPr="003035EE">
        <w:t>ramework’s principles of continuous improvement, collaboration, engagement and trust</w:t>
      </w:r>
      <w:r w:rsidR="00E62826">
        <w:t xml:space="preserve">. </w:t>
      </w:r>
      <w:r w:rsidR="008D2E30">
        <w:t>A</w:t>
      </w:r>
      <w:r w:rsidR="008D2E30" w:rsidRPr="003035EE">
        <w:t xml:space="preserve">s part of the reporting process </w:t>
      </w:r>
      <w:r w:rsidR="008D2E30">
        <w:t>the department</w:t>
      </w:r>
      <w:r w:rsidR="008D2E30" w:rsidRPr="003035EE">
        <w:t xml:space="preserve"> will aim to maintain effective relationships throughout the process.</w:t>
      </w:r>
    </w:p>
    <w:p w14:paraId="2959D120" w14:textId="140557F0" w:rsidR="008D2E30" w:rsidRPr="00C87DDC" w:rsidRDefault="008D2E30" w:rsidP="008D2E30">
      <w:pPr>
        <w:pStyle w:val="Heading2"/>
      </w:pPr>
      <w:bookmarkStart w:id="97" w:name="_Toc210125818"/>
      <w:bookmarkStart w:id="98" w:name="_Toc210388306"/>
      <w:bookmarkStart w:id="99" w:name="_Toc223509396"/>
      <w:r>
        <w:t xml:space="preserve">Phase 6: </w:t>
      </w:r>
      <w:bookmarkEnd w:id="97"/>
      <w:bookmarkEnd w:id="98"/>
      <w:r w:rsidR="006D7464">
        <w:t>Implement and refine</w:t>
      </w:r>
      <w:bookmarkEnd w:id="99"/>
    </w:p>
    <w:p w14:paraId="75B88007" w14:textId="0ECAC20E" w:rsidR="008D2E30" w:rsidRPr="003035EE" w:rsidRDefault="008D2E30" w:rsidP="00E5634E">
      <w:r>
        <w:t>W</w:t>
      </w:r>
      <w:r w:rsidRPr="003035EE">
        <w:t>hen issues are identified through assurance activities</w:t>
      </w:r>
      <w:r>
        <w:t>,</w:t>
      </w:r>
      <w:r w:rsidRPr="003035EE">
        <w:t xml:space="preserve"> the priority </w:t>
      </w:r>
      <w:r>
        <w:t>will be</w:t>
      </w:r>
      <w:r w:rsidRPr="003035EE">
        <w:t xml:space="preserve"> to work with providers to seek resolution and </w:t>
      </w:r>
      <w:r>
        <w:t>provide the</w:t>
      </w:r>
      <w:r w:rsidRPr="003035EE">
        <w:t xml:space="preserve"> opportunity to self-correct. Where opportunities to implement better practices are identified through assurance activities </w:t>
      </w:r>
      <w:r>
        <w:t xml:space="preserve">they </w:t>
      </w:r>
      <w:r w:rsidRPr="003035EE">
        <w:t xml:space="preserve">will be shared </w:t>
      </w:r>
      <w:r>
        <w:t xml:space="preserve">promptly </w:t>
      </w:r>
      <w:r w:rsidRPr="003035EE">
        <w:t>with providers to support continuous improvement.</w:t>
      </w:r>
    </w:p>
    <w:p w14:paraId="421490B7" w14:textId="13833BC7" w:rsidR="008D2E30" w:rsidRPr="003035EE" w:rsidRDefault="008D2E30" w:rsidP="00E5634E">
      <w:r w:rsidRPr="003035EE">
        <w:t xml:space="preserve">This approach is designed to </w:t>
      </w:r>
      <w:r>
        <w:t>promote</w:t>
      </w:r>
      <w:r w:rsidRPr="003035EE">
        <w:t xml:space="preserve"> constructive working relationships with providers</w:t>
      </w:r>
      <w:r>
        <w:t xml:space="preserve"> </w:t>
      </w:r>
      <w:r w:rsidRPr="003035EE">
        <w:t xml:space="preserve">and encourage a culture of transparency and accountability across </w:t>
      </w:r>
      <w:r>
        <w:t>Support at Home</w:t>
      </w:r>
      <w:r w:rsidRPr="003035EE">
        <w:t>. The approach will be particularly collaborative in the early stages of the program to support providers to adapt to the new legislative requirements.</w:t>
      </w:r>
    </w:p>
    <w:p w14:paraId="2A00A635" w14:textId="14F67645" w:rsidR="008D2E30" w:rsidRPr="003035EE" w:rsidRDefault="008D2E30" w:rsidP="00E5634E">
      <w:r w:rsidRPr="003035EE">
        <w:t>However, there will be consequences for repeated or deliberate non-compliance</w:t>
      </w:r>
      <w:r>
        <w:rPr>
          <w:rStyle w:val="FootnoteReference"/>
          <w:sz w:val="21"/>
          <w:szCs w:val="21"/>
        </w:rPr>
        <w:footnoteReference w:id="12"/>
      </w:r>
      <w:r w:rsidRPr="003035EE">
        <w:t xml:space="preserve">. Compliance action will be in line with the </w:t>
      </w:r>
      <w:r>
        <w:t>c</w:t>
      </w:r>
      <w:r w:rsidRPr="003035EE">
        <w:t xml:space="preserve">ompliance </w:t>
      </w:r>
      <w:r>
        <w:t>f</w:t>
      </w:r>
      <w:r w:rsidRPr="003035EE">
        <w:t xml:space="preserve">ramework and System Governor powers under the Act as needed. </w:t>
      </w:r>
      <w:r w:rsidR="006D7464">
        <w:t>P</w:t>
      </w:r>
      <w:r>
        <w:t xml:space="preserve">roviders </w:t>
      </w:r>
      <w:r w:rsidRPr="003035EE">
        <w:t>will be referred to the Commission</w:t>
      </w:r>
      <w:r w:rsidR="006D7464" w:rsidRPr="006D7464">
        <w:t xml:space="preserve"> </w:t>
      </w:r>
      <w:r w:rsidR="006D7464">
        <w:t>for relevant</w:t>
      </w:r>
      <w:r w:rsidR="006D7464" w:rsidRPr="003035EE">
        <w:t xml:space="preserve"> issues</w:t>
      </w:r>
      <w:r>
        <w:rPr>
          <w:rStyle w:val="FootnoteReference"/>
          <w:sz w:val="21"/>
          <w:szCs w:val="21"/>
        </w:rPr>
        <w:footnoteReference w:id="13"/>
      </w:r>
      <w:r w:rsidRPr="003035EE">
        <w:t xml:space="preserve">. Where necessary, matters may also be referred to other external parties such as law enforcement, Services Australia, the Department of Social Services, the Australian Taxation Office and the Australian Consumer and Competition Commission. The principles of procedural fairness outlined in the </w:t>
      </w:r>
      <w:r>
        <w:t>c</w:t>
      </w:r>
      <w:r w:rsidRPr="003035EE">
        <w:t xml:space="preserve">ompliance </w:t>
      </w:r>
      <w:r>
        <w:t>f</w:t>
      </w:r>
      <w:r w:rsidRPr="003035EE">
        <w:t>ramework will be applied for all assurance activities.</w:t>
      </w:r>
    </w:p>
    <w:p w14:paraId="561487D1" w14:textId="028CEFD5" w:rsidR="00B85FC0" w:rsidRDefault="008D2E30" w:rsidP="00B85FC0">
      <w:r w:rsidRPr="003035EE">
        <w:t xml:space="preserve">Figure </w:t>
      </w:r>
      <w:r>
        <w:t>9</w:t>
      </w:r>
      <w:r w:rsidRPr="003035EE">
        <w:t xml:space="preserve"> summarises the general approach that will be taken by the department where issues are identified through an assurance activity.</w:t>
      </w:r>
    </w:p>
    <w:p w14:paraId="036020D7" w14:textId="7208F4D3" w:rsidR="00B85FC0" w:rsidRDefault="008D2E30" w:rsidP="001F3D69">
      <w:pPr>
        <w:jc w:val="center"/>
      </w:pPr>
      <w:r>
        <w:rPr>
          <w:rFonts w:eastAsia="Arial"/>
          <w:noProof/>
          <w:sz w:val="21"/>
          <w:szCs w:val="21"/>
          <w:lang w:val="en-US"/>
        </w:rPr>
        <w:drawing>
          <wp:inline distT="0" distB="0" distL="0" distR="0" wp14:anchorId="5CA5257B" wp14:editId="6A32B6CF">
            <wp:extent cx="4343400" cy="5231456"/>
            <wp:effectExtent l="0" t="0" r="0" b="7620"/>
            <wp:docPr id="1869438957" name="Picture 89" descr="Flow diagram shoing initial and follow-up activities where issues are identified through assurance activities.  Initial: &#10;&#10;1. Conduct assurance activity&#10;2. Identify issue&#10;3. Communicate to provider&#10;4. Make recommendation&#10;5. Seek response from provider&#10;6. Follow up required?&#10;If yes, conduct follow up.&#10;If no, End.&#10;Follow up:&#10;1. Conduct follow-up activity&#10;2. Issue resolved?&#10;If yes, end.&#10;If no, severity of non-compliance?&#10;If repeated/deliberate/high-risk, intiate compliance response.&#10;If engaged in good faith/low risk, then:&#10;- provide guidance&#10;- seek renewed commitment to action from provider&#10;- conduct follow up activity ag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438957" name="Picture 89" descr="Flow diagram shoing initial and follow-up activities where issues are identified through assurance activities.  Initial: &#10;&#10;1. Conduct assurance activity&#10;2. Identify issue&#10;3. Communicate to provider&#10;4. Make recommendation&#10;5. Seek response from provider&#10;6. Follow up required?&#10;If yes, conduct follow up.&#10;If no, End.&#10;Follow up:&#10;1. Conduct follow-up activity&#10;2. Issue resolved?&#10;If yes, end.&#10;If no, severity of non-compliance?&#10;If repeated/deliberate/high-risk, intiate compliance response.&#10;If engaged in good faith/low risk, then:&#10;- provide guidance&#10;- seek renewed commitment to action from provider&#10;- conduct follow up activity again."/>
                    <pic:cNvPicPr>
                      <a:picLocks noChangeAspect="1" noChangeArrowheads="1"/>
                    </pic:cNvPicPr>
                  </pic:nvPicPr>
                  <pic:blipFill>
                    <a:blip r:embed="rId56">
                      <a:extLst>
                        <a:ext uri="{96DAC541-7B7A-43D3-8B79-37D633B846F1}">
                          <asvg:svgBlip xmlns:asvg="http://schemas.microsoft.com/office/drawing/2016/SVG/main" r:embed="rId57"/>
                        </a:ext>
                      </a:extLst>
                    </a:blip>
                    <a:stretch>
                      <a:fillRect/>
                    </a:stretch>
                  </pic:blipFill>
                  <pic:spPr bwMode="auto">
                    <a:xfrm>
                      <a:off x="0" y="0"/>
                      <a:ext cx="4350748" cy="5240307"/>
                    </a:xfrm>
                    <a:prstGeom prst="rect">
                      <a:avLst/>
                    </a:prstGeom>
                  </pic:spPr>
                </pic:pic>
              </a:graphicData>
            </a:graphic>
          </wp:inline>
        </w:drawing>
      </w:r>
    </w:p>
    <w:p w14:paraId="6594FF82" w14:textId="7F9D8348" w:rsidR="008D2E30" w:rsidRPr="00BE5B2F" w:rsidRDefault="004C3002" w:rsidP="004C3002">
      <w:pPr>
        <w:pStyle w:val="Caption"/>
        <w:rPr>
          <w:b w:val="0"/>
          <w:bCs w:val="0"/>
        </w:rPr>
      </w:pPr>
      <w:r>
        <w:t xml:space="preserve">Figure </w:t>
      </w:r>
      <w:r>
        <w:fldChar w:fldCharType="begin"/>
      </w:r>
      <w:r>
        <w:instrText xml:space="preserve"> SEQ Figure \* ARABIC </w:instrText>
      </w:r>
      <w:r>
        <w:fldChar w:fldCharType="separate"/>
      </w:r>
      <w:r w:rsidR="00A279BA">
        <w:rPr>
          <w:noProof/>
        </w:rPr>
        <w:t>9</w:t>
      </w:r>
      <w:r>
        <w:fldChar w:fldCharType="end"/>
      </w:r>
      <w:r w:rsidR="008D2E30" w:rsidRPr="00BE5B2F">
        <w:t>: Department approach where issues are identified through assurance activities</w:t>
      </w:r>
    </w:p>
    <w:p w14:paraId="201B0209" w14:textId="77777777" w:rsidR="008D2E30" w:rsidRPr="003035EE" w:rsidRDefault="008D2E30" w:rsidP="00E944B2">
      <w:pPr>
        <w:pStyle w:val="Heading2"/>
        <w:rPr>
          <w:rFonts w:eastAsia="Arial"/>
        </w:rPr>
      </w:pPr>
      <w:bookmarkStart w:id="100" w:name="_Toc210388307"/>
      <w:bookmarkStart w:id="101" w:name="_Toc223509397"/>
      <w:r w:rsidRPr="003035EE">
        <w:rPr>
          <w:rFonts w:eastAsia="Arial"/>
        </w:rPr>
        <w:t xml:space="preserve">Internal </w:t>
      </w:r>
      <w:r>
        <w:rPr>
          <w:rFonts w:eastAsia="Arial"/>
        </w:rPr>
        <w:t>c</w:t>
      </w:r>
      <w:r w:rsidRPr="003035EE">
        <w:rPr>
          <w:rFonts w:eastAsia="Arial"/>
        </w:rPr>
        <w:t xml:space="preserve">ontinuous </w:t>
      </w:r>
      <w:r>
        <w:rPr>
          <w:rFonts w:eastAsia="Arial"/>
        </w:rPr>
        <w:t>i</w:t>
      </w:r>
      <w:r w:rsidRPr="003035EE">
        <w:rPr>
          <w:rFonts w:eastAsia="Arial"/>
        </w:rPr>
        <w:t>mprovement</w:t>
      </w:r>
      <w:bookmarkEnd w:id="100"/>
      <w:bookmarkEnd w:id="101"/>
    </w:p>
    <w:p w14:paraId="4729C4A6" w14:textId="77777777" w:rsidR="008D2E30" w:rsidRPr="003035EE" w:rsidRDefault="008D2E30" w:rsidP="00E5634E">
      <w:r>
        <w:t>T</w:t>
      </w:r>
      <w:r w:rsidRPr="00952B67">
        <w:t>he department will identify and address any gaps in guidance to support continuous improvement in sector performance</w:t>
      </w:r>
      <w:r>
        <w:t>.</w:t>
      </w:r>
      <w:r w:rsidRPr="003035EE">
        <w:t xml:space="preserve"> The department will also seek feedback from reviewed providers </w:t>
      </w:r>
      <w:r w:rsidRPr="00313ABA">
        <w:t xml:space="preserve">to </w:t>
      </w:r>
      <w:r>
        <w:t>enhance</w:t>
      </w:r>
      <w:r w:rsidRPr="00313ABA">
        <w:t xml:space="preserve"> its approach to </w:t>
      </w:r>
      <w:r>
        <w:t xml:space="preserve">how it undertakes </w:t>
      </w:r>
      <w:r w:rsidRPr="00313ABA">
        <w:t>program assurance</w:t>
      </w:r>
      <w:r>
        <w:t xml:space="preserve"> reviews</w:t>
      </w:r>
      <w:r w:rsidRPr="00313ABA">
        <w:t>.</w:t>
      </w:r>
    </w:p>
    <w:bookmarkEnd w:id="2"/>
    <w:bookmarkEnd w:id="3"/>
    <w:bookmarkEnd w:id="4"/>
    <w:bookmarkEnd w:id="5"/>
    <w:p w14:paraId="62408C8A" w14:textId="77777777" w:rsidR="004C7EA4" w:rsidRDefault="004C7EA4" w:rsidP="00B85FC0">
      <w:pPr>
        <w:rPr>
          <w:rFonts w:eastAsia="Arial" w:cs="Arial"/>
          <w:bCs/>
          <w:color w:val="3F4A75"/>
          <w:kern w:val="28"/>
          <w:sz w:val="36"/>
          <w:szCs w:val="36"/>
          <w:lang w:val="en"/>
        </w:rPr>
        <w:sectPr w:rsidR="004C7EA4" w:rsidSect="001845E6">
          <w:pgSz w:w="11906" w:h="16838"/>
          <w:pgMar w:top="1701" w:right="1274" w:bottom="1418" w:left="1418" w:header="709" w:footer="341" w:gutter="0"/>
          <w:cols w:space="708"/>
          <w:docGrid w:linePitch="360"/>
        </w:sectPr>
      </w:pPr>
    </w:p>
    <w:p w14:paraId="020FBD99" w14:textId="69DC1BD2" w:rsidR="00467712" w:rsidRPr="00040C94" w:rsidRDefault="00D74020" w:rsidP="004C3002">
      <w:pPr>
        <w:pStyle w:val="Heading1"/>
      </w:pPr>
      <w:bookmarkStart w:id="102" w:name="_Toc223509398"/>
      <w:r w:rsidRPr="00040C94">
        <w:t>Appendix A</w:t>
      </w:r>
      <w:bookmarkEnd w:id="102"/>
    </w:p>
    <w:p w14:paraId="7FE951A8" w14:textId="63D051DB" w:rsidR="004C7EA4" w:rsidRPr="004C3002" w:rsidRDefault="00561A2F" w:rsidP="00B85FC0">
      <w:pPr>
        <w:rPr>
          <w:rFonts w:eastAsia="Arial"/>
        </w:rPr>
      </w:pPr>
      <w:r>
        <w:rPr>
          <w:rFonts w:eastAsia="Arial" w:cs="Arial"/>
          <w:bCs/>
          <w:noProof/>
          <w:color w:val="3F4A75"/>
          <w:kern w:val="28"/>
          <w:sz w:val="36"/>
          <w:szCs w:val="36"/>
          <w:lang w:val="en"/>
        </w:rPr>
        <w:drawing>
          <wp:inline distT="0" distB="0" distL="0" distR="0" wp14:anchorId="045ED5DF" wp14:editId="08756921">
            <wp:extent cx="8711565" cy="4900295"/>
            <wp:effectExtent l="0" t="0" r="0" b="0"/>
            <wp:docPr id="101280492" name="Picture 3" descr="A diagram showing the compliance model. Compliance activities are prevent, detect, respond, proportionate response, continuous improvement. Proportionate response has 4 levels: 1 - educate, 2 - assist, 3 - detect and correct, 4 - prosecu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80492" name="Picture 3" descr="A diagram showing the compliance model. Compliance activities are prevent, detect, respond, proportionate response, continuous improvement. Proportionate response has 4 levels: 1 - educate, 2 - assist, 3 - detect and correct, 4 - prosecute. "/>
                    <pic:cNvPicPr/>
                  </pic:nvPicPr>
                  <pic:blipFill>
                    <a:blip r:embed="rId41">
                      <a:extLst>
                        <a:ext uri="{28A0092B-C50C-407E-A947-70E740481C1C}">
                          <a14:useLocalDpi xmlns:a14="http://schemas.microsoft.com/office/drawing/2010/main" val="0"/>
                        </a:ext>
                      </a:extLst>
                    </a:blip>
                    <a:stretch>
                      <a:fillRect/>
                    </a:stretch>
                  </pic:blipFill>
                  <pic:spPr>
                    <a:xfrm>
                      <a:off x="0" y="0"/>
                      <a:ext cx="8711565" cy="4900295"/>
                    </a:xfrm>
                    <a:prstGeom prst="rect">
                      <a:avLst/>
                    </a:prstGeom>
                  </pic:spPr>
                </pic:pic>
              </a:graphicData>
            </a:graphic>
          </wp:inline>
        </w:drawing>
      </w:r>
    </w:p>
    <w:sectPr w:rsidR="004C7EA4" w:rsidRPr="004C3002" w:rsidSect="00561A2F">
      <w:pgSz w:w="16838" w:h="11906" w:orient="landscape"/>
      <w:pgMar w:top="1418" w:right="1701" w:bottom="1274" w:left="1418" w:header="709" w:footer="34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0B490B" w14:textId="77777777" w:rsidR="00C07487" w:rsidRDefault="00C07487" w:rsidP="00934368">
      <w:r>
        <w:separator/>
      </w:r>
    </w:p>
    <w:p w14:paraId="5DFDF9E5" w14:textId="77777777" w:rsidR="00C07487" w:rsidRDefault="00C07487" w:rsidP="00934368"/>
  </w:endnote>
  <w:endnote w:type="continuationSeparator" w:id="0">
    <w:p w14:paraId="1159F2DD" w14:textId="77777777" w:rsidR="00C07487" w:rsidRDefault="00C07487" w:rsidP="00934368">
      <w:r>
        <w:continuationSeparator/>
      </w:r>
    </w:p>
    <w:p w14:paraId="42C6C640" w14:textId="77777777" w:rsidR="00C07487" w:rsidRDefault="00C07487" w:rsidP="00934368"/>
  </w:endnote>
  <w:endnote w:type="continuationNotice" w:id="1">
    <w:p w14:paraId="307BD8AC" w14:textId="77777777" w:rsidR="00C07487" w:rsidRDefault="00C07487" w:rsidP="0093436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roxima Nova">
    <w:altName w:val="Tahoma"/>
    <w:panose1 w:val="00000000000000000000"/>
    <w:charset w:val="00"/>
    <w:family w:val="auto"/>
    <w:notTrueType/>
    <w:pitch w:val="variable"/>
    <w:sig w:usb0="A00002EF" w:usb1="5000E0F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inion Pro">
    <w:altName w:val="Cambria"/>
    <w:panose1 w:val="00000000000000000000"/>
    <w:charset w:val="00"/>
    <w:family w:val="roman"/>
    <w:notTrueType/>
    <w:pitch w:val="variable"/>
    <w:sig w:usb0="6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Inter Medium">
    <w:charset w:val="00"/>
    <w:family w:val="auto"/>
    <w:pitch w:val="variable"/>
    <w:sig w:usb0="E0000AFF" w:usb1="5200A1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DAF644" w14:textId="18566930" w:rsidR="00627385" w:rsidRPr="00386805" w:rsidRDefault="00C35B1C" w:rsidP="00386805">
    <w:pPr>
      <w:pStyle w:val="Footer"/>
      <w:jc w:val="left"/>
    </w:pPr>
    <w:r>
      <w:rPr>
        <w:b/>
        <w:bCs/>
        <w:noProof/>
        <w:sz w:val="21"/>
        <w:szCs w:val="21"/>
      </w:rPr>
      <mc:AlternateContent>
        <mc:Choice Requires="wps">
          <w:drawing>
            <wp:anchor distT="0" distB="0" distL="0" distR="0" simplePos="0" relativeHeight="251674628" behindDoc="0" locked="0" layoutInCell="1" allowOverlap="1" wp14:anchorId="460E21D1" wp14:editId="6B8F9653">
              <wp:simplePos x="635" y="635"/>
              <wp:positionH relativeFrom="page">
                <wp:align>center</wp:align>
              </wp:positionH>
              <wp:positionV relativeFrom="page">
                <wp:align>bottom</wp:align>
              </wp:positionV>
              <wp:extent cx="622300" cy="480695"/>
              <wp:effectExtent l="0" t="0" r="6350" b="0"/>
              <wp:wrapNone/>
              <wp:docPr id="1962657883" name="Text Box 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480695"/>
                      </a:xfrm>
                      <a:prstGeom prst="rect">
                        <a:avLst/>
                      </a:prstGeom>
                      <a:noFill/>
                      <a:ln>
                        <a:noFill/>
                      </a:ln>
                    </wps:spPr>
                    <wps:txbx>
                      <w:txbxContent>
                        <w:p w14:paraId="15800ABA" w14:textId="6C282DDA" w:rsidR="00C35B1C" w:rsidRPr="00C35B1C" w:rsidRDefault="00C35B1C" w:rsidP="00C35B1C">
                          <w:pPr>
                            <w:spacing w:after="0"/>
                            <w:rPr>
                              <w:rFonts w:ascii="Aptos" w:eastAsia="Aptos" w:hAnsi="Aptos" w:cs="Aptos"/>
                              <w:noProof/>
                              <w:color w:val="FF0000"/>
                            </w:rPr>
                          </w:pPr>
                          <w:r w:rsidRPr="00C35B1C">
                            <w:rPr>
                              <w:rFonts w:ascii="Aptos" w:eastAsia="Aptos" w:hAnsi="Aptos" w:cs="Aptos"/>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60E21D1" id="_x0000_t202" coordsize="21600,21600" o:spt="202" path="m,l,21600r21600,l21600,xe">
              <v:stroke joinstyle="miter"/>
              <v:path gradientshapeok="t" o:connecttype="rect"/>
            </v:shapetype>
            <v:shape id="Text Box 7" o:spid="_x0000_s1058" type="#_x0000_t202" alt="OFFICIAL" style="position:absolute;margin-left:0;margin-top:0;width:49pt;height:37.85pt;z-index:25167462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" filled="f" stroked="f">
              <v:textbox style="mso-fit-shape-to-text:t" inset="0,0,0,15pt">
                <w:txbxContent>
                  <w:p w14:paraId="15800ABA" w14:textId="6C282DDA" w:rsidR="00C35B1C" w:rsidRPr="00C35B1C" w:rsidRDefault="00C35B1C" w:rsidP="00C35B1C">
                    <w:pPr>
                      <w:spacing w:after="0"/>
                      <w:rPr>
                        <w:rFonts w:ascii="Aptos" w:eastAsia="Aptos" w:hAnsi="Aptos" w:cs="Aptos"/>
                        <w:noProof/>
                        <w:color w:val="FF0000"/>
                      </w:rPr>
                    </w:pPr>
                    <w:r w:rsidRPr="00C35B1C">
                      <w:rPr>
                        <w:rFonts w:ascii="Aptos" w:eastAsia="Aptos" w:hAnsi="Aptos" w:cs="Aptos"/>
                        <w:noProof/>
                        <w:color w:val="FF0000"/>
                      </w:rPr>
                      <w:t>OFFICIAL</w:t>
                    </w:r>
                  </w:p>
                </w:txbxContent>
              </v:textbox>
              <w10:wrap anchorx="page" anchory="page"/>
            </v:shape>
          </w:pict>
        </mc:Fallback>
      </mc:AlternateContent>
    </w:r>
    <w:r w:rsidR="00386805" w:rsidRPr="00386805">
      <w:rPr>
        <w:b/>
        <w:bCs/>
        <w:sz w:val="21"/>
        <w:szCs w:val="21"/>
      </w:rPr>
      <w:fldChar w:fldCharType="begin"/>
    </w:r>
    <w:r w:rsidR="00386805" w:rsidRPr="00386805">
      <w:rPr>
        <w:b/>
        <w:bCs/>
        <w:sz w:val="21"/>
        <w:szCs w:val="21"/>
      </w:rPr>
      <w:instrText xml:space="preserve"> PAGE   \* MERGEFORMAT </w:instrText>
    </w:r>
    <w:r w:rsidR="00386805" w:rsidRPr="00386805">
      <w:rPr>
        <w:b/>
        <w:bCs/>
        <w:sz w:val="21"/>
        <w:szCs w:val="21"/>
      </w:rPr>
      <w:fldChar w:fldCharType="separate"/>
    </w:r>
    <w:r w:rsidR="00386805">
      <w:rPr>
        <w:b/>
        <w:bCs/>
        <w:sz w:val="21"/>
        <w:szCs w:val="21"/>
      </w:rPr>
      <w:t>2</w:t>
    </w:r>
    <w:r w:rsidR="00386805" w:rsidRPr="00386805">
      <w:rPr>
        <w:b/>
        <w:bCs/>
        <w:noProof/>
        <w:sz w:val="21"/>
        <w:szCs w:val="21"/>
      </w:rPr>
      <w:fldChar w:fldCharType="end"/>
    </w:r>
    <w:r w:rsidR="00386805">
      <w:rPr>
        <w:b/>
        <w:bCs/>
        <w:noProof/>
        <w:sz w:val="21"/>
        <w:szCs w:val="21"/>
      </w:rPr>
      <w:t xml:space="preserve">  </w:t>
    </w:r>
    <w:r w:rsidR="000C2D1E">
      <w:rPr>
        <w:sz w:val="21"/>
        <w:szCs w:val="21"/>
      </w:rPr>
      <w:t>Disability Support for Older Australians</w:t>
    </w:r>
    <w:r w:rsidR="00386805" w:rsidRPr="009B5601">
      <w:rPr>
        <w:color w:val="000000" w:themeColor="text1"/>
        <w:sz w:val="21"/>
        <w:szCs w:val="21"/>
      </w:rPr>
      <w:t xml:space="preserve"> | </w:t>
    </w:r>
    <w:r w:rsidR="00386805">
      <w:rPr>
        <w:sz w:val="21"/>
        <w:szCs w:val="21"/>
      </w:rPr>
      <w:t>Section title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0EB8FC" w14:textId="3F3A7CDF" w:rsidR="000A4C3C" w:rsidRDefault="00000000" w:rsidP="00A602D4">
    <w:pPr>
      <w:pStyle w:val="Footer"/>
      <w:jc w:val="left"/>
    </w:pPr>
    <w:sdt>
      <w:sdtPr>
        <w:rPr>
          <w:sz w:val="21"/>
          <w:szCs w:val="21"/>
        </w:rPr>
        <w:id w:val="-443848716"/>
        <w:docPartObj>
          <w:docPartGallery w:val="Page Numbers (Bottom of Page)"/>
          <w:docPartUnique/>
        </w:docPartObj>
      </w:sdtPr>
      <w:sdtEndPr>
        <w:rPr>
          <w:noProof/>
        </w:rPr>
      </w:sdtEndPr>
      <w:sdtContent>
        <w:r w:rsidR="000A4C3C" w:rsidRPr="00461D75">
          <w:rPr>
            <w:b/>
            <w:bCs/>
            <w:color w:val="015098"/>
            <w:sz w:val="21"/>
            <w:szCs w:val="21"/>
          </w:rPr>
          <w:fldChar w:fldCharType="begin"/>
        </w:r>
        <w:r w:rsidR="000A4C3C" w:rsidRPr="00461D75">
          <w:rPr>
            <w:b/>
            <w:bCs/>
            <w:color w:val="015098"/>
            <w:sz w:val="21"/>
            <w:szCs w:val="21"/>
          </w:rPr>
          <w:instrText xml:space="preserve"> PAGE   \* MERGEFORMAT </w:instrText>
        </w:r>
        <w:r w:rsidR="000A4C3C" w:rsidRPr="00461D75">
          <w:rPr>
            <w:b/>
            <w:bCs/>
            <w:color w:val="015098"/>
            <w:sz w:val="21"/>
            <w:szCs w:val="21"/>
          </w:rPr>
          <w:fldChar w:fldCharType="separate"/>
        </w:r>
        <w:r w:rsidR="000A4C3C" w:rsidRPr="00461D75">
          <w:rPr>
            <w:b/>
            <w:bCs/>
            <w:color w:val="015098"/>
            <w:sz w:val="21"/>
            <w:szCs w:val="21"/>
          </w:rPr>
          <w:t>50</w:t>
        </w:r>
        <w:r w:rsidR="000A4C3C" w:rsidRPr="00461D75">
          <w:rPr>
            <w:b/>
            <w:bCs/>
            <w:noProof/>
            <w:color w:val="015098"/>
            <w:sz w:val="21"/>
            <w:szCs w:val="21"/>
          </w:rPr>
          <w:fldChar w:fldCharType="end"/>
        </w:r>
        <w:r w:rsidR="000A4C3C">
          <w:rPr>
            <w:b/>
            <w:bCs/>
            <w:noProof/>
            <w:sz w:val="21"/>
            <w:szCs w:val="21"/>
          </w:rPr>
          <w:t xml:space="preserve">  </w:t>
        </w:r>
        <w:r w:rsidR="00740F76">
          <w:rPr>
            <w:sz w:val="21"/>
            <w:szCs w:val="21"/>
          </w:rPr>
          <w:t xml:space="preserve">Support at Home </w:t>
        </w:r>
        <w:r w:rsidR="003F6C23">
          <w:rPr>
            <w:sz w:val="21"/>
            <w:szCs w:val="21"/>
          </w:rPr>
          <w:t>program assurance framework</w:t>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BB5E34" w14:textId="06B31CB0" w:rsidR="00627385" w:rsidRDefault="00D53699" w:rsidP="00627385">
    <w:pPr>
      <w:tabs>
        <w:tab w:val="right" w:pos="9072"/>
      </w:tabs>
    </w:pPr>
    <w:r w:rsidRPr="0087555A">
      <w:rPr>
        <w:noProof/>
        <w:color w:val="94B5D2"/>
        <w:lang w:eastAsia="en-AU"/>
      </w:rPr>
      <w:drawing>
        <wp:anchor distT="0" distB="0" distL="114300" distR="114300" simplePos="0" relativeHeight="251658244" behindDoc="0" locked="0" layoutInCell="1" allowOverlap="1" wp14:anchorId="15FF94B4" wp14:editId="3F09E575">
          <wp:simplePos x="0" y="0"/>
          <wp:positionH relativeFrom="column">
            <wp:posOffset>-901065</wp:posOffset>
          </wp:positionH>
          <wp:positionV relativeFrom="paragraph">
            <wp:posOffset>-4126865</wp:posOffset>
          </wp:positionV>
          <wp:extent cx="7574507" cy="199800"/>
          <wp:effectExtent l="0" t="0" r="0" b="3810"/>
          <wp:wrapNone/>
          <wp:docPr id="107302377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737795" name="Picture 1">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t="33793" b="64339"/>
                  <a:stretch/>
                </pic:blipFill>
                <pic:spPr bwMode="auto">
                  <a:xfrm>
                    <a:off x="0" y="0"/>
                    <a:ext cx="7574507" cy="199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071B7">
      <w:t>Version</w:t>
    </w:r>
    <w:r w:rsidR="00C85A15">
      <w:t xml:space="preserve"> </w:t>
    </w:r>
    <w:r w:rsidR="00063C82">
      <w:t>1.</w:t>
    </w:r>
    <w:r w:rsidR="008D1F92">
      <w:t>1</w:t>
    </w:r>
    <w:r w:rsidR="00627385">
      <w:tab/>
    </w:r>
    <w:r w:rsidR="008D1F92">
      <w:t>27 February 2026</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56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4966"/>
    </w:tblGrid>
    <w:tr w:rsidR="00D0690C" w:rsidRPr="00D0690C" w14:paraId="649C9CEB" w14:textId="77777777" w:rsidTr="005D4A3F">
      <w:tc>
        <w:tcPr>
          <w:cnfStyle w:val="001000000000" w:firstRow="0" w:lastRow="0" w:firstColumn="1" w:lastColumn="0" w:oddVBand="0" w:evenVBand="0" w:oddHBand="0" w:evenHBand="0" w:firstRowFirstColumn="0" w:firstRowLastColumn="0" w:lastRowFirstColumn="0" w:lastRowLastColumn="0"/>
          <w:tcW w:w="704" w:type="dxa"/>
          <w:tcMar>
            <w:top w:w="113" w:type="dxa"/>
            <w:bottom w:w="113" w:type="dxa"/>
          </w:tcMar>
          <w:vAlign w:val="center"/>
        </w:tcPr>
        <w:p w14:paraId="0976DE38" w14:textId="3DDD8D82" w:rsidR="00D0690C" w:rsidRDefault="00C35B1C" w:rsidP="00D0690C">
          <w:pPr>
            <w:spacing w:before="0" w:after="0" w:line="240" w:lineRule="auto"/>
          </w:pPr>
          <w:r>
            <w:rPr>
              <w:noProof/>
            </w:rPr>
            <mc:AlternateContent>
              <mc:Choice Requires="wps">
                <w:drawing>
                  <wp:anchor distT="0" distB="0" distL="0" distR="0" simplePos="0" relativeHeight="251676676" behindDoc="0" locked="0" layoutInCell="1" allowOverlap="1" wp14:anchorId="778A7ACF" wp14:editId="13C59E21">
                    <wp:simplePos x="635" y="635"/>
                    <wp:positionH relativeFrom="page">
                      <wp:align>center</wp:align>
                    </wp:positionH>
                    <wp:positionV relativeFrom="page">
                      <wp:align>bottom</wp:align>
                    </wp:positionV>
                    <wp:extent cx="622300" cy="480695"/>
                    <wp:effectExtent l="0" t="0" r="6350" b="0"/>
                    <wp:wrapNone/>
                    <wp:docPr id="819629887" name="Text Box 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480695"/>
                            </a:xfrm>
                            <a:prstGeom prst="rect">
                              <a:avLst/>
                            </a:prstGeom>
                            <a:noFill/>
                            <a:ln>
                              <a:noFill/>
                            </a:ln>
                          </wps:spPr>
                          <wps:txbx>
                            <w:txbxContent>
                              <w:p w14:paraId="3DB6C241" w14:textId="274719FF" w:rsidR="00C35B1C" w:rsidRPr="00C35B1C" w:rsidRDefault="00C35B1C" w:rsidP="00C35B1C">
                                <w:pPr>
                                  <w:spacing w:after="0"/>
                                  <w:rPr>
                                    <w:rFonts w:ascii="Aptos" w:eastAsia="Aptos" w:hAnsi="Aptos" w:cs="Aptos"/>
                                    <w:noProof/>
                                    <w:color w:val="FF0000"/>
                                  </w:rPr>
                                </w:pPr>
                                <w:r w:rsidRPr="00C35B1C">
                                  <w:rPr>
                                    <w:rFonts w:ascii="Aptos" w:eastAsia="Aptos" w:hAnsi="Aptos" w:cs="Aptos"/>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78A7ACF" id="_x0000_t202" coordsize="21600,21600" o:spt="202" path="m,l,21600r21600,l21600,xe">
                    <v:stroke joinstyle="miter"/>
                    <v:path gradientshapeok="t" o:connecttype="rect"/>
                  </v:shapetype>
                  <v:shape id="Text Box 9" o:spid="_x0000_s1060" type="#_x0000_t202" alt="OFFICIAL" style="position:absolute;margin-left:0;margin-top:0;width:49pt;height:37.85pt;z-index:25167667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" filled="f" stroked="f">
                    <v:textbox style="mso-fit-shape-to-text:t" inset="0,0,0,15pt">
                      <w:txbxContent>
                        <w:p w14:paraId="3DB6C241" w14:textId="274719FF" w:rsidR="00C35B1C" w:rsidRPr="00C35B1C" w:rsidRDefault="00C35B1C" w:rsidP="00C35B1C">
                          <w:pPr>
                            <w:spacing w:after="0"/>
                            <w:rPr>
                              <w:rFonts w:ascii="Aptos" w:eastAsia="Aptos" w:hAnsi="Aptos" w:cs="Aptos"/>
                              <w:noProof/>
                              <w:color w:val="FF0000"/>
                            </w:rPr>
                          </w:pPr>
                          <w:r w:rsidRPr="00C35B1C">
                            <w:rPr>
                              <w:rFonts w:ascii="Aptos" w:eastAsia="Aptos" w:hAnsi="Aptos" w:cs="Aptos"/>
                              <w:noProof/>
                              <w:color w:val="FF0000"/>
                            </w:rPr>
                            <w:t>OFFICIAL</w:t>
                          </w:r>
                        </w:p>
                      </w:txbxContent>
                    </v:textbox>
                    <w10:wrap anchorx="page" anchory="page"/>
                  </v:shape>
                </w:pict>
              </mc:Fallback>
            </mc:AlternateContent>
          </w:r>
          <w:r w:rsidR="00D0690C">
            <w:rPr>
              <w:noProof/>
            </w:rPr>
            <w:drawing>
              <wp:inline distT="0" distB="0" distL="0" distR="0" wp14:anchorId="286C89BC" wp14:editId="66ECCCB5">
                <wp:extent cx="279400" cy="279400"/>
                <wp:effectExtent l="0" t="0" r="0" b="0"/>
                <wp:docPr id="146075442" name="Picture 146075442" descr="Phon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Phone icon"/>
                        <pic:cNvPicPr/>
                      </pic:nvPicPr>
                      <pic:blipFill>
                        <a:blip r:embed="rId1">
                          <a:extLst>
                            <a:ext uri="{28A0092B-C50C-407E-A947-70E740481C1C}">
                              <a14:useLocalDpi xmlns:a14="http://schemas.microsoft.com/office/drawing/2010/main" val="0"/>
                            </a:ext>
                          </a:extLst>
                        </a:blip>
                        <a:stretch>
                          <a:fillRect/>
                        </a:stretch>
                      </pic:blipFill>
                      <pic:spPr>
                        <a:xfrm>
                          <a:off x="0" y="0"/>
                          <a:ext cx="279400" cy="279400"/>
                        </a:xfrm>
                        <a:prstGeom prst="rect">
                          <a:avLst/>
                        </a:prstGeom>
                      </pic:spPr>
                    </pic:pic>
                  </a:graphicData>
                </a:graphic>
              </wp:inline>
            </w:drawing>
          </w:r>
        </w:p>
      </w:tc>
      <w:tc>
        <w:tcPr>
          <w:tcW w:w="4966" w:type="dxa"/>
          <w:tcMar>
            <w:top w:w="113" w:type="dxa"/>
            <w:bottom w:w="113" w:type="dxa"/>
          </w:tcMar>
          <w:vAlign w:val="center"/>
        </w:tcPr>
        <w:p w14:paraId="3037B80D" w14:textId="77777777" w:rsidR="00D0690C" w:rsidRPr="00D0690C" w:rsidRDefault="00D0690C" w:rsidP="00D0690C">
          <w:pPr>
            <w:cnfStyle w:val="000000000000" w:firstRow="0" w:lastRow="0" w:firstColumn="0" w:lastColumn="0" w:oddVBand="0" w:evenVBand="0" w:oddHBand="0" w:evenHBand="0" w:firstRowFirstColumn="0" w:firstRowLastColumn="0" w:lastRowFirstColumn="0" w:lastRowLastColumn="0"/>
          </w:pPr>
          <w:r>
            <w:t xml:space="preserve">Phone </w:t>
          </w:r>
          <w:r>
            <w:rPr>
              <w:b/>
              <w:bCs/>
            </w:rPr>
            <w:t xml:space="preserve">1800 200 422 </w:t>
          </w:r>
          <w:r>
            <w:rPr>
              <w:b/>
              <w:bCs/>
            </w:rPr>
            <w:br/>
          </w:r>
          <w:r>
            <w:t xml:space="preserve">(My Aged Care’s </w:t>
          </w:r>
          <w:proofErr w:type="spellStart"/>
          <w:r>
            <w:t>freecall</w:t>
          </w:r>
          <w:proofErr w:type="spellEnd"/>
          <w:r>
            <w:t xml:space="preserve"> phone line)</w:t>
          </w:r>
        </w:p>
      </w:tc>
    </w:tr>
    <w:tr w:rsidR="00D0690C" w14:paraId="4014FDBB" w14:textId="77777777" w:rsidTr="005D4A3F">
      <w:tc>
        <w:tcPr>
          <w:cnfStyle w:val="001000000000" w:firstRow="0" w:lastRow="0" w:firstColumn="1" w:lastColumn="0" w:oddVBand="0" w:evenVBand="0" w:oddHBand="0" w:evenHBand="0" w:firstRowFirstColumn="0" w:firstRowLastColumn="0" w:lastRowFirstColumn="0" w:lastRowLastColumn="0"/>
          <w:tcW w:w="704" w:type="dxa"/>
          <w:tcMar>
            <w:top w:w="113" w:type="dxa"/>
            <w:bottom w:w="113" w:type="dxa"/>
          </w:tcMar>
          <w:vAlign w:val="center"/>
        </w:tcPr>
        <w:p w14:paraId="673CC72C" w14:textId="77777777" w:rsidR="00D0690C" w:rsidRDefault="00D0690C" w:rsidP="00D0690C">
          <w:pPr>
            <w:spacing w:before="0" w:after="0" w:line="240" w:lineRule="auto"/>
            <w:rPr>
              <w:noProof/>
            </w:rPr>
          </w:pPr>
          <w:r>
            <w:rPr>
              <w:noProof/>
            </w:rPr>
            <w:drawing>
              <wp:inline distT="0" distB="0" distL="0" distR="0" wp14:anchorId="25762CAC" wp14:editId="419C920F">
                <wp:extent cx="279400" cy="279400"/>
                <wp:effectExtent l="0" t="0" r="0" b="0"/>
                <wp:docPr id="1818260897" name="Picture 1818260897" descr="Websi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Website icon"/>
                        <pic:cNvPicPr/>
                      </pic:nvPicPr>
                      <pic:blipFill>
                        <a:blip r:embed="rId2">
                          <a:extLst>
                            <a:ext uri="{28A0092B-C50C-407E-A947-70E740481C1C}">
                              <a14:useLocalDpi xmlns:a14="http://schemas.microsoft.com/office/drawing/2010/main" val="0"/>
                            </a:ext>
                          </a:extLst>
                        </a:blip>
                        <a:stretch>
                          <a:fillRect/>
                        </a:stretch>
                      </pic:blipFill>
                      <pic:spPr>
                        <a:xfrm>
                          <a:off x="0" y="0"/>
                          <a:ext cx="279400" cy="279400"/>
                        </a:xfrm>
                        <a:prstGeom prst="rect">
                          <a:avLst/>
                        </a:prstGeom>
                      </pic:spPr>
                    </pic:pic>
                  </a:graphicData>
                </a:graphic>
              </wp:inline>
            </w:drawing>
          </w:r>
        </w:p>
      </w:tc>
      <w:tc>
        <w:tcPr>
          <w:tcW w:w="4966" w:type="dxa"/>
          <w:tcMar>
            <w:top w:w="113" w:type="dxa"/>
            <w:bottom w:w="113" w:type="dxa"/>
          </w:tcMar>
          <w:vAlign w:val="center"/>
        </w:tcPr>
        <w:p w14:paraId="21B1E117" w14:textId="77777777" w:rsidR="00D0690C" w:rsidRDefault="00D0690C" w:rsidP="00D0690C">
          <w:pPr>
            <w:spacing w:before="0" w:after="0" w:line="240" w:lineRule="auto"/>
            <w:cnfStyle w:val="000000000000" w:firstRow="0" w:lastRow="0" w:firstColumn="0" w:lastColumn="0" w:oddVBand="0" w:evenVBand="0" w:oddHBand="0" w:evenHBand="0" w:firstRowFirstColumn="0" w:firstRowLastColumn="0" w:lastRowFirstColumn="0" w:lastRowLastColumn="0"/>
          </w:pPr>
          <w:r>
            <w:t xml:space="preserve">Visit </w:t>
          </w:r>
          <w:r w:rsidRPr="00D0690C">
            <w:rPr>
              <w:b/>
              <w:bCs/>
            </w:rPr>
            <w:t>agedcareengagement.health.gov.au</w:t>
          </w:r>
        </w:p>
      </w:tc>
    </w:tr>
  </w:tbl>
  <w:p w14:paraId="0056C8A1" w14:textId="77777777" w:rsidR="005D4A3F" w:rsidRDefault="005D4A3F" w:rsidP="005D4A3F">
    <w:r>
      <w:t xml:space="preserve">For translating and interpreting services, call </w:t>
    </w:r>
    <w:r w:rsidRPr="00312749">
      <w:rPr>
        <w:b/>
        <w:bCs/>
      </w:rPr>
      <w:t>131 450</w:t>
    </w:r>
    <w:r>
      <w:t xml:space="preserve"> and </w:t>
    </w:r>
    <w:r>
      <w:br/>
      <w:t xml:space="preserve">ask for My Aged Care on </w:t>
    </w:r>
    <w:r w:rsidRPr="00312749">
      <w:rPr>
        <w:b/>
        <w:bCs/>
      </w:rPr>
      <w:t>1800 200 422</w:t>
    </w:r>
    <w:r>
      <w:t>.</w:t>
    </w:r>
  </w:p>
  <w:p w14:paraId="1C5B65DD" w14:textId="77777777" w:rsidR="00D0690C" w:rsidRPr="00D0690C" w:rsidRDefault="005D4A3F" w:rsidP="005D4A3F">
    <w:r>
      <w:t xml:space="preserve">To use the National Relay Service, visit </w:t>
    </w:r>
    <w:r w:rsidRPr="00312749">
      <w:rPr>
        <w:b/>
        <w:bCs/>
      </w:rPr>
      <w:t>nrschat.nrscall.gov.au/</w:t>
    </w:r>
    <w:proofErr w:type="spellStart"/>
    <w:r w:rsidRPr="00312749">
      <w:rPr>
        <w:b/>
        <w:bCs/>
      </w:rPr>
      <w:t>nrs</w:t>
    </w:r>
    <w:proofErr w:type="spellEnd"/>
    <w:r>
      <w:t xml:space="preserve"> </w:t>
    </w:r>
    <w:r>
      <w:br/>
      <w:t xml:space="preserve">or call </w:t>
    </w:r>
    <w:r w:rsidRPr="00312749">
      <w:rPr>
        <w:b/>
        <w:bCs/>
      </w:rPr>
      <w:t>1800 555 660</w:t>
    </w:r>
    <w: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D95B02" w14:textId="77777777" w:rsidR="00C07487" w:rsidRDefault="00C07487" w:rsidP="005A49D1">
      <w:r>
        <w:separator/>
      </w:r>
    </w:p>
  </w:footnote>
  <w:footnote w:type="continuationSeparator" w:id="0">
    <w:p w14:paraId="73766397" w14:textId="77777777" w:rsidR="00C07487" w:rsidRDefault="00C07487" w:rsidP="00934368">
      <w:r>
        <w:continuationSeparator/>
      </w:r>
    </w:p>
    <w:p w14:paraId="1FD78388" w14:textId="77777777" w:rsidR="00C07487" w:rsidRDefault="00C07487" w:rsidP="00934368"/>
  </w:footnote>
  <w:footnote w:type="continuationNotice" w:id="1">
    <w:p w14:paraId="38348D7B" w14:textId="77777777" w:rsidR="00C07487" w:rsidRDefault="00C07487" w:rsidP="00934368"/>
  </w:footnote>
  <w:footnote w:id="2">
    <w:p w14:paraId="1544B8F5" w14:textId="002FDF78" w:rsidR="004A6AF7" w:rsidRPr="005A43E4" w:rsidRDefault="004A6AF7">
      <w:pPr>
        <w:pStyle w:val="FootnoteText"/>
        <w:rPr>
          <w:color w:val="242852" w:themeColor="text2"/>
          <w:sz w:val="18"/>
          <w:szCs w:val="18"/>
        </w:rPr>
      </w:pPr>
      <w:r w:rsidRPr="005A43E4">
        <w:rPr>
          <w:color w:val="242852" w:themeColor="text2"/>
          <w:sz w:val="18"/>
          <w:szCs w:val="18"/>
        </w:rPr>
        <w:footnoteRef/>
      </w:r>
      <w:r w:rsidRPr="005A43E4">
        <w:rPr>
          <w:color w:val="242852" w:themeColor="text2"/>
          <w:sz w:val="18"/>
          <w:szCs w:val="18"/>
        </w:rPr>
        <w:t xml:space="preserve"> </w:t>
      </w:r>
      <w:r w:rsidR="00DB3440" w:rsidRPr="005A43E4">
        <w:rPr>
          <w:color w:val="242852" w:themeColor="text2"/>
          <w:sz w:val="18"/>
          <w:szCs w:val="18"/>
        </w:rPr>
        <w:t>Support at Home is the programmatic name for funded aged care services delivered through the service groups home support, assistive technology and/or home modifications.</w:t>
      </w:r>
    </w:p>
  </w:footnote>
  <w:footnote w:id="3">
    <w:p w14:paraId="32AA27AD" w14:textId="294D5517" w:rsidR="00F00861" w:rsidRPr="005664B0" w:rsidRDefault="00F00861">
      <w:pPr>
        <w:pStyle w:val="FootnoteText"/>
        <w:rPr>
          <w:sz w:val="18"/>
          <w:szCs w:val="18"/>
        </w:rPr>
      </w:pPr>
      <w:r w:rsidRPr="005A43E4">
        <w:rPr>
          <w:color w:val="242852" w:themeColor="text2"/>
        </w:rPr>
        <w:footnoteRef/>
      </w:r>
      <w:r w:rsidRPr="005A43E4">
        <w:rPr>
          <w:color w:val="242852" w:themeColor="text2"/>
          <w:sz w:val="18"/>
          <w:szCs w:val="18"/>
        </w:rPr>
        <w:t xml:space="preserve"> </w:t>
      </w:r>
      <w:r w:rsidR="006F084E" w:rsidRPr="005A43E4">
        <w:rPr>
          <w:color w:val="242852" w:themeColor="text2"/>
          <w:sz w:val="18"/>
          <w:szCs w:val="18"/>
        </w:rPr>
        <w:t>Under the Act</w:t>
      </w:r>
      <w:r w:rsidR="007D1FAC">
        <w:rPr>
          <w:color w:val="242852" w:themeColor="text2"/>
          <w:sz w:val="18"/>
          <w:szCs w:val="18"/>
        </w:rPr>
        <w:t xml:space="preserve"> </w:t>
      </w:r>
      <w:r w:rsidR="006F084E" w:rsidRPr="005A43E4">
        <w:rPr>
          <w:color w:val="242852" w:themeColor="text2"/>
          <w:sz w:val="18"/>
          <w:szCs w:val="18"/>
        </w:rPr>
        <w:t>and associated Rules, the legal term for people who access funded aged care services is</w:t>
      </w:r>
      <w:r w:rsidR="006F084E" w:rsidRPr="005664B0">
        <w:rPr>
          <w:sz w:val="18"/>
          <w:szCs w:val="18"/>
        </w:rPr>
        <w:t xml:space="preserve"> </w:t>
      </w:r>
      <w:r w:rsidR="006F084E" w:rsidRPr="005A43E4">
        <w:rPr>
          <w:color w:val="242852" w:themeColor="text2"/>
          <w:sz w:val="18"/>
          <w:szCs w:val="18"/>
        </w:rPr>
        <w:t xml:space="preserve">‘individuals’. </w:t>
      </w:r>
      <w:r w:rsidR="00357802" w:rsidRPr="005A43E4">
        <w:rPr>
          <w:color w:val="242852" w:themeColor="text2"/>
          <w:sz w:val="18"/>
          <w:szCs w:val="18"/>
        </w:rPr>
        <w:t>F</w:t>
      </w:r>
      <w:r w:rsidR="00B46841" w:rsidRPr="005A43E4">
        <w:rPr>
          <w:color w:val="242852" w:themeColor="text2"/>
          <w:sz w:val="18"/>
          <w:szCs w:val="18"/>
        </w:rPr>
        <w:t>or the purposes of this document</w:t>
      </w:r>
      <w:r w:rsidR="00357802" w:rsidRPr="005A43E4">
        <w:rPr>
          <w:color w:val="242852" w:themeColor="text2"/>
          <w:sz w:val="18"/>
          <w:szCs w:val="18"/>
        </w:rPr>
        <w:t xml:space="preserve">, </w:t>
      </w:r>
      <w:r w:rsidR="00B46841" w:rsidRPr="005A43E4">
        <w:rPr>
          <w:color w:val="242852" w:themeColor="text2"/>
          <w:sz w:val="18"/>
          <w:szCs w:val="18"/>
        </w:rPr>
        <w:t xml:space="preserve">to support readability and alignment with </w:t>
      </w:r>
      <w:r w:rsidR="00B46841" w:rsidRPr="00411091">
        <w:rPr>
          <w:color w:val="242852" w:themeColor="text2"/>
          <w:sz w:val="18"/>
          <w:szCs w:val="18"/>
        </w:rPr>
        <w:t>the</w:t>
      </w:r>
      <w:r w:rsidR="00B46841" w:rsidRPr="00411091">
        <w:rPr>
          <w:sz w:val="18"/>
          <w:szCs w:val="18"/>
        </w:rPr>
        <w:t xml:space="preserve"> </w:t>
      </w:r>
      <w:hyperlink r:id="rId1" w:history="1">
        <w:r w:rsidR="00260A89" w:rsidRPr="00411091">
          <w:rPr>
            <w:rStyle w:val="Hyperlink"/>
            <w:sz w:val="18"/>
            <w:szCs w:val="18"/>
          </w:rPr>
          <w:t>Support at Home program manual</w:t>
        </w:r>
      </w:hyperlink>
      <w:r w:rsidR="00B46841" w:rsidRPr="005664B0">
        <w:rPr>
          <w:sz w:val="18"/>
          <w:szCs w:val="18"/>
        </w:rPr>
        <w:t xml:space="preserve">, </w:t>
      </w:r>
      <w:r w:rsidR="00B46841" w:rsidRPr="005A43E4">
        <w:rPr>
          <w:color w:val="242852" w:themeColor="text2"/>
          <w:sz w:val="18"/>
          <w:szCs w:val="18"/>
        </w:rPr>
        <w:t>we use the term ‘participants’ when referring to people accessing Support at Hom</w:t>
      </w:r>
      <w:r w:rsidR="00C72448" w:rsidRPr="005A43E4">
        <w:rPr>
          <w:color w:val="242852" w:themeColor="text2"/>
          <w:sz w:val="18"/>
          <w:szCs w:val="18"/>
        </w:rPr>
        <w:t>e</w:t>
      </w:r>
      <w:r w:rsidR="00B46841" w:rsidRPr="005A43E4">
        <w:rPr>
          <w:color w:val="242852" w:themeColor="text2"/>
          <w:sz w:val="18"/>
          <w:szCs w:val="18"/>
        </w:rPr>
        <w:t>.</w:t>
      </w:r>
    </w:p>
  </w:footnote>
  <w:footnote w:id="4">
    <w:p w14:paraId="6BFB0F2E" w14:textId="4141CFCB" w:rsidR="006C14D9" w:rsidRDefault="006C14D9">
      <w:pPr>
        <w:pStyle w:val="FootnoteText"/>
      </w:pPr>
      <w:r w:rsidRPr="005A43E4">
        <w:rPr>
          <w:color w:val="242852" w:themeColor="text2"/>
          <w:sz w:val="18"/>
          <w:szCs w:val="18"/>
        </w:rPr>
        <w:footnoteRef/>
      </w:r>
      <w:r w:rsidRPr="005A43E4">
        <w:rPr>
          <w:color w:val="242852" w:themeColor="text2"/>
          <w:sz w:val="18"/>
          <w:szCs w:val="18"/>
        </w:rPr>
        <w:t xml:space="preserve"> Program assurance reviews support enhanced transparency for participants and minimise payment misuse, error and fraud. This contributes to participants being able to make informed choices about using their Support at Home budget to meet their accessed needs.</w:t>
      </w:r>
    </w:p>
  </w:footnote>
  <w:footnote w:id="5">
    <w:p w14:paraId="7EA7AF45" w14:textId="464DDBF6" w:rsidR="00B85FC0" w:rsidRDefault="00B85FC0" w:rsidP="00B85FC0">
      <w:pPr>
        <w:pStyle w:val="FootnoteText"/>
      </w:pPr>
      <w:r w:rsidRPr="001E7719">
        <w:rPr>
          <w:rStyle w:val="FootnoteReference"/>
          <w:color w:val="242852" w:themeColor="text2"/>
        </w:rPr>
        <w:footnoteRef/>
      </w:r>
      <w:r w:rsidRPr="001E7719">
        <w:rPr>
          <w:color w:val="242852" w:themeColor="text2"/>
          <w:sz w:val="18"/>
          <w:szCs w:val="18"/>
        </w:rPr>
        <w:t xml:space="preserve"> In addition to regular review the department will closely monitor feedback of these documents within the first </w:t>
      </w:r>
      <w:r w:rsidR="007D1FAC">
        <w:rPr>
          <w:color w:val="242852" w:themeColor="text2"/>
          <w:sz w:val="18"/>
          <w:szCs w:val="18"/>
        </w:rPr>
        <w:br/>
      </w:r>
      <w:r w:rsidRPr="001E7719">
        <w:rPr>
          <w:color w:val="242852" w:themeColor="text2"/>
          <w:sz w:val="18"/>
          <w:szCs w:val="18"/>
        </w:rPr>
        <w:t>12 months of publication and update as required.</w:t>
      </w:r>
      <w:r w:rsidRPr="001E7719">
        <w:rPr>
          <w:color w:val="242852" w:themeColor="text2"/>
        </w:rPr>
        <w:t xml:space="preserve"> </w:t>
      </w:r>
    </w:p>
  </w:footnote>
  <w:footnote w:id="6">
    <w:p w14:paraId="01FBDDC3" w14:textId="50D1C6E2" w:rsidR="00B85FC0" w:rsidRPr="00CB0737" w:rsidRDefault="00B85FC0" w:rsidP="00B85FC0">
      <w:pPr>
        <w:pStyle w:val="FootnoteText"/>
        <w:rPr>
          <w:sz w:val="18"/>
          <w:szCs w:val="18"/>
        </w:rPr>
      </w:pPr>
      <w:r w:rsidRPr="001E7719">
        <w:rPr>
          <w:rStyle w:val="FootnoteReference"/>
          <w:color w:val="242852" w:themeColor="text2"/>
          <w:sz w:val="18"/>
          <w:szCs w:val="18"/>
        </w:rPr>
        <w:footnoteRef/>
      </w:r>
      <w:r w:rsidRPr="001E7719">
        <w:rPr>
          <w:color w:val="242852" w:themeColor="text2"/>
          <w:sz w:val="18"/>
          <w:szCs w:val="18"/>
        </w:rPr>
        <w:t xml:space="preserve"> Information about the roles of the System Governor and the Aged Care Quality and Safety Commission is detailed in the </w:t>
      </w:r>
      <w:r w:rsidR="000943FF">
        <w:rPr>
          <w:color w:val="242852" w:themeColor="text2"/>
          <w:sz w:val="18"/>
          <w:szCs w:val="18"/>
        </w:rPr>
        <w:t>l</w:t>
      </w:r>
      <w:r w:rsidR="000943FF" w:rsidRPr="001E7719">
        <w:rPr>
          <w:color w:val="242852" w:themeColor="text2"/>
          <w:sz w:val="18"/>
          <w:szCs w:val="18"/>
        </w:rPr>
        <w:t xml:space="preserve">egislative </w:t>
      </w:r>
      <w:r w:rsidRPr="001E7719">
        <w:rPr>
          <w:color w:val="242852" w:themeColor="text2"/>
          <w:sz w:val="18"/>
          <w:szCs w:val="18"/>
        </w:rPr>
        <w:t xml:space="preserve">framework section of this assurance </w:t>
      </w:r>
      <w:r w:rsidRPr="009F01FB">
        <w:rPr>
          <w:color w:val="242852" w:themeColor="text2"/>
          <w:sz w:val="18"/>
          <w:szCs w:val="18"/>
        </w:rPr>
        <w:t xml:space="preserve">framework, on pages </w:t>
      </w:r>
      <w:r w:rsidR="00F72E5A" w:rsidRPr="009F01FB">
        <w:rPr>
          <w:color w:val="242852" w:themeColor="text2"/>
          <w:sz w:val="18"/>
          <w:szCs w:val="18"/>
        </w:rPr>
        <w:t>10 - 11</w:t>
      </w:r>
      <w:r w:rsidRPr="009F01FB">
        <w:rPr>
          <w:color w:val="242852" w:themeColor="text2"/>
          <w:sz w:val="18"/>
          <w:szCs w:val="18"/>
        </w:rPr>
        <w:t>.</w:t>
      </w:r>
    </w:p>
  </w:footnote>
  <w:footnote w:id="7">
    <w:p w14:paraId="2108894F" w14:textId="77471594" w:rsidR="008613B0" w:rsidRDefault="008613B0">
      <w:pPr>
        <w:pStyle w:val="FootnoteText"/>
      </w:pPr>
      <w:r w:rsidRPr="001E7719">
        <w:rPr>
          <w:rStyle w:val="FootnoteReference"/>
          <w:color w:val="242852" w:themeColor="text2"/>
        </w:rPr>
        <w:footnoteRef/>
      </w:r>
      <w:r w:rsidRPr="001E7719">
        <w:rPr>
          <w:color w:val="242852" w:themeColor="text2"/>
        </w:rPr>
        <w:t xml:space="preserve"> </w:t>
      </w:r>
      <w:r w:rsidRPr="001E7719">
        <w:rPr>
          <w:rFonts w:cs="Arial"/>
          <w:color w:val="242852" w:themeColor="text2"/>
          <w:sz w:val="18"/>
          <w:szCs w:val="18"/>
        </w:rPr>
        <w:t xml:space="preserve">Subsection 25(12) of the </w:t>
      </w:r>
      <w:r w:rsidRPr="001E7719">
        <w:rPr>
          <w:rFonts w:cs="Arial"/>
          <w:i/>
          <w:iCs/>
          <w:color w:val="242852" w:themeColor="text2"/>
          <w:sz w:val="18"/>
          <w:szCs w:val="18"/>
        </w:rPr>
        <w:t>Aged Care Act 2024</w:t>
      </w:r>
      <w:r w:rsidRPr="001E7719">
        <w:rPr>
          <w:rFonts w:cs="Arial"/>
          <w:color w:val="242852" w:themeColor="text2"/>
          <w:sz w:val="18"/>
          <w:szCs w:val="18"/>
        </w:rPr>
        <w:t xml:space="preserve"> also provides that the Commonwealth aged care system is to be managed to ensure that it is, and remains, sustainable and resilient, and that the Commonwealth’s investment represents value for money. This includes ensuring that public resources are used in the most efficient, effective, ethical and economic manner.</w:t>
      </w:r>
    </w:p>
  </w:footnote>
  <w:footnote w:id="8">
    <w:p w14:paraId="1C282936" w14:textId="62161694" w:rsidR="00B85FC0" w:rsidRPr="006A0646" w:rsidRDefault="00B85FC0" w:rsidP="00B85FC0">
      <w:pPr>
        <w:pStyle w:val="FootnoteText"/>
        <w:rPr>
          <w:sz w:val="18"/>
          <w:szCs w:val="18"/>
        </w:rPr>
      </w:pPr>
      <w:r w:rsidRPr="001E7719">
        <w:rPr>
          <w:rStyle w:val="FootnoteReference"/>
          <w:color w:val="242852" w:themeColor="text2"/>
          <w:sz w:val="18"/>
          <w:szCs w:val="18"/>
        </w:rPr>
        <w:footnoteRef/>
      </w:r>
      <w:r w:rsidRPr="001E7719">
        <w:rPr>
          <w:color w:val="242852" w:themeColor="text2"/>
          <w:sz w:val="18"/>
          <w:szCs w:val="18"/>
        </w:rPr>
        <w:t xml:space="preserve"> </w:t>
      </w:r>
      <w:r w:rsidRPr="005644C0">
        <w:rPr>
          <w:rStyle w:val="InstructionText"/>
          <w:i w:val="0"/>
          <w:color w:val="242852" w:themeColor="text2"/>
          <w:sz w:val="18"/>
          <w:szCs w:val="18"/>
        </w:rPr>
        <w:t xml:space="preserve">Relevant information for Support at Home assurance purposes may include program data, </w:t>
      </w:r>
      <w:r w:rsidR="007355F4">
        <w:rPr>
          <w:rStyle w:val="InstructionText"/>
          <w:i w:val="0"/>
          <w:color w:val="242852" w:themeColor="text2"/>
          <w:sz w:val="18"/>
          <w:szCs w:val="18"/>
        </w:rPr>
        <w:t>participant</w:t>
      </w:r>
      <w:r w:rsidRPr="005644C0">
        <w:rPr>
          <w:rStyle w:val="InstructionText"/>
          <w:i w:val="0"/>
          <w:color w:val="242852" w:themeColor="text2"/>
          <w:sz w:val="18"/>
          <w:szCs w:val="18"/>
        </w:rPr>
        <w:t xml:space="preserve">s’ </w:t>
      </w:r>
      <w:r w:rsidRPr="001E7719">
        <w:rPr>
          <w:iCs/>
          <w:color w:val="242852" w:themeColor="text2"/>
          <w:sz w:val="18"/>
          <w:szCs w:val="18"/>
        </w:rPr>
        <w:t>monthly statements, invoices, service agreements and supporting evidence to substantiate transactions and service prices.</w:t>
      </w:r>
    </w:p>
  </w:footnote>
  <w:footnote w:id="9">
    <w:p w14:paraId="2B455481" w14:textId="6702B815" w:rsidR="005644C0" w:rsidRDefault="005644C0" w:rsidP="005A49D1">
      <w:pPr>
        <w:pStyle w:val="FootnoteText"/>
      </w:pPr>
      <w:r w:rsidRPr="001E7719">
        <w:rPr>
          <w:rStyle w:val="FootnoteReference"/>
          <w:color w:val="242852" w:themeColor="text2"/>
        </w:rPr>
        <w:footnoteRef/>
      </w:r>
      <w:r w:rsidRPr="001E7719">
        <w:rPr>
          <w:color w:val="242852" w:themeColor="text2"/>
        </w:rPr>
        <w:t xml:space="preserve"> </w:t>
      </w:r>
      <w:r w:rsidRPr="001E7719">
        <w:rPr>
          <w:color w:val="242852" w:themeColor="text2"/>
          <w:sz w:val="18"/>
          <w:szCs w:val="18"/>
        </w:rPr>
        <w:t xml:space="preserve">Department priorities are detailed in its </w:t>
      </w:r>
      <w:hyperlink r:id="rId2" w:history="1">
        <w:r w:rsidRPr="00646816">
          <w:rPr>
            <w:rStyle w:val="Hyperlink"/>
            <w:sz w:val="18"/>
            <w:szCs w:val="18"/>
          </w:rPr>
          <w:t>Corporate Plan 2025-26</w:t>
        </w:r>
      </w:hyperlink>
      <w:r w:rsidRPr="000C01C7">
        <w:rPr>
          <w:sz w:val="18"/>
          <w:szCs w:val="18"/>
        </w:rPr>
        <w:t>.</w:t>
      </w:r>
      <w:r>
        <w:t xml:space="preserve"> </w:t>
      </w:r>
    </w:p>
  </w:footnote>
  <w:footnote w:id="10">
    <w:p w14:paraId="195A3DA3" w14:textId="001C7DDF" w:rsidR="006C14D9" w:rsidRPr="00411091" w:rsidRDefault="006C14D9" w:rsidP="006C14D9">
      <w:pPr>
        <w:pStyle w:val="FootnoteText"/>
        <w:rPr>
          <w:color w:val="242852" w:themeColor="text2"/>
          <w:sz w:val="18"/>
          <w:szCs w:val="18"/>
        </w:rPr>
      </w:pPr>
      <w:r w:rsidRPr="00494017">
        <w:rPr>
          <w:color w:val="242852" w:themeColor="text2"/>
          <w:sz w:val="18"/>
          <w:szCs w:val="18"/>
          <w:vertAlign w:val="superscript"/>
        </w:rPr>
        <w:footnoteRef/>
      </w:r>
      <w:r w:rsidRPr="00411091">
        <w:rPr>
          <w:color w:val="242852" w:themeColor="text2"/>
          <w:sz w:val="18"/>
          <w:szCs w:val="18"/>
        </w:rPr>
        <w:t xml:space="preserve"> Preventing leakage of program funds through addressing payment misuse, error and fraud results in better value for money for participants and the taxpayer. For this framework, value for money is defined as:</w:t>
      </w:r>
    </w:p>
    <w:p w14:paraId="35FB5275" w14:textId="1FA1E3C5" w:rsidR="006C14D9" w:rsidRPr="00411091" w:rsidRDefault="00E028C0" w:rsidP="00411091">
      <w:pPr>
        <w:pStyle w:val="FootnoteText"/>
        <w:numPr>
          <w:ilvl w:val="0"/>
          <w:numId w:val="55"/>
        </w:numPr>
        <w:rPr>
          <w:color w:val="242852" w:themeColor="text2"/>
          <w:sz w:val="18"/>
          <w:szCs w:val="18"/>
        </w:rPr>
      </w:pPr>
      <w:r w:rsidRPr="00411091">
        <w:rPr>
          <w:color w:val="242852" w:themeColor="text2"/>
          <w:sz w:val="18"/>
          <w:szCs w:val="18"/>
        </w:rPr>
        <w:t>e</w:t>
      </w:r>
      <w:r w:rsidR="006C14D9" w:rsidRPr="00411091">
        <w:rPr>
          <w:color w:val="242852" w:themeColor="text2"/>
          <w:sz w:val="18"/>
          <w:szCs w:val="18"/>
        </w:rPr>
        <w:t>fficient: the achievement of the maximum value for the resources used</w:t>
      </w:r>
    </w:p>
    <w:p w14:paraId="05972DD8" w14:textId="793C3D3F" w:rsidR="006C14D9" w:rsidRPr="00411091" w:rsidRDefault="00E028C0" w:rsidP="00411091">
      <w:pPr>
        <w:pStyle w:val="FootnoteText"/>
        <w:numPr>
          <w:ilvl w:val="0"/>
          <w:numId w:val="55"/>
        </w:numPr>
        <w:rPr>
          <w:color w:val="242852" w:themeColor="text2"/>
          <w:sz w:val="18"/>
          <w:szCs w:val="18"/>
        </w:rPr>
      </w:pPr>
      <w:r w:rsidRPr="00411091">
        <w:rPr>
          <w:color w:val="242852" w:themeColor="text2"/>
          <w:sz w:val="18"/>
          <w:szCs w:val="18"/>
        </w:rPr>
        <w:t>e</w:t>
      </w:r>
      <w:r w:rsidR="006C14D9" w:rsidRPr="00411091">
        <w:rPr>
          <w:color w:val="242852" w:themeColor="text2"/>
          <w:sz w:val="18"/>
          <w:szCs w:val="18"/>
        </w:rPr>
        <w:t>ffective: the extent to which the intended outcomes or results are achieved</w:t>
      </w:r>
    </w:p>
    <w:p w14:paraId="1ACAAAD8" w14:textId="795DAB0E" w:rsidR="006C14D9" w:rsidRPr="00411091" w:rsidRDefault="00E028C0" w:rsidP="00411091">
      <w:pPr>
        <w:pStyle w:val="FootnoteText"/>
        <w:numPr>
          <w:ilvl w:val="0"/>
          <w:numId w:val="55"/>
        </w:numPr>
        <w:rPr>
          <w:color w:val="242852" w:themeColor="text2"/>
          <w:sz w:val="18"/>
          <w:szCs w:val="18"/>
        </w:rPr>
      </w:pPr>
      <w:r w:rsidRPr="00411091">
        <w:rPr>
          <w:color w:val="242852" w:themeColor="text2"/>
          <w:sz w:val="18"/>
          <w:szCs w:val="18"/>
        </w:rPr>
        <w:t>j</w:t>
      </w:r>
      <w:r w:rsidR="006C14D9" w:rsidRPr="00411091">
        <w:rPr>
          <w:color w:val="242852" w:themeColor="text2"/>
          <w:sz w:val="18"/>
          <w:szCs w:val="18"/>
        </w:rPr>
        <w:t>ustified: providers are able to justify (through verifiable information provided to a review team) their charges to care recipients.</w:t>
      </w:r>
    </w:p>
  </w:footnote>
  <w:footnote w:id="11">
    <w:p w14:paraId="2FE41077" w14:textId="4EA4AC40" w:rsidR="0013275D" w:rsidRPr="00411091" w:rsidRDefault="0013275D">
      <w:pPr>
        <w:pStyle w:val="FootnoteText"/>
        <w:rPr>
          <w:color w:val="242852" w:themeColor="text2"/>
          <w:sz w:val="18"/>
          <w:szCs w:val="18"/>
        </w:rPr>
      </w:pPr>
      <w:r w:rsidRPr="00494017">
        <w:rPr>
          <w:color w:val="242852" w:themeColor="text2"/>
          <w:sz w:val="18"/>
          <w:szCs w:val="18"/>
          <w:vertAlign w:val="superscript"/>
        </w:rPr>
        <w:footnoteRef/>
      </w:r>
      <w:r w:rsidRPr="00411091">
        <w:rPr>
          <w:color w:val="242852" w:themeColor="text2"/>
          <w:sz w:val="18"/>
          <w:szCs w:val="18"/>
        </w:rPr>
        <w:t xml:space="preserve"> Including subsidy/grant funding</w:t>
      </w:r>
    </w:p>
  </w:footnote>
  <w:footnote w:id="12">
    <w:p w14:paraId="44BD9F55" w14:textId="77777777" w:rsidR="008D2E30" w:rsidRPr="001E7719" w:rsidRDefault="008D2E30" w:rsidP="008D2E30">
      <w:pPr>
        <w:pStyle w:val="FootnoteText"/>
        <w:rPr>
          <w:color w:val="242852" w:themeColor="text2"/>
        </w:rPr>
      </w:pPr>
      <w:r w:rsidRPr="001E7719">
        <w:rPr>
          <w:rStyle w:val="FootnoteReference"/>
          <w:color w:val="242852" w:themeColor="text2"/>
        </w:rPr>
        <w:footnoteRef/>
      </w:r>
      <w:r w:rsidRPr="001E7719">
        <w:rPr>
          <w:color w:val="242852" w:themeColor="text2"/>
        </w:rPr>
        <w:t xml:space="preserve"> </w:t>
      </w:r>
      <w:r w:rsidRPr="001E7719">
        <w:rPr>
          <w:color w:val="242852" w:themeColor="text2"/>
          <w:sz w:val="18"/>
          <w:szCs w:val="18"/>
        </w:rPr>
        <w:t>Non-compliance can mean not fully engaging with the assurance process when notified to do so or not implementing required actions arising from an assurance process.</w:t>
      </w:r>
    </w:p>
  </w:footnote>
  <w:footnote w:id="13">
    <w:p w14:paraId="56A988C6" w14:textId="6ADABC7F" w:rsidR="008D2E30" w:rsidRPr="00DF4CF5" w:rsidRDefault="008D2E30" w:rsidP="005A49D1">
      <w:pPr>
        <w:pStyle w:val="FootnoteText"/>
        <w:rPr>
          <w:sz w:val="18"/>
          <w:szCs w:val="18"/>
        </w:rPr>
      </w:pPr>
      <w:r w:rsidRPr="001E7719">
        <w:rPr>
          <w:rStyle w:val="FootnoteReference"/>
          <w:color w:val="242852" w:themeColor="text2"/>
        </w:rPr>
        <w:footnoteRef/>
      </w:r>
      <w:r w:rsidRPr="001E7719">
        <w:rPr>
          <w:color w:val="242852" w:themeColor="text2"/>
        </w:rPr>
        <w:t xml:space="preserve"> </w:t>
      </w:r>
      <w:r w:rsidRPr="001E7719">
        <w:rPr>
          <w:color w:val="242852" w:themeColor="text2"/>
          <w:sz w:val="18"/>
          <w:szCs w:val="18"/>
        </w:rPr>
        <w:t xml:space="preserve">The role of the Aged Care Quality Safety Commission is </w:t>
      </w:r>
      <w:r w:rsidRPr="005664B0">
        <w:rPr>
          <w:color w:val="242852" w:themeColor="text2"/>
          <w:sz w:val="18"/>
          <w:szCs w:val="18"/>
        </w:rPr>
        <w:t>outlined on page</w:t>
      </w:r>
      <w:r w:rsidR="00F72E5A" w:rsidRPr="005664B0">
        <w:rPr>
          <w:color w:val="242852" w:themeColor="text2"/>
          <w:sz w:val="18"/>
          <w:szCs w:val="18"/>
        </w:rPr>
        <w:t>11</w:t>
      </w:r>
      <w:r w:rsidRPr="001E7719">
        <w:rPr>
          <w:color w:val="242852" w:themeColor="text2"/>
          <w:sz w:val="18"/>
          <w:szCs w:val="18"/>
        </w:rPr>
        <w:t xml:space="preserve">. For further information see the </w:t>
      </w:r>
      <w:hyperlink r:id="rId3" w:history="1">
        <w:r>
          <w:rPr>
            <w:rStyle w:val="Hyperlink"/>
            <w:sz w:val="18"/>
            <w:szCs w:val="18"/>
          </w:rPr>
          <w:t>aged care regulatory and governance roles</w:t>
        </w:r>
      </w:hyperlink>
      <w:r>
        <w:rPr>
          <w:sz w:val="18"/>
          <w:szCs w:val="18"/>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8B078B" w14:textId="0903412E" w:rsidR="008A65C1" w:rsidRDefault="00C35B1C">
    <w:r>
      <w:rPr>
        <w:noProof/>
      </w:rPr>
      <mc:AlternateContent>
        <mc:Choice Requires="wps">
          <w:drawing>
            <wp:anchor distT="0" distB="0" distL="0" distR="0" simplePos="0" relativeHeight="251669508" behindDoc="0" locked="0" layoutInCell="1" allowOverlap="1" wp14:anchorId="5CE84957" wp14:editId="761AA8FF">
              <wp:simplePos x="635" y="635"/>
              <wp:positionH relativeFrom="page">
                <wp:align>center</wp:align>
              </wp:positionH>
              <wp:positionV relativeFrom="page">
                <wp:align>top</wp:align>
              </wp:positionV>
              <wp:extent cx="622300" cy="480695"/>
              <wp:effectExtent l="0" t="0" r="6350" b="14605"/>
              <wp:wrapNone/>
              <wp:docPr id="1015287683"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480695"/>
                      </a:xfrm>
                      <a:prstGeom prst="rect">
                        <a:avLst/>
                      </a:prstGeom>
                      <a:noFill/>
                      <a:ln>
                        <a:noFill/>
                      </a:ln>
                    </wps:spPr>
                    <wps:txbx>
                      <w:txbxContent>
                        <w:p w14:paraId="36380427" w14:textId="1E040C16" w:rsidR="00C35B1C" w:rsidRPr="00C35B1C" w:rsidRDefault="00C35B1C" w:rsidP="00C35B1C">
                          <w:pPr>
                            <w:spacing w:after="0"/>
                            <w:rPr>
                              <w:rFonts w:ascii="Aptos" w:eastAsia="Aptos" w:hAnsi="Aptos" w:cs="Aptos"/>
                              <w:noProof/>
                              <w:color w:val="FF0000"/>
                            </w:rPr>
                          </w:pPr>
                          <w:r w:rsidRPr="00C35B1C">
                            <w:rPr>
                              <w:rFonts w:ascii="Aptos" w:eastAsia="Aptos" w:hAnsi="Aptos" w:cs="Aptos"/>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CE84957" id="_x0000_t202" coordsize="21600,21600" o:spt="202" path="m,l,21600r21600,l21600,xe">
              <v:stroke joinstyle="miter"/>
              <v:path gradientshapeok="t" o:connecttype="rect"/>
            </v:shapetype>
            <v:shape id="Text Box 2" o:spid="_x0000_s1056" type="#_x0000_t202" alt="OFFICIAL" style="position:absolute;margin-left:0;margin-top:0;width:49pt;height:37.85pt;z-index:25166950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" filled="f" stroked="f">
              <v:textbox style="mso-fit-shape-to-text:t" inset="0,15pt,0,0">
                <w:txbxContent>
                  <w:p w14:paraId="36380427" w14:textId="1E040C16" w:rsidR="00C35B1C" w:rsidRPr="00C35B1C" w:rsidRDefault="00C35B1C" w:rsidP="00C35B1C">
                    <w:pPr>
                      <w:spacing w:after="0"/>
                      <w:rPr>
                        <w:rFonts w:ascii="Aptos" w:eastAsia="Aptos" w:hAnsi="Aptos" w:cs="Aptos"/>
                        <w:noProof/>
                        <w:color w:val="FF0000"/>
                      </w:rPr>
                    </w:pPr>
                    <w:r w:rsidRPr="00C35B1C">
                      <w:rPr>
                        <w:rFonts w:ascii="Aptos" w:eastAsia="Aptos" w:hAnsi="Aptos" w:cs="Aptos"/>
                        <w:noProof/>
                        <w:color w:val="FF000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20"/>
      <w:gridCol w:w="3020"/>
      <w:gridCol w:w="3020"/>
    </w:tblGrid>
    <w:tr w:rsidR="2B3137B5" w14:paraId="3CA10322" w14:textId="77777777" w:rsidTr="2B3137B5">
      <w:trPr>
        <w:trHeight w:val="300"/>
      </w:trPr>
      <w:tc>
        <w:tcPr>
          <w:tcW w:w="3020" w:type="dxa"/>
        </w:tcPr>
        <w:p w14:paraId="52BFAE15" w14:textId="55DBC5C8" w:rsidR="2B3137B5" w:rsidRDefault="00C35B1C" w:rsidP="2B3137B5">
          <w:pPr>
            <w:ind w:left="-115"/>
          </w:pPr>
          <w:r>
            <w:rPr>
              <w:noProof/>
            </w:rPr>
            <mc:AlternateContent>
              <mc:Choice Requires="wps">
                <w:drawing>
                  <wp:anchor distT="0" distB="0" distL="0" distR="0" simplePos="0" relativeHeight="251670532" behindDoc="0" locked="0" layoutInCell="1" allowOverlap="1" wp14:anchorId="6B3F76F9" wp14:editId="584A174B">
                    <wp:simplePos x="635" y="635"/>
                    <wp:positionH relativeFrom="page">
                      <wp:align>center</wp:align>
                    </wp:positionH>
                    <wp:positionV relativeFrom="page">
                      <wp:align>top</wp:align>
                    </wp:positionV>
                    <wp:extent cx="622300" cy="480695"/>
                    <wp:effectExtent l="0" t="0" r="6350" b="14605"/>
                    <wp:wrapNone/>
                    <wp:docPr id="1659493440"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480695"/>
                            </a:xfrm>
                            <a:prstGeom prst="rect">
                              <a:avLst/>
                            </a:prstGeom>
                            <a:noFill/>
                            <a:ln>
                              <a:noFill/>
                            </a:ln>
                          </wps:spPr>
                          <wps:txbx>
                            <w:txbxContent>
                              <w:p w14:paraId="0D52FA50" w14:textId="4359999E" w:rsidR="00C35B1C" w:rsidRPr="00C35B1C" w:rsidRDefault="00C35B1C" w:rsidP="00C35B1C">
                                <w:pPr>
                                  <w:spacing w:after="0"/>
                                  <w:rPr>
                                    <w:rFonts w:ascii="Aptos" w:eastAsia="Aptos" w:hAnsi="Aptos" w:cs="Aptos"/>
                                    <w:noProof/>
                                    <w:color w:val="FF0000"/>
                                  </w:rPr>
                                </w:pPr>
                                <w:r w:rsidRPr="00C35B1C">
                                  <w:rPr>
                                    <w:rFonts w:ascii="Aptos" w:eastAsia="Aptos" w:hAnsi="Aptos" w:cs="Aptos"/>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B3F76F9" id="_x0000_t202" coordsize="21600,21600" o:spt="202" path="m,l,21600r21600,l21600,xe">
                    <v:stroke joinstyle="miter"/>
                    <v:path gradientshapeok="t" o:connecttype="rect"/>
                  </v:shapetype>
                  <v:shape id="Text Box 3" o:spid="_x0000_s1057" type="#_x0000_t202" alt="OFFICIAL" style="position:absolute;left:0;text-align:left;margin-left:0;margin-top:0;width:49pt;height:37.85pt;z-index:25167053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" filled="f" stroked="f">
                    <v:textbox style="mso-fit-shape-to-text:t" inset="0,15pt,0,0">
                      <w:txbxContent>
                        <w:p w14:paraId="0D52FA50" w14:textId="4359999E" w:rsidR="00C35B1C" w:rsidRPr="00C35B1C" w:rsidRDefault="00C35B1C" w:rsidP="00C35B1C">
                          <w:pPr>
                            <w:spacing w:after="0"/>
                            <w:rPr>
                              <w:rFonts w:ascii="Aptos" w:eastAsia="Aptos" w:hAnsi="Aptos" w:cs="Aptos"/>
                              <w:noProof/>
                              <w:color w:val="FF0000"/>
                            </w:rPr>
                          </w:pPr>
                          <w:r w:rsidRPr="00C35B1C">
                            <w:rPr>
                              <w:rFonts w:ascii="Aptos" w:eastAsia="Aptos" w:hAnsi="Aptos" w:cs="Aptos"/>
                              <w:noProof/>
                              <w:color w:val="FF0000"/>
                            </w:rPr>
                            <w:t>OFFICIAL</w:t>
                          </w:r>
                        </w:p>
                      </w:txbxContent>
                    </v:textbox>
                    <w10:wrap anchorx="page" anchory="page"/>
                  </v:shape>
                </w:pict>
              </mc:Fallback>
            </mc:AlternateContent>
          </w:r>
        </w:p>
      </w:tc>
      <w:tc>
        <w:tcPr>
          <w:tcW w:w="3020" w:type="dxa"/>
        </w:tcPr>
        <w:p w14:paraId="3419213F" w14:textId="32B4E2C4" w:rsidR="2B3137B5" w:rsidRDefault="2B3137B5" w:rsidP="2B3137B5">
          <w:pPr>
            <w:jc w:val="center"/>
          </w:pPr>
        </w:p>
      </w:tc>
      <w:tc>
        <w:tcPr>
          <w:tcW w:w="3020" w:type="dxa"/>
        </w:tcPr>
        <w:p w14:paraId="2369EE81" w14:textId="17B638CB" w:rsidR="2B3137B5" w:rsidRDefault="2B3137B5" w:rsidP="2B3137B5">
          <w:pPr>
            <w:ind w:right="-115"/>
            <w:jc w:val="right"/>
          </w:pPr>
        </w:p>
      </w:tc>
    </w:tr>
  </w:tbl>
  <w:p w14:paraId="626C9344" w14:textId="223CDD2F" w:rsidR="2B3137B5" w:rsidRDefault="2B3137B5" w:rsidP="2B3137B5"/>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1B957C" w14:textId="274D56ED" w:rsidR="001071B7" w:rsidRDefault="00EE72F6" w:rsidP="006249DC">
    <w:pPr>
      <w:ind w:firstLine="720"/>
      <w:rPr>
        <w:noProof/>
        <w:lang w:eastAsia="en-AU"/>
      </w:rPr>
    </w:pPr>
    <w:r>
      <w:rPr>
        <w:noProof/>
        <w:color w:val="94B5D2"/>
        <w:lang w:eastAsia="en-AU"/>
      </w:rPr>
      <w:drawing>
        <wp:anchor distT="0" distB="0" distL="114300" distR="114300" simplePos="0" relativeHeight="251659268" behindDoc="0" locked="0" layoutInCell="1" allowOverlap="1" wp14:anchorId="701CA265" wp14:editId="5D0C7AF8">
          <wp:simplePos x="0" y="0"/>
          <wp:positionH relativeFrom="page">
            <wp:align>left</wp:align>
          </wp:positionH>
          <wp:positionV relativeFrom="paragraph">
            <wp:posOffset>-539750</wp:posOffset>
          </wp:positionV>
          <wp:extent cx="3676650" cy="894814"/>
          <wp:effectExtent l="0" t="0" r="0" b="635"/>
          <wp:wrapNone/>
          <wp:docPr id="501854865" name="Picture 1" descr="Australian Government crest with words Australian Government Department of Health, Disability and Age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6848037" name="Picture 1" descr="Australian Government crest with words Australian Government Department of Health, Disability and Agei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76650" cy="89481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53699" w:rsidRPr="0087555A">
      <w:rPr>
        <w:noProof/>
        <w:color w:val="94B5D2"/>
        <w:lang w:eastAsia="en-AU"/>
      </w:rPr>
      <w:drawing>
        <wp:anchor distT="0" distB="0" distL="114300" distR="114300" simplePos="0" relativeHeight="251658243" behindDoc="0" locked="0" layoutInCell="1" allowOverlap="1" wp14:anchorId="4CD5ED1D" wp14:editId="72D6C9B3">
          <wp:simplePos x="0" y="0"/>
          <wp:positionH relativeFrom="column">
            <wp:posOffset>2880994</wp:posOffset>
          </wp:positionH>
          <wp:positionV relativeFrom="paragraph">
            <wp:posOffset>-539750</wp:posOffset>
          </wp:positionV>
          <wp:extent cx="3774617" cy="1363345"/>
          <wp:effectExtent l="0" t="0" r="0" b="8255"/>
          <wp:wrapNone/>
          <wp:docPr id="1915968357" name="Picture 1" descr="Support at Hom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41854" name="Picture 1" descr="Support at Home logo"/>
                  <pic:cNvPicPr/>
                </pic:nvPicPr>
                <pic:blipFill rotWithShape="1">
                  <a:blip r:embed="rId2">
                    <a:extLst>
                      <a:ext uri="{28A0092B-C50C-407E-A947-70E740481C1C}">
                        <a14:useLocalDpi xmlns:a14="http://schemas.microsoft.com/office/drawing/2010/main" val="0"/>
                      </a:ext>
                    </a:extLst>
                  </a:blip>
                  <a:srcRect l="50045" b="87235"/>
                  <a:stretch/>
                </pic:blipFill>
                <pic:spPr bwMode="auto">
                  <a:xfrm>
                    <a:off x="0" y="0"/>
                    <a:ext cx="3774969" cy="136347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6034D" w:rsidRPr="00D53699">
      <w:rPr>
        <w:noProof/>
        <w:color w:val="015098"/>
      </w:rPr>
      <w:drawing>
        <wp:anchor distT="0" distB="0" distL="114300" distR="114300" simplePos="0" relativeHeight="251658241" behindDoc="1" locked="0" layoutInCell="1" allowOverlap="1" wp14:anchorId="40D47B64" wp14:editId="1D90D977">
          <wp:simplePos x="0" y="0"/>
          <wp:positionH relativeFrom="page">
            <wp:posOffset>-1236942</wp:posOffset>
          </wp:positionH>
          <wp:positionV relativeFrom="page">
            <wp:posOffset>-618192</wp:posOffset>
          </wp:positionV>
          <wp:extent cx="9858936" cy="6572623"/>
          <wp:effectExtent l="0" t="0" r="0" b="0"/>
          <wp:wrapNone/>
          <wp:docPr id="1879777734" name="Picture 18797777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a:extLst>
                      <a:ext uri="{C183D7F6-B498-43B3-948B-1728B52AA6E4}">
                        <adec:decorative xmlns:adec="http://schemas.microsoft.com/office/drawing/2017/decorative" val="1"/>
                      </a:ext>
                    </a:extLst>
                  </pic:cNvPr>
                  <pic:cNvPicPr/>
                </pic:nvPicPr>
                <pic:blipFill rotWithShape="1">
                  <a:blip r:embed="rId3">
                    <a:extLst>
                      <a:ext uri="{28A0092B-C50C-407E-A947-70E740481C1C}">
                        <a14:useLocalDpi xmlns:a14="http://schemas.microsoft.com/office/drawing/2010/main" val="0"/>
                      </a:ext>
                    </a:extLst>
                  </a:blip>
                  <a:srcRect l="6545" t="-3771" r="-6446" b="3771"/>
                  <a:stretch/>
                </pic:blipFill>
                <pic:spPr>
                  <a:xfrm>
                    <a:off x="0" y="0"/>
                    <a:ext cx="9858936" cy="6572623"/>
                  </a:xfrm>
                  <a:prstGeom prst="rect">
                    <a:avLst/>
                  </a:prstGeom>
                </pic:spPr>
              </pic:pic>
            </a:graphicData>
          </a:graphic>
          <wp14:sizeRelH relativeFrom="margin">
            <wp14:pctWidth>0</wp14:pctWidth>
          </wp14:sizeRelH>
          <wp14:sizeRelV relativeFrom="margin">
            <wp14:pctHeight>0</wp14:pctHeight>
          </wp14:sizeRelV>
        </wp:anchor>
      </w:drawing>
    </w:r>
  </w:p>
  <w:p w14:paraId="08428241" w14:textId="720F4F59" w:rsidR="003B1273" w:rsidRDefault="003B1273" w:rsidP="006249DC">
    <w:pPr>
      <w:ind w:firstLine="720"/>
      <w:rPr>
        <w:noProof/>
        <w:lang w:eastAsia="en-AU"/>
      </w:rPr>
    </w:pPr>
  </w:p>
  <w:p w14:paraId="7A8BA0AC" w14:textId="77FFD474" w:rsidR="00751A23" w:rsidRDefault="00627385" w:rsidP="00934368">
    <w:r>
      <w:rPr>
        <w:noProof/>
      </w:rPr>
      <mc:AlternateContent>
        <mc:Choice Requires="wps">
          <w:drawing>
            <wp:anchor distT="0" distB="0" distL="114300" distR="114300" simplePos="0" relativeHeight="251658240" behindDoc="1" locked="0" layoutInCell="1" allowOverlap="1" wp14:anchorId="515E2A34" wp14:editId="43DE29EE">
              <wp:simplePos x="0" y="0"/>
              <wp:positionH relativeFrom="column">
                <wp:posOffset>-955040</wp:posOffset>
              </wp:positionH>
              <wp:positionV relativeFrom="paragraph">
                <wp:posOffset>3995420</wp:posOffset>
              </wp:positionV>
              <wp:extent cx="7610475" cy="6238875"/>
              <wp:effectExtent l="0" t="0" r="9525" b="9525"/>
              <wp:wrapNone/>
              <wp:docPr id="23" name="Rectangle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10475" cy="6238875"/>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dec="http://schemas.microsoft.com/office/drawing/2017/decorative">
          <w:pict w14:anchorId="600A717C">
            <v:rect id="Rectangle 23" style="position:absolute;margin-left:-75.2pt;margin-top:314.6pt;width:599.25pt;height:491.25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lt="&quot;&quot;" o:spid="_x0000_s1026" fillcolor="#accbf9 [3214]" stroked="f" strokeweight="2pt" w14:anchorId="0DEF8B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"/>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DFC025" w14:textId="3738C6F2" w:rsidR="00D0690C" w:rsidRDefault="00C35B1C">
    <w:r>
      <w:rPr>
        <w:noProof/>
      </w:rPr>
      <mc:AlternateContent>
        <mc:Choice Requires="wps">
          <w:drawing>
            <wp:anchor distT="0" distB="0" distL="0" distR="0" simplePos="0" relativeHeight="251671556" behindDoc="0" locked="0" layoutInCell="1" allowOverlap="1" wp14:anchorId="1835047D" wp14:editId="3BB09667">
              <wp:simplePos x="635" y="635"/>
              <wp:positionH relativeFrom="page">
                <wp:align>center</wp:align>
              </wp:positionH>
              <wp:positionV relativeFrom="page">
                <wp:align>top</wp:align>
              </wp:positionV>
              <wp:extent cx="622300" cy="480695"/>
              <wp:effectExtent l="0" t="0" r="6350" b="14605"/>
              <wp:wrapNone/>
              <wp:docPr id="2062295136" name="Text Box 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480695"/>
                      </a:xfrm>
                      <a:prstGeom prst="rect">
                        <a:avLst/>
                      </a:prstGeom>
                      <a:noFill/>
                      <a:ln>
                        <a:noFill/>
                      </a:ln>
                    </wps:spPr>
                    <wps:txbx>
                      <w:txbxContent>
                        <w:p w14:paraId="3C8DDAB4" w14:textId="290BF379" w:rsidR="00C35B1C" w:rsidRPr="00C35B1C" w:rsidRDefault="00C35B1C" w:rsidP="00C35B1C">
                          <w:pPr>
                            <w:spacing w:after="0"/>
                            <w:rPr>
                              <w:rFonts w:ascii="Aptos" w:eastAsia="Aptos" w:hAnsi="Aptos" w:cs="Aptos"/>
                              <w:noProof/>
                              <w:color w:val="FF0000"/>
                            </w:rPr>
                          </w:pPr>
                          <w:r w:rsidRPr="00C35B1C">
                            <w:rPr>
                              <w:rFonts w:ascii="Aptos" w:eastAsia="Aptos" w:hAnsi="Aptos" w:cs="Aptos"/>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835047D" id="_x0000_t202" coordsize="21600,21600" o:spt="202" path="m,l,21600r21600,l21600,xe">
              <v:stroke joinstyle="miter"/>
              <v:path gradientshapeok="t" o:connecttype="rect"/>
            </v:shapetype>
            <v:shape id="Text Box 4" o:spid="_x0000_s1059" type="#_x0000_t202" alt="OFFICIAL" style="position:absolute;margin-left:0;margin-top:0;width:49pt;height:37.85pt;z-index:25167155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" filled="f" stroked="f">
              <v:textbox style="mso-fit-shape-to-text:t" inset="0,15pt,0,0">
                <w:txbxContent>
                  <w:p w14:paraId="3C8DDAB4" w14:textId="290BF379" w:rsidR="00C35B1C" w:rsidRPr="00C35B1C" w:rsidRDefault="00C35B1C" w:rsidP="00C35B1C">
                    <w:pPr>
                      <w:spacing w:after="0"/>
                      <w:rPr>
                        <w:rFonts w:ascii="Aptos" w:eastAsia="Aptos" w:hAnsi="Aptos" w:cs="Aptos"/>
                        <w:noProof/>
                        <w:color w:val="FF0000"/>
                      </w:rPr>
                    </w:pPr>
                    <w:r w:rsidRPr="00C35B1C">
                      <w:rPr>
                        <w:rFonts w:ascii="Aptos" w:eastAsia="Aptos" w:hAnsi="Aptos" w:cs="Aptos"/>
                        <w:noProof/>
                        <w:color w:val="FF0000"/>
                      </w:rPr>
                      <w:t>OFFICIAL</w:t>
                    </w:r>
                  </w:p>
                </w:txbxContent>
              </v:textbox>
              <w10:wrap anchorx="page" anchory="page"/>
            </v:shape>
          </w:pict>
        </mc:Fallback>
      </mc:AlternateContent>
    </w:r>
    <w:r w:rsidR="00312749" w:rsidRPr="00CC09BC">
      <w:rPr>
        <w:noProof/>
      </w:rPr>
      <mc:AlternateContent>
        <mc:Choice Requires="wps">
          <w:drawing>
            <wp:anchor distT="0" distB="0" distL="114300" distR="114300" simplePos="0" relativeHeight="251652096" behindDoc="1" locked="0" layoutInCell="1" allowOverlap="1" wp14:anchorId="1DBA9546" wp14:editId="19FD6085">
              <wp:simplePos x="0" y="0"/>
              <wp:positionH relativeFrom="page">
                <wp:align>center</wp:align>
              </wp:positionH>
              <wp:positionV relativeFrom="page">
                <wp:align>top</wp:align>
              </wp:positionV>
              <wp:extent cx="7560000" cy="10692000"/>
              <wp:effectExtent l="0" t="0" r="0" b="1905"/>
              <wp:wrapNone/>
              <wp:docPr id="5" name="Rectangle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10692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clsh="http://schemas.microsoft.com/office/drawing/2020/classificationShape" xmlns:adec="http://schemas.microsoft.com/office/drawing/2017/decorative">
          <w:pict w14:anchorId="2DEA8F02">
            <v:rect id="Rectangle 5" style="position:absolute;margin-left:0;margin-top:0;width:595.3pt;height:841.9pt;z-index:-251664384;visibility:visible;mso-wrap-style:square;mso-width-percent:0;mso-height-percent:0;mso-wrap-distance-left:9pt;mso-wrap-distance-top:0;mso-wrap-distance-right:9pt;mso-wrap-distance-bottom:0;mso-position-horizontal:center;mso-position-horizontal-relative:page;mso-position-vertical:top;mso-position-vertical-relative:page;mso-width-percent:0;mso-height-percent:0;mso-width-relative:margin;mso-height-relative:margin;v-text-anchor:middle" alt="&quot;&quot;" o:spid="_x0000_s1026" fillcolor="white [3212]" stroked="f" strokeweight="2pt" w14:anchorId="643A97F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">
              <w10:wrap anchorx="page" anchory="page"/>
            </v:rect>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465E11" w14:textId="68660A59" w:rsidR="2B3137B5" w:rsidRDefault="2B3137B5" w:rsidP="2B3137B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318AD0F8"/>
    <w:lvl w:ilvl="0">
      <w:start w:val="1"/>
      <w:numFmt w:val="bullet"/>
      <w:pStyle w:val="ListBullet3"/>
      <w:lvlText w:val=""/>
      <w:lvlJc w:val="left"/>
      <w:pPr>
        <w:tabs>
          <w:tab w:val="num" w:pos="926"/>
        </w:tabs>
        <w:ind w:left="926" w:hanging="360"/>
      </w:pPr>
      <w:rPr>
        <w:rFonts w:ascii="Symbol" w:hAnsi="Symbol" w:hint="default"/>
      </w:rPr>
    </w:lvl>
  </w:abstractNum>
  <w:abstractNum w:abstractNumId="1" w15:restartNumberingAfterBreak="0">
    <w:nsid w:val="FFFFFF89"/>
    <w:multiLevelType w:val="singleLevel"/>
    <w:tmpl w:val="7542F99E"/>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3311526"/>
    <w:multiLevelType w:val="hybridMultilevel"/>
    <w:tmpl w:val="9BE888A2"/>
    <w:lvl w:ilvl="0" w:tplc="708C0DDE">
      <w:start w:val="1"/>
      <w:numFmt w:val="decimal"/>
      <w:pStyle w:val="Tablelistnumber"/>
      <w:lvlText w:val="%1."/>
      <w:lvlJc w:val="left"/>
      <w:pPr>
        <w:ind w:left="360" w:hanging="360"/>
      </w:pPr>
      <w:rPr>
        <w:rFonts w:hint="default"/>
      </w:rPr>
    </w:lvl>
    <w:lvl w:ilvl="1" w:tplc="5B4A8BB4" w:tentative="1">
      <w:start w:val="1"/>
      <w:numFmt w:val="lowerLetter"/>
      <w:lvlText w:val="%2."/>
      <w:lvlJc w:val="left"/>
      <w:pPr>
        <w:ind w:left="1440" w:hanging="360"/>
      </w:pPr>
    </w:lvl>
    <w:lvl w:ilvl="2" w:tplc="06E0084A" w:tentative="1">
      <w:start w:val="1"/>
      <w:numFmt w:val="lowerRoman"/>
      <w:lvlText w:val="%3."/>
      <w:lvlJc w:val="right"/>
      <w:pPr>
        <w:ind w:left="2160" w:hanging="180"/>
      </w:pPr>
    </w:lvl>
    <w:lvl w:ilvl="3" w:tplc="65480416" w:tentative="1">
      <w:start w:val="1"/>
      <w:numFmt w:val="decimal"/>
      <w:lvlText w:val="%4."/>
      <w:lvlJc w:val="left"/>
      <w:pPr>
        <w:ind w:left="2880" w:hanging="360"/>
      </w:pPr>
    </w:lvl>
    <w:lvl w:ilvl="4" w:tplc="F7BEBC76" w:tentative="1">
      <w:start w:val="1"/>
      <w:numFmt w:val="lowerLetter"/>
      <w:lvlText w:val="%5."/>
      <w:lvlJc w:val="left"/>
      <w:pPr>
        <w:ind w:left="3600" w:hanging="360"/>
      </w:pPr>
    </w:lvl>
    <w:lvl w:ilvl="5" w:tplc="B36EF2D8" w:tentative="1">
      <w:start w:val="1"/>
      <w:numFmt w:val="lowerRoman"/>
      <w:lvlText w:val="%6."/>
      <w:lvlJc w:val="right"/>
      <w:pPr>
        <w:ind w:left="4320" w:hanging="180"/>
      </w:pPr>
    </w:lvl>
    <w:lvl w:ilvl="6" w:tplc="EB48EBB6" w:tentative="1">
      <w:start w:val="1"/>
      <w:numFmt w:val="decimal"/>
      <w:lvlText w:val="%7."/>
      <w:lvlJc w:val="left"/>
      <w:pPr>
        <w:ind w:left="5040" w:hanging="360"/>
      </w:pPr>
    </w:lvl>
    <w:lvl w:ilvl="7" w:tplc="4CA841AE" w:tentative="1">
      <w:start w:val="1"/>
      <w:numFmt w:val="lowerLetter"/>
      <w:lvlText w:val="%8."/>
      <w:lvlJc w:val="left"/>
      <w:pPr>
        <w:ind w:left="5760" w:hanging="360"/>
      </w:pPr>
    </w:lvl>
    <w:lvl w:ilvl="8" w:tplc="2C7034E0" w:tentative="1">
      <w:start w:val="1"/>
      <w:numFmt w:val="lowerRoman"/>
      <w:lvlText w:val="%9."/>
      <w:lvlJc w:val="right"/>
      <w:pPr>
        <w:ind w:left="6480" w:hanging="180"/>
      </w:pPr>
    </w:lvl>
  </w:abstractNum>
  <w:abstractNum w:abstractNumId="3" w15:restartNumberingAfterBreak="0">
    <w:nsid w:val="047A64FA"/>
    <w:multiLevelType w:val="multilevel"/>
    <w:tmpl w:val="E5301616"/>
    <w:styleLink w:val="CurrentList3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0645474E"/>
    <w:multiLevelType w:val="hybridMultilevel"/>
    <w:tmpl w:val="A2C627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8B8307A"/>
    <w:multiLevelType w:val="multilevel"/>
    <w:tmpl w:val="E32A6EEE"/>
    <w:styleLink w:val="CurrentList13"/>
    <w:lvl w:ilvl="0">
      <w:start w:val="1"/>
      <w:numFmt w:val="decimal"/>
      <w:lvlText w:val="2%1."/>
      <w:lvlJc w:val="left"/>
      <w:pPr>
        <w:ind w:left="379"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8E4410C"/>
    <w:multiLevelType w:val="multilevel"/>
    <w:tmpl w:val="13586ED8"/>
    <w:styleLink w:val="Style2"/>
    <w:lvl w:ilvl="0">
      <w:start w:val="1"/>
      <w:numFmt w:val="bullet"/>
      <w:lvlText w:val="l"/>
      <w:lvlJc w:val="left"/>
      <w:pPr>
        <w:ind w:left="644" w:hanging="284"/>
      </w:pPr>
      <w:rPr>
        <w:rFonts w:ascii="Wingdings" w:hAnsi="Wingdings" w:hint="default"/>
        <w:color w:val="auto"/>
      </w:rPr>
    </w:lvl>
    <w:lvl w:ilvl="1">
      <w:start w:val="1"/>
      <w:numFmt w:val="bullet"/>
      <w:lvlText w:val="n"/>
      <w:lvlJc w:val="left"/>
      <w:pPr>
        <w:ind w:left="1080" w:hanging="360"/>
      </w:pPr>
      <w:rPr>
        <w:rFonts w:ascii="Wingdings" w:hAnsi="Wingdings" w:hint="default"/>
        <w:color w:val="auto"/>
        <w:sz w:val="16"/>
      </w:rPr>
    </w:lvl>
    <w:lvl w:ilvl="2">
      <w:start w:val="1"/>
      <w:numFmt w:val="bullet"/>
      <w:lvlText w:val="–"/>
      <w:lvlJc w:val="left"/>
      <w:pPr>
        <w:ind w:left="1440" w:hanging="360"/>
      </w:pPr>
      <w:rPr>
        <w:rFonts w:ascii="Arial" w:hAnsi="Arial" w:hint="default"/>
        <w:color w:val="auto"/>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7" w15:restartNumberingAfterBreak="0">
    <w:nsid w:val="0A9A71A2"/>
    <w:multiLevelType w:val="hybridMultilevel"/>
    <w:tmpl w:val="F5624F28"/>
    <w:lvl w:ilvl="0" w:tplc="EA5C551C">
      <w:numFmt w:val="bullet"/>
      <w:pStyle w:val="BulletBreakpages"/>
      <w:lvlText w:val="•"/>
      <w:lvlJc w:val="left"/>
      <w:pPr>
        <w:ind w:left="380" w:hanging="360"/>
      </w:pPr>
      <w:rPr>
        <w:rFonts w:ascii="Proxima Nova" w:eastAsia="Proxima Nova" w:hAnsi="Proxima Nova" w:cs="Proxima Nova" w:hint="default"/>
        <w:b w:val="0"/>
        <w:bCs w:val="0"/>
        <w:i w:val="0"/>
        <w:iCs w:val="0"/>
        <w:color w:val="FFFFFF"/>
        <w:spacing w:val="0"/>
        <w:w w:val="100"/>
        <w:sz w:val="24"/>
        <w:szCs w:val="24"/>
        <w:lang w:val="en-US" w:eastAsia="en-US" w:bidi="ar-SA"/>
      </w:rPr>
    </w:lvl>
    <w:lvl w:ilvl="1" w:tplc="FFFFFFFF" w:tentative="1">
      <w:start w:val="1"/>
      <w:numFmt w:val="bullet"/>
      <w:lvlText w:val="o"/>
      <w:lvlJc w:val="left"/>
      <w:pPr>
        <w:ind w:left="1100" w:hanging="360"/>
      </w:pPr>
      <w:rPr>
        <w:rFonts w:ascii="Courier New" w:hAnsi="Courier New" w:cs="Courier New" w:hint="default"/>
      </w:rPr>
    </w:lvl>
    <w:lvl w:ilvl="2" w:tplc="FFFFFFFF" w:tentative="1">
      <w:start w:val="1"/>
      <w:numFmt w:val="bullet"/>
      <w:lvlText w:val=""/>
      <w:lvlJc w:val="left"/>
      <w:pPr>
        <w:ind w:left="1820" w:hanging="360"/>
      </w:pPr>
      <w:rPr>
        <w:rFonts w:ascii="Wingdings" w:hAnsi="Wingdings" w:hint="default"/>
      </w:rPr>
    </w:lvl>
    <w:lvl w:ilvl="3" w:tplc="FFFFFFFF" w:tentative="1">
      <w:start w:val="1"/>
      <w:numFmt w:val="bullet"/>
      <w:lvlText w:val=""/>
      <w:lvlJc w:val="left"/>
      <w:pPr>
        <w:ind w:left="2540" w:hanging="360"/>
      </w:pPr>
      <w:rPr>
        <w:rFonts w:ascii="Symbol" w:hAnsi="Symbol" w:hint="default"/>
      </w:rPr>
    </w:lvl>
    <w:lvl w:ilvl="4" w:tplc="FFFFFFFF" w:tentative="1">
      <w:start w:val="1"/>
      <w:numFmt w:val="bullet"/>
      <w:lvlText w:val="o"/>
      <w:lvlJc w:val="left"/>
      <w:pPr>
        <w:ind w:left="3260" w:hanging="360"/>
      </w:pPr>
      <w:rPr>
        <w:rFonts w:ascii="Courier New" w:hAnsi="Courier New" w:cs="Courier New" w:hint="default"/>
      </w:rPr>
    </w:lvl>
    <w:lvl w:ilvl="5" w:tplc="FFFFFFFF" w:tentative="1">
      <w:start w:val="1"/>
      <w:numFmt w:val="bullet"/>
      <w:lvlText w:val=""/>
      <w:lvlJc w:val="left"/>
      <w:pPr>
        <w:ind w:left="3980" w:hanging="360"/>
      </w:pPr>
      <w:rPr>
        <w:rFonts w:ascii="Wingdings" w:hAnsi="Wingdings" w:hint="default"/>
      </w:rPr>
    </w:lvl>
    <w:lvl w:ilvl="6" w:tplc="FFFFFFFF" w:tentative="1">
      <w:start w:val="1"/>
      <w:numFmt w:val="bullet"/>
      <w:lvlText w:val=""/>
      <w:lvlJc w:val="left"/>
      <w:pPr>
        <w:ind w:left="4700" w:hanging="360"/>
      </w:pPr>
      <w:rPr>
        <w:rFonts w:ascii="Symbol" w:hAnsi="Symbol" w:hint="default"/>
      </w:rPr>
    </w:lvl>
    <w:lvl w:ilvl="7" w:tplc="FFFFFFFF" w:tentative="1">
      <w:start w:val="1"/>
      <w:numFmt w:val="bullet"/>
      <w:lvlText w:val="o"/>
      <w:lvlJc w:val="left"/>
      <w:pPr>
        <w:ind w:left="5420" w:hanging="360"/>
      </w:pPr>
      <w:rPr>
        <w:rFonts w:ascii="Courier New" w:hAnsi="Courier New" w:cs="Courier New" w:hint="default"/>
      </w:rPr>
    </w:lvl>
    <w:lvl w:ilvl="8" w:tplc="FFFFFFFF" w:tentative="1">
      <w:start w:val="1"/>
      <w:numFmt w:val="bullet"/>
      <w:lvlText w:val=""/>
      <w:lvlJc w:val="left"/>
      <w:pPr>
        <w:ind w:left="6140" w:hanging="360"/>
      </w:pPr>
      <w:rPr>
        <w:rFonts w:ascii="Wingdings" w:hAnsi="Wingdings" w:hint="default"/>
      </w:rPr>
    </w:lvl>
  </w:abstractNum>
  <w:abstractNum w:abstractNumId="8" w15:restartNumberingAfterBreak="0">
    <w:nsid w:val="0ACC5B7A"/>
    <w:multiLevelType w:val="multilevel"/>
    <w:tmpl w:val="163C5808"/>
    <w:styleLink w:val="CurrentList16"/>
    <w:lvl w:ilvl="0">
      <w:start w:val="1"/>
      <w:numFmt w:val="none"/>
      <w:lvlText w:val="2.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9" w15:restartNumberingAfterBreak="0">
    <w:nsid w:val="0B3409CD"/>
    <w:multiLevelType w:val="multilevel"/>
    <w:tmpl w:val="09E26D44"/>
    <w:styleLink w:val="CurrentList15"/>
    <w:lvl w:ilvl="0">
      <w:start w:val="1"/>
      <w:numFmt w:val="none"/>
      <w:lvlText w:val="1.4"/>
      <w:lvlJc w:val="left"/>
      <w:pPr>
        <w:ind w:left="432" w:hanging="432"/>
      </w:p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0" w15:restartNumberingAfterBreak="0">
    <w:nsid w:val="0BC1150E"/>
    <w:multiLevelType w:val="hybridMultilevel"/>
    <w:tmpl w:val="350EC84A"/>
    <w:lvl w:ilvl="0" w:tplc="9B988C62">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275560B"/>
    <w:multiLevelType w:val="multilevel"/>
    <w:tmpl w:val="ABF08284"/>
    <w:styleLink w:val="CurrentList9"/>
    <w:lvl w:ilvl="0">
      <w:start w:val="1"/>
      <w:numFmt w:val="none"/>
      <w:lvlText w:val="1.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right"/>
      <w:pPr>
        <w:ind w:left="1440" w:hanging="180"/>
      </w:pPr>
    </w:lvl>
    <w:lvl w:ilvl="3">
      <w:start w:val="1"/>
      <w:numFmt w:val="decimal"/>
      <w:lvlText w:val="%4."/>
      <w:lvlJc w:val="left"/>
      <w:pPr>
        <w:ind w:left="2160" w:hanging="360"/>
      </w:pPr>
    </w:lvl>
    <w:lvl w:ilvl="4">
      <w:start w:val="1"/>
      <w:numFmt w:val="lowerLetter"/>
      <w:lvlText w:val="%5."/>
      <w:lvlJc w:val="left"/>
      <w:pPr>
        <w:ind w:left="2880" w:hanging="360"/>
      </w:pPr>
    </w:lvl>
    <w:lvl w:ilvl="5">
      <w:start w:val="1"/>
      <w:numFmt w:val="lowerRoman"/>
      <w:lvlText w:val="%6."/>
      <w:lvlJc w:val="right"/>
      <w:pPr>
        <w:ind w:left="3600" w:hanging="180"/>
      </w:pPr>
    </w:lvl>
    <w:lvl w:ilvl="6">
      <w:start w:val="1"/>
      <w:numFmt w:val="decimal"/>
      <w:lvlText w:val="%7."/>
      <w:lvlJc w:val="left"/>
      <w:pPr>
        <w:ind w:left="4320" w:hanging="360"/>
      </w:pPr>
    </w:lvl>
    <w:lvl w:ilvl="7">
      <w:start w:val="1"/>
      <w:numFmt w:val="lowerLetter"/>
      <w:lvlText w:val="%8."/>
      <w:lvlJc w:val="left"/>
      <w:pPr>
        <w:ind w:left="5040" w:hanging="360"/>
      </w:pPr>
    </w:lvl>
    <w:lvl w:ilvl="8">
      <w:start w:val="1"/>
      <w:numFmt w:val="lowerRoman"/>
      <w:lvlText w:val="%9."/>
      <w:lvlJc w:val="right"/>
      <w:pPr>
        <w:ind w:left="5760" w:hanging="180"/>
      </w:pPr>
    </w:lvl>
  </w:abstractNum>
  <w:abstractNum w:abstractNumId="12" w15:restartNumberingAfterBreak="0">
    <w:nsid w:val="15C30C29"/>
    <w:multiLevelType w:val="multilevel"/>
    <w:tmpl w:val="881C0D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7C63450"/>
    <w:multiLevelType w:val="multilevel"/>
    <w:tmpl w:val="2CB692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86C0B80"/>
    <w:multiLevelType w:val="hybridMultilevel"/>
    <w:tmpl w:val="8514E364"/>
    <w:lvl w:ilvl="0" w:tplc="0F3AA88A">
      <w:start w:val="1"/>
      <w:numFmt w:val="bullet"/>
      <w:pStyle w:val="Lis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A223F65"/>
    <w:multiLevelType w:val="multilevel"/>
    <w:tmpl w:val="A97A5CB2"/>
    <w:lvl w:ilvl="0">
      <w:start w:val="1"/>
      <w:numFmt w:val="decimal"/>
      <w:pStyle w:val="Sectionheading"/>
      <w:lvlText w:val="%1."/>
      <w:lvlJc w:val="left"/>
      <w:pPr>
        <w:ind w:left="502" w:hanging="360"/>
      </w:pPr>
      <w:rPr>
        <w:rFonts w:hint="default"/>
        <w:color w:val="FFFFFF" w:themeColor="background1"/>
      </w:rPr>
    </w:lvl>
    <w:lvl w:ilvl="1">
      <w:start w:val="1"/>
      <w:numFmt w:val="decimal"/>
      <w:lvlText w:val="%1.%2."/>
      <w:lvlJc w:val="left"/>
      <w:pPr>
        <w:ind w:left="792" w:hanging="432"/>
      </w:pPr>
      <w:rPr>
        <w:rFonts w:hint="default"/>
        <w:color w:val="242852" w:themeColor="text2"/>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1CDB4077"/>
    <w:multiLevelType w:val="multilevel"/>
    <w:tmpl w:val="61544FC8"/>
    <w:styleLink w:val="CurrentList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7" w15:restartNumberingAfterBreak="0">
    <w:nsid w:val="1DE76E3E"/>
    <w:multiLevelType w:val="hybridMultilevel"/>
    <w:tmpl w:val="64F6C428"/>
    <w:lvl w:ilvl="0" w:tplc="09626BEA">
      <w:numFmt w:val="bullet"/>
      <w:pStyle w:val="Sectiondotpoints"/>
      <w:lvlText w:val="•"/>
      <w:lvlJc w:val="left"/>
      <w:pPr>
        <w:ind w:left="380" w:hanging="360"/>
      </w:pPr>
      <w:rPr>
        <w:rFonts w:ascii="Proxima Nova" w:hAnsi="Proxima Nova" w:cs="Proxima Nova" w:hint="default"/>
        <w:b w:val="0"/>
        <w:bCs w:val="0"/>
        <w:i w:val="0"/>
        <w:iCs w:val="0"/>
        <w:color w:val="FFFFFF" w:themeColor="background1"/>
        <w:spacing w:val="0"/>
        <w:w w:val="100"/>
        <w:sz w:val="24"/>
        <w:szCs w:val="24"/>
        <w:lang w:val="en-US" w:eastAsia="en-US" w:bidi="ar-SA"/>
      </w:rPr>
    </w:lvl>
    <w:lvl w:ilvl="1" w:tplc="FFFFFFFF" w:tentative="1">
      <w:start w:val="1"/>
      <w:numFmt w:val="bullet"/>
      <w:lvlText w:val="o"/>
      <w:lvlJc w:val="left"/>
      <w:pPr>
        <w:ind w:left="1100" w:hanging="360"/>
      </w:pPr>
      <w:rPr>
        <w:rFonts w:ascii="Courier New" w:hAnsi="Courier New" w:cs="Courier New" w:hint="default"/>
      </w:rPr>
    </w:lvl>
    <w:lvl w:ilvl="2" w:tplc="FFFFFFFF" w:tentative="1">
      <w:start w:val="1"/>
      <w:numFmt w:val="bullet"/>
      <w:lvlText w:val=""/>
      <w:lvlJc w:val="left"/>
      <w:pPr>
        <w:ind w:left="1820" w:hanging="360"/>
      </w:pPr>
      <w:rPr>
        <w:rFonts w:ascii="Wingdings" w:hAnsi="Wingdings" w:hint="default"/>
      </w:rPr>
    </w:lvl>
    <w:lvl w:ilvl="3" w:tplc="FFFFFFFF" w:tentative="1">
      <w:start w:val="1"/>
      <w:numFmt w:val="bullet"/>
      <w:lvlText w:val=""/>
      <w:lvlJc w:val="left"/>
      <w:pPr>
        <w:ind w:left="2540" w:hanging="360"/>
      </w:pPr>
      <w:rPr>
        <w:rFonts w:ascii="Symbol" w:hAnsi="Symbol" w:hint="default"/>
      </w:rPr>
    </w:lvl>
    <w:lvl w:ilvl="4" w:tplc="FFFFFFFF" w:tentative="1">
      <w:start w:val="1"/>
      <w:numFmt w:val="bullet"/>
      <w:lvlText w:val="o"/>
      <w:lvlJc w:val="left"/>
      <w:pPr>
        <w:ind w:left="3260" w:hanging="360"/>
      </w:pPr>
      <w:rPr>
        <w:rFonts w:ascii="Courier New" w:hAnsi="Courier New" w:cs="Courier New" w:hint="default"/>
      </w:rPr>
    </w:lvl>
    <w:lvl w:ilvl="5" w:tplc="FFFFFFFF" w:tentative="1">
      <w:start w:val="1"/>
      <w:numFmt w:val="bullet"/>
      <w:lvlText w:val=""/>
      <w:lvlJc w:val="left"/>
      <w:pPr>
        <w:ind w:left="3980" w:hanging="360"/>
      </w:pPr>
      <w:rPr>
        <w:rFonts w:ascii="Wingdings" w:hAnsi="Wingdings" w:hint="default"/>
      </w:rPr>
    </w:lvl>
    <w:lvl w:ilvl="6" w:tplc="FFFFFFFF" w:tentative="1">
      <w:start w:val="1"/>
      <w:numFmt w:val="bullet"/>
      <w:lvlText w:val=""/>
      <w:lvlJc w:val="left"/>
      <w:pPr>
        <w:ind w:left="4700" w:hanging="360"/>
      </w:pPr>
      <w:rPr>
        <w:rFonts w:ascii="Symbol" w:hAnsi="Symbol" w:hint="default"/>
      </w:rPr>
    </w:lvl>
    <w:lvl w:ilvl="7" w:tplc="FFFFFFFF" w:tentative="1">
      <w:start w:val="1"/>
      <w:numFmt w:val="bullet"/>
      <w:lvlText w:val="o"/>
      <w:lvlJc w:val="left"/>
      <w:pPr>
        <w:ind w:left="5420" w:hanging="360"/>
      </w:pPr>
      <w:rPr>
        <w:rFonts w:ascii="Courier New" w:hAnsi="Courier New" w:cs="Courier New" w:hint="default"/>
      </w:rPr>
    </w:lvl>
    <w:lvl w:ilvl="8" w:tplc="FFFFFFFF" w:tentative="1">
      <w:start w:val="1"/>
      <w:numFmt w:val="bullet"/>
      <w:lvlText w:val=""/>
      <w:lvlJc w:val="left"/>
      <w:pPr>
        <w:ind w:left="6140" w:hanging="360"/>
      </w:pPr>
      <w:rPr>
        <w:rFonts w:ascii="Wingdings" w:hAnsi="Wingdings" w:hint="default"/>
      </w:rPr>
    </w:lvl>
  </w:abstractNum>
  <w:abstractNum w:abstractNumId="18" w15:restartNumberingAfterBreak="0">
    <w:nsid w:val="23A94188"/>
    <w:multiLevelType w:val="multilevel"/>
    <w:tmpl w:val="87E26928"/>
    <w:styleLink w:val="CurrentList14"/>
    <w:lvl w:ilvl="0">
      <w:start w:val="1"/>
      <w:numFmt w:val="none"/>
      <w:lvlText w:val="2."/>
      <w:lvlJc w:val="left"/>
      <w:pPr>
        <w:ind w:left="379"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27CF64A9"/>
    <w:multiLevelType w:val="hybridMultilevel"/>
    <w:tmpl w:val="EF44B61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334052AA"/>
    <w:multiLevelType w:val="multilevel"/>
    <w:tmpl w:val="13586ED8"/>
    <w:styleLink w:val="CurrentList1"/>
    <w:lvl w:ilvl="0">
      <w:start w:val="1"/>
      <w:numFmt w:val="bullet"/>
      <w:lvlText w:val=""/>
      <w:lvlJc w:val="left"/>
      <w:pPr>
        <w:ind w:left="644" w:hanging="284"/>
      </w:pPr>
      <w:rPr>
        <w:rFonts w:ascii="Symbol" w:hAnsi="Symbol" w:hint="default"/>
        <w:color w:val="auto"/>
      </w:rPr>
    </w:lvl>
    <w:lvl w:ilvl="1">
      <w:start w:val="1"/>
      <w:numFmt w:val="bullet"/>
      <w:lvlText w:val="■"/>
      <w:lvlJc w:val="left"/>
      <w:pPr>
        <w:ind w:left="1080" w:hanging="360"/>
      </w:pPr>
      <w:rPr>
        <w:rFonts w:ascii="Arial" w:hAnsi="Arial" w:hint="default"/>
        <w:color w:val="auto"/>
      </w:rPr>
    </w:lvl>
    <w:lvl w:ilvl="2">
      <w:start w:val="1"/>
      <w:numFmt w:val="bullet"/>
      <w:lvlText w:val="▬"/>
      <w:lvlJc w:val="left"/>
      <w:pPr>
        <w:ind w:left="1440" w:hanging="360"/>
      </w:pPr>
      <w:rPr>
        <w:rFonts w:ascii="Arial" w:hAnsi="Arial" w:hint="default"/>
        <w:color w:val="auto"/>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21" w15:restartNumberingAfterBreak="0">
    <w:nsid w:val="340E3C67"/>
    <w:multiLevelType w:val="multilevel"/>
    <w:tmpl w:val="8C6EC9B6"/>
    <w:styleLink w:val="CurrentList8"/>
    <w:lvl w:ilvl="0">
      <w:start w:val="1"/>
      <w:numFmt w:val="decimal"/>
      <w:lvlText w:val="%1.2"/>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right"/>
      <w:pPr>
        <w:ind w:left="1440" w:hanging="180"/>
      </w:pPr>
    </w:lvl>
    <w:lvl w:ilvl="3">
      <w:start w:val="1"/>
      <w:numFmt w:val="decimal"/>
      <w:lvlText w:val="%4."/>
      <w:lvlJc w:val="left"/>
      <w:pPr>
        <w:ind w:left="2160" w:hanging="360"/>
      </w:pPr>
    </w:lvl>
    <w:lvl w:ilvl="4">
      <w:start w:val="1"/>
      <w:numFmt w:val="lowerLetter"/>
      <w:lvlText w:val="%5."/>
      <w:lvlJc w:val="left"/>
      <w:pPr>
        <w:ind w:left="2880" w:hanging="360"/>
      </w:pPr>
    </w:lvl>
    <w:lvl w:ilvl="5">
      <w:start w:val="1"/>
      <w:numFmt w:val="lowerRoman"/>
      <w:lvlText w:val="%6."/>
      <w:lvlJc w:val="right"/>
      <w:pPr>
        <w:ind w:left="3600" w:hanging="180"/>
      </w:pPr>
    </w:lvl>
    <w:lvl w:ilvl="6">
      <w:start w:val="1"/>
      <w:numFmt w:val="decimal"/>
      <w:lvlText w:val="%7."/>
      <w:lvlJc w:val="left"/>
      <w:pPr>
        <w:ind w:left="4320" w:hanging="360"/>
      </w:pPr>
    </w:lvl>
    <w:lvl w:ilvl="7">
      <w:start w:val="1"/>
      <w:numFmt w:val="lowerLetter"/>
      <w:lvlText w:val="%8."/>
      <w:lvlJc w:val="left"/>
      <w:pPr>
        <w:ind w:left="5040" w:hanging="360"/>
      </w:pPr>
    </w:lvl>
    <w:lvl w:ilvl="8">
      <w:start w:val="1"/>
      <w:numFmt w:val="lowerRoman"/>
      <w:lvlText w:val="%9."/>
      <w:lvlJc w:val="right"/>
      <w:pPr>
        <w:ind w:left="5760" w:hanging="180"/>
      </w:pPr>
    </w:lvl>
  </w:abstractNum>
  <w:abstractNum w:abstractNumId="22" w15:restartNumberingAfterBreak="0">
    <w:nsid w:val="34CD50FD"/>
    <w:multiLevelType w:val="hybridMultilevel"/>
    <w:tmpl w:val="2EC6E5F4"/>
    <w:lvl w:ilvl="0" w:tplc="0C090001">
      <w:start w:val="1"/>
      <w:numFmt w:val="bullet"/>
      <w:pStyle w:val="ListNumber2"/>
      <w:lvlText w:val=""/>
      <w:lvlJc w:val="left"/>
      <w:pPr>
        <w:ind w:left="644" w:hanging="360"/>
      </w:pPr>
      <w:rPr>
        <w:rFonts w:ascii="Symbol" w:hAnsi="Symbol" w:hint="default"/>
        <w:color w:val="auto"/>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3" w15:restartNumberingAfterBreak="0">
    <w:nsid w:val="360232D9"/>
    <w:multiLevelType w:val="multilevel"/>
    <w:tmpl w:val="0809001D"/>
    <w:styleLink w:val="CurrentList26"/>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3785203C"/>
    <w:multiLevelType w:val="multilevel"/>
    <w:tmpl w:val="D702DF24"/>
    <w:lvl w:ilvl="0">
      <w:start w:val="1"/>
      <w:numFmt w:val="decimal"/>
      <w:lvlText w:val="%1."/>
      <w:lvlJc w:val="left"/>
      <w:pPr>
        <w:ind w:left="360" w:hanging="360"/>
      </w:pPr>
      <w:rPr>
        <w:rFonts w:hint="default"/>
      </w:rPr>
    </w:lvl>
    <w:lvl w:ilvl="1">
      <w:start w:val="1"/>
      <w:numFmt w:val="decimal"/>
      <w:lvlText w:val="%1.%2."/>
      <w:lvlJc w:val="left"/>
      <w:pPr>
        <w:ind w:left="792" w:hanging="79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379F0480"/>
    <w:multiLevelType w:val="multilevel"/>
    <w:tmpl w:val="8A40255E"/>
    <w:styleLink w:val="CurrentList23"/>
    <w:lvl w:ilvl="0">
      <w:start w:val="1"/>
      <w:numFmt w:val="none"/>
      <w:lvlText w:val="1.4"/>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6" w15:restartNumberingAfterBreak="0">
    <w:nsid w:val="386C4BD5"/>
    <w:multiLevelType w:val="multilevel"/>
    <w:tmpl w:val="D22A513C"/>
    <w:styleLink w:val="CurrentList12"/>
    <w:lvl w:ilvl="0">
      <w:start w:val="1"/>
      <w:numFmt w:val="decimal"/>
      <w:lvlText w:val="%1."/>
      <w:lvlJc w:val="left"/>
      <w:pPr>
        <w:ind w:left="379"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3B1C5A23"/>
    <w:multiLevelType w:val="multilevel"/>
    <w:tmpl w:val="2A2433D8"/>
    <w:styleLink w:val="CurrentList10"/>
    <w:lvl w:ilvl="0">
      <w:start w:val="1"/>
      <w:numFmt w:val="none"/>
      <w:lvlText w:val="2.2"/>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8" w15:restartNumberingAfterBreak="0">
    <w:nsid w:val="4458312E"/>
    <w:multiLevelType w:val="multilevel"/>
    <w:tmpl w:val="A2B0A844"/>
    <w:styleLink w:val="CurrentList24"/>
    <w:lvl w:ilvl="0">
      <w:start w:val="1"/>
      <w:numFmt w:val="none"/>
      <w:lvlText w:val="1.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9" w15:restartNumberingAfterBreak="0">
    <w:nsid w:val="46D643B0"/>
    <w:multiLevelType w:val="hybridMultilevel"/>
    <w:tmpl w:val="D1D0CC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47C17488"/>
    <w:multiLevelType w:val="multilevel"/>
    <w:tmpl w:val="A266AD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938224A"/>
    <w:multiLevelType w:val="multilevel"/>
    <w:tmpl w:val="2216210E"/>
    <w:styleLink w:val="CurrentList7"/>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2" w15:restartNumberingAfterBreak="0">
    <w:nsid w:val="49BF6CEB"/>
    <w:multiLevelType w:val="hybridMultilevel"/>
    <w:tmpl w:val="55B46CC6"/>
    <w:lvl w:ilvl="0" w:tplc="6556FF00">
      <w:start w:val="1"/>
      <w:numFmt w:val="decimal"/>
      <w:pStyle w:val="TABLENumber"/>
      <w:suff w:val="space"/>
      <w:lvlText w:val="%1. "/>
      <w:lvlJc w:val="left"/>
      <w:pPr>
        <w:ind w:left="170" w:hanging="170"/>
      </w:pPr>
      <w:rPr>
        <w:rFonts w:ascii="Arial" w:hAnsi="Arial" w:cs="Times New Roman" w:hint="default"/>
      </w:rPr>
    </w:lvl>
    <w:lvl w:ilvl="1" w:tplc="B770D50E" w:tentative="1">
      <w:start w:val="1"/>
      <w:numFmt w:val="lowerLetter"/>
      <w:lvlText w:val="%2."/>
      <w:lvlJc w:val="left"/>
      <w:pPr>
        <w:ind w:left="1080" w:hanging="360"/>
      </w:pPr>
      <w:rPr>
        <w:rFonts w:cs="Times New Roman"/>
      </w:rPr>
    </w:lvl>
    <w:lvl w:ilvl="2" w:tplc="D1AC3FE6" w:tentative="1">
      <w:start w:val="1"/>
      <w:numFmt w:val="lowerRoman"/>
      <w:lvlText w:val="%3."/>
      <w:lvlJc w:val="right"/>
      <w:pPr>
        <w:ind w:left="1800" w:hanging="180"/>
      </w:pPr>
      <w:rPr>
        <w:rFonts w:cs="Times New Roman"/>
      </w:rPr>
    </w:lvl>
    <w:lvl w:ilvl="3" w:tplc="2E722BD4" w:tentative="1">
      <w:start w:val="1"/>
      <w:numFmt w:val="decimal"/>
      <w:lvlText w:val="%4."/>
      <w:lvlJc w:val="left"/>
      <w:pPr>
        <w:ind w:left="2520" w:hanging="360"/>
      </w:pPr>
      <w:rPr>
        <w:rFonts w:cs="Times New Roman"/>
      </w:rPr>
    </w:lvl>
    <w:lvl w:ilvl="4" w:tplc="CDB2B8BC" w:tentative="1">
      <w:start w:val="1"/>
      <w:numFmt w:val="lowerLetter"/>
      <w:lvlText w:val="%5."/>
      <w:lvlJc w:val="left"/>
      <w:pPr>
        <w:ind w:left="3240" w:hanging="360"/>
      </w:pPr>
      <w:rPr>
        <w:rFonts w:cs="Times New Roman"/>
      </w:rPr>
    </w:lvl>
    <w:lvl w:ilvl="5" w:tplc="7D8CFA76" w:tentative="1">
      <w:start w:val="1"/>
      <w:numFmt w:val="lowerRoman"/>
      <w:lvlText w:val="%6."/>
      <w:lvlJc w:val="right"/>
      <w:pPr>
        <w:ind w:left="3960" w:hanging="180"/>
      </w:pPr>
      <w:rPr>
        <w:rFonts w:cs="Times New Roman"/>
      </w:rPr>
    </w:lvl>
    <w:lvl w:ilvl="6" w:tplc="349224D0" w:tentative="1">
      <w:start w:val="1"/>
      <w:numFmt w:val="decimal"/>
      <w:lvlText w:val="%7."/>
      <w:lvlJc w:val="left"/>
      <w:pPr>
        <w:ind w:left="4680" w:hanging="360"/>
      </w:pPr>
      <w:rPr>
        <w:rFonts w:cs="Times New Roman"/>
      </w:rPr>
    </w:lvl>
    <w:lvl w:ilvl="7" w:tplc="AD2E393C" w:tentative="1">
      <w:start w:val="1"/>
      <w:numFmt w:val="lowerLetter"/>
      <w:lvlText w:val="%8."/>
      <w:lvlJc w:val="left"/>
      <w:pPr>
        <w:ind w:left="5400" w:hanging="360"/>
      </w:pPr>
      <w:rPr>
        <w:rFonts w:cs="Times New Roman"/>
      </w:rPr>
    </w:lvl>
    <w:lvl w:ilvl="8" w:tplc="22B27F60" w:tentative="1">
      <w:start w:val="1"/>
      <w:numFmt w:val="lowerRoman"/>
      <w:lvlText w:val="%9."/>
      <w:lvlJc w:val="right"/>
      <w:pPr>
        <w:ind w:left="6120" w:hanging="180"/>
      </w:pPr>
      <w:rPr>
        <w:rFonts w:cs="Times New Roman"/>
      </w:rPr>
    </w:lvl>
  </w:abstractNum>
  <w:abstractNum w:abstractNumId="33" w15:restartNumberingAfterBreak="0">
    <w:nsid w:val="4D2963AD"/>
    <w:multiLevelType w:val="multilevel"/>
    <w:tmpl w:val="D69A4D3E"/>
    <w:styleLink w:val="CurrentList4"/>
    <w:lvl w:ilvl="0">
      <w:start w:val="1"/>
      <w:numFmt w:val="none"/>
      <w:lvlText w:val="1.1"/>
      <w:lvlJc w:val="left"/>
      <w:pPr>
        <w:ind w:left="379"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4" w15:restartNumberingAfterBreak="0">
    <w:nsid w:val="519C0784"/>
    <w:multiLevelType w:val="multilevel"/>
    <w:tmpl w:val="03481D10"/>
    <w:styleLink w:val="CurrentList2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15:restartNumberingAfterBreak="0">
    <w:nsid w:val="51E0409D"/>
    <w:multiLevelType w:val="hybridMultilevel"/>
    <w:tmpl w:val="B9020172"/>
    <w:lvl w:ilvl="0" w:tplc="0C090001">
      <w:start w:val="1"/>
      <w:numFmt w:val="bullet"/>
      <w:pStyle w:val="ListNumber3"/>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 w15:restartNumberingAfterBreak="0">
    <w:nsid w:val="51E502F8"/>
    <w:multiLevelType w:val="multilevel"/>
    <w:tmpl w:val="C7ACC5EE"/>
    <w:styleLink w:val="CurrentList27"/>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 w15:restartNumberingAfterBreak="0">
    <w:nsid w:val="54BE4D79"/>
    <w:multiLevelType w:val="multilevel"/>
    <w:tmpl w:val="96CC807A"/>
    <w:styleLink w:val="CurrentList21"/>
    <w:lvl w:ilvl="0">
      <w:start w:val="1"/>
      <w:numFmt w:val="none"/>
      <w:lvlText w:val="1.4"/>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8" w15:restartNumberingAfterBreak="0">
    <w:nsid w:val="57035FF9"/>
    <w:multiLevelType w:val="multilevel"/>
    <w:tmpl w:val="5D4A79DC"/>
    <w:styleLink w:val="CurrentList6"/>
    <w:lvl w:ilvl="0">
      <w:start w:val="1"/>
      <w:numFmt w:val="decimal"/>
      <w:lvlText w:val="%1.1"/>
      <w:lvlJc w:val="left"/>
      <w:pPr>
        <w:ind w:left="360" w:hanging="360"/>
      </w:pPr>
      <w:rPr>
        <w:rFonts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9" w15:restartNumberingAfterBreak="0">
    <w:nsid w:val="574078E7"/>
    <w:multiLevelType w:val="hybridMultilevel"/>
    <w:tmpl w:val="91D4D9A2"/>
    <w:lvl w:ilvl="0" w:tplc="B874C29C">
      <w:start w:val="1"/>
      <w:numFmt w:val="bullet"/>
      <w:pStyle w:val="TABLEbulletpoint"/>
      <w:lvlText w:val=""/>
      <w:lvlJc w:val="left"/>
      <w:pPr>
        <w:ind w:left="170" w:hanging="17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0" w15:restartNumberingAfterBreak="0">
    <w:nsid w:val="5A7870DD"/>
    <w:multiLevelType w:val="multilevel"/>
    <w:tmpl w:val="397460F4"/>
    <w:styleLink w:val="CurrentList17"/>
    <w:lvl w:ilvl="0">
      <w:start w:val="1"/>
      <w:numFmt w:val="none"/>
      <w:lvlText w:val="2.2"/>
      <w:lvlJc w:val="left"/>
      <w:pPr>
        <w:ind w:left="114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1" w15:restartNumberingAfterBreak="0">
    <w:nsid w:val="5B65690F"/>
    <w:multiLevelType w:val="multilevel"/>
    <w:tmpl w:val="B690623A"/>
    <w:styleLink w:val="CurrentList19"/>
    <w:lvl w:ilvl="0">
      <w:start w:val="1"/>
      <w:numFmt w:val="none"/>
      <w:lvlText w:val="2.2"/>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2" w15:restartNumberingAfterBreak="0">
    <w:nsid w:val="63713029"/>
    <w:multiLevelType w:val="multilevel"/>
    <w:tmpl w:val="418E381C"/>
    <w:styleLink w:val="CurrentList22"/>
    <w:lvl w:ilvl="0">
      <w:start w:val="1"/>
      <w:numFmt w:val="decimal"/>
      <w:lvlText w:val="%1.1"/>
      <w:lvlJc w:val="left"/>
      <w:pPr>
        <w:ind w:left="360" w:hanging="360"/>
      </w:pPr>
      <w:rPr>
        <w:rFonts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3" w15:restartNumberingAfterBreak="0">
    <w:nsid w:val="65083A0F"/>
    <w:multiLevelType w:val="hybridMultilevel"/>
    <w:tmpl w:val="FD5A34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65A707A9"/>
    <w:multiLevelType w:val="multilevel"/>
    <w:tmpl w:val="847AC3C4"/>
    <w:styleLink w:val="CurrentList18"/>
    <w:lvl w:ilvl="0">
      <w:start w:val="1"/>
      <w:numFmt w:val="none"/>
      <w:lvlText w:val="2.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5" w15:restartNumberingAfterBreak="0">
    <w:nsid w:val="66FF1604"/>
    <w:multiLevelType w:val="multilevel"/>
    <w:tmpl w:val="449A598C"/>
    <w:styleLink w:val="CurrentList29"/>
    <w:lvl w:ilvl="0">
      <w:start w:val="1"/>
      <w:numFmt w:val="decimal"/>
      <w:lvlText w:val="%1."/>
      <w:lvlJc w:val="left"/>
      <w:pPr>
        <w:ind w:left="360" w:hanging="360"/>
      </w:pPr>
      <w:rPr>
        <w:rFonts w:hint="default"/>
      </w:rPr>
    </w:lvl>
    <w:lvl w:ilvl="1">
      <w:start w:val="1"/>
      <w:numFmt w:val="decimal"/>
      <w:lvlText w:val=".%2.%1"/>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6" w15:restartNumberingAfterBreak="0">
    <w:nsid w:val="6888711A"/>
    <w:multiLevelType w:val="hybridMultilevel"/>
    <w:tmpl w:val="723CFD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69FC3428"/>
    <w:multiLevelType w:val="hybridMultilevel"/>
    <w:tmpl w:val="313428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6B6970D1"/>
    <w:multiLevelType w:val="multilevel"/>
    <w:tmpl w:val="418E381C"/>
    <w:styleLink w:val="CurrentList25"/>
    <w:lvl w:ilvl="0">
      <w:start w:val="1"/>
      <w:numFmt w:val="decimal"/>
      <w:lvlText w:val="%1.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9" w15:restartNumberingAfterBreak="0">
    <w:nsid w:val="6CF8287E"/>
    <w:multiLevelType w:val="hybridMultilevel"/>
    <w:tmpl w:val="FE2A36DA"/>
    <w:lvl w:ilvl="0" w:tplc="0C09000F">
      <w:start w:val="1"/>
      <w:numFmt w:val="bullet"/>
      <w:pStyle w:val="Tablelistbullet"/>
      <w:lvlText w:val=""/>
      <w:lvlJc w:val="left"/>
      <w:pPr>
        <w:ind w:left="720" w:hanging="360"/>
      </w:pPr>
      <w:rPr>
        <w:rFonts w:ascii="Symbol" w:hAnsi="Symbol" w:hint="default"/>
      </w:rPr>
    </w:lvl>
    <w:lvl w:ilvl="1" w:tplc="0C090019" w:tentative="1">
      <w:start w:val="1"/>
      <w:numFmt w:val="bullet"/>
      <w:lvlText w:val="o"/>
      <w:lvlJc w:val="left"/>
      <w:pPr>
        <w:ind w:left="1440" w:hanging="360"/>
      </w:pPr>
      <w:rPr>
        <w:rFonts w:ascii="Courier New" w:hAnsi="Courier New" w:cs="Courier New" w:hint="default"/>
      </w:rPr>
    </w:lvl>
    <w:lvl w:ilvl="2" w:tplc="0C09001B" w:tentative="1">
      <w:start w:val="1"/>
      <w:numFmt w:val="bullet"/>
      <w:lvlText w:val=""/>
      <w:lvlJc w:val="left"/>
      <w:pPr>
        <w:ind w:left="2160" w:hanging="360"/>
      </w:pPr>
      <w:rPr>
        <w:rFonts w:ascii="Wingdings" w:hAnsi="Wingdings" w:hint="default"/>
      </w:rPr>
    </w:lvl>
    <w:lvl w:ilvl="3" w:tplc="0C09000F" w:tentative="1">
      <w:start w:val="1"/>
      <w:numFmt w:val="bullet"/>
      <w:lvlText w:val=""/>
      <w:lvlJc w:val="left"/>
      <w:pPr>
        <w:ind w:left="2880" w:hanging="360"/>
      </w:pPr>
      <w:rPr>
        <w:rFonts w:ascii="Symbol" w:hAnsi="Symbol" w:hint="default"/>
      </w:rPr>
    </w:lvl>
    <w:lvl w:ilvl="4" w:tplc="0C090019" w:tentative="1">
      <w:start w:val="1"/>
      <w:numFmt w:val="bullet"/>
      <w:lvlText w:val="o"/>
      <w:lvlJc w:val="left"/>
      <w:pPr>
        <w:ind w:left="3600" w:hanging="360"/>
      </w:pPr>
      <w:rPr>
        <w:rFonts w:ascii="Courier New" w:hAnsi="Courier New" w:cs="Courier New" w:hint="default"/>
      </w:rPr>
    </w:lvl>
    <w:lvl w:ilvl="5" w:tplc="0C09001B" w:tentative="1">
      <w:start w:val="1"/>
      <w:numFmt w:val="bullet"/>
      <w:lvlText w:val=""/>
      <w:lvlJc w:val="left"/>
      <w:pPr>
        <w:ind w:left="4320" w:hanging="360"/>
      </w:pPr>
      <w:rPr>
        <w:rFonts w:ascii="Wingdings" w:hAnsi="Wingdings" w:hint="default"/>
      </w:rPr>
    </w:lvl>
    <w:lvl w:ilvl="6" w:tplc="0C09000F" w:tentative="1">
      <w:start w:val="1"/>
      <w:numFmt w:val="bullet"/>
      <w:lvlText w:val=""/>
      <w:lvlJc w:val="left"/>
      <w:pPr>
        <w:ind w:left="5040" w:hanging="360"/>
      </w:pPr>
      <w:rPr>
        <w:rFonts w:ascii="Symbol" w:hAnsi="Symbol" w:hint="default"/>
      </w:rPr>
    </w:lvl>
    <w:lvl w:ilvl="7" w:tplc="0C090019" w:tentative="1">
      <w:start w:val="1"/>
      <w:numFmt w:val="bullet"/>
      <w:lvlText w:val="o"/>
      <w:lvlJc w:val="left"/>
      <w:pPr>
        <w:ind w:left="5760" w:hanging="360"/>
      </w:pPr>
      <w:rPr>
        <w:rFonts w:ascii="Courier New" w:hAnsi="Courier New" w:cs="Courier New" w:hint="default"/>
      </w:rPr>
    </w:lvl>
    <w:lvl w:ilvl="8" w:tplc="0C09001B" w:tentative="1">
      <w:start w:val="1"/>
      <w:numFmt w:val="bullet"/>
      <w:lvlText w:val=""/>
      <w:lvlJc w:val="left"/>
      <w:pPr>
        <w:ind w:left="6480" w:hanging="360"/>
      </w:pPr>
      <w:rPr>
        <w:rFonts w:ascii="Wingdings" w:hAnsi="Wingdings" w:hint="default"/>
      </w:rPr>
    </w:lvl>
  </w:abstractNum>
  <w:abstractNum w:abstractNumId="50" w15:restartNumberingAfterBreak="0">
    <w:nsid w:val="71227BF5"/>
    <w:multiLevelType w:val="hybridMultilevel"/>
    <w:tmpl w:val="052CDA5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1" w15:restartNumberingAfterBreak="0">
    <w:nsid w:val="71AA5BF5"/>
    <w:multiLevelType w:val="multilevel"/>
    <w:tmpl w:val="96CC807A"/>
    <w:styleLink w:val="CurrentList20"/>
    <w:lvl w:ilvl="0">
      <w:start w:val="1"/>
      <w:numFmt w:val="none"/>
      <w:lvlText w:val="1.4"/>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2" w15:restartNumberingAfterBreak="0">
    <w:nsid w:val="71CB49DC"/>
    <w:multiLevelType w:val="multilevel"/>
    <w:tmpl w:val="E236C786"/>
    <w:styleLink w:val="CurrentList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3" w15:restartNumberingAfterBreak="0">
    <w:nsid w:val="745C4AFF"/>
    <w:multiLevelType w:val="hybridMultilevel"/>
    <w:tmpl w:val="E65E529E"/>
    <w:lvl w:ilvl="0" w:tplc="CABC0B00">
      <w:start w:val="1"/>
      <w:numFmt w:val="bullet"/>
      <w:pStyle w:val="ListBullet2"/>
      <w:lvlText w:val=""/>
      <w:lvlJc w:val="left"/>
      <w:pPr>
        <w:ind w:left="360" w:hanging="360"/>
      </w:pPr>
      <w:rPr>
        <w:rFonts w:ascii="Symbol" w:hAnsi="Symbol" w:hint="default"/>
        <w:sz w:val="24"/>
        <w:szCs w:val="24"/>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4" w15:restartNumberingAfterBreak="0">
    <w:nsid w:val="76BA071D"/>
    <w:multiLevelType w:val="multilevel"/>
    <w:tmpl w:val="FEFC8FC6"/>
    <w:styleLink w:val="CurrentList11"/>
    <w:lvl w:ilvl="0">
      <w:start w:val="1"/>
      <w:numFmt w:val="decimal"/>
      <w:lvlText w:val="1.%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5" w15:restartNumberingAfterBreak="0">
    <w:nsid w:val="7AB37512"/>
    <w:multiLevelType w:val="multilevel"/>
    <w:tmpl w:val="E84E9C38"/>
    <w:styleLink w:val="CurrentList3"/>
    <w:lvl w:ilvl="0">
      <w:start w:val="1"/>
      <w:numFmt w:val="none"/>
      <w:lvlText w:val="1.1"/>
      <w:lvlJc w:val="left"/>
      <w:pPr>
        <w:ind w:left="379"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6" w15:restartNumberingAfterBreak="0">
    <w:nsid w:val="7E391716"/>
    <w:multiLevelType w:val="hybridMultilevel"/>
    <w:tmpl w:val="DDBC3032"/>
    <w:lvl w:ilvl="0" w:tplc="0C09000F">
      <w:start w:val="1"/>
      <w:numFmt w:val="bullet"/>
      <w:lvlText w:val="o"/>
      <w:lvlJc w:val="left"/>
      <w:pPr>
        <w:ind w:left="1004" w:hanging="360"/>
      </w:pPr>
      <w:rPr>
        <w:rFonts w:ascii="Courier New" w:hAnsi="Courier New" w:cs="Courier New" w:hint="default"/>
      </w:rPr>
    </w:lvl>
    <w:lvl w:ilvl="1" w:tplc="0C090019" w:tentative="1">
      <w:start w:val="1"/>
      <w:numFmt w:val="bullet"/>
      <w:lvlText w:val="o"/>
      <w:lvlJc w:val="left"/>
      <w:pPr>
        <w:ind w:left="1724" w:hanging="360"/>
      </w:pPr>
      <w:rPr>
        <w:rFonts w:ascii="Courier New" w:hAnsi="Courier New" w:cs="Courier New" w:hint="default"/>
      </w:rPr>
    </w:lvl>
    <w:lvl w:ilvl="2" w:tplc="0C09001B" w:tentative="1">
      <w:start w:val="1"/>
      <w:numFmt w:val="bullet"/>
      <w:lvlText w:val=""/>
      <w:lvlJc w:val="left"/>
      <w:pPr>
        <w:ind w:left="2444" w:hanging="360"/>
      </w:pPr>
      <w:rPr>
        <w:rFonts w:ascii="Wingdings" w:hAnsi="Wingdings" w:hint="default"/>
      </w:rPr>
    </w:lvl>
    <w:lvl w:ilvl="3" w:tplc="0C09000F" w:tentative="1">
      <w:start w:val="1"/>
      <w:numFmt w:val="bullet"/>
      <w:lvlText w:val=""/>
      <w:lvlJc w:val="left"/>
      <w:pPr>
        <w:ind w:left="3164" w:hanging="360"/>
      </w:pPr>
      <w:rPr>
        <w:rFonts w:ascii="Symbol" w:hAnsi="Symbol" w:hint="default"/>
      </w:rPr>
    </w:lvl>
    <w:lvl w:ilvl="4" w:tplc="0C090019" w:tentative="1">
      <w:start w:val="1"/>
      <w:numFmt w:val="bullet"/>
      <w:lvlText w:val="o"/>
      <w:lvlJc w:val="left"/>
      <w:pPr>
        <w:ind w:left="3884" w:hanging="360"/>
      </w:pPr>
      <w:rPr>
        <w:rFonts w:ascii="Courier New" w:hAnsi="Courier New" w:cs="Courier New" w:hint="default"/>
      </w:rPr>
    </w:lvl>
    <w:lvl w:ilvl="5" w:tplc="0C09001B" w:tentative="1">
      <w:start w:val="1"/>
      <w:numFmt w:val="bullet"/>
      <w:lvlText w:val=""/>
      <w:lvlJc w:val="left"/>
      <w:pPr>
        <w:ind w:left="4604" w:hanging="360"/>
      </w:pPr>
      <w:rPr>
        <w:rFonts w:ascii="Wingdings" w:hAnsi="Wingdings" w:hint="default"/>
      </w:rPr>
    </w:lvl>
    <w:lvl w:ilvl="6" w:tplc="0C09000F" w:tentative="1">
      <w:start w:val="1"/>
      <w:numFmt w:val="bullet"/>
      <w:lvlText w:val=""/>
      <w:lvlJc w:val="left"/>
      <w:pPr>
        <w:ind w:left="5324" w:hanging="360"/>
      </w:pPr>
      <w:rPr>
        <w:rFonts w:ascii="Symbol" w:hAnsi="Symbol" w:hint="default"/>
      </w:rPr>
    </w:lvl>
    <w:lvl w:ilvl="7" w:tplc="0C090019" w:tentative="1">
      <w:start w:val="1"/>
      <w:numFmt w:val="bullet"/>
      <w:lvlText w:val="o"/>
      <w:lvlJc w:val="left"/>
      <w:pPr>
        <w:ind w:left="6044" w:hanging="360"/>
      </w:pPr>
      <w:rPr>
        <w:rFonts w:ascii="Courier New" w:hAnsi="Courier New" w:cs="Courier New" w:hint="default"/>
      </w:rPr>
    </w:lvl>
    <w:lvl w:ilvl="8" w:tplc="0C09001B" w:tentative="1">
      <w:start w:val="1"/>
      <w:numFmt w:val="bullet"/>
      <w:lvlText w:val=""/>
      <w:lvlJc w:val="left"/>
      <w:pPr>
        <w:ind w:left="6764" w:hanging="360"/>
      </w:pPr>
      <w:rPr>
        <w:rFonts w:ascii="Wingdings" w:hAnsi="Wingdings" w:hint="default"/>
      </w:rPr>
    </w:lvl>
  </w:abstractNum>
  <w:num w:numId="1" w16cid:durableId="1611164570">
    <w:abstractNumId w:val="22"/>
  </w:num>
  <w:num w:numId="2" w16cid:durableId="475297083">
    <w:abstractNumId w:val="56"/>
  </w:num>
  <w:num w:numId="3" w16cid:durableId="418253474">
    <w:abstractNumId w:val="35"/>
  </w:num>
  <w:num w:numId="4" w16cid:durableId="1668710131">
    <w:abstractNumId w:val="49"/>
  </w:num>
  <w:num w:numId="5" w16cid:durableId="293174787">
    <w:abstractNumId w:val="2"/>
  </w:num>
  <w:num w:numId="6" w16cid:durableId="204756284">
    <w:abstractNumId w:val="32"/>
  </w:num>
  <w:num w:numId="7" w16cid:durableId="455102367">
    <w:abstractNumId w:val="39"/>
  </w:num>
  <w:num w:numId="8" w16cid:durableId="477772839">
    <w:abstractNumId w:val="6"/>
  </w:num>
  <w:num w:numId="9" w16cid:durableId="896621758">
    <w:abstractNumId w:val="20"/>
  </w:num>
  <w:num w:numId="10" w16cid:durableId="707025974">
    <w:abstractNumId w:val="50"/>
  </w:num>
  <w:num w:numId="11" w16cid:durableId="295765326">
    <w:abstractNumId w:val="17"/>
  </w:num>
  <w:num w:numId="12" w16cid:durableId="362441244">
    <w:abstractNumId w:val="7"/>
  </w:num>
  <w:num w:numId="13" w16cid:durableId="1608611832">
    <w:abstractNumId w:val="16"/>
  </w:num>
  <w:num w:numId="14" w16cid:durableId="126168881">
    <w:abstractNumId w:val="55"/>
  </w:num>
  <w:num w:numId="15" w16cid:durableId="593243325">
    <w:abstractNumId w:val="33"/>
  </w:num>
  <w:num w:numId="16" w16cid:durableId="1368332145">
    <w:abstractNumId w:val="52"/>
  </w:num>
  <w:num w:numId="17" w16cid:durableId="571694132">
    <w:abstractNumId w:val="38"/>
  </w:num>
  <w:num w:numId="18" w16cid:durableId="770979373">
    <w:abstractNumId w:val="31"/>
  </w:num>
  <w:num w:numId="19" w16cid:durableId="2048337695">
    <w:abstractNumId w:val="21"/>
  </w:num>
  <w:num w:numId="20" w16cid:durableId="642581138">
    <w:abstractNumId w:val="11"/>
  </w:num>
  <w:num w:numId="21" w16cid:durableId="681324432">
    <w:abstractNumId w:val="27"/>
  </w:num>
  <w:num w:numId="22" w16cid:durableId="265500640">
    <w:abstractNumId w:val="54"/>
  </w:num>
  <w:num w:numId="23" w16cid:durableId="1900507246">
    <w:abstractNumId w:val="26"/>
  </w:num>
  <w:num w:numId="24" w16cid:durableId="2082556214">
    <w:abstractNumId w:val="5"/>
  </w:num>
  <w:num w:numId="25" w16cid:durableId="955454359">
    <w:abstractNumId w:val="18"/>
  </w:num>
  <w:num w:numId="26" w16cid:durableId="1023625607">
    <w:abstractNumId w:val="9"/>
  </w:num>
  <w:num w:numId="27" w16cid:durableId="353767722">
    <w:abstractNumId w:val="8"/>
  </w:num>
  <w:num w:numId="28" w16cid:durableId="269552453">
    <w:abstractNumId w:val="40"/>
  </w:num>
  <w:num w:numId="29" w16cid:durableId="403920129">
    <w:abstractNumId w:val="44"/>
  </w:num>
  <w:num w:numId="30" w16cid:durableId="967129651">
    <w:abstractNumId w:val="41"/>
  </w:num>
  <w:num w:numId="31" w16cid:durableId="197395408">
    <w:abstractNumId w:val="51"/>
  </w:num>
  <w:num w:numId="32" w16cid:durableId="1402824644">
    <w:abstractNumId w:val="37"/>
  </w:num>
  <w:num w:numId="33" w16cid:durableId="1344282841">
    <w:abstractNumId w:val="42"/>
  </w:num>
  <w:num w:numId="34" w16cid:durableId="1096288093">
    <w:abstractNumId w:val="25"/>
  </w:num>
  <w:num w:numId="35" w16cid:durableId="1726640363">
    <w:abstractNumId w:val="28"/>
  </w:num>
  <w:num w:numId="36" w16cid:durableId="1678578383">
    <w:abstractNumId w:val="48"/>
  </w:num>
  <w:num w:numId="37" w16cid:durableId="239021956">
    <w:abstractNumId w:val="15"/>
  </w:num>
  <w:num w:numId="38" w16cid:durableId="1470783982">
    <w:abstractNumId w:val="23"/>
  </w:num>
  <w:num w:numId="39" w16cid:durableId="279264879">
    <w:abstractNumId w:val="36"/>
  </w:num>
  <w:num w:numId="40" w16cid:durableId="85003643">
    <w:abstractNumId w:val="34"/>
  </w:num>
  <w:num w:numId="41" w16cid:durableId="1731686195">
    <w:abstractNumId w:val="24"/>
  </w:num>
  <w:num w:numId="42" w16cid:durableId="1583417463">
    <w:abstractNumId w:val="45"/>
  </w:num>
  <w:num w:numId="43" w16cid:durableId="696126015">
    <w:abstractNumId w:val="3"/>
  </w:num>
  <w:num w:numId="44" w16cid:durableId="910389628">
    <w:abstractNumId w:val="46"/>
  </w:num>
  <w:num w:numId="45" w16cid:durableId="55975406">
    <w:abstractNumId w:val="53"/>
  </w:num>
  <w:num w:numId="46" w16cid:durableId="523322270">
    <w:abstractNumId w:val="1"/>
  </w:num>
  <w:num w:numId="47" w16cid:durableId="391469933">
    <w:abstractNumId w:val="19"/>
  </w:num>
  <w:num w:numId="48" w16cid:durableId="1452359398">
    <w:abstractNumId w:val="13"/>
  </w:num>
  <w:num w:numId="49" w16cid:durableId="1333295694">
    <w:abstractNumId w:val="43"/>
  </w:num>
  <w:num w:numId="50" w16cid:durableId="2018924108">
    <w:abstractNumId w:val="47"/>
  </w:num>
  <w:num w:numId="51" w16cid:durableId="262884470">
    <w:abstractNumId w:val="12"/>
  </w:num>
  <w:num w:numId="52" w16cid:durableId="85736740">
    <w:abstractNumId w:val="10"/>
  </w:num>
  <w:num w:numId="53" w16cid:durableId="1750231267">
    <w:abstractNumId w:val="30"/>
  </w:num>
  <w:num w:numId="54" w16cid:durableId="1073311122">
    <w:abstractNumId w:val="29"/>
  </w:num>
  <w:num w:numId="55" w16cid:durableId="1799179846">
    <w:abstractNumId w:val="4"/>
  </w:num>
  <w:num w:numId="56" w16cid:durableId="1722093772">
    <w:abstractNumId w:val="14"/>
  </w:num>
  <w:num w:numId="57" w16cid:durableId="273949147">
    <w:abstractNumId w:val="0"/>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ocumentProtection w:formatting="1" w:enforcement="0"/>
  <w:defaultTabStop w:val="851"/>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71B7"/>
    <w:rsid w:val="00000343"/>
    <w:rsid w:val="00001D8D"/>
    <w:rsid w:val="00001F41"/>
    <w:rsid w:val="00002381"/>
    <w:rsid w:val="00002D80"/>
    <w:rsid w:val="00003743"/>
    <w:rsid w:val="00004659"/>
    <w:rsid w:val="000047B4"/>
    <w:rsid w:val="00005712"/>
    <w:rsid w:val="00005927"/>
    <w:rsid w:val="00006676"/>
    <w:rsid w:val="00007FD8"/>
    <w:rsid w:val="00010758"/>
    <w:rsid w:val="000117F8"/>
    <w:rsid w:val="000156FA"/>
    <w:rsid w:val="00017A39"/>
    <w:rsid w:val="000225F1"/>
    <w:rsid w:val="00025691"/>
    <w:rsid w:val="00026139"/>
    <w:rsid w:val="00027071"/>
    <w:rsid w:val="00027601"/>
    <w:rsid w:val="0003285E"/>
    <w:rsid w:val="00033321"/>
    <w:rsid w:val="000338E5"/>
    <w:rsid w:val="00033ECC"/>
    <w:rsid w:val="0003422F"/>
    <w:rsid w:val="0003533A"/>
    <w:rsid w:val="00040B94"/>
    <w:rsid w:val="00040C94"/>
    <w:rsid w:val="00042519"/>
    <w:rsid w:val="00043809"/>
    <w:rsid w:val="00046EE5"/>
    <w:rsid w:val="00046FF0"/>
    <w:rsid w:val="00050176"/>
    <w:rsid w:val="00050D0F"/>
    <w:rsid w:val="00052885"/>
    <w:rsid w:val="00053048"/>
    <w:rsid w:val="000537E9"/>
    <w:rsid w:val="00060426"/>
    <w:rsid w:val="00062B65"/>
    <w:rsid w:val="0006333D"/>
    <w:rsid w:val="000636D4"/>
    <w:rsid w:val="00063C82"/>
    <w:rsid w:val="00067078"/>
    <w:rsid w:val="00067456"/>
    <w:rsid w:val="00071506"/>
    <w:rsid w:val="0007154F"/>
    <w:rsid w:val="00080411"/>
    <w:rsid w:val="00081AB1"/>
    <w:rsid w:val="000837A1"/>
    <w:rsid w:val="00083909"/>
    <w:rsid w:val="00084552"/>
    <w:rsid w:val="00084A4A"/>
    <w:rsid w:val="000873AD"/>
    <w:rsid w:val="00090316"/>
    <w:rsid w:val="0009245B"/>
    <w:rsid w:val="00092CA3"/>
    <w:rsid w:val="00093981"/>
    <w:rsid w:val="00093CD9"/>
    <w:rsid w:val="00094035"/>
    <w:rsid w:val="000943FF"/>
    <w:rsid w:val="00094464"/>
    <w:rsid w:val="000A25E6"/>
    <w:rsid w:val="000A4C3C"/>
    <w:rsid w:val="000A65AA"/>
    <w:rsid w:val="000B0275"/>
    <w:rsid w:val="000B067A"/>
    <w:rsid w:val="000B13C9"/>
    <w:rsid w:val="000B1540"/>
    <w:rsid w:val="000B33FD"/>
    <w:rsid w:val="000B35E0"/>
    <w:rsid w:val="000B4ABA"/>
    <w:rsid w:val="000B5DFE"/>
    <w:rsid w:val="000C2A11"/>
    <w:rsid w:val="000C2D1E"/>
    <w:rsid w:val="000C4AC5"/>
    <w:rsid w:val="000C4B16"/>
    <w:rsid w:val="000C50C3"/>
    <w:rsid w:val="000C5227"/>
    <w:rsid w:val="000C741B"/>
    <w:rsid w:val="000C7488"/>
    <w:rsid w:val="000D0A51"/>
    <w:rsid w:val="000D21F6"/>
    <w:rsid w:val="000D42C3"/>
    <w:rsid w:val="000D4500"/>
    <w:rsid w:val="000D7AEA"/>
    <w:rsid w:val="000E01A9"/>
    <w:rsid w:val="000E2C66"/>
    <w:rsid w:val="000E5ABA"/>
    <w:rsid w:val="000E6E7D"/>
    <w:rsid w:val="000F0173"/>
    <w:rsid w:val="000F0CA9"/>
    <w:rsid w:val="000F123C"/>
    <w:rsid w:val="000F2165"/>
    <w:rsid w:val="000F2FED"/>
    <w:rsid w:val="000F5B7D"/>
    <w:rsid w:val="00101599"/>
    <w:rsid w:val="00101C8D"/>
    <w:rsid w:val="0010616D"/>
    <w:rsid w:val="00106C19"/>
    <w:rsid w:val="001071B7"/>
    <w:rsid w:val="00110478"/>
    <w:rsid w:val="00111A75"/>
    <w:rsid w:val="00112537"/>
    <w:rsid w:val="00112FF0"/>
    <w:rsid w:val="00114A38"/>
    <w:rsid w:val="0011711B"/>
    <w:rsid w:val="00117F8A"/>
    <w:rsid w:val="00120448"/>
    <w:rsid w:val="00121B9B"/>
    <w:rsid w:val="00122ADC"/>
    <w:rsid w:val="00127AAC"/>
    <w:rsid w:val="00130541"/>
    <w:rsid w:val="00130597"/>
    <w:rsid w:val="00130F59"/>
    <w:rsid w:val="0013275D"/>
    <w:rsid w:val="00133EC0"/>
    <w:rsid w:val="0013421C"/>
    <w:rsid w:val="00135FF1"/>
    <w:rsid w:val="00141935"/>
    <w:rsid w:val="00141CE5"/>
    <w:rsid w:val="00141FEA"/>
    <w:rsid w:val="00142C50"/>
    <w:rsid w:val="00144908"/>
    <w:rsid w:val="00145958"/>
    <w:rsid w:val="0014642A"/>
    <w:rsid w:val="0014655B"/>
    <w:rsid w:val="0015153F"/>
    <w:rsid w:val="001520B9"/>
    <w:rsid w:val="00152B17"/>
    <w:rsid w:val="00153203"/>
    <w:rsid w:val="001542E2"/>
    <w:rsid w:val="0015674B"/>
    <w:rsid w:val="001571C7"/>
    <w:rsid w:val="00157304"/>
    <w:rsid w:val="00157902"/>
    <w:rsid w:val="00157BDB"/>
    <w:rsid w:val="00160063"/>
    <w:rsid w:val="00161094"/>
    <w:rsid w:val="00162000"/>
    <w:rsid w:val="00162E7C"/>
    <w:rsid w:val="00163FA4"/>
    <w:rsid w:val="001720BC"/>
    <w:rsid w:val="00172A55"/>
    <w:rsid w:val="001758CD"/>
    <w:rsid w:val="0017665C"/>
    <w:rsid w:val="00177AD2"/>
    <w:rsid w:val="00180A27"/>
    <w:rsid w:val="00180A6E"/>
    <w:rsid w:val="00180BB7"/>
    <w:rsid w:val="00180DCE"/>
    <w:rsid w:val="001815A8"/>
    <w:rsid w:val="00182D14"/>
    <w:rsid w:val="001840FA"/>
    <w:rsid w:val="001845E6"/>
    <w:rsid w:val="00184CFE"/>
    <w:rsid w:val="001867AE"/>
    <w:rsid w:val="00190079"/>
    <w:rsid w:val="00190920"/>
    <w:rsid w:val="00190AC2"/>
    <w:rsid w:val="001919E7"/>
    <w:rsid w:val="00191C31"/>
    <w:rsid w:val="00194522"/>
    <w:rsid w:val="001956F0"/>
    <w:rsid w:val="0019622E"/>
    <w:rsid w:val="001966A7"/>
    <w:rsid w:val="001968FC"/>
    <w:rsid w:val="00197CAA"/>
    <w:rsid w:val="00197F71"/>
    <w:rsid w:val="001A04AC"/>
    <w:rsid w:val="001A1B29"/>
    <w:rsid w:val="001A3ACD"/>
    <w:rsid w:val="001A4627"/>
    <w:rsid w:val="001A4979"/>
    <w:rsid w:val="001B15D3"/>
    <w:rsid w:val="001B3443"/>
    <w:rsid w:val="001B725F"/>
    <w:rsid w:val="001C0326"/>
    <w:rsid w:val="001C0833"/>
    <w:rsid w:val="001C1928"/>
    <w:rsid w:val="001C192F"/>
    <w:rsid w:val="001C32AF"/>
    <w:rsid w:val="001C3C42"/>
    <w:rsid w:val="001C5A64"/>
    <w:rsid w:val="001C677B"/>
    <w:rsid w:val="001D0BD8"/>
    <w:rsid w:val="001D339F"/>
    <w:rsid w:val="001D7869"/>
    <w:rsid w:val="001E0803"/>
    <w:rsid w:val="001E0DC0"/>
    <w:rsid w:val="001E1953"/>
    <w:rsid w:val="001E309A"/>
    <w:rsid w:val="001E38AF"/>
    <w:rsid w:val="001E7719"/>
    <w:rsid w:val="001E7A5C"/>
    <w:rsid w:val="001F1227"/>
    <w:rsid w:val="001F2F78"/>
    <w:rsid w:val="001F3D69"/>
    <w:rsid w:val="001F46BD"/>
    <w:rsid w:val="001F5090"/>
    <w:rsid w:val="001F61AA"/>
    <w:rsid w:val="002026CD"/>
    <w:rsid w:val="002033FC"/>
    <w:rsid w:val="00203CFD"/>
    <w:rsid w:val="002044BB"/>
    <w:rsid w:val="00210B09"/>
    <w:rsid w:val="00210C9E"/>
    <w:rsid w:val="00211840"/>
    <w:rsid w:val="0021235D"/>
    <w:rsid w:val="002127EE"/>
    <w:rsid w:val="002133F5"/>
    <w:rsid w:val="00213D02"/>
    <w:rsid w:val="00216BCB"/>
    <w:rsid w:val="00216E7F"/>
    <w:rsid w:val="00220E28"/>
    <w:rsid w:val="00220E5F"/>
    <w:rsid w:val="002212B5"/>
    <w:rsid w:val="002214CD"/>
    <w:rsid w:val="0022152D"/>
    <w:rsid w:val="0022452A"/>
    <w:rsid w:val="00225F45"/>
    <w:rsid w:val="0022614B"/>
    <w:rsid w:val="00226668"/>
    <w:rsid w:val="002308F4"/>
    <w:rsid w:val="002316C2"/>
    <w:rsid w:val="00233809"/>
    <w:rsid w:val="0023392D"/>
    <w:rsid w:val="002347AA"/>
    <w:rsid w:val="00240046"/>
    <w:rsid w:val="00240D71"/>
    <w:rsid w:val="00241547"/>
    <w:rsid w:val="00243AF2"/>
    <w:rsid w:val="00243C7A"/>
    <w:rsid w:val="0024583C"/>
    <w:rsid w:val="0024797F"/>
    <w:rsid w:val="002510C0"/>
    <w:rsid w:val="0025119E"/>
    <w:rsid w:val="00251269"/>
    <w:rsid w:val="00251330"/>
    <w:rsid w:val="002535C0"/>
    <w:rsid w:val="00255073"/>
    <w:rsid w:val="002553D6"/>
    <w:rsid w:val="002574DB"/>
    <w:rsid w:val="00257976"/>
    <w:rsid w:val="002579FE"/>
    <w:rsid w:val="00260A89"/>
    <w:rsid w:val="00261420"/>
    <w:rsid w:val="0026311C"/>
    <w:rsid w:val="002654B7"/>
    <w:rsid w:val="00265DB2"/>
    <w:rsid w:val="0026668C"/>
    <w:rsid w:val="00266AC1"/>
    <w:rsid w:val="002706FF"/>
    <w:rsid w:val="0027178C"/>
    <w:rsid w:val="002719FA"/>
    <w:rsid w:val="00272668"/>
    <w:rsid w:val="00272E4D"/>
    <w:rsid w:val="0027330B"/>
    <w:rsid w:val="002803AD"/>
    <w:rsid w:val="00280472"/>
    <w:rsid w:val="00282052"/>
    <w:rsid w:val="00284419"/>
    <w:rsid w:val="0028519E"/>
    <w:rsid w:val="002856A5"/>
    <w:rsid w:val="002872ED"/>
    <w:rsid w:val="002905C2"/>
    <w:rsid w:val="00294716"/>
    <w:rsid w:val="00295373"/>
    <w:rsid w:val="00295AF2"/>
    <w:rsid w:val="00295C91"/>
    <w:rsid w:val="00297151"/>
    <w:rsid w:val="0029727B"/>
    <w:rsid w:val="002A0165"/>
    <w:rsid w:val="002A0456"/>
    <w:rsid w:val="002A0910"/>
    <w:rsid w:val="002A167A"/>
    <w:rsid w:val="002A3C68"/>
    <w:rsid w:val="002A5319"/>
    <w:rsid w:val="002B20E6"/>
    <w:rsid w:val="002B42A3"/>
    <w:rsid w:val="002B4A74"/>
    <w:rsid w:val="002B4BA7"/>
    <w:rsid w:val="002C0CDD"/>
    <w:rsid w:val="002C7E43"/>
    <w:rsid w:val="002D57B8"/>
    <w:rsid w:val="002D6DD5"/>
    <w:rsid w:val="002D77C2"/>
    <w:rsid w:val="002E1A1D"/>
    <w:rsid w:val="002E2A99"/>
    <w:rsid w:val="002E4081"/>
    <w:rsid w:val="002E5B78"/>
    <w:rsid w:val="002E79F4"/>
    <w:rsid w:val="002F3AE3"/>
    <w:rsid w:val="002F55F1"/>
    <w:rsid w:val="00302533"/>
    <w:rsid w:val="00303BE8"/>
    <w:rsid w:val="0030464B"/>
    <w:rsid w:val="0030502A"/>
    <w:rsid w:val="0030521E"/>
    <w:rsid w:val="0030585C"/>
    <w:rsid w:val="0030786C"/>
    <w:rsid w:val="00310250"/>
    <w:rsid w:val="00310453"/>
    <w:rsid w:val="00312749"/>
    <w:rsid w:val="003153B8"/>
    <w:rsid w:val="00321B54"/>
    <w:rsid w:val="003233A1"/>
    <w:rsid w:val="003233DE"/>
    <w:rsid w:val="0032466B"/>
    <w:rsid w:val="00327B44"/>
    <w:rsid w:val="00327C0F"/>
    <w:rsid w:val="003330EB"/>
    <w:rsid w:val="003339CE"/>
    <w:rsid w:val="00336605"/>
    <w:rsid w:val="0033660B"/>
    <w:rsid w:val="003415FD"/>
    <w:rsid w:val="003429F0"/>
    <w:rsid w:val="00347A4A"/>
    <w:rsid w:val="00350139"/>
    <w:rsid w:val="0035097A"/>
    <w:rsid w:val="00350EAF"/>
    <w:rsid w:val="00351F8A"/>
    <w:rsid w:val="003540A4"/>
    <w:rsid w:val="00357802"/>
    <w:rsid w:val="00360E3D"/>
    <w:rsid w:val="00360E4E"/>
    <w:rsid w:val="00361486"/>
    <w:rsid w:val="00364C06"/>
    <w:rsid w:val="0036729B"/>
    <w:rsid w:val="00370AAA"/>
    <w:rsid w:val="00370E9C"/>
    <w:rsid w:val="0037548D"/>
    <w:rsid w:val="00375F77"/>
    <w:rsid w:val="0037642C"/>
    <w:rsid w:val="00377A78"/>
    <w:rsid w:val="00381BBE"/>
    <w:rsid w:val="00382513"/>
    <w:rsid w:val="00382903"/>
    <w:rsid w:val="003846FF"/>
    <w:rsid w:val="00384F25"/>
    <w:rsid w:val="00385AD4"/>
    <w:rsid w:val="00386805"/>
    <w:rsid w:val="00387924"/>
    <w:rsid w:val="003930C1"/>
    <w:rsid w:val="0039384D"/>
    <w:rsid w:val="00393DA8"/>
    <w:rsid w:val="00395C23"/>
    <w:rsid w:val="003A0BEA"/>
    <w:rsid w:val="003A29BA"/>
    <w:rsid w:val="003A2E4F"/>
    <w:rsid w:val="003A4438"/>
    <w:rsid w:val="003A5013"/>
    <w:rsid w:val="003A5078"/>
    <w:rsid w:val="003A62DD"/>
    <w:rsid w:val="003A775A"/>
    <w:rsid w:val="003B0DAB"/>
    <w:rsid w:val="003B1273"/>
    <w:rsid w:val="003B213A"/>
    <w:rsid w:val="003B4135"/>
    <w:rsid w:val="003B43AD"/>
    <w:rsid w:val="003B5745"/>
    <w:rsid w:val="003B5C67"/>
    <w:rsid w:val="003C005D"/>
    <w:rsid w:val="003C0FEC"/>
    <w:rsid w:val="003C15B8"/>
    <w:rsid w:val="003C1EC3"/>
    <w:rsid w:val="003C1FA6"/>
    <w:rsid w:val="003C22F9"/>
    <w:rsid w:val="003C2AC8"/>
    <w:rsid w:val="003C4064"/>
    <w:rsid w:val="003C46A6"/>
    <w:rsid w:val="003D04F9"/>
    <w:rsid w:val="003D17F9"/>
    <w:rsid w:val="003D2D88"/>
    <w:rsid w:val="003D41EA"/>
    <w:rsid w:val="003D4850"/>
    <w:rsid w:val="003D535A"/>
    <w:rsid w:val="003D64FE"/>
    <w:rsid w:val="003E29A7"/>
    <w:rsid w:val="003E4EE7"/>
    <w:rsid w:val="003E5265"/>
    <w:rsid w:val="003F0955"/>
    <w:rsid w:val="003F264F"/>
    <w:rsid w:val="003F327B"/>
    <w:rsid w:val="003F3E10"/>
    <w:rsid w:val="003F5445"/>
    <w:rsid w:val="003F6C23"/>
    <w:rsid w:val="003F6FE1"/>
    <w:rsid w:val="003F7800"/>
    <w:rsid w:val="00400F00"/>
    <w:rsid w:val="00401E68"/>
    <w:rsid w:val="00402640"/>
    <w:rsid w:val="00403D82"/>
    <w:rsid w:val="00404F8B"/>
    <w:rsid w:val="00405256"/>
    <w:rsid w:val="00410031"/>
    <w:rsid w:val="00411091"/>
    <w:rsid w:val="004115A2"/>
    <w:rsid w:val="004123B1"/>
    <w:rsid w:val="00413A49"/>
    <w:rsid w:val="00415C81"/>
    <w:rsid w:val="00416731"/>
    <w:rsid w:val="004179E3"/>
    <w:rsid w:val="00421B7C"/>
    <w:rsid w:val="00425232"/>
    <w:rsid w:val="00426586"/>
    <w:rsid w:val="00432378"/>
    <w:rsid w:val="0043548C"/>
    <w:rsid w:val="00440D65"/>
    <w:rsid w:val="00442114"/>
    <w:rsid w:val="004435E6"/>
    <w:rsid w:val="00443841"/>
    <w:rsid w:val="00444266"/>
    <w:rsid w:val="00444F16"/>
    <w:rsid w:val="00446B74"/>
    <w:rsid w:val="00447E31"/>
    <w:rsid w:val="00447EF5"/>
    <w:rsid w:val="00447FAC"/>
    <w:rsid w:val="00450B89"/>
    <w:rsid w:val="00452089"/>
    <w:rsid w:val="0045247B"/>
    <w:rsid w:val="00452F83"/>
    <w:rsid w:val="00453923"/>
    <w:rsid w:val="00453FF0"/>
    <w:rsid w:val="00454B9B"/>
    <w:rsid w:val="00455881"/>
    <w:rsid w:val="00457858"/>
    <w:rsid w:val="00457D2F"/>
    <w:rsid w:val="0046024D"/>
    <w:rsid w:val="004603ED"/>
    <w:rsid w:val="00460B0B"/>
    <w:rsid w:val="00461023"/>
    <w:rsid w:val="00461D75"/>
    <w:rsid w:val="00462FAC"/>
    <w:rsid w:val="004638F3"/>
    <w:rsid w:val="00464631"/>
    <w:rsid w:val="00464B79"/>
    <w:rsid w:val="0046517C"/>
    <w:rsid w:val="0046585C"/>
    <w:rsid w:val="00467712"/>
    <w:rsid w:val="00467BBF"/>
    <w:rsid w:val="004762F7"/>
    <w:rsid w:val="0047742D"/>
    <w:rsid w:val="00481814"/>
    <w:rsid w:val="00485592"/>
    <w:rsid w:val="004856F8"/>
    <w:rsid w:val="00486276"/>
    <w:rsid w:val="004867E2"/>
    <w:rsid w:val="004911CF"/>
    <w:rsid w:val="004929A9"/>
    <w:rsid w:val="00494017"/>
    <w:rsid w:val="00495834"/>
    <w:rsid w:val="0049647C"/>
    <w:rsid w:val="004964BA"/>
    <w:rsid w:val="00496AF6"/>
    <w:rsid w:val="00496E87"/>
    <w:rsid w:val="004A0354"/>
    <w:rsid w:val="004A1E4C"/>
    <w:rsid w:val="004A6951"/>
    <w:rsid w:val="004A6AF7"/>
    <w:rsid w:val="004A7663"/>
    <w:rsid w:val="004A778E"/>
    <w:rsid w:val="004B6BBA"/>
    <w:rsid w:val="004C0C04"/>
    <w:rsid w:val="004C2B53"/>
    <w:rsid w:val="004C2FEC"/>
    <w:rsid w:val="004C3002"/>
    <w:rsid w:val="004C35EC"/>
    <w:rsid w:val="004C3679"/>
    <w:rsid w:val="004C4206"/>
    <w:rsid w:val="004C6BCF"/>
    <w:rsid w:val="004C7EA4"/>
    <w:rsid w:val="004C7F1E"/>
    <w:rsid w:val="004D0D5E"/>
    <w:rsid w:val="004D1C24"/>
    <w:rsid w:val="004D2CAD"/>
    <w:rsid w:val="004D2D79"/>
    <w:rsid w:val="004D3044"/>
    <w:rsid w:val="004D3C9C"/>
    <w:rsid w:val="004D58BF"/>
    <w:rsid w:val="004D7091"/>
    <w:rsid w:val="004E16B5"/>
    <w:rsid w:val="004E4335"/>
    <w:rsid w:val="004E5175"/>
    <w:rsid w:val="004E5ACF"/>
    <w:rsid w:val="004E77A4"/>
    <w:rsid w:val="004F0516"/>
    <w:rsid w:val="004F075D"/>
    <w:rsid w:val="004F0920"/>
    <w:rsid w:val="004F0DA1"/>
    <w:rsid w:val="004F13EE"/>
    <w:rsid w:val="004F2022"/>
    <w:rsid w:val="004F5DEA"/>
    <w:rsid w:val="004F7C05"/>
    <w:rsid w:val="00501183"/>
    <w:rsid w:val="00501C94"/>
    <w:rsid w:val="0050464B"/>
    <w:rsid w:val="00504C0C"/>
    <w:rsid w:val="00504C83"/>
    <w:rsid w:val="00506432"/>
    <w:rsid w:val="0051242B"/>
    <w:rsid w:val="00514216"/>
    <w:rsid w:val="00514EA9"/>
    <w:rsid w:val="0052051D"/>
    <w:rsid w:val="00522AA8"/>
    <w:rsid w:val="00523354"/>
    <w:rsid w:val="00523853"/>
    <w:rsid w:val="00523C4E"/>
    <w:rsid w:val="00525DDA"/>
    <w:rsid w:val="0053273D"/>
    <w:rsid w:val="00532A0F"/>
    <w:rsid w:val="00535EE5"/>
    <w:rsid w:val="005362AE"/>
    <w:rsid w:val="00537C35"/>
    <w:rsid w:val="00540F43"/>
    <w:rsid w:val="00544D67"/>
    <w:rsid w:val="00544E73"/>
    <w:rsid w:val="00545EE6"/>
    <w:rsid w:val="00551635"/>
    <w:rsid w:val="00551BF9"/>
    <w:rsid w:val="00553D0B"/>
    <w:rsid w:val="005550E7"/>
    <w:rsid w:val="0055538B"/>
    <w:rsid w:val="00555AF0"/>
    <w:rsid w:val="005564FB"/>
    <w:rsid w:val="005572C7"/>
    <w:rsid w:val="00561A2F"/>
    <w:rsid w:val="005644C0"/>
    <w:rsid w:val="005650ED"/>
    <w:rsid w:val="0056530D"/>
    <w:rsid w:val="005658FD"/>
    <w:rsid w:val="0056611F"/>
    <w:rsid w:val="005664B0"/>
    <w:rsid w:val="0056694F"/>
    <w:rsid w:val="00567695"/>
    <w:rsid w:val="005678DE"/>
    <w:rsid w:val="0057075F"/>
    <w:rsid w:val="005710D3"/>
    <w:rsid w:val="00573037"/>
    <w:rsid w:val="0057335D"/>
    <w:rsid w:val="00575754"/>
    <w:rsid w:val="00580E82"/>
    <w:rsid w:val="005823F6"/>
    <w:rsid w:val="005827DE"/>
    <w:rsid w:val="005843C0"/>
    <w:rsid w:val="00587038"/>
    <w:rsid w:val="00591E20"/>
    <w:rsid w:val="00591F53"/>
    <w:rsid w:val="00592959"/>
    <w:rsid w:val="00593210"/>
    <w:rsid w:val="00595408"/>
    <w:rsid w:val="00595E84"/>
    <w:rsid w:val="00597564"/>
    <w:rsid w:val="00597C79"/>
    <w:rsid w:val="00597D79"/>
    <w:rsid w:val="005A0C59"/>
    <w:rsid w:val="005A1E8D"/>
    <w:rsid w:val="005A3169"/>
    <w:rsid w:val="005A43E4"/>
    <w:rsid w:val="005A47F3"/>
    <w:rsid w:val="005A48EB"/>
    <w:rsid w:val="005A49D1"/>
    <w:rsid w:val="005A590A"/>
    <w:rsid w:val="005A6CFB"/>
    <w:rsid w:val="005B0243"/>
    <w:rsid w:val="005B1217"/>
    <w:rsid w:val="005B40FD"/>
    <w:rsid w:val="005B7945"/>
    <w:rsid w:val="005C4452"/>
    <w:rsid w:val="005C57F3"/>
    <w:rsid w:val="005C5AEB"/>
    <w:rsid w:val="005D30BA"/>
    <w:rsid w:val="005D3178"/>
    <w:rsid w:val="005D3902"/>
    <w:rsid w:val="005D4A3F"/>
    <w:rsid w:val="005D6DBF"/>
    <w:rsid w:val="005D77C1"/>
    <w:rsid w:val="005E0A3F"/>
    <w:rsid w:val="005E1499"/>
    <w:rsid w:val="005E23E3"/>
    <w:rsid w:val="005E37FC"/>
    <w:rsid w:val="005E4D2A"/>
    <w:rsid w:val="005E6883"/>
    <w:rsid w:val="005E6FF4"/>
    <w:rsid w:val="005E772F"/>
    <w:rsid w:val="005F2C78"/>
    <w:rsid w:val="005F3112"/>
    <w:rsid w:val="005F4ECA"/>
    <w:rsid w:val="005F5251"/>
    <w:rsid w:val="005F7338"/>
    <w:rsid w:val="00600404"/>
    <w:rsid w:val="006041BE"/>
    <w:rsid w:val="006043C7"/>
    <w:rsid w:val="00606F31"/>
    <w:rsid w:val="00606F88"/>
    <w:rsid w:val="00607E2C"/>
    <w:rsid w:val="00610E30"/>
    <w:rsid w:val="00612832"/>
    <w:rsid w:val="00615279"/>
    <w:rsid w:val="00616F13"/>
    <w:rsid w:val="0062007F"/>
    <w:rsid w:val="006249DC"/>
    <w:rsid w:val="00624B52"/>
    <w:rsid w:val="00625404"/>
    <w:rsid w:val="0062647E"/>
    <w:rsid w:val="00627385"/>
    <w:rsid w:val="00631DF4"/>
    <w:rsid w:val="00632138"/>
    <w:rsid w:val="00634175"/>
    <w:rsid w:val="0063707B"/>
    <w:rsid w:val="006408AC"/>
    <w:rsid w:val="00642B08"/>
    <w:rsid w:val="00643D0B"/>
    <w:rsid w:val="006511B6"/>
    <w:rsid w:val="00652742"/>
    <w:rsid w:val="00654012"/>
    <w:rsid w:val="006545DD"/>
    <w:rsid w:val="00655076"/>
    <w:rsid w:val="006558DF"/>
    <w:rsid w:val="00657FF8"/>
    <w:rsid w:val="006643B1"/>
    <w:rsid w:val="0066593B"/>
    <w:rsid w:val="00670D99"/>
    <w:rsid w:val="00670E2B"/>
    <w:rsid w:val="00671149"/>
    <w:rsid w:val="006721C9"/>
    <w:rsid w:val="00672743"/>
    <w:rsid w:val="006734BB"/>
    <w:rsid w:val="00673705"/>
    <w:rsid w:val="00674191"/>
    <w:rsid w:val="00680417"/>
    <w:rsid w:val="00681A34"/>
    <w:rsid w:val="00681AFA"/>
    <w:rsid w:val="006821EB"/>
    <w:rsid w:val="00683295"/>
    <w:rsid w:val="00684C6F"/>
    <w:rsid w:val="00691240"/>
    <w:rsid w:val="00692803"/>
    <w:rsid w:val="0069349F"/>
    <w:rsid w:val="0069561E"/>
    <w:rsid w:val="006A0810"/>
    <w:rsid w:val="006A3841"/>
    <w:rsid w:val="006A6B49"/>
    <w:rsid w:val="006B13AF"/>
    <w:rsid w:val="006B2163"/>
    <w:rsid w:val="006B2286"/>
    <w:rsid w:val="006B334A"/>
    <w:rsid w:val="006B56BB"/>
    <w:rsid w:val="006B5AE4"/>
    <w:rsid w:val="006B5C77"/>
    <w:rsid w:val="006B7553"/>
    <w:rsid w:val="006B7A11"/>
    <w:rsid w:val="006C0B6E"/>
    <w:rsid w:val="006C14D9"/>
    <w:rsid w:val="006C156A"/>
    <w:rsid w:val="006C156F"/>
    <w:rsid w:val="006C222D"/>
    <w:rsid w:val="006C2F7A"/>
    <w:rsid w:val="006C4E9C"/>
    <w:rsid w:val="006C67E8"/>
    <w:rsid w:val="006C77A8"/>
    <w:rsid w:val="006D2E0D"/>
    <w:rsid w:val="006D4098"/>
    <w:rsid w:val="006D5B90"/>
    <w:rsid w:val="006D7464"/>
    <w:rsid w:val="006D7681"/>
    <w:rsid w:val="006D7B2E"/>
    <w:rsid w:val="006E02EA"/>
    <w:rsid w:val="006E0968"/>
    <w:rsid w:val="006E15A3"/>
    <w:rsid w:val="006E1A4B"/>
    <w:rsid w:val="006E2AF6"/>
    <w:rsid w:val="006F084E"/>
    <w:rsid w:val="006F1AC0"/>
    <w:rsid w:val="00701275"/>
    <w:rsid w:val="0070327D"/>
    <w:rsid w:val="00704EEE"/>
    <w:rsid w:val="00707F56"/>
    <w:rsid w:val="007130FD"/>
    <w:rsid w:val="00713558"/>
    <w:rsid w:val="00713B50"/>
    <w:rsid w:val="00713CB8"/>
    <w:rsid w:val="00714574"/>
    <w:rsid w:val="00715B3D"/>
    <w:rsid w:val="007208E7"/>
    <w:rsid w:val="00720D08"/>
    <w:rsid w:val="00722582"/>
    <w:rsid w:val="007263B9"/>
    <w:rsid w:val="00730307"/>
    <w:rsid w:val="00732AD2"/>
    <w:rsid w:val="007334F8"/>
    <w:rsid w:val="007339CD"/>
    <w:rsid w:val="007355F4"/>
    <w:rsid w:val="007359D8"/>
    <w:rsid w:val="007362D4"/>
    <w:rsid w:val="0073647C"/>
    <w:rsid w:val="0073727A"/>
    <w:rsid w:val="00740F76"/>
    <w:rsid w:val="007414E8"/>
    <w:rsid w:val="00743817"/>
    <w:rsid w:val="00751A23"/>
    <w:rsid w:val="007551C3"/>
    <w:rsid w:val="00755910"/>
    <w:rsid w:val="0075734A"/>
    <w:rsid w:val="00765997"/>
    <w:rsid w:val="0076672A"/>
    <w:rsid w:val="007669A3"/>
    <w:rsid w:val="00766EF2"/>
    <w:rsid w:val="0077122E"/>
    <w:rsid w:val="007759F5"/>
    <w:rsid w:val="00775E45"/>
    <w:rsid w:val="00775EF7"/>
    <w:rsid w:val="00776E74"/>
    <w:rsid w:val="0078413B"/>
    <w:rsid w:val="0078492B"/>
    <w:rsid w:val="00785169"/>
    <w:rsid w:val="007910F5"/>
    <w:rsid w:val="007954AB"/>
    <w:rsid w:val="007A0E1B"/>
    <w:rsid w:val="007A12AE"/>
    <w:rsid w:val="007A14C5"/>
    <w:rsid w:val="007A2C09"/>
    <w:rsid w:val="007A3E38"/>
    <w:rsid w:val="007A4A10"/>
    <w:rsid w:val="007B0A3B"/>
    <w:rsid w:val="007B1760"/>
    <w:rsid w:val="007B2E8B"/>
    <w:rsid w:val="007B3D03"/>
    <w:rsid w:val="007B6698"/>
    <w:rsid w:val="007B67D4"/>
    <w:rsid w:val="007C0732"/>
    <w:rsid w:val="007C0746"/>
    <w:rsid w:val="007C2FE6"/>
    <w:rsid w:val="007C3F3F"/>
    <w:rsid w:val="007C6D9C"/>
    <w:rsid w:val="007C7139"/>
    <w:rsid w:val="007C7DDB"/>
    <w:rsid w:val="007D1FAC"/>
    <w:rsid w:val="007D2CC7"/>
    <w:rsid w:val="007D4F49"/>
    <w:rsid w:val="007D673D"/>
    <w:rsid w:val="007E04D5"/>
    <w:rsid w:val="007F1918"/>
    <w:rsid w:val="007F2220"/>
    <w:rsid w:val="007F2F68"/>
    <w:rsid w:val="007F33CC"/>
    <w:rsid w:val="007F4B3E"/>
    <w:rsid w:val="007F588A"/>
    <w:rsid w:val="007F6A30"/>
    <w:rsid w:val="00804F0C"/>
    <w:rsid w:val="00805038"/>
    <w:rsid w:val="008113C5"/>
    <w:rsid w:val="008127AF"/>
    <w:rsid w:val="00812B46"/>
    <w:rsid w:val="00815700"/>
    <w:rsid w:val="00817B70"/>
    <w:rsid w:val="00821D23"/>
    <w:rsid w:val="008262B2"/>
    <w:rsid w:val="008264EB"/>
    <w:rsid w:val="00826B8B"/>
    <w:rsid w:val="00826B8F"/>
    <w:rsid w:val="00826BFD"/>
    <w:rsid w:val="00826D43"/>
    <w:rsid w:val="00831E8A"/>
    <w:rsid w:val="00835C76"/>
    <w:rsid w:val="00836423"/>
    <w:rsid w:val="00836CED"/>
    <w:rsid w:val="00843049"/>
    <w:rsid w:val="0084685F"/>
    <w:rsid w:val="0085209B"/>
    <w:rsid w:val="0085233E"/>
    <w:rsid w:val="0085297B"/>
    <w:rsid w:val="00853D4B"/>
    <w:rsid w:val="00855232"/>
    <w:rsid w:val="00856B66"/>
    <w:rsid w:val="008613B0"/>
    <w:rsid w:val="00861A5F"/>
    <w:rsid w:val="008630D8"/>
    <w:rsid w:val="008644AD"/>
    <w:rsid w:val="00865735"/>
    <w:rsid w:val="00865DDB"/>
    <w:rsid w:val="00867538"/>
    <w:rsid w:val="00873186"/>
    <w:rsid w:val="00873D90"/>
    <w:rsid w:val="00873FC8"/>
    <w:rsid w:val="00876640"/>
    <w:rsid w:val="008770A8"/>
    <w:rsid w:val="00880F96"/>
    <w:rsid w:val="00883FF8"/>
    <w:rsid w:val="00884328"/>
    <w:rsid w:val="0088469C"/>
    <w:rsid w:val="00884C63"/>
    <w:rsid w:val="008851A0"/>
    <w:rsid w:val="00885908"/>
    <w:rsid w:val="008864B7"/>
    <w:rsid w:val="008914F1"/>
    <w:rsid w:val="0089485A"/>
    <w:rsid w:val="0089677E"/>
    <w:rsid w:val="00896E8C"/>
    <w:rsid w:val="008970B8"/>
    <w:rsid w:val="008A00AF"/>
    <w:rsid w:val="008A1350"/>
    <w:rsid w:val="008A61A5"/>
    <w:rsid w:val="008A651D"/>
    <w:rsid w:val="008A65C1"/>
    <w:rsid w:val="008A7438"/>
    <w:rsid w:val="008B1100"/>
    <w:rsid w:val="008B1334"/>
    <w:rsid w:val="008B1BC8"/>
    <w:rsid w:val="008B36FB"/>
    <w:rsid w:val="008B4879"/>
    <w:rsid w:val="008B5433"/>
    <w:rsid w:val="008B5745"/>
    <w:rsid w:val="008B66ED"/>
    <w:rsid w:val="008C0278"/>
    <w:rsid w:val="008C1445"/>
    <w:rsid w:val="008C1CAC"/>
    <w:rsid w:val="008C24E9"/>
    <w:rsid w:val="008C2B26"/>
    <w:rsid w:val="008D0533"/>
    <w:rsid w:val="008D0EE6"/>
    <w:rsid w:val="008D1F92"/>
    <w:rsid w:val="008D2E30"/>
    <w:rsid w:val="008D42CB"/>
    <w:rsid w:val="008D48C9"/>
    <w:rsid w:val="008D5B79"/>
    <w:rsid w:val="008D6381"/>
    <w:rsid w:val="008E0C77"/>
    <w:rsid w:val="008E256F"/>
    <w:rsid w:val="008E36CB"/>
    <w:rsid w:val="008E4D67"/>
    <w:rsid w:val="008E5282"/>
    <w:rsid w:val="008E5D61"/>
    <w:rsid w:val="008E625F"/>
    <w:rsid w:val="008E6354"/>
    <w:rsid w:val="008E6CE9"/>
    <w:rsid w:val="008F264D"/>
    <w:rsid w:val="00901BEC"/>
    <w:rsid w:val="009074E1"/>
    <w:rsid w:val="0090794F"/>
    <w:rsid w:val="00910353"/>
    <w:rsid w:val="009112F7"/>
    <w:rsid w:val="009122AF"/>
    <w:rsid w:val="009127BC"/>
    <w:rsid w:val="00912D54"/>
    <w:rsid w:val="00913773"/>
    <w:rsid w:val="0091389F"/>
    <w:rsid w:val="009171BA"/>
    <w:rsid w:val="009208F7"/>
    <w:rsid w:val="00921CF1"/>
    <w:rsid w:val="00922517"/>
    <w:rsid w:val="00922722"/>
    <w:rsid w:val="00924497"/>
    <w:rsid w:val="009261E6"/>
    <w:rsid w:val="009268E1"/>
    <w:rsid w:val="0092796B"/>
    <w:rsid w:val="009314FE"/>
    <w:rsid w:val="00934368"/>
    <w:rsid w:val="00934FF8"/>
    <w:rsid w:val="009353E6"/>
    <w:rsid w:val="00936748"/>
    <w:rsid w:val="009434CE"/>
    <w:rsid w:val="00945E7F"/>
    <w:rsid w:val="00950431"/>
    <w:rsid w:val="00950C1E"/>
    <w:rsid w:val="009540DC"/>
    <w:rsid w:val="009543B1"/>
    <w:rsid w:val="009548D1"/>
    <w:rsid w:val="009557C1"/>
    <w:rsid w:val="0096034D"/>
    <w:rsid w:val="00960D14"/>
    <w:rsid w:val="00960D6E"/>
    <w:rsid w:val="00965821"/>
    <w:rsid w:val="00967E9E"/>
    <w:rsid w:val="009718AC"/>
    <w:rsid w:val="00972BC1"/>
    <w:rsid w:val="00974B59"/>
    <w:rsid w:val="009827CA"/>
    <w:rsid w:val="0098340B"/>
    <w:rsid w:val="00986818"/>
    <w:rsid w:val="00986830"/>
    <w:rsid w:val="00987C37"/>
    <w:rsid w:val="009924C3"/>
    <w:rsid w:val="00993102"/>
    <w:rsid w:val="0099400A"/>
    <w:rsid w:val="009A3380"/>
    <w:rsid w:val="009A40EE"/>
    <w:rsid w:val="009B1A5B"/>
    <w:rsid w:val="009B1F68"/>
    <w:rsid w:val="009B3712"/>
    <w:rsid w:val="009B5601"/>
    <w:rsid w:val="009B695B"/>
    <w:rsid w:val="009C33BC"/>
    <w:rsid w:val="009C4A39"/>
    <w:rsid w:val="009C57EF"/>
    <w:rsid w:val="009C63A9"/>
    <w:rsid w:val="009C6B08"/>
    <w:rsid w:val="009C6F10"/>
    <w:rsid w:val="009D088B"/>
    <w:rsid w:val="009D148F"/>
    <w:rsid w:val="009D1527"/>
    <w:rsid w:val="009D3D70"/>
    <w:rsid w:val="009D5096"/>
    <w:rsid w:val="009E0EC4"/>
    <w:rsid w:val="009E1422"/>
    <w:rsid w:val="009E1483"/>
    <w:rsid w:val="009E6F7E"/>
    <w:rsid w:val="009E7A57"/>
    <w:rsid w:val="009F01FB"/>
    <w:rsid w:val="009F2DC9"/>
    <w:rsid w:val="009F3733"/>
    <w:rsid w:val="009F3764"/>
    <w:rsid w:val="009F4562"/>
    <w:rsid w:val="009F4F6A"/>
    <w:rsid w:val="009F6576"/>
    <w:rsid w:val="009F6848"/>
    <w:rsid w:val="00A01727"/>
    <w:rsid w:val="00A04084"/>
    <w:rsid w:val="00A04B85"/>
    <w:rsid w:val="00A050AF"/>
    <w:rsid w:val="00A06AD3"/>
    <w:rsid w:val="00A14F0D"/>
    <w:rsid w:val="00A16E36"/>
    <w:rsid w:val="00A17427"/>
    <w:rsid w:val="00A2351C"/>
    <w:rsid w:val="00A237F5"/>
    <w:rsid w:val="00A24961"/>
    <w:rsid w:val="00A24B10"/>
    <w:rsid w:val="00A259AF"/>
    <w:rsid w:val="00A27126"/>
    <w:rsid w:val="00A279BA"/>
    <w:rsid w:val="00A309B2"/>
    <w:rsid w:val="00A30E9B"/>
    <w:rsid w:val="00A31672"/>
    <w:rsid w:val="00A35762"/>
    <w:rsid w:val="00A36694"/>
    <w:rsid w:val="00A377CC"/>
    <w:rsid w:val="00A377D1"/>
    <w:rsid w:val="00A378B4"/>
    <w:rsid w:val="00A4361B"/>
    <w:rsid w:val="00A44843"/>
    <w:rsid w:val="00A4512D"/>
    <w:rsid w:val="00A47394"/>
    <w:rsid w:val="00A47CB9"/>
    <w:rsid w:val="00A50244"/>
    <w:rsid w:val="00A56F17"/>
    <w:rsid w:val="00A602D4"/>
    <w:rsid w:val="00A61780"/>
    <w:rsid w:val="00A627D7"/>
    <w:rsid w:val="00A64690"/>
    <w:rsid w:val="00A656C7"/>
    <w:rsid w:val="00A705AF"/>
    <w:rsid w:val="00A72454"/>
    <w:rsid w:val="00A74345"/>
    <w:rsid w:val="00A77696"/>
    <w:rsid w:val="00A8046A"/>
    <w:rsid w:val="00A80557"/>
    <w:rsid w:val="00A811F9"/>
    <w:rsid w:val="00A81D33"/>
    <w:rsid w:val="00A8414E"/>
    <w:rsid w:val="00A86D0E"/>
    <w:rsid w:val="00A86E33"/>
    <w:rsid w:val="00A91922"/>
    <w:rsid w:val="00A930AE"/>
    <w:rsid w:val="00A93EF5"/>
    <w:rsid w:val="00AA167B"/>
    <w:rsid w:val="00AA1A95"/>
    <w:rsid w:val="00AA260F"/>
    <w:rsid w:val="00AA3B27"/>
    <w:rsid w:val="00AA719D"/>
    <w:rsid w:val="00AA723B"/>
    <w:rsid w:val="00AB1EE7"/>
    <w:rsid w:val="00AB4B37"/>
    <w:rsid w:val="00AB5762"/>
    <w:rsid w:val="00AC2679"/>
    <w:rsid w:val="00AC3699"/>
    <w:rsid w:val="00AC434A"/>
    <w:rsid w:val="00AC4BE4"/>
    <w:rsid w:val="00AC553E"/>
    <w:rsid w:val="00AC5F9C"/>
    <w:rsid w:val="00AC6BF9"/>
    <w:rsid w:val="00AC7A58"/>
    <w:rsid w:val="00AD05E6"/>
    <w:rsid w:val="00AD0D3F"/>
    <w:rsid w:val="00AD1C5A"/>
    <w:rsid w:val="00AD2287"/>
    <w:rsid w:val="00AD4CA6"/>
    <w:rsid w:val="00AD65F0"/>
    <w:rsid w:val="00AE1D7D"/>
    <w:rsid w:val="00AE2A8B"/>
    <w:rsid w:val="00AE3F64"/>
    <w:rsid w:val="00AE5598"/>
    <w:rsid w:val="00AF12EF"/>
    <w:rsid w:val="00AF19FC"/>
    <w:rsid w:val="00AF1B3D"/>
    <w:rsid w:val="00AF2310"/>
    <w:rsid w:val="00AF3B47"/>
    <w:rsid w:val="00AF7386"/>
    <w:rsid w:val="00AF7934"/>
    <w:rsid w:val="00B00B29"/>
    <w:rsid w:val="00B00B81"/>
    <w:rsid w:val="00B00BA3"/>
    <w:rsid w:val="00B04580"/>
    <w:rsid w:val="00B04B09"/>
    <w:rsid w:val="00B04CA6"/>
    <w:rsid w:val="00B100BD"/>
    <w:rsid w:val="00B16A51"/>
    <w:rsid w:val="00B21B60"/>
    <w:rsid w:val="00B24D83"/>
    <w:rsid w:val="00B25440"/>
    <w:rsid w:val="00B2551C"/>
    <w:rsid w:val="00B25FE5"/>
    <w:rsid w:val="00B26CB2"/>
    <w:rsid w:val="00B27B51"/>
    <w:rsid w:val="00B32222"/>
    <w:rsid w:val="00B34540"/>
    <w:rsid w:val="00B3618D"/>
    <w:rsid w:val="00B36233"/>
    <w:rsid w:val="00B36FEF"/>
    <w:rsid w:val="00B3757A"/>
    <w:rsid w:val="00B41374"/>
    <w:rsid w:val="00B4147F"/>
    <w:rsid w:val="00B41BAA"/>
    <w:rsid w:val="00B42851"/>
    <w:rsid w:val="00B4356B"/>
    <w:rsid w:val="00B45AC7"/>
    <w:rsid w:val="00B46841"/>
    <w:rsid w:val="00B50DBA"/>
    <w:rsid w:val="00B5231B"/>
    <w:rsid w:val="00B5372F"/>
    <w:rsid w:val="00B61129"/>
    <w:rsid w:val="00B61DC8"/>
    <w:rsid w:val="00B67E7F"/>
    <w:rsid w:val="00B67E91"/>
    <w:rsid w:val="00B7293C"/>
    <w:rsid w:val="00B74B69"/>
    <w:rsid w:val="00B75A04"/>
    <w:rsid w:val="00B76467"/>
    <w:rsid w:val="00B83498"/>
    <w:rsid w:val="00B839B2"/>
    <w:rsid w:val="00B85FC0"/>
    <w:rsid w:val="00B87022"/>
    <w:rsid w:val="00B877E5"/>
    <w:rsid w:val="00B8793F"/>
    <w:rsid w:val="00B87988"/>
    <w:rsid w:val="00B90DBC"/>
    <w:rsid w:val="00B93A49"/>
    <w:rsid w:val="00B94252"/>
    <w:rsid w:val="00B948CF"/>
    <w:rsid w:val="00B94CE0"/>
    <w:rsid w:val="00B96007"/>
    <w:rsid w:val="00B9715A"/>
    <w:rsid w:val="00BA14BE"/>
    <w:rsid w:val="00BA14ED"/>
    <w:rsid w:val="00BA23D1"/>
    <w:rsid w:val="00BA2732"/>
    <w:rsid w:val="00BA2897"/>
    <w:rsid w:val="00BA293D"/>
    <w:rsid w:val="00BA49BC"/>
    <w:rsid w:val="00BA4D0A"/>
    <w:rsid w:val="00BA56B7"/>
    <w:rsid w:val="00BA6580"/>
    <w:rsid w:val="00BA6DB8"/>
    <w:rsid w:val="00BA7A1E"/>
    <w:rsid w:val="00BA7CA9"/>
    <w:rsid w:val="00BB2F6C"/>
    <w:rsid w:val="00BB3875"/>
    <w:rsid w:val="00BB472F"/>
    <w:rsid w:val="00BB5860"/>
    <w:rsid w:val="00BB64F8"/>
    <w:rsid w:val="00BB6AAD"/>
    <w:rsid w:val="00BC2525"/>
    <w:rsid w:val="00BC400D"/>
    <w:rsid w:val="00BC4A19"/>
    <w:rsid w:val="00BC4E6D"/>
    <w:rsid w:val="00BC63AB"/>
    <w:rsid w:val="00BC7368"/>
    <w:rsid w:val="00BD0617"/>
    <w:rsid w:val="00BD2E9B"/>
    <w:rsid w:val="00BD51B5"/>
    <w:rsid w:val="00BD6807"/>
    <w:rsid w:val="00BE04C6"/>
    <w:rsid w:val="00BE2D49"/>
    <w:rsid w:val="00BE5B2F"/>
    <w:rsid w:val="00BE6801"/>
    <w:rsid w:val="00BF5D12"/>
    <w:rsid w:val="00BF6B1F"/>
    <w:rsid w:val="00BF7AD7"/>
    <w:rsid w:val="00C00063"/>
    <w:rsid w:val="00C00930"/>
    <w:rsid w:val="00C01712"/>
    <w:rsid w:val="00C060AD"/>
    <w:rsid w:val="00C0621C"/>
    <w:rsid w:val="00C0670D"/>
    <w:rsid w:val="00C07487"/>
    <w:rsid w:val="00C075ED"/>
    <w:rsid w:val="00C101D8"/>
    <w:rsid w:val="00C113BF"/>
    <w:rsid w:val="00C129AF"/>
    <w:rsid w:val="00C167E2"/>
    <w:rsid w:val="00C16E1D"/>
    <w:rsid w:val="00C20371"/>
    <w:rsid w:val="00C2176E"/>
    <w:rsid w:val="00C22521"/>
    <w:rsid w:val="00C23430"/>
    <w:rsid w:val="00C26783"/>
    <w:rsid w:val="00C27D67"/>
    <w:rsid w:val="00C3524B"/>
    <w:rsid w:val="00C35B1C"/>
    <w:rsid w:val="00C37A92"/>
    <w:rsid w:val="00C40E56"/>
    <w:rsid w:val="00C423B2"/>
    <w:rsid w:val="00C4242E"/>
    <w:rsid w:val="00C4631F"/>
    <w:rsid w:val="00C50E16"/>
    <w:rsid w:val="00C55258"/>
    <w:rsid w:val="00C5630B"/>
    <w:rsid w:val="00C718D2"/>
    <w:rsid w:val="00C72448"/>
    <w:rsid w:val="00C82D9F"/>
    <w:rsid w:val="00C82EEB"/>
    <w:rsid w:val="00C85573"/>
    <w:rsid w:val="00C85A15"/>
    <w:rsid w:val="00C85CE5"/>
    <w:rsid w:val="00C869E6"/>
    <w:rsid w:val="00C876DD"/>
    <w:rsid w:val="00C92BE1"/>
    <w:rsid w:val="00C971DC"/>
    <w:rsid w:val="00CA16B7"/>
    <w:rsid w:val="00CA1A0A"/>
    <w:rsid w:val="00CA4BE3"/>
    <w:rsid w:val="00CA62AE"/>
    <w:rsid w:val="00CA7871"/>
    <w:rsid w:val="00CB11AD"/>
    <w:rsid w:val="00CB3AFF"/>
    <w:rsid w:val="00CB5B1A"/>
    <w:rsid w:val="00CB7684"/>
    <w:rsid w:val="00CC09BC"/>
    <w:rsid w:val="00CC220B"/>
    <w:rsid w:val="00CC5C43"/>
    <w:rsid w:val="00CC5D87"/>
    <w:rsid w:val="00CC7286"/>
    <w:rsid w:val="00CD015E"/>
    <w:rsid w:val="00CD02AE"/>
    <w:rsid w:val="00CD2A4F"/>
    <w:rsid w:val="00CD3A8E"/>
    <w:rsid w:val="00CD3C5B"/>
    <w:rsid w:val="00CE03CA"/>
    <w:rsid w:val="00CE224C"/>
    <w:rsid w:val="00CE22F1"/>
    <w:rsid w:val="00CE37AF"/>
    <w:rsid w:val="00CE50F2"/>
    <w:rsid w:val="00CE6502"/>
    <w:rsid w:val="00CF155F"/>
    <w:rsid w:val="00CF333F"/>
    <w:rsid w:val="00CF4536"/>
    <w:rsid w:val="00CF6D06"/>
    <w:rsid w:val="00CF7D3C"/>
    <w:rsid w:val="00D03933"/>
    <w:rsid w:val="00D0690C"/>
    <w:rsid w:val="00D12C94"/>
    <w:rsid w:val="00D147EB"/>
    <w:rsid w:val="00D1771E"/>
    <w:rsid w:val="00D2451B"/>
    <w:rsid w:val="00D25B80"/>
    <w:rsid w:val="00D34667"/>
    <w:rsid w:val="00D35CF7"/>
    <w:rsid w:val="00D36D0E"/>
    <w:rsid w:val="00D36D65"/>
    <w:rsid w:val="00D401E1"/>
    <w:rsid w:val="00D408B4"/>
    <w:rsid w:val="00D41775"/>
    <w:rsid w:val="00D423B1"/>
    <w:rsid w:val="00D43C20"/>
    <w:rsid w:val="00D44B4F"/>
    <w:rsid w:val="00D45D94"/>
    <w:rsid w:val="00D46AD2"/>
    <w:rsid w:val="00D524C8"/>
    <w:rsid w:val="00D53699"/>
    <w:rsid w:val="00D5423C"/>
    <w:rsid w:val="00D55267"/>
    <w:rsid w:val="00D55D5C"/>
    <w:rsid w:val="00D57188"/>
    <w:rsid w:val="00D57C60"/>
    <w:rsid w:val="00D605D1"/>
    <w:rsid w:val="00D60693"/>
    <w:rsid w:val="00D60E25"/>
    <w:rsid w:val="00D61326"/>
    <w:rsid w:val="00D64C37"/>
    <w:rsid w:val="00D665AC"/>
    <w:rsid w:val="00D70810"/>
    <w:rsid w:val="00D70E24"/>
    <w:rsid w:val="00D712FB"/>
    <w:rsid w:val="00D71FCC"/>
    <w:rsid w:val="00D72B61"/>
    <w:rsid w:val="00D74020"/>
    <w:rsid w:val="00D819A8"/>
    <w:rsid w:val="00D828C4"/>
    <w:rsid w:val="00D8359B"/>
    <w:rsid w:val="00D836EC"/>
    <w:rsid w:val="00D85A04"/>
    <w:rsid w:val="00D86861"/>
    <w:rsid w:val="00D87248"/>
    <w:rsid w:val="00D90980"/>
    <w:rsid w:val="00D924D1"/>
    <w:rsid w:val="00D963D7"/>
    <w:rsid w:val="00D971D5"/>
    <w:rsid w:val="00DA002B"/>
    <w:rsid w:val="00DA3D1D"/>
    <w:rsid w:val="00DA5422"/>
    <w:rsid w:val="00DB0138"/>
    <w:rsid w:val="00DB2515"/>
    <w:rsid w:val="00DB3277"/>
    <w:rsid w:val="00DB3440"/>
    <w:rsid w:val="00DB6286"/>
    <w:rsid w:val="00DB645F"/>
    <w:rsid w:val="00DB76E9"/>
    <w:rsid w:val="00DC05F1"/>
    <w:rsid w:val="00DC06AD"/>
    <w:rsid w:val="00DC0A67"/>
    <w:rsid w:val="00DC13F9"/>
    <w:rsid w:val="00DC1C4F"/>
    <w:rsid w:val="00DC1D5E"/>
    <w:rsid w:val="00DC2313"/>
    <w:rsid w:val="00DC5220"/>
    <w:rsid w:val="00DC6000"/>
    <w:rsid w:val="00DC6D55"/>
    <w:rsid w:val="00DC7910"/>
    <w:rsid w:val="00DD0E52"/>
    <w:rsid w:val="00DD1EB9"/>
    <w:rsid w:val="00DD2061"/>
    <w:rsid w:val="00DD2DB7"/>
    <w:rsid w:val="00DD4272"/>
    <w:rsid w:val="00DD46C5"/>
    <w:rsid w:val="00DD6906"/>
    <w:rsid w:val="00DD7DAB"/>
    <w:rsid w:val="00DE144D"/>
    <w:rsid w:val="00DE3203"/>
    <w:rsid w:val="00DE3355"/>
    <w:rsid w:val="00DE3F4F"/>
    <w:rsid w:val="00DE78AB"/>
    <w:rsid w:val="00DF18DB"/>
    <w:rsid w:val="00DF486F"/>
    <w:rsid w:val="00DF5AF0"/>
    <w:rsid w:val="00DF5B5B"/>
    <w:rsid w:val="00DF7619"/>
    <w:rsid w:val="00E00F60"/>
    <w:rsid w:val="00E028C0"/>
    <w:rsid w:val="00E042D8"/>
    <w:rsid w:val="00E07EE7"/>
    <w:rsid w:val="00E1094C"/>
    <w:rsid w:val="00E10B5F"/>
    <w:rsid w:val="00E1103B"/>
    <w:rsid w:val="00E169D8"/>
    <w:rsid w:val="00E17B44"/>
    <w:rsid w:val="00E20D34"/>
    <w:rsid w:val="00E22EE3"/>
    <w:rsid w:val="00E27FEA"/>
    <w:rsid w:val="00E319A2"/>
    <w:rsid w:val="00E32A0F"/>
    <w:rsid w:val="00E3339A"/>
    <w:rsid w:val="00E365F4"/>
    <w:rsid w:val="00E37590"/>
    <w:rsid w:val="00E40384"/>
    <w:rsid w:val="00E4086F"/>
    <w:rsid w:val="00E425EC"/>
    <w:rsid w:val="00E42C88"/>
    <w:rsid w:val="00E43B3C"/>
    <w:rsid w:val="00E43B98"/>
    <w:rsid w:val="00E47739"/>
    <w:rsid w:val="00E50188"/>
    <w:rsid w:val="00E50C53"/>
    <w:rsid w:val="00E514B5"/>
    <w:rsid w:val="00E515CB"/>
    <w:rsid w:val="00E52260"/>
    <w:rsid w:val="00E533C9"/>
    <w:rsid w:val="00E546AD"/>
    <w:rsid w:val="00E5634E"/>
    <w:rsid w:val="00E57B62"/>
    <w:rsid w:val="00E57DCF"/>
    <w:rsid w:val="00E615C6"/>
    <w:rsid w:val="00E615FA"/>
    <w:rsid w:val="00E62826"/>
    <w:rsid w:val="00E6285E"/>
    <w:rsid w:val="00E639B6"/>
    <w:rsid w:val="00E6434B"/>
    <w:rsid w:val="00E6463D"/>
    <w:rsid w:val="00E664BF"/>
    <w:rsid w:val="00E72E9B"/>
    <w:rsid w:val="00E7354E"/>
    <w:rsid w:val="00E758CB"/>
    <w:rsid w:val="00E7630F"/>
    <w:rsid w:val="00E849DA"/>
    <w:rsid w:val="00E90485"/>
    <w:rsid w:val="00E93102"/>
    <w:rsid w:val="00E9387B"/>
    <w:rsid w:val="00E93B3F"/>
    <w:rsid w:val="00E944B2"/>
    <w:rsid w:val="00E9462E"/>
    <w:rsid w:val="00E961CE"/>
    <w:rsid w:val="00EA030B"/>
    <w:rsid w:val="00EA150D"/>
    <w:rsid w:val="00EA2FBB"/>
    <w:rsid w:val="00EA32D5"/>
    <w:rsid w:val="00EA470E"/>
    <w:rsid w:val="00EA47A7"/>
    <w:rsid w:val="00EA57EB"/>
    <w:rsid w:val="00EA6A0E"/>
    <w:rsid w:val="00EA77DC"/>
    <w:rsid w:val="00EB3226"/>
    <w:rsid w:val="00EB4F61"/>
    <w:rsid w:val="00EB70CD"/>
    <w:rsid w:val="00EC1432"/>
    <w:rsid w:val="00EC213A"/>
    <w:rsid w:val="00EC3FDA"/>
    <w:rsid w:val="00EC6603"/>
    <w:rsid w:val="00EC7744"/>
    <w:rsid w:val="00ED0D56"/>
    <w:rsid w:val="00ED0DAD"/>
    <w:rsid w:val="00ED0F46"/>
    <w:rsid w:val="00ED0F7A"/>
    <w:rsid w:val="00ED2373"/>
    <w:rsid w:val="00ED28BD"/>
    <w:rsid w:val="00ED67D9"/>
    <w:rsid w:val="00ED79FC"/>
    <w:rsid w:val="00ED7B52"/>
    <w:rsid w:val="00EE09D6"/>
    <w:rsid w:val="00EE13E8"/>
    <w:rsid w:val="00EE3E8A"/>
    <w:rsid w:val="00EE40AA"/>
    <w:rsid w:val="00EE72F6"/>
    <w:rsid w:val="00EF2784"/>
    <w:rsid w:val="00EF2BF4"/>
    <w:rsid w:val="00EF4FFD"/>
    <w:rsid w:val="00EF63F9"/>
    <w:rsid w:val="00EF6E20"/>
    <w:rsid w:val="00EF6ECA"/>
    <w:rsid w:val="00EF7012"/>
    <w:rsid w:val="00F00861"/>
    <w:rsid w:val="00F024E1"/>
    <w:rsid w:val="00F03051"/>
    <w:rsid w:val="00F049F6"/>
    <w:rsid w:val="00F05030"/>
    <w:rsid w:val="00F058D8"/>
    <w:rsid w:val="00F06C10"/>
    <w:rsid w:val="00F1096F"/>
    <w:rsid w:val="00F11830"/>
    <w:rsid w:val="00F12589"/>
    <w:rsid w:val="00F12595"/>
    <w:rsid w:val="00F134D9"/>
    <w:rsid w:val="00F1403D"/>
    <w:rsid w:val="00F1463F"/>
    <w:rsid w:val="00F1597C"/>
    <w:rsid w:val="00F21302"/>
    <w:rsid w:val="00F24CAD"/>
    <w:rsid w:val="00F24DD7"/>
    <w:rsid w:val="00F2642C"/>
    <w:rsid w:val="00F27CF0"/>
    <w:rsid w:val="00F321DE"/>
    <w:rsid w:val="00F323F3"/>
    <w:rsid w:val="00F33777"/>
    <w:rsid w:val="00F338DE"/>
    <w:rsid w:val="00F34C38"/>
    <w:rsid w:val="00F35CAC"/>
    <w:rsid w:val="00F40648"/>
    <w:rsid w:val="00F41861"/>
    <w:rsid w:val="00F451E6"/>
    <w:rsid w:val="00F45A8E"/>
    <w:rsid w:val="00F47DA2"/>
    <w:rsid w:val="00F519FC"/>
    <w:rsid w:val="00F606E6"/>
    <w:rsid w:val="00F608C5"/>
    <w:rsid w:val="00F6239D"/>
    <w:rsid w:val="00F66CB1"/>
    <w:rsid w:val="00F715D2"/>
    <w:rsid w:val="00F71812"/>
    <w:rsid w:val="00F71C66"/>
    <w:rsid w:val="00F7274F"/>
    <w:rsid w:val="00F72E5A"/>
    <w:rsid w:val="00F75C8B"/>
    <w:rsid w:val="00F76FA8"/>
    <w:rsid w:val="00F77DDE"/>
    <w:rsid w:val="00F86A98"/>
    <w:rsid w:val="00F90496"/>
    <w:rsid w:val="00F93F08"/>
    <w:rsid w:val="00F94CED"/>
    <w:rsid w:val="00F96ACA"/>
    <w:rsid w:val="00FA18F5"/>
    <w:rsid w:val="00FA2066"/>
    <w:rsid w:val="00FA2C7E"/>
    <w:rsid w:val="00FA2CEE"/>
    <w:rsid w:val="00FA2EE4"/>
    <w:rsid w:val="00FA318C"/>
    <w:rsid w:val="00FA599E"/>
    <w:rsid w:val="00FA5D03"/>
    <w:rsid w:val="00FB10D5"/>
    <w:rsid w:val="00FB15BB"/>
    <w:rsid w:val="00FB19B6"/>
    <w:rsid w:val="00FB6F92"/>
    <w:rsid w:val="00FC026E"/>
    <w:rsid w:val="00FC325C"/>
    <w:rsid w:val="00FC5124"/>
    <w:rsid w:val="00FC5F78"/>
    <w:rsid w:val="00FD0E50"/>
    <w:rsid w:val="00FD2807"/>
    <w:rsid w:val="00FD4731"/>
    <w:rsid w:val="00FD6209"/>
    <w:rsid w:val="00FE05B9"/>
    <w:rsid w:val="00FE11A2"/>
    <w:rsid w:val="00FE15FD"/>
    <w:rsid w:val="00FE2987"/>
    <w:rsid w:val="00FE5CC5"/>
    <w:rsid w:val="00FE68CC"/>
    <w:rsid w:val="00FF0410"/>
    <w:rsid w:val="00FF0AB0"/>
    <w:rsid w:val="00FF28AC"/>
    <w:rsid w:val="00FF74A5"/>
    <w:rsid w:val="00FF7813"/>
    <w:rsid w:val="00FF7F62"/>
    <w:rsid w:val="1525BB0A"/>
    <w:rsid w:val="2B3137B5"/>
    <w:rsid w:val="3248D7B5"/>
    <w:rsid w:val="380BDC21"/>
    <w:rsid w:val="6C47E2CF"/>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0EF3571"/>
  <w15:docId w15:val="{AB7204FF-A7DA-4F78-91A0-5751414132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5" w:qFormat="1"/>
    <w:lsdException w:name="heading 7" w:semiHidden="1" w:unhideWhenUsed="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iPriority="99" w:unhideWhenUsed="1" w:qFormat="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99"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semiHidden="1" w:unhideWhenUsed="1"/>
    <w:lsdException w:name="Table Colorful 1" w:locked="1" w:semiHidden="1" w:unhideWhenUsed="1"/>
    <w:lsdException w:name="Table Colorful 2" w:locked="1"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Grid" w:uiPriority="59"/>
    <w:lsdException w:name="Table Theme" w:locked="1" w:semiHidden="1" w:unhideWhenUsed="1"/>
    <w:lsdException w:name="Placeholder Text" w:semiHidden="1" w:uiPriority="99"/>
    <w:lsdException w:name="No Spacing" w:uiPriority="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uiPriority="99"/>
    <w:lsdException w:name="List Paragraph" w:uiPriority="34" w:qFormat="1"/>
    <w:lsdException w:name="Quote" w:uiPriority="29" w:qFormat="1"/>
    <w:lsdException w:name="Intense Quote" w:uiPriority="30"/>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494017"/>
    <w:pPr>
      <w:spacing w:before="120" w:after="120" w:line="276" w:lineRule="auto"/>
    </w:pPr>
    <w:rPr>
      <w:rFonts w:ascii="Arial" w:hAnsi="Arial"/>
      <w:color w:val="000000" w:themeColor="text1"/>
      <w:sz w:val="24"/>
      <w:szCs w:val="24"/>
      <w:lang w:eastAsia="en-US"/>
    </w:rPr>
  </w:style>
  <w:style w:type="paragraph" w:styleId="Heading1">
    <w:name w:val="heading 1"/>
    <w:next w:val="Normal"/>
    <w:qFormat/>
    <w:rsid w:val="000537E9"/>
    <w:pPr>
      <w:keepNext/>
      <w:spacing w:before="600" w:after="240"/>
      <w:outlineLvl w:val="0"/>
    </w:pPr>
    <w:rPr>
      <w:rFonts w:ascii="Arial" w:hAnsi="Arial" w:cs="Arial"/>
      <w:b/>
      <w:bCs/>
      <w:color w:val="000000" w:themeColor="text1"/>
      <w:kern w:val="28"/>
      <w:sz w:val="56"/>
      <w:szCs w:val="36"/>
      <w:lang w:eastAsia="en-US"/>
    </w:rPr>
  </w:style>
  <w:style w:type="paragraph" w:styleId="Heading2">
    <w:name w:val="heading 2"/>
    <w:next w:val="Normal"/>
    <w:qFormat/>
    <w:rsid w:val="0075734A"/>
    <w:pPr>
      <w:keepNext/>
      <w:spacing w:before="360" w:after="240"/>
      <w:outlineLvl w:val="1"/>
    </w:pPr>
    <w:rPr>
      <w:rFonts w:ascii="Arial" w:hAnsi="Arial" w:cs="Arial"/>
      <w:b/>
      <w:bCs/>
      <w:iCs/>
      <w:color w:val="000000" w:themeColor="text1"/>
      <w:sz w:val="44"/>
      <w:szCs w:val="36"/>
      <w:lang w:eastAsia="en-US"/>
    </w:rPr>
  </w:style>
  <w:style w:type="paragraph" w:styleId="Heading3">
    <w:name w:val="heading 3"/>
    <w:next w:val="Normal"/>
    <w:qFormat/>
    <w:rsid w:val="0075734A"/>
    <w:pPr>
      <w:keepNext/>
      <w:spacing w:before="240" w:after="120"/>
      <w:outlineLvl w:val="2"/>
    </w:pPr>
    <w:rPr>
      <w:rFonts w:ascii="Arial" w:hAnsi="Arial" w:cs="Arial"/>
      <w:b/>
      <w:bCs/>
      <w:color w:val="000000" w:themeColor="text1"/>
      <w:sz w:val="36"/>
      <w:szCs w:val="32"/>
      <w:lang w:eastAsia="en-US"/>
    </w:rPr>
  </w:style>
  <w:style w:type="paragraph" w:styleId="Heading4">
    <w:name w:val="heading 4"/>
    <w:next w:val="Normal"/>
    <w:qFormat/>
    <w:rsid w:val="004123B1"/>
    <w:pPr>
      <w:keepNext/>
      <w:spacing w:before="240" w:after="60"/>
      <w:outlineLvl w:val="3"/>
    </w:pPr>
    <w:rPr>
      <w:rFonts w:ascii="Arial" w:hAnsi="Arial"/>
      <w:b/>
      <w:bCs/>
      <w:iCs/>
      <w:color w:val="000000" w:themeColor="text1"/>
      <w:sz w:val="28"/>
      <w:szCs w:val="28"/>
      <w:lang w:eastAsia="en-US"/>
    </w:rPr>
  </w:style>
  <w:style w:type="paragraph" w:styleId="Heading5">
    <w:name w:val="heading 5"/>
    <w:next w:val="Normal"/>
    <w:qFormat/>
    <w:rsid w:val="00AA719D"/>
    <w:pPr>
      <w:keepNext/>
      <w:spacing w:before="120" w:line="276" w:lineRule="auto"/>
      <w:outlineLvl w:val="4"/>
    </w:pPr>
    <w:rPr>
      <w:rFonts w:ascii="Arial" w:hAnsi="Arial"/>
      <w:b/>
      <w:bCs/>
      <w:iCs/>
      <w:color w:val="000000" w:themeColor="text1"/>
      <w:sz w:val="24"/>
      <w:szCs w:val="26"/>
      <w:lang w:eastAsia="en-US"/>
    </w:rPr>
  </w:style>
  <w:style w:type="paragraph" w:styleId="Heading6">
    <w:name w:val="heading 6"/>
    <w:next w:val="Normal"/>
    <w:rsid w:val="000537E9"/>
    <w:pPr>
      <w:keepNext/>
      <w:spacing w:before="240" w:after="60"/>
      <w:outlineLvl w:val="5"/>
    </w:pPr>
    <w:rPr>
      <w:rFonts w:ascii="Arial" w:hAnsi="Arial"/>
      <w:b/>
      <w:bCs/>
      <w:sz w:val="22"/>
      <w:szCs w:val="22"/>
      <w:lang w:eastAsia="en-US"/>
    </w:rPr>
  </w:style>
  <w:style w:type="paragraph" w:styleId="Heading7">
    <w:name w:val="heading 7"/>
    <w:next w:val="Normal"/>
    <w:link w:val="Heading7Char"/>
    <w:semiHidden/>
    <w:unhideWhenUsed/>
    <w:rsid w:val="000537E9"/>
    <w:pPr>
      <w:keepNext/>
      <w:keepLines/>
      <w:spacing w:before="40"/>
      <w:outlineLvl w:val="6"/>
    </w:pPr>
    <w:rPr>
      <w:rFonts w:ascii="Arial" w:eastAsiaTheme="majorEastAsia" w:hAnsi="Arial" w:cstheme="majorBidi"/>
      <w:b/>
      <w:i/>
      <w:iCs/>
      <w:color w:val="243255" w:themeColor="accent1" w:themeShade="7F"/>
      <w:sz w:val="22"/>
      <w:szCs w:val="24"/>
      <w:lang w:eastAsia="en-US"/>
    </w:rPr>
  </w:style>
  <w:style w:type="paragraph" w:styleId="Heading8">
    <w:name w:val="heading 8"/>
    <w:basedOn w:val="Normal"/>
    <w:next w:val="Normal"/>
    <w:link w:val="Heading8Char"/>
    <w:semiHidden/>
    <w:unhideWhenUsed/>
    <w:qFormat/>
    <w:rsid w:val="000537E9"/>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0537E9"/>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rsid w:val="00BF7AD7"/>
    <w:rPr>
      <w:i/>
      <w:iCs/>
    </w:rPr>
  </w:style>
  <w:style w:type="character" w:styleId="Strong">
    <w:name w:val="Strong"/>
    <w:basedOn w:val="DefaultParagraphFont"/>
    <w:uiPriority w:val="99"/>
    <w:qFormat/>
    <w:rsid w:val="00BF7AD7"/>
    <w:rPr>
      <w:b/>
      <w:bCs/>
    </w:rPr>
  </w:style>
  <w:style w:type="paragraph" w:styleId="Subtitle">
    <w:name w:val="Subtitle"/>
    <w:next w:val="Normal"/>
    <w:link w:val="SubtitleChar"/>
    <w:qFormat/>
    <w:rsid w:val="006249DC"/>
    <w:pPr>
      <w:numPr>
        <w:ilvl w:val="1"/>
      </w:numPr>
      <w:spacing w:before="120" w:after="60"/>
    </w:pPr>
    <w:rPr>
      <w:rFonts w:ascii="Arial" w:eastAsiaTheme="majorEastAsia" w:hAnsi="Arial" w:cstheme="majorBidi"/>
      <w:iCs/>
      <w:color w:val="3F4A75"/>
      <w:spacing w:val="15"/>
      <w:sz w:val="56"/>
      <w:szCs w:val="56"/>
      <w:lang w:eastAsia="en-US"/>
    </w:rPr>
  </w:style>
  <w:style w:type="character" w:customStyle="1" w:styleId="SubtitleChar">
    <w:name w:val="Subtitle Char"/>
    <w:basedOn w:val="DefaultParagraphFont"/>
    <w:link w:val="Subtitle"/>
    <w:rsid w:val="006249DC"/>
    <w:rPr>
      <w:rFonts w:ascii="Arial" w:eastAsiaTheme="majorEastAsia" w:hAnsi="Arial" w:cstheme="majorBidi"/>
      <w:iCs/>
      <w:color w:val="3F4A75"/>
      <w:spacing w:val="15"/>
      <w:sz w:val="56"/>
      <w:szCs w:val="56"/>
      <w:lang w:eastAsia="en-US"/>
    </w:rPr>
  </w:style>
  <w:style w:type="paragraph" w:styleId="Title">
    <w:name w:val="Title"/>
    <w:next w:val="Normal"/>
    <w:link w:val="TitleChar"/>
    <w:qFormat/>
    <w:rsid w:val="005D4A3F"/>
    <w:pPr>
      <w:spacing w:before="1560" w:after="120"/>
      <w:contextualSpacing/>
    </w:pPr>
    <w:rPr>
      <w:rFonts w:ascii="Arial" w:eastAsiaTheme="majorEastAsia" w:hAnsi="Arial" w:cstheme="majorBidi"/>
      <w:b/>
      <w:color w:val="3F4A75"/>
      <w:kern w:val="28"/>
      <w:sz w:val="80"/>
      <w:szCs w:val="80"/>
      <w:lang w:eastAsia="en-US"/>
    </w:rPr>
  </w:style>
  <w:style w:type="character" w:customStyle="1" w:styleId="TitleChar">
    <w:name w:val="Title Char"/>
    <w:basedOn w:val="DefaultParagraphFont"/>
    <w:link w:val="Title"/>
    <w:rsid w:val="005D4A3F"/>
    <w:rPr>
      <w:rFonts w:ascii="Arial" w:eastAsiaTheme="majorEastAsia" w:hAnsi="Arial" w:cstheme="majorBidi"/>
      <w:b/>
      <w:color w:val="3F4A75"/>
      <w:kern w:val="28"/>
      <w:sz w:val="80"/>
      <w:szCs w:val="80"/>
      <w:lang w:eastAsia="en-US"/>
    </w:rPr>
  </w:style>
  <w:style w:type="character" w:styleId="SubtleEmphasis">
    <w:name w:val="Subtle Emphasis"/>
    <w:basedOn w:val="DefaultParagraphFont"/>
    <w:uiPriority w:val="19"/>
    <w:rsid w:val="00BF7AD7"/>
    <w:rPr>
      <w:i/>
      <w:iCs/>
      <w:color w:val="808080" w:themeColor="text1" w:themeTint="7F"/>
    </w:rPr>
  </w:style>
  <w:style w:type="character" w:styleId="IntenseEmphasis">
    <w:name w:val="Intense Emphasis"/>
    <w:basedOn w:val="DefaultParagraphFont"/>
    <w:uiPriority w:val="21"/>
    <w:rsid w:val="00BF7AD7"/>
    <w:rPr>
      <w:b/>
      <w:bCs/>
      <w:i/>
      <w:iCs/>
      <w:color w:val="4A66AC" w:themeColor="accent1"/>
    </w:rPr>
  </w:style>
  <w:style w:type="paragraph" w:styleId="Quote">
    <w:name w:val="Quote"/>
    <w:next w:val="Normal"/>
    <w:link w:val="QuoteChar"/>
    <w:uiPriority w:val="29"/>
    <w:qFormat/>
    <w:rsid w:val="00BF7AD7"/>
    <w:pPr>
      <w:ind w:left="720"/>
    </w:pPr>
    <w:rPr>
      <w:rFonts w:ascii="Arial" w:hAnsi="Arial"/>
      <w:i/>
      <w:iCs/>
      <w:color w:val="000000" w:themeColor="text1"/>
      <w:sz w:val="22"/>
      <w:szCs w:val="24"/>
      <w:lang w:eastAsia="en-US"/>
    </w:rPr>
  </w:style>
  <w:style w:type="character" w:customStyle="1" w:styleId="QuoteChar">
    <w:name w:val="Quote Char"/>
    <w:basedOn w:val="DefaultParagraphFont"/>
    <w:link w:val="Quote"/>
    <w:uiPriority w:val="29"/>
    <w:rsid w:val="00BF7AD7"/>
    <w:rPr>
      <w:rFonts w:ascii="Arial" w:hAnsi="Arial"/>
      <w:i/>
      <w:iCs/>
      <w:color w:val="000000" w:themeColor="text1"/>
      <w:sz w:val="22"/>
      <w:szCs w:val="24"/>
      <w:lang w:eastAsia="en-US"/>
    </w:rPr>
  </w:style>
  <w:style w:type="paragraph" w:styleId="IntenseQuote">
    <w:name w:val="Intense Quote"/>
    <w:next w:val="Normal"/>
    <w:link w:val="IntenseQuoteChar"/>
    <w:uiPriority w:val="30"/>
    <w:rsid w:val="00BF7AD7"/>
    <w:pPr>
      <w:pBdr>
        <w:bottom w:val="single" w:sz="4" w:space="4" w:color="4A66AC" w:themeColor="accent1"/>
      </w:pBdr>
      <w:spacing w:before="200" w:after="280"/>
      <w:ind w:left="936" w:right="936"/>
    </w:pPr>
    <w:rPr>
      <w:rFonts w:ascii="Arial" w:hAnsi="Arial"/>
      <w:b/>
      <w:bCs/>
      <w:i/>
      <w:iCs/>
      <w:color w:val="4A66AC" w:themeColor="accent1"/>
      <w:sz w:val="22"/>
      <w:szCs w:val="24"/>
      <w:lang w:eastAsia="en-US"/>
    </w:rPr>
  </w:style>
  <w:style w:type="character" w:customStyle="1" w:styleId="IntenseQuoteChar">
    <w:name w:val="Intense Quote Char"/>
    <w:basedOn w:val="DefaultParagraphFont"/>
    <w:link w:val="IntenseQuote"/>
    <w:uiPriority w:val="30"/>
    <w:rsid w:val="00BF7AD7"/>
    <w:rPr>
      <w:rFonts w:ascii="Arial" w:hAnsi="Arial"/>
      <w:b/>
      <w:bCs/>
      <w:i/>
      <w:iCs/>
      <w:color w:val="4A66AC" w:themeColor="accent1"/>
      <w:sz w:val="22"/>
      <w:szCs w:val="24"/>
      <w:lang w:eastAsia="en-US"/>
    </w:rPr>
  </w:style>
  <w:style w:type="character" w:styleId="SubtleReference">
    <w:name w:val="Subtle Reference"/>
    <w:basedOn w:val="DefaultParagraphFont"/>
    <w:uiPriority w:val="31"/>
    <w:rsid w:val="00BF7AD7"/>
    <w:rPr>
      <w:smallCaps/>
      <w:color w:val="629DD1" w:themeColor="accent2"/>
      <w:u w:val="single"/>
    </w:rPr>
  </w:style>
  <w:style w:type="character" w:styleId="IntenseReference">
    <w:name w:val="Intense Reference"/>
    <w:basedOn w:val="DefaultParagraphFont"/>
    <w:uiPriority w:val="32"/>
    <w:rsid w:val="00BF7AD7"/>
    <w:rPr>
      <w:b/>
      <w:bCs/>
      <w:i/>
      <w:smallCaps/>
      <w:color w:val="629DD1" w:themeColor="accent2"/>
      <w:spacing w:val="5"/>
      <w:u w:val="none"/>
    </w:rPr>
  </w:style>
  <w:style w:type="paragraph" w:styleId="ListBullet2">
    <w:name w:val="List Bullet 2"/>
    <w:basedOn w:val="Normal"/>
    <w:rsid w:val="00494017"/>
    <w:pPr>
      <w:numPr>
        <w:numId w:val="45"/>
      </w:numPr>
      <w:spacing w:after="60" w:line="240" w:lineRule="auto"/>
      <w:ind w:left="357" w:hanging="357"/>
    </w:pPr>
    <w:rPr>
      <w:rFonts w:cstheme="minorBidi"/>
      <w:lang w:val="en-US"/>
    </w:rPr>
  </w:style>
  <w:style w:type="paragraph" w:styleId="ListNumber2">
    <w:name w:val="List Number 2"/>
    <w:basedOn w:val="Normal"/>
    <w:qFormat/>
    <w:rsid w:val="00B87988"/>
    <w:pPr>
      <w:numPr>
        <w:numId w:val="1"/>
      </w:numPr>
      <w:tabs>
        <w:tab w:val="left" w:pos="340"/>
        <w:tab w:val="left" w:pos="680"/>
      </w:tabs>
      <w:spacing w:before="60" w:after="60"/>
    </w:pPr>
  </w:style>
  <w:style w:type="paragraph" w:customStyle="1" w:styleId="BasicParagraph">
    <w:name w:val="[Basic Paragraph]"/>
    <w:basedOn w:val="Normal"/>
    <w:uiPriority w:val="99"/>
    <w:rsid w:val="00D0690C"/>
    <w:pPr>
      <w:autoSpaceDE w:val="0"/>
      <w:autoSpaceDN w:val="0"/>
      <w:adjustRightInd w:val="0"/>
      <w:spacing w:before="0" w:after="0" w:line="288" w:lineRule="auto"/>
      <w:textAlignment w:val="center"/>
    </w:pPr>
    <w:rPr>
      <w:rFonts w:ascii="Minion Pro" w:hAnsi="Minion Pro" w:cs="Minion Pro"/>
      <w:color w:val="000000"/>
      <w:lang w:val="en-US" w:eastAsia="en-AU"/>
    </w:rPr>
  </w:style>
  <w:style w:type="paragraph" w:styleId="ListNumber3">
    <w:name w:val="List Number 3"/>
    <w:aliases w:val="List Third Level"/>
    <w:basedOn w:val="ListNumber2"/>
    <w:rsid w:val="00BF7AD7"/>
    <w:pPr>
      <w:numPr>
        <w:numId w:val="3"/>
      </w:numPr>
      <w:tabs>
        <w:tab w:val="num" w:pos="1440"/>
      </w:tabs>
    </w:pPr>
    <w:rPr>
      <w:rFonts w:eastAsia="Cambria"/>
      <w:color w:val="auto"/>
      <w:szCs w:val="22"/>
      <w:lang w:val="en-US"/>
    </w:rPr>
  </w:style>
  <w:style w:type="paragraph" w:customStyle="1" w:styleId="ImageTitle">
    <w:name w:val="Image Title"/>
    <w:locked/>
    <w:rsid w:val="00BF7AD7"/>
    <w:pPr>
      <w:tabs>
        <w:tab w:val="num" w:pos="1080"/>
      </w:tabs>
      <w:spacing w:before="120" w:line="240" w:lineRule="exact"/>
    </w:pPr>
    <w:rPr>
      <w:rFonts w:ascii="Arial" w:hAnsi="Arial"/>
      <w:color w:val="000000" w:themeColor="text1"/>
      <w:sz w:val="22"/>
      <w:szCs w:val="24"/>
      <w:lang w:eastAsia="en-US"/>
    </w:rPr>
  </w:style>
  <w:style w:type="paragraph" w:styleId="BalloonText">
    <w:name w:val="Balloon Text"/>
    <w:basedOn w:val="Normal"/>
    <w:link w:val="BalloonTextChar"/>
    <w:rsid w:val="00BF7AD7"/>
    <w:rPr>
      <w:rFonts w:ascii="Tahoma" w:hAnsi="Tahoma" w:cs="Tahoma"/>
      <w:sz w:val="16"/>
      <w:szCs w:val="16"/>
    </w:rPr>
  </w:style>
  <w:style w:type="character" w:customStyle="1" w:styleId="BalloonTextChar">
    <w:name w:val="Balloon Text Char"/>
    <w:basedOn w:val="DefaultParagraphFont"/>
    <w:link w:val="BalloonText"/>
    <w:rsid w:val="00BF7AD7"/>
    <w:rPr>
      <w:rFonts w:ascii="Tahoma" w:hAnsi="Tahoma" w:cs="Tahoma"/>
      <w:color w:val="000000" w:themeColor="text1"/>
      <w:sz w:val="16"/>
      <w:szCs w:val="16"/>
      <w:lang w:eastAsia="en-US"/>
    </w:rPr>
  </w:style>
  <w:style w:type="table" w:styleId="TableGrid">
    <w:name w:val="Table Grid"/>
    <w:basedOn w:val="TableNormal"/>
    <w:uiPriority w:val="59"/>
    <w:locked/>
    <w:rsid w:val="004940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Col">
      <w:pPr>
        <w:jc w:val="left"/>
      </w:pPr>
      <w:rPr>
        <w:b w:val="0"/>
        <w:color w:val="002060"/>
      </w:rPr>
    </w:tblStylePr>
  </w:style>
  <w:style w:type="table" w:styleId="TableColumns3">
    <w:name w:val="Table Columns 3"/>
    <w:basedOn w:val="TableNormal"/>
    <w:locked/>
    <w:rsid w:val="00BF7AD7"/>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
    <w:name w:val="Table text"/>
    <w:basedOn w:val="Normal"/>
    <w:autoRedefine/>
    <w:qFormat/>
    <w:locked/>
    <w:rsid w:val="00494017"/>
    <w:pPr>
      <w:spacing w:before="0" w:after="0"/>
      <w:contextualSpacing/>
    </w:pPr>
    <w:rPr>
      <w:color w:val="auto"/>
      <w:sz w:val="20"/>
      <w:szCs w:val="20"/>
    </w:rPr>
  </w:style>
  <w:style w:type="table" w:styleId="TableColumns2">
    <w:name w:val="Table Columns 2"/>
    <w:basedOn w:val="TableNormal"/>
    <w:locked/>
    <w:rsid w:val="00BF7AD7"/>
    <w:pPr>
      <w:spacing w:before="120" w:line="240" w:lineRule="exac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1">
    <w:name w:val="Table Columns 1"/>
    <w:basedOn w:val="TableNormal"/>
    <w:locked/>
    <w:rsid w:val="00BF7AD7"/>
    <w:rPr>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urful3">
    <w:name w:val="Table Colorful 3"/>
    <w:basedOn w:val="TableNormal"/>
    <w:locked/>
    <w:rsid w:val="00BF7AD7"/>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lassic4">
    <w:name w:val="Table Classic 4"/>
    <w:basedOn w:val="TableNormal"/>
    <w:locked/>
    <w:rsid w:val="00BF7AD7"/>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Grid8">
    <w:name w:val="Table Grid 8"/>
    <w:basedOn w:val="TableNormal"/>
    <w:locked/>
    <w:rsid w:val="00BF7AD7"/>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TableTitle">
    <w:name w:val="Table Title"/>
    <w:basedOn w:val="Normal"/>
    <w:link w:val="TableTitleChar"/>
    <w:qFormat/>
    <w:locked/>
    <w:rsid w:val="00E37590"/>
    <w:rPr>
      <w:b/>
      <w:bCs/>
    </w:rPr>
  </w:style>
  <w:style w:type="paragraph" w:styleId="Footer">
    <w:name w:val="footer"/>
    <w:link w:val="FooterChar"/>
    <w:uiPriority w:val="99"/>
    <w:qFormat/>
    <w:rsid w:val="00BF7AD7"/>
    <w:pPr>
      <w:tabs>
        <w:tab w:val="center" w:pos="0"/>
        <w:tab w:val="right" w:pos="9026"/>
      </w:tabs>
      <w:jc w:val="right"/>
    </w:pPr>
    <w:rPr>
      <w:rFonts w:ascii="Arial" w:hAnsi="Arial"/>
      <w:szCs w:val="24"/>
      <w:lang w:eastAsia="en-US"/>
    </w:rPr>
  </w:style>
  <w:style w:type="character" w:customStyle="1" w:styleId="FooterChar">
    <w:name w:val="Footer Char"/>
    <w:basedOn w:val="DefaultParagraphFont"/>
    <w:link w:val="Footer"/>
    <w:uiPriority w:val="99"/>
    <w:rsid w:val="00BF7AD7"/>
    <w:rPr>
      <w:rFonts w:ascii="Arial" w:hAnsi="Arial"/>
      <w:szCs w:val="24"/>
      <w:lang w:eastAsia="en-US"/>
    </w:rPr>
  </w:style>
  <w:style w:type="paragraph" w:customStyle="1" w:styleId="TableHeaderWhite">
    <w:name w:val="Table Header White"/>
    <w:basedOn w:val="Normal"/>
    <w:next w:val="Tabletext"/>
    <w:qFormat/>
    <w:rsid w:val="005A49D1"/>
    <w:pPr>
      <w:spacing w:before="80" w:after="80"/>
      <w:jc w:val="center"/>
    </w:pPr>
    <w:rPr>
      <w:rFonts w:eastAsia="Cambria"/>
      <w:b/>
      <w:color w:val="FFFFFF" w:themeColor="background1"/>
      <w:szCs w:val="22"/>
      <w:lang w:val="en-US"/>
    </w:rPr>
  </w:style>
  <w:style w:type="table" w:styleId="TableGrid7">
    <w:name w:val="Table Grid 7"/>
    <w:basedOn w:val="TableNormal"/>
    <w:locked/>
    <w:rsid w:val="00BF7AD7"/>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Tablehead">
    <w:name w:val="Table_head"/>
    <w:basedOn w:val="Normal"/>
    <w:locked/>
    <w:rsid w:val="00ED28BD"/>
    <w:rPr>
      <w:b/>
      <w:bCs/>
      <w:color w:val="FFFFFF" w:themeColor="background1"/>
      <w:szCs w:val="20"/>
    </w:rPr>
  </w:style>
  <w:style w:type="numbering" w:customStyle="1" w:styleId="CurrentList3">
    <w:name w:val="Current List3"/>
    <w:uiPriority w:val="99"/>
    <w:rsid w:val="00573037"/>
    <w:pPr>
      <w:numPr>
        <w:numId w:val="14"/>
      </w:numPr>
    </w:pPr>
  </w:style>
  <w:style w:type="paragraph" w:styleId="NormalWeb">
    <w:name w:val="Normal (Web)"/>
    <w:basedOn w:val="Normal"/>
    <w:uiPriority w:val="99"/>
    <w:unhideWhenUsed/>
    <w:rsid w:val="00BF7AD7"/>
    <w:pPr>
      <w:spacing w:before="100" w:beforeAutospacing="1" w:after="100" w:afterAutospacing="1"/>
    </w:pPr>
    <w:rPr>
      <w:rFonts w:ascii="Times New Roman" w:hAnsi="Times New Roman"/>
      <w:lang w:eastAsia="en-AU"/>
    </w:rPr>
  </w:style>
  <w:style w:type="paragraph" w:customStyle="1" w:styleId="Headertext">
    <w:name w:val="Header text"/>
    <w:rsid w:val="00BF7AD7"/>
    <w:pPr>
      <w:jc w:val="right"/>
    </w:pPr>
    <w:rPr>
      <w:rFonts w:ascii="Arial" w:hAnsi="Arial"/>
      <w:szCs w:val="24"/>
      <w:lang w:eastAsia="en-US"/>
    </w:rPr>
  </w:style>
  <w:style w:type="character" w:styleId="Hyperlink">
    <w:name w:val="Hyperlink"/>
    <w:basedOn w:val="DefaultParagraphFont"/>
    <w:uiPriority w:val="99"/>
    <w:qFormat/>
    <w:rsid w:val="00A602D4"/>
    <w:rPr>
      <w:color w:val="0070C0"/>
      <w:u w:val="single"/>
    </w:rPr>
  </w:style>
  <w:style w:type="table" w:customStyle="1" w:styleId="PHNGreyTable">
    <w:name w:val="PHN Grey Table"/>
    <w:basedOn w:val="TableNormal"/>
    <w:uiPriority w:val="99"/>
    <w:rsid w:val="00BF7AD7"/>
    <w:pPr>
      <w:spacing w:before="120" w:after="120"/>
    </w:pPr>
    <w:rPr>
      <w:rFonts w:ascii="Arial" w:hAnsi="Arial"/>
      <w:sz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blStylePr w:type="firstRow">
      <w:rPr>
        <w:rFonts w:ascii="Arial" w:hAnsi="Arial"/>
        <w:b/>
        <w:color w:val="FFFFFF" w:themeColor="background1"/>
        <w:sz w:val="22"/>
      </w:rPr>
      <w:tblPr/>
      <w:tcPr>
        <w:shd w:val="clear" w:color="auto" w:fill="32373A"/>
      </w:tcPr>
    </w:tblStylePr>
  </w:style>
  <w:style w:type="paragraph" w:customStyle="1" w:styleId="Tablelistbullet">
    <w:name w:val="Table list bullet"/>
    <w:basedOn w:val="Tabletext"/>
    <w:qFormat/>
    <w:rsid w:val="00BF7AD7"/>
    <w:pPr>
      <w:numPr>
        <w:numId w:val="4"/>
      </w:numPr>
    </w:pPr>
  </w:style>
  <w:style w:type="paragraph" w:customStyle="1" w:styleId="Tablelistnumber">
    <w:name w:val="Table list number"/>
    <w:basedOn w:val="Tabletext"/>
    <w:qFormat/>
    <w:rsid w:val="00BF7AD7"/>
    <w:pPr>
      <w:numPr>
        <w:numId w:val="5"/>
      </w:numPr>
    </w:pPr>
    <w:rPr>
      <w:bCs/>
      <w14:numSpacing w14:val="proportional"/>
    </w:rPr>
  </w:style>
  <w:style w:type="paragraph" w:customStyle="1" w:styleId="TableHeader">
    <w:name w:val="Table Header"/>
    <w:basedOn w:val="Normal"/>
    <w:next w:val="Tabletext"/>
    <w:qFormat/>
    <w:rsid w:val="005A49D1"/>
    <w:pPr>
      <w:spacing w:before="80" w:after="80"/>
      <w:jc w:val="center"/>
    </w:pPr>
    <w:rPr>
      <w:rFonts w:eastAsia="Cambria"/>
      <w:b/>
      <w:color w:val="auto"/>
      <w:szCs w:val="22"/>
      <w:lang w:val="en-US"/>
    </w:rPr>
  </w:style>
  <w:style w:type="paragraph" w:customStyle="1" w:styleId="SectionNumber">
    <w:name w:val="Section Number"/>
    <w:basedOn w:val="Normal"/>
    <w:next w:val="Normal"/>
    <w:rsid w:val="009B5601"/>
    <w:pPr>
      <w:pBdr>
        <w:bottom w:val="single" w:sz="24" w:space="6" w:color="4A66AC" w:themeColor="accent1"/>
      </w:pBdr>
      <w:shd w:val="clear" w:color="auto" w:fill="000000" w:themeFill="text1"/>
      <w:spacing w:before="320" w:after="0" w:line="240" w:lineRule="auto"/>
    </w:pPr>
    <w:rPr>
      <w:noProof/>
      <w:color w:val="FFFFFF" w:themeColor="background1"/>
      <w:sz w:val="36"/>
      <w:szCs w:val="36"/>
    </w:rPr>
  </w:style>
  <w:style w:type="paragraph" w:styleId="FootnoteText">
    <w:name w:val="footnote text"/>
    <w:link w:val="FootnoteTextChar"/>
    <w:rsid w:val="00BF7AD7"/>
    <w:rPr>
      <w:rFonts w:ascii="Arial" w:hAnsi="Arial"/>
      <w:lang w:eastAsia="en-US"/>
    </w:rPr>
  </w:style>
  <w:style w:type="character" w:customStyle="1" w:styleId="FootnoteTextChar">
    <w:name w:val="Footnote Text Char"/>
    <w:basedOn w:val="DefaultParagraphFont"/>
    <w:link w:val="FootnoteText"/>
    <w:rsid w:val="00BF7AD7"/>
    <w:rPr>
      <w:rFonts w:ascii="Arial" w:hAnsi="Arial"/>
      <w:lang w:eastAsia="en-US"/>
    </w:rPr>
  </w:style>
  <w:style w:type="paragraph" w:styleId="Caption">
    <w:name w:val="caption"/>
    <w:basedOn w:val="Normal"/>
    <w:next w:val="Normal"/>
    <w:unhideWhenUsed/>
    <w:rsid w:val="00494017"/>
    <w:pPr>
      <w:spacing w:after="60"/>
    </w:pPr>
    <w:rPr>
      <w:b/>
      <w:bCs/>
      <w:color w:val="002060"/>
      <w:sz w:val="22"/>
      <w:szCs w:val="18"/>
    </w:rPr>
  </w:style>
  <w:style w:type="paragraph" w:customStyle="1" w:styleId="PullOut">
    <w:name w:val="Pull Out"/>
    <w:basedOn w:val="Normal"/>
    <w:qFormat/>
    <w:rsid w:val="00E169D8"/>
    <w:pPr>
      <w:pBdr>
        <w:top w:val="single" w:sz="4" w:space="15" w:color="358189"/>
        <w:bottom w:val="single" w:sz="4" w:space="10" w:color="358189"/>
      </w:pBdr>
      <w:spacing w:before="240" w:after="240" w:line="340" w:lineRule="exact"/>
    </w:pPr>
    <w:rPr>
      <w:rFonts w:eastAsiaTheme="minorHAnsi"/>
      <w:b/>
      <w:sz w:val="32"/>
    </w:rPr>
  </w:style>
  <w:style w:type="paragraph" w:customStyle="1" w:styleId="Style1">
    <w:name w:val="Style1"/>
    <w:next w:val="Normal"/>
    <w:rsid w:val="00BF7AD7"/>
    <w:pPr>
      <w:pBdr>
        <w:top w:val="single" w:sz="6" w:space="20" w:color="358189"/>
        <w:left w:val="single" w:sz="6" w:space="10" w:color="358189"/>
        <w:bottom w:val="single" w:sz="6" w:space="10" w:color="358189"/>
        <w:right w:val="single" w:sz="6" w:space="10" w:color="358189"/>
      </w:pBdr>
      <w:spacing w:after="240" w:line="260" w:lineRule="auto"/>
      <w:ind w:left="227" w:right="227"/>
    </w:pPr>
    <w:rPr>
      <w:rFonts w:ascii="Arial" w:hAnsi="Arial" w:cs="Arial"/>
      <w:color w:val="000000" w:themeColor="text1"/>
      <w:sz w:val="21"/>
      <w:szCs w:val="24"/>
      <w:lang w:val="en" w:eastAsia="en-US"/>
    </w:rPr>
  </w:style>
  <w:style w:type="character" w:customStyle="1" w:styleId="BoldAllCaps">
    <w:name w:val="Bold All Caps"/>
    <w:basedOn w:val="DefaultParagraphFont"/>
    <w:uiPriority w:val="1"/>
    <w:qFormat/>
    <w:rsid w:val="00177AD2"/>
    <w:rPr>
      <w:b/>
      <w:caps/>
      <w:smallCaps w:val="0"/>
      <w:color w:val="358189"/>
      <w:bdr w:val="none" w:sz="0" w:space="0" w:color="auto"/>
    </w:rPr>
  </w:style>
  <w:style w:type="paragraph" w:customStyle="1" w:styleId="PolicyStatement">
    <w:name w:val="PolicyStatement"/>
    <w:basedOn w:val="Normal"/>
    <w:qFormat/>
    <w:rsid w:val="00AA723B"/>
    <w:pPr>
      <w:pBdr>
        <w:top w:val="single" w:sz="4" w:space="20" w:color="F2F2F2" w:themeColor="background1" w:themeShade="F2"/>
        <w:left w:val="single" w:sz="4" w:space="10" w:color="F2F2F2" w:themeColor="background1" w:themeShade="F2"/>
        <w:bottom w:val="single" w:sz="4" w:space="10" w:color="F2F2F2" w:themeColor="background1" w:themeShade="F2"/>
        <w:right w:val="single" w:sz="4" w:space="10" w:color="F2F2F2" w:themeColor="background1" w:themeShade="F2"/>
      </w:pBdr>
      <w:shd w:val="clear" w:color="auto" w:fill="F2F2F2" w:themeFill="background1" w:themeFillShade="F2"/>
      <w:spacing w:line="259" w:lineRule="auto"/>
      <w:ind w:left="227" w:right="227"/>
    </w:pPr>
  </w:style>
  <w:style w:type="table" w:customStyle="1" w:styleId="DepartmentofHealthtable">
    <w:name w:val="Department of Health table"/>
    <w:basedOn w:val="TableNormal"/>
    <w:uiPriority w:val="99"/>
    <w:rsid w:val="004C3002"/>
    <w:rPr>
      <w:rFonts w:ascii="Arial" w:hAnsi="Arial"/>
      <w:color w:val="000000" w:themeColor="text1"/>
      <w:sz w:val="21"/>
    </w:rPr>
    <w:tblPr>
      <w:tblBorders>
        <w:top w:val="single" w:sz="4" w:space="0" w:color="000000" w:themeColor="text1"/>
        <w:bottom w:val="single" w:sz="4" w:space="0" w:color="000000" w:themeColor="text1"/>
        <w:insideH w:val="single" w:sz="4" w:space="0" w:color="000000" w:themeColor="text1"/>
      </w:tblBorders>
    </w:tblPr>
    <w:tcPr>
      <w:shd w:val="clear" w:color="auto" w:fill="auto"/>
      <w:vAlign w:val="center"/>
    </w:tcPr>
    <w:tblStylePr w:type="firstRow">
      <w:rPr>
        <w:rFonts w:ascii="Arial" w:hAnsi="Arial"/>
        <w:b/>
        <w:color w:val="FFFFFF" w:themeColor="background1"/>
        <w:sz w:val="24"/>
      </w:rPr>
      <w:tblPr/>
      <w:tcPr>
        <w:shd w:val="clear" w:color="auto" w:fill="000000" w:themeFill="text1"/>
      </w:tcPr>
    </w:tblStylePr>
    <w:tblStylePr w:type="lastRow">
      <w:rPr>
        <w:rFonts w:ascii="Arial" w:hAnsi="Arial"/>
        <w:color w:val="000000" w:themeColor="text1"/>
      </w:rPr>
    </w:tblStylePr>
    <w:tblStylePr w:type="firstCol">
      <w:rPr>
        <w:b/>
      </w:rPr>
    </w:tblStylePr>
  </w:style>
  <w:style w:type="character" w:customStyle="1" w:styleId="TableTitleChar">
    <w:name w:val="Table Title Char"/>
    <w:basedOn w:val="DefaultParagraphFont"/>
    <w:link w:val="TableTitle"/>
    <w:rsid w:val="00E37590"/>
    <w:rPr>
      <w:rFonts w:ascii="Arial" w:hAnsi="Arial"/>
      <w:b/>
      <w:bCs/>
      <w:color w:val="000000" w:themeColor="text1"/>
      <w:sz w:val="24"/>
      <w:szCs w:val="24"/>
      <w:lang w:eastAsia="en-US"/>
    </w:rPr>
  </w:style>
  <w:style w:type="paragraph" w:customStyle="1" w:styleId="IntroPara">
    <w:name w:val="Intro Para"/>
    <w:basedOn w:val="Normal"/>
    <w:next w:val="Normal"/>
    <w:qFormat/>
    <w:rsid w:val="004F075D"/>
    <w:pPr>
      <w:spacing w:before="480" w:after="240" w:line="400" w:lineRule="exact"/>
    </w:pPr>
    <w:rPr>
      <w:sz w:val="32"/>
      <w:szCs w:val="28"/>
    </w:rPr>
  </w:style>
  <w:style w:type="paragraph" w:customStyle="1" w:styleId="TableTextright">
    <w:name w:val="Table Text right"/>
    <w:basedOn w:val="Tabletext"/>
    <w:rsid w:val="00BF7AD7"/>
    <w:pPr>
      <w:jc w:val="right"/>
    </w:pPr>
  </w:style>
  <w:style w:type="paragraph" w:customStyle="1" w:styleId="Tabletextright0">
    <w:name w:val="Table text right"/>
    <w:basedOn w:val="Tabletext"/>
    <w:rsid w:val="00BF7AD7"/>
    <w:pPr>
      <w:jc w:val="right"/>
    </w:pPr>
  </w:style>
  <w:style w:type="paragraph" w:customStyle="1" w:styleId="Tabletextcentre">
    <w:name w:val="Table text centre"/>
    <w:basedOn w:val="Tabletext"/>
    <w:rsid w:val="00494017"/>
    <w:pPr>
      <w:jc w:val="center"/>
    </w:pPr>
    <w:rPr>
      <w:b/>
    </w:rPr>
  </w:style>
  <w:style w:type="paragraph" w:customStyle="1" w:styleId="Boxheading">
    <w:name w:val="Box heading"/>
    <w:basedOn w:val="Boxtype"/>
    <w:qFormat/>
    <w:rsid w:val="00BF7AD7"/>
    <w:pPr>
      <w:spacing w:before="240"/>
    </w:pPr>
    <w:rPr>
      <w:rFonts w:cs="Times New Roman"/>
      <w:b/>
      <w:bCs/>
      <w:caps/>
      <w:color w:val="358189"/>
      <w:szCs w:val="20"/>
    </w:rPr>
  </w:style>
  <w:style w:type="paragraph" w:customStyle="1" w:styleId="Boxtype">
    <w:name w:val="Box type"/>
    <w:next w:val="Normal"/>
    <w:qFormat/>
    <w:rsid w:val="00BF7AD7"/>
    <w:pPr>
      <w:pBdr>
        <w:top w:val="single" w:sz="6" w:space="20" w:color="358189"/>
        <w:left w:val="single" w:sz="6" w:space="10" w:color="358189"/>
        <w:bottom w:val="single" w:sz="6" w:space="10" w:color="358189"/>
        <w:right w:val="single" w:sz="6" w:space="10" w:color="358189"/>
      </w:pBdr>
      <w:spacing w:after="240" w:line="276" w:lineRule="auto"/>
      <w:ind w:left="227" w:right="227"/>
    </w:pPr>
    <w:rPr>
      <w:rFonts w:ascii="Arial" w:hAnsi="Arial" w:cs="Arial"/>
      <w:color w:val="000000" w:themeColor="text1"/>
      <w:sz w:val="22"/>
      <w:szCs w:val="24"/>
      <w:lang w:val="en" w:eastAsia="en-US"/>
    </w:rPr>
  </w:style>
  <w:style w:type="paragraph" w:styleId="BodyText">
    <w:name w:val="Body Text"/>
    <w:basedOn w:val="Normal"/>
    <w:link w:val="BodyTextChar"/>
    <w:uiPriority w:val="1"/>
    <w:unhideWhenUsed/>
    <w:qFormat/>
    <w:rsid w:val="00BF7AD7"/>
  </w:style>
  <w:style w:type="character" w:customStyle="1" w:styleId="BodyTextChar">
    <w:name w:val="Body Text Char"/>
    <w:basedOn w:val="DefaultParagraphFont"/>
    <w:link w:val="BodyText"/>
    <w:uiPriority w:val="1"/>
    <w:rsid w:val="00BF7AD7"/>
    <w:rPr>
      <w:rFonts w:ascii="Arial" w:hAnsi="Arial"/>
      <w:color w:val="000000" w:themeColor="text1"/>
      <w:sz w:val="22"/>
      <w:szCs w:val="24"/>
      <w:lang w:eastAsia="en-US"/>
    </w:rPr>
  </w:style>
  <w:style w:type="paragraph" w:customStyle="1" w:styleId="Footerrightpage">
    <w:name w:val="Footer right page"/>
    <w:basedOn w:val="Footer"/>
    <w:rsid w:val="00BF7AD7"/>
  </w:style>
  <w:style w:type="character" w:customStyle="1" w:styleId="Heading7Char">
    <w:name w:val="Heading 7 Char"/>
    <w:basedOn w:val="DefaultParagraphFont"/>
    <w:link w:val="Heading7"/>
    <w:semiHidden/>
    <w:rsid w:val="00BF7AD7"/>
    <w:rPr>
      <w:rFonts w:ascii="Arial" w:eastAsiaTheme="majorEastAsia" w:hAnsi="Arial" w:cstheme="majorBidi"/>
      <w:b/>
      <w:i/>
      <w:iCs/>
      <w:color w:val="243255" w:themeColor="accent1" w:themeShade="7F"/>
      <w:sz w:val="22"/>
      <w:szCs w:val="24"/>
      <w:lang w:eastAsia="en-US"/>
    </w:rPr>
  </w:style>
  <w:style w:type="paragraph" w:customStyle="1" w:styleId="URL">
    <w:name w:val="URL"/>
    <w:basedOn w:val="Normal"/>
    <w:rsid w:val="00BF7AD7"/>
    <w:pPr>
      <w:spacing w:before="3120"/>
      <w:jc w:val="center"/>
    </w:pPr>
    <w:rPr>
      <w:b/>
      <w:bCs/>
      <w:szCs w:val="20"/>
    </w:rPr>
  </w:style>
  <w:style w:type="table" w:customStyle="1" w:styleId="PlainTable21">
    <w:name w:val="Plain Table 21"/>
    <w:basedOn w:val="TableNormal"/>
    <w:next w:val="PlainTable2"/>
    <w:uiPriority w:val="42"/>
    <w:rsid w:val="00AA723B"/>
    <w:pPr>
      <w:spacing w:before="120" w:after="120" w:line="276" w:lineRule="auto"/>
      <w:ind w:left="2160"/>
    </w:pPr>
    <w:rPr>
      <w:rFonts w:ascii="Arial" w:eastAsiaTheme="minorEastAsia" w:hAnsi="Arial"/>
      <w:color w:val="000000" w:themeColor="text1"/>
      <w:lang w:eastAsia="en-US"/>
    </w:rPr>
    <w:tblPr>
      <w:tblStyleRowBandSize w:val="1"/>
      <w:tblStyleColBandSize w:val="1"/>
      <w:tblBorders>
        <w:top w:val="single" w:sz="4" w:space="0" w:color="auto"/>
        <w:bottom w:val="single" w:sz="4" w:space="0" w:color="auto"/>
      </w:tblBorders>
    </w:tblPr>
    <w:tblStylePr w:type="firstRow">
      <w:rPr>
        <w:rFonts w:ascii="Arial" w:hAnsi="Arial" w:cs="Times New Roman"/>
        <w:b/>
        <w:bCs/>
        <w:color w:val="000000" w:themeColor="text1"/>
        <w:sz w:val="24"/>
      </w:rPr>
      <w:tblPr/>
      <w:tcPr>
        <w:tcBorders>
          <w:bottom w:val="single" w:sz="4" w:space="0" w:color="715DCD"/>
        </w:tcBorders>
      </w:tcPr>
    </w:tblStylePr>
    <w:tblStylePr w:type="lastRow">
      <w:rPr>
        <w:rFonts w:cs="Times New Roman"/>
        <w:b/>
        <w:bCs/>
      </w:rPr>
      <w:tblPr/>
      <w:tcPr>
        <w:tcBorders>
          <w:top w:val="single" w:sz="4" w:space="0" w:color="715DC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single" w:sz="4" w:space="0" w:color="715DCD"/>
          <w:right w:val="single" w:sz="4" w:space="0" w:color="715DCD"/>
        </w:tcBorders>
      </w:tcPr>
    </w:tblStylePr>
    <w:tblStylePr w:type="band2Vert">
      <w:rPr>
        <w:rFonts w:cs="Times New Roman"/>
      </w:rPr>
      <w:tblPr/>
      <w:tcPr>
        <w:tcBorders>
          <w:left w:val="single" w:sz="4" w:space="0" w:color="715DCD"/>
          <w:right w:val="single" w:sz="4" w:space="0" w:color="715DCD"/>
        </w:tcBorders>
      </w:tcPr>
    </w:tblStylePr>
    <w:tblStylePr w:type="band1Horz">
      <w:rPr>
        <w:rFonts w:cs="Times New Roman"/>
      </w:rPr>
      <w:tblPr/>
      <w:tcPr>
        <w:tcBorders>
          <w:top w:val="single" w:sz="4" w:space="0" w:color="715DCD"/>
          <w:bottom w:val="single" w:sz="4" w:space="0" w:color="715DCD"/>
        </w:tcBorders>
      </w:tcPr>
    </w:tblStylePr>
  </w:style>
  <w:style w:type="paragraph" w:customStyle="1" w:styleId="TABLENumber">
    <w:name w:val="TABLE Number"/>
    <w:basedOn w:val="Normal"/>
    <w:link w:val="TABLENumberChar"/>
    <w:qFormat/>
    <w:rsid w:val="00494017"/>
    <w:pPr>
      <w:numPr>
        <w:numId w:val="6"/>
      </w:numPr>
      <w:contextualSpacing/>
    </w:pPr>
    <w:rPr>
      <w:noProof/>
      <w:color w:val="1E1545"/>
      <w:sz w:val="20"/>
      <w:szCs w:val="20"/>
      <w:shd w:val="clear" w:color="auto" w:fill="FFFFFF"/>
      <w:lang w:val="en-US" w:eastAsia="en-GB"/>
    </w:rPr>
  </w:style>
  <w:style w:type="paragraph" w:customStyle="1" w:styleId="TABLEbulletpoint">
    <w:name w:val="TABLE bullet point"/>
    <w:basedOn w:val="Normal"/>
    <w:link w:val="TABLEbulletpointChar"/>
    <w:qFormat/>
    <w:rsid w:val="00494017"/>
    <w:pPr>
      <w:numPr>
        <w:numId w:val="7"/>
      </w:numPr>
      <w:spacing w:before="60" w:after="60"/>
      <w:ind w:left="460" w:hanging="347"/>
    </w:pPr>
    <w:rPr>
      <w:noProof/>
      <w:color w:val="auto"/>
      <w:sz w:val="20"/>
      <w:szCs w:val="20"/>
      <w:shd w:val="clear" w:color="auto" w:fill="FFFFFF"/>
      <w:lang w:val="en-US" w:eastAsia="en-GB"/>
    </w:rPr>
  </w:style>
  <w:style w:type="character" w:customStyle="1" w:styleId="TABLENumberChar">
    <w:name w:val="TABLE Number Char"/>
    <w:basedOn w:val="DefaultParagraphFont"/>
    <w:link w:val="TABLENumber"/>
    <w:locked/>
    <w:rsid w:val="00E169D8"/>
    <w:rPr>
      <w:rFonts w:ascii="Arial" w:hAnsi="Arial"/>
      <w:noProof/>
      <w:color w:val="1E1545"/>
      <w:lang w:val="en-US" w:eastAsia="en-GB"/>
    </w:rPr>
  </w:style>
  <w:style w:type="character" w:customStyle="1" w:styleId="TABLEbulletpointChar">
    <w:name w:val="TABLE bullet point Char"/>
    <w:basedOn w:val="DefaultParagraphFont"/>
    <w:link w:val="TABLEbulletpoint"/>
    <w:locked/>
    <w:rsid w:val="004C3002"/>
    <w:rPr>
      <w:rFonts w:ascii="Arial" w:hAnsi="Arial"/>
      <w:noProof/>
      <w:lang w:val="en-US" w:eastAsia="en-GB"/>
    </w:rPr>
  </w:style>
  <w:style w:type="table" w:styleId="PlainTable2">
    <w:name w:val="Plain Table 2"/>
    <w:basedOn w:val="TableNormal"/>
    <w:uiPriority w:val="42"/>
    <w:rsid w:val="00E169D8"/>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ListNumber">
    <w:name w:val="List Number"/>
    <w:basedOn w:val="Normal"/>
    <w:rsid w:val="00AA723B"/>
    <w:pPr>
      <w:contextualSpacing/>
    </w:pPr>
  </w:style>
  <w:style w:type="paragraph" w:customStyle="1" w:styleId="SectionTitle">
    <w:name w:val="Section Title"/>
    <w:basedOn w:val="Normal"/>
    <w:rsid w:val="009B5601"/>
    <w:pPr>
      <w:shd w:val="clear" w:color="auto" w:fill="000000" w:themeFill="text1"/>
      <w:spacing w:before="840"/>
    </w:pPr>
    <w:rPr>
      <w:b/>
      <w:bCs/>
      <w:color w:val="FFFFFF" w:themeColor="background1"/>
      <w:sz w:val="80"/>
      <w:szCs w:val="80"/>
    </w:rPr>
  </w:style>
  <w:style w:type="numbering" w:customStyle="1" w:styleId="Style2">
    <w:name w:val="Style2"/>
    <w:uiPriority w:val="99"/>
    <w:rsid w:val="0029727B"/>
    <w:pPr>
      <w:numPr>
        <w:numId w:val="8"/>
      </w:numPr>
    </w:pPr>
  </w:style>
  <w:style w:type="numbering" w:customStyle="1" w:styleId="CurrentList1">
    <w:name w:val="Current List1"/>
    <w:uiPriority w:val="99"/>
    <w:rsid w:val="008E6354"/>
    <w:pPr>
      <w:numPr>
        <w:numId w:val="9"/>
      </w:numPr>
    </w:pPr>
  </w:style>
  <w:style w:type="paragraph" w:styleId="TOCHeading">
    <w:name w:val="TOC Heading"/>
    <w:basedOn w:val="Heading1"/>
    <w:next w:val="Normal"/>
    <w:uiPriority w:val="39"/>
    <w:unhideWhenUsed/>
    <w:qFormat/>
    <w:rsid w:val="00573037"/>
    <w:pPr>
      <w:keepLines/>
      <w:spacing w:before="240" w:after="0" w:line="259" w:lineRule="auto"/>
      <w:outlineLvl w:val="9"/>
    </w:pPr>
    <w:rPr>
      <w:rFonts w:eastAsiaTheme="majorEastAsia" w:cstheme="majorBidi"/>
      <w:bCs w:val="0"/>
      <w:color w:val="242852" w:themeColor="text2"/>
      <w:kern w:val="0"/>
      <w:sz w:val="32"/>
      <w:szCs w:val="32"/>
      <w:lang w:val="en-US"/>
    </w:rPr>
  </w:style>
  <w:style w:type="paragraph" w:styleId="TOC1">
    <w:name w:val="toc 1"/>
    <w:basedOn w:val="Heading2"/>
    <w:next w:val="Normal"/>
    <w:autoRedefine/>
    <w:uiPriority w:val="39"/>
    <w:unhideWhenUsed/>
    <w:rsid w:val="005A49D1"/>
    <w:pPr>
      <w:spacing w:before="240"/>
      <w:outlineLvl w:val="9"/>
    </w:pPr>
    <w:rPr>
      <w:rFonts w:cstheme="minorHAnsi"/>
      <w:bCs w:val="0"/>
      <w:sz w:val="24"/>
      <w:szCs w:val="20"/>
    </w:rPr>
  </w:style>
  <w:style w:type="paragraph" w:styleId="TOC2">
    <w:name w:val="toc 2"/>
    <w:basedOn w:val="Normal"/>
    <w:next w:val="Normal"/>
    <w:uiPriority w:val="39"/>
    <w:unhideWhenUsed/>
    <w:rsid w:val="00DD6906"/>
    <w:pPr>
      <w:spacing w:after="0"/>
      <w:ind w:left="240"/>
    </w:pPr>
    <w:rPr>
      <w:rFonts w:asciiTheme="minorHAnsi" w:hAnsiTheme="minorHAnsi" w:cstheme="minorHAnsi"/>
      <w:i/>
      <w:iCs/>
      <w:sz w:val="20"/>
      <w:szCs w:val="20"/>
    </w:rPr>
  </w:style>
  <w:style w:type="paragraph" w:styleId="TOC3">
    <w:name w:val="toc 3"/>
    <w:basedOn w:val="Normal"/>
    <w:next w:val="Normal"/>
    <w:autoRedefine/>
    <w:uiPriority w:val="39"/>
    <w:unhideWhenUsed/>
    <w:rsid w:val="00DD6906"/>
    <w:pPr>
      <w:spacing w:before="0" w:after="0"/>
      <w:ind w:left="480"/>
    </w:pPr>
    <w:rPr>
      <w:rFonts w:asciiTheme="minorHAnsi" w:hAnsiTheme="minorHAnsi" w:cstheme="minorHAnsi"/>
      <w:sz w:val="20"/>
      <w:szCs w:val="20"/>
    </w:rPr>
  </w:style>
  <w:style w:type="paragraph" w:styleId="TOC4">
    <w:name w:val="toc 4"/>
    <w:basedOn w:val="Normal"/>
    <w:next w:val="Normal"/>
    <w:autoRedefine/>
    <w:uiPriority w:val="39"/>
    <w:unhideWhenUsed/>
    <w:rsid w:val="00DD6906"/>
    <w:pPr>
      <w:spacing w:before="0" w:after="0"/>
      <w:ind w:left="720"/>
    </w:pPr>
    <w:rPr>
      <w:rFonts w:asciiTheme="minorHAnsi" w:hAnsiTheme="minorHAnsi" w:cstheme="minorHAnsi"/>
      <w:sz w:val="20"/>
      <w:szCs w:val="20"/>
    </w:rPr>
  </w:style>
  <w:style w:type="paragraph" w:styleId="TOC5">
    <w:name w:val="toc 5"/>
    <w:basedOn w:val="Normal"/>
    <w:next w:val="Normal"/>
    <w:autoRedefine/>
    <w:uiPriority w:val="39"/>
    <w:unhideWhenUsed/>
    <w:rsid w:val="00DD6906"/>
    <w:pPr>
      <w:spacing w:before="0" w:after="0"/>
      <w:ind w:left="960"/>
    </w:pPr>
    <w:rPr>
      <w:rFonts w:asciiTheme="minorHAnsi" w:hAnsiTheme="minorHAnsi" w:cstheme="minorHAnsi"/>
      <w:sz w:val="20"/>
      <w:szCs w:val="20"/>
    </w:rPr>
  </w:style>
  <w:style w:type="paragraph" w:styleId="TOC6">
    <w:name w:val="toc 6"/>
    <w:basedOn w:val="Normal"/>
    <w:next w:val="Normal"/>
    <w:autoRedefine/>
    <w:uiPriority w:val="39"/>
    <w:unhideWhenUsed/>
    <w:rsid w:val="00DD6906"/>
    <w:pPr>
      <w:spacing w:before="0" w:after="0"/>
      <w:ind w:left="1200"/>
    </w:pPr>
    <w:rPr>
      <w:rFonts w:asciiTheme="minorHAnsi" w:hAnsiTheme="minorHAnsi" w:cstheme="minorHAnsi"/>
      <w:sz w:val="20"/>
      <w:szCs w:val="20"/>
    </w:rPr>
  </w:style>
  <w:style w:type="paragraph" w:styleId="TOC7">
    <w:name w:val="toc 7"/>
    <w:basedOn w:val="Normal"/>
    <w:next w:val="Normal"/>
    <w:autoRedefine/>
    <w:uiPriority w:val="39"/>
    <w:unhideWhenUsed/>
    <w:rsid w:val="00DD6906"/>
    <w:pPr>
      <w:spacing w:before="0" w:after="0"/>
      <w:ind w:left="1440"/>
    </w:pPr>
    <w:rPr>
      <w:rFonts w:asciiTheme="minorHAnsi" w:hAnsiTheme="minorHAnsi" w:cstheme="minorHAnsi"/>
      <w:sz w:val="20"/>
      <w:szCs w:val="20"/>
    </w:rPr>
  </w:style>
  <w:style w:type="paragraph" w:styleId="TOC8">
    <w:name w:val="toc 8"/>
    <w:basedOn w:val="Normal"/>
    <w:next w:val="Normal"/>
    <w:autoRedefine/>
    <w:uiPriority w:val="39"/>
    <w:unhideWhenUsed/>
    <w:rsid w:val="00DD6906"/>
    <w:pPr>
      <w:spacing w:before="0" w:after="0"/>
      <w:ind w:left="1680"/>
    </w:pPr>
    <w:rPr>
      <w:rFonts w:asciiTheme="minorHAnsi" w:hAnsiTheme="minorHAnsi" w:cstheme="minorHAnsi"/>
      <w:sz w:val="20"/>
      <w:szCs w:val="20"/>
    </w:rPr>
  </w:style>
  <w:style w:type="paragraph" w:styleId="TOC9">
    <w:name w:val="toc 9"/>
    <w:basedOn w:val="Normal"/>
    <w:next w:val="Normal"/>
    <w:autoRedefine/>
    <w:uiPriority w:val="39"/>
    <w:unhideWhenUsed/>
    <w:rsid w:val="00DD6906"/>
    <w:pPr>
      <w:spacing w:before="0" w:after="0"/>
      <w:ind w:left="1920"/>
    </w:pPr>
    <w:rPr>
      <w:rFonts w:asciiTheme="minorHAnsi" w:hAnsiTheme="minorHAnsi" w:cstheme="minorHAnsi"/>
      <w:sz w:val="20"/>
      <w:szCs w:val="20"/>
    </w:rPr>
  </w:style>
  <w:style w:type="paragraph" w:customStyle="1" w:styleId="TOC21">
    <w:name w:val="TOC 21"/>
    <w:basedOn w:val="Normal"/>
    <w:rsid w:val="008B5433"/>
    <w:pPr>
      <w:pBdr>
        <w:top w:val="single" w:sz="6" w:space="1" w:color="4A66AC" w:themeColor="accent1"/>
        <w:bottom w:val="single" w:sz="6" w:space="1" w:color="4A66AC" w:themeColor="accent1"/>
        <w:between w:val="single" w:sz="6" w:space="1" w:color="4A66AC" w:themeColor="accent1"/>
      </w:pBdr>
      <w:tabs>
        <w:tab w:val="right" w:pos="9061"/>
      </w:tabs>
    </w:pPr>
    <w:rPr>
      <w:szCs w:val="20"/>
    </w:rPr>
  </w:style>
  <w:style w:type="paragraph" w:customStyle="1" w:styleId="H1">
    <w:name w:val="H1"/>
    <w:basedOn w:val="Normal"/>
    <w:next w:val="Normal"/>
    <w:uiPriority w:val="99"/>
    <w:rsid w:val="00461D75"/>
    <w:pPr>
      <w:pBdr>
        <w:bottom w:val="single" w:sz="4" w:space="19" w:color="015098"/>
      </w:pBdr>
      <w:tabs>
        <w:tab w:val="left" w:pos="3055"/>
      </w:tabs>
      <w:suppressAutoHyphens/>
      <w:autoSpaceDE w:val="0"/>
      <w:autoSpaceDN w:val="0"/>
      <w:adjustRightInd w:val="0"/>
      <w:spacing w:before="454" w:after="794" w:line="600" w:lineRule="atLeast"/>
      <w:textAlignment w:val="center"/>
    </w:pPr>
    <w:rPr>
      <w:rFonts w:ascii="Proxima Nova" w:hAnsi="Proxima Nova" w:cs="Proxima Nova"/>
      <w:b/>
      <w:bCs/>
      <w:color w:val="1E1544"/>
      <w:sz w:val="56"/>
      <w:szCs w:val="56"/>
      <w:lang w:val="en-US" w:eastAsia="en-AU"/>
    </w:rPr>
  </w:style>
  <w:style w:type="paragraph" w:customStyle="1" w:styleId="Body">
    <w:name w:val="Body"/>
    <w:basedOn w:val="Normal"/>
    <w:uiPriority w:val="99"/>
    <w:rsid w:val="0096034D"/>
    <w:pPr>
      <w:tabs>
        <w:tab w:val="left" w:pos="1250"/>
      </w:tabs>
      <w:suppressAutoHyphens/>
      <w:autoSpaceDE w:val="0"/>
      <w:autoSpaceDN w:val="0"/>
      <w:adjustRightInd w:val="0"/>
      <w:spacing w:before="142" w:after="57" w:line="288" w:lineRule="auto"/>
      <w:textAlignment w:val="center"/>
    </w:pPr>
    <w:rPr>
      <w:rFonts w:ascii="Proxima Nova" w:hAnsi="Proxima Nova" w:cs="Proxima Nova"/>
      <w:color w:val="1E1544"/>
      <w:lang w:val="en-GB" w:eastAsia="en-AU"/>
    </w:rPr>
  </w:style>
  <w:style w:type="paragraph" w:customStyle="1" w:styleId="Bullets">
    <w:name w:val="Bullets"/>
    <w:basedOn w:val="Normal"/>
    <w:uiPriority w:val="99"/>
    <w:rsid w:val="0096034D"/>
    <w:pPr>
      <w:tabs>
        <w:tab w:val="left" w:pos="1250"/>
      </w:tabs>
      <w:suppressAutoHyphens/>
      <w:autoSpaceDE w:val="0"/>
      <w:autoSpaceDN w:val="0"/>
      <w:adjustRightInd w:val="0"/>
      <w:spacing w:before="57" w:after="28" w:line="288" w:lineRule="auto"/>
      <w:ind w:left="283" w:hanging="283"/>
      <w:textAlignment w:val="center"/>
    </w:pPr>
    <w:rPr>
      <w:rFonts w:ascii="Proxima Nova" w:hAnsi="Proxima Nova" w:cs="Proxima Nova"/>
      <w:color w:val="1E1544"/>
      <w:lang w:val="en-GB" w:eastAsia="en-AU"/>
    </w:rPr>
  </w:style>
  <w:style w:type="character" w:customStyle="1" w:styleId="AcronymFlagChar">
    <w:name w:val="Acronym Flag Char"/>
    <w:uiPriority w:val="99"/>
    <w:rsid w:val="0096034D"/>
    <w:rPr>
      <w:rFonts w:ascii="Arial" w:hAnsi="Arial" w:cs="Arial"/>
      <w:w w:val="100"/>
    </w:rPr>
  </w:style>
  <w:style w:type="paragraph" w:customStyle="1" w:styleId="H3">
    <w:name w:val="H3"/>
    <w:basedOn w:val="Body"/>
    <w:uiPriority w:val="99"/>
    <w:rsid w:val="0096034D"/>
    <w:pPr>
      <w:spacing w:before="170"/>
    </w:pPr>
    <w:rPr>
      <w:b/>
      <w:bCs/>
      <w:sz w:val="32"/>
      <w:szCs w:val="32"/>
    </w:rPr>
  </w:style>
  <w:style w:type="paragraph" w:customStyle="1" w:styleId="H2">
    <w:name w:val="H2"/>
    <w:basedOn w:val="Normal"/>
    <w:uiPriority w:val="99"/>
    <w:rsid w:val="00461D75"/>
    <w:pPr>
      <w:tabs>
        <w:tab w:val="left" w:pos="1250"/>
      </w:tabs>
      <w:suppressAutoHyphens/>
      <w:autoSpaceDE w:val="0"/>
      <w:autoSpaceDN w:val="0"/>
      <w:adjustRightInd w:val="0"/>
      <w:spacing w:before="227" w:after="113" w:line="288" w:lineRule="auto"/>
      <w:textAlignment w:val="center"/>
    </w:pPr>
    <w:rPr>
      <w:rFonts w:ascii="Proxima Nova" w:hAnsi="Proxima Nova" w:cs="Proxima Nova"/>
      <w:b/>
      <w:bCs/>
      <w:color w:val="015098"/>
      <w:sz w:val="44"/>
      <w:szCs w:val="44"/>
      <w:lang w:val="en-GB" w:eastAsia="en-AU"/>
    </w:rPr>
  </w:style>
  <w:style w:type="numbering" w:customStyle="1" w:styleId="CurrentList4">
    <w:name w:val="Current List4"/>
    <w:uiPriority w:val="99"/>
    <w:rsid w:val="00573037"/>
    <w:pPr>
      <w:numPr>
        <w:numId w:val="15"/>
      </w:numPr>
    </w:pPr>
  </w:style>
  <w:style w:type="character" w:styleId="UnresolvedMention">
    <w:name w:val="Unresolved Mention"/>
    <w:basedOn w:val="DefaultParagraphFont"/>
    <w:uiPriority w:val="99"/>
    <w:semiHidden/>
    <w:unhideWhenUsed/>
    <w:rsid w:val="001520B9"/>
    <w:rPr>
      <w:color w:val="605E5C"/>
      <w:shd w:val="clear" w:color="auto" w:fill="E1DFDD"/>
    </w:rPr>
  </w:style>
  <w:style w:type="character" w:customStyle="1" w:styleId="Heading8Char">
    <w:name w:val="Heading 8 Char"/>
    <w:basedOn w:val="DefaultParagraphFont"/>
    <w:link w:val="Heading8"/>
    <w:semiHidden/>
    <w:rsid w:val="00573037"/>
    <w:rPr>
      <w:rFonts w:asciiTheme="majorHAnsi" w:eastAsiaTheme="majorEastAsia" w:hAnsiTheme="majorHAnsi" w:cstheme="majorBidi"/>
      <w:color w:val="272727" w:themeColor="text1" w:themeTint="D8"/>
      <w:sz w:val="21"/>
      <w:szCs w:val="21"/>
      <w:lang w:eastAsia="en-US"/>
    </w:rPr>
  </w:style>
  <w:style w:type="paragraph" w:customStyle="1" w:styleId="BulletBreakpages">
    <w:name w:val="Bullet Break pages"/>
    <w:basedOn w:val="BodyText"/>
    <w:rsid w:val="000F0173"/>
    <w:pPr>
      <w:numPr>
        <w:numId w:val="12"/>
      </w:numPr>
      <w:spacing w:line="260" w:lineRule="exact"/>
    </w:pPr>
    <w:rPr>
      <w:color w:val="FFFFFF"/>
    </w:rPr>
  </w:style>
  <w:style w:type="character" w:customStyle="1" w:styleId="Heading9Char">
    <w:name w:val="Heading 9 Char"/>
    <w:basedOn w:val="DefaultParagraphFont"/>
    <w:link w:val="Heading9"/>
    <w:semiHidden/>
    <w:rsid w:val="00573037"/>
    <w:rPr>
      <w:rFonts w:asciiTheme="majorHAnsi" w:eastAsiaTheme="majorEastAsia" w:hAnsiTheme="majorHAnsi" w:cstheme="majorBidi"/>
      <w:i/>
      <w:iCs/>
      <w:color w:val="272727" w:themeColor="text1" w:themeTint="D8"/>
      <w:sz w:val="21"/>
      <w:szCs w:val="21"/>
      <w:lang w:eastAsia="en-US"/>
    </w:rPr>
  </w:style>
  <w:style w:type="paragraph" w:customStyle="1" w:styleId="Bullebtsindented">
    <w:name w:val="Bullebts indented"/>
    <w:basedOn w:val="Bullets"/>
    <w:uiPriority w:val="99"/>
    <w:rsid w:val="00094035"/>
    <w:pPr>
      <w:ind w:left="567"/>
    </w:pPr>
  </w:style>
  <w:style w:type="numbering" w:customStyle="1" w:styleId="CurrentList2">
    <w:name w:val="Current List2"/>
    <w:uiPriority w:val="99"/>
    <w:rsid w:val="00094035"/>
    <w:pPr>
      <w:numPr>
        <w:numId w:val="13"/>
      </w:numPr>
    </w:pPr>
  </w:style>
  <w:style w:type="numbering" w:customStyle="1" w:styleId="CurrentList5">
    <w:name w:val="Current List5"/>
    <w:uiPriority w:val="99"/>
    <w:rsid w:val="000537E9"/>
    <w:pPr>
      <w:numPr>
        <w:numId w:val="16"/>
      </w:numPr>
    </w:pPr>
  </w:style>
  <w:style w:type="numbering" w:customStyle="1" w:styleId="CurrentList6">
    <w:name w:val="Current List6"/>
    <w:uiPriority w:val="99"/>
    <w:rsid w:val="000537E9"/>
    <w:pPr>
      <w:numPr>
        <w:numId w:val="17"/>
      </w:numPr>
    </w:pPr>
  </w:style>
  <w:style w:type="numbering" w:customStyle="1" w:styleId="CurrentList7">
    <w:name w:val="Current List7"/>
    <w:uiPriority w:val="99"/>
    <w:rsid w:val="000537E9"/>
    <w:pPr>
      <w:numPr>
        <w:numId w:val="18"/>
      </w:numPr>
    </w:pPr>
  </w:style>
  <w:style w:type="numbering" w:customStyle="1" w:styleId="CurrentList8">
    <w:name w:val="Current List8"/>
    <w:uiPriority w:val="99"/>
    <w:rsid w:val="000537E9"/>
    <w:pPr>
      <w:numPr>
        <w:numId w:val="19"/>
      </w:numPr>
    </w:pPr>
  </w:style>
  <w:style w:type="numbering" w:customStyle="1" w:styleId="CurrentList9">
    <w:name w:val="Current List9"/>
    <w:uiPriority w:val="99"/>
    <w:rsid w:val="000537E9"/>
    <w:pPr>
      <w:numPr>
        <w:numId w:val="20"/>
      </w:numPr>
    </w:pPr>
  </w:style>
  <w:style w:type="numbering" w:customStyle="1" w:styleId="CurrentList10">
    <w:name w:val="Current List10"/>
    <w:uiPriority w:val="99"/>
    <w:rsid w:val="000537E9"/>
    <w:pPr>
      <w:numPr>
        <w:numId w:val="21"/>
      </w:numPr>
    </w:pPr>
  </w:style>
  <w:style w:type="numbering" w:customStyle="1" w:styleId="CurrentList11">
    <w:name w:val="Current List11"/>
    <w:uiPriority w:val="99"/>
    <w:rsid w:val="000537E9"/>
    <w:pPr>
      <w:numPr>
        <w:numId w:val="22"/>
      </w:numPr>
    </w:pPr>
  </w:style>
  <w:style w:type="numbering" w:customStyle="1" w:styleId="CurrentList12">
    <w:name w:val="Current List12"/>
    <w:uiPriority w:val="99"/>
    <w:rsid w:val="000537E9"/>
    <w:pPr>
      <w:numPr>
        <w:numId w:val="23"/>
      </w:numPr>
    </w:pPr>
  </w:style>
  <w:style w:type="numbering" w:customStyle="1" w:styleId="CurrentList13">
    <w:name w:val="Current List13"/>
    <w:uiPriority w:val="99"/>
    <w:rsid w:val="000537E9"/>
    <w:pPr>
      <w:numPr>
        <w:numId w:val="24"/>
      </w:numPr>
    </w:pPr>
  </w:style>
  <w:style w:type="numbering" w:customStyle="1" w:styleId="CurrentList14">
    <w:name w:val="Current List14"/>
    <w:uiPriority w:val="99"/>
    <w:rsid w:val="000537E9"/>
    <w:pPr>
      <w:numPr>
        <w:numId w:val="25"/>
      </w:numPr>
    </w:pPr>
  </w:style>
  <w:style w:type="numbering" w:customStyle="1" w:styleId="CurrentList15">
    <w:name w:val="Current List15"/>
    <w:uiPriority w:val="99"/>
    <w:rsid w:val="000537E9"/>
    <w:pPr>
      <w:numPr>
        <w:numId w:val="26"/>
      </w:numPr>
    </w:pPr>
  </w:style>
  <w:style w:type="numbering" w:customStyle="1" w:styleId="CurrentList16">
    <w:name w:val="Current List16"/>
    <w:uiPriority w:val="99"/>
    <w:rsid w:val="000537E9"/>
    <w:pPr>
      <w:numPr>
        <w:numId w:val="27"/>
      </w:numPr>
    </w:pPr>
  </w:style>
  <w:style w:type="numbering" w:customStyle="1" w:styleId="CurrentList17">
    <w:name w:val="Current List17"/>
    <w:uiPriority w:val="99"/>
    <w:rsid w:val="000537E9"/>
    <w:pPr>
      <w:numPr>
        <w:numId w:val="28"/>
      </w:numPr>
    </w:pPr>
  </w:style>
  <w:style w:type="numbering" w:customStyle="1" w:styleId="CurrentList18">
    <w:name w:val="Current List18"/>
    <w:uiPriority w:val="99"/>
    <w:rsid w:val="000537E9"/>
    <w:pPr>
      <w:numPr>
        <w:numId w:val="29"/>
      </w:numPr>
    </w:pPr>
  </w:style>
  <w:style w:type="numbering" w:customStyle="1" w:styleId="CurrentList19">
    <w:name w:val="Current List19"/>
    <w:uiPriority w:val="99"/>
    <w:rsid w:val="000537E9"/>
    <w:pPr>
      <w:numPr>
        <w:numId w:val="30"/>
      </w:numPr>
    </w:pPr>
  </w:style>
  <w:style w:type="numbering" w:customStyle="1" w:styleId="CurrentList20">
    <w:name w:val="Current List20"/>
    <w:uiPriority w:val="99"/>
    <w:rsid w:val="000537E9"/>
    <w:pPr>
      <w:numPr>
        <w:numId w:val="31"/>
      </w:numPr>
    </w:pPr>
  </w:style>
  <w:style w:type="numbering" w:customStyle="1" w:styleId="CurrentList21">
    <w:name w:val="Current List21"/>
    <w:uiPriority w:val="99"/>
    <w:rsid w:val="008C2B26"/>
    <w:pPr>
      <w:numPr>
        <w:numId w:val="32"/>
      </w:numPr>
    </w:pPr>
  </w:style>
  <w:style w:type="numbering" w:customStyle="1" w:styleId="CurrentList22">
    <w:name w:val="Current List22"/>
    <w:uiPriority w:val="99"/>
    <w:rsid w:val="008C2B26"/>
    <w:pPr>
      <w:numPr>
        <w:numId w:val="33"/>
      </w:numPr>
    </w:pPr>
  </w:style>
  <w:style w:type="character" w:styleId="CommentReference">
    <w:name w:val="annotation reference"/>
    <w:basedOn w:val="DefaultParagraphFont"/>
    <w:semiHidden/>
    <w:unhideWhenUsed/>
    <w:rsid w:val="008C2B26"/>
    <w:rPr>
      <w:sz w:val="16"/>
      <w:szCs w:val="16"/>
    </w:rPr>
  </w:style>
  <w:style w:type="paragraph" w:styleId="CommentText">
    <w:name w:val="annotation text"/>
    <w:basedOn w:val="Normal"/>
    <w:link w:val="CommentTextChar"/>
    <w:unhideWhenUsed/>
    <w:rsid w:val="008C2B26"/>
    <w:pPr>
      <w:spacing w:line="240" w:lineRule="auto"/>
    </w:pPr>
    <w:rPr>
      <w:sz w:val="20"/>
      <w:szCs w:val="20"/>
    </w:rPr>
  </w:style>
  <w:style w:type="character" w:customStyle="1" w:styleId="CommentTextChar">
    <w:name w:val="Comment Text Char"/>
    <w:basedOn w:val="DefaultParagraphFont"/>
    <w:link w:val="CommentText"/>
    <w:rsid w:val="008C2B26"/>
    <w:rPr>
      <w:rFonts w:ascii="Arial" w:hAnsi="Arial"/>
      <w:color w:val="000000" w:themeColor="text1"/>
      <w:lang w:eastAsia="en-US"/>
    </w:rPr>
  </w:style>
  <w:style w:type="paragraph" w:styleId="CommentSubject">
    <w:name w:val="annotation subject"/>
    <w:basedOn w:val="CommentText"/>
    <w:next w:val="CommentText"/>
    <w:link w:val="CommentSubjectChar"/>
    <w:semiHidden/>
    <w:unhideWhenUsed/>
    <w:rsid w:val="008C2B26"/>
    <w:rPr>
      <w:b/>
      <w:bCs/>
    </w:rPr>
  </w:style>
  <w:style w:type="character" w:customStyle="1" w:styleId="CommentSubjectChar">
    <w:name w:val="Comment Subject Char"/>
    <w:basedOn w:val="CommentTextChar"/>
    <w:link w:val="CommentSubject"/>
    <w:semiHidden/>
    <w:rsid w:val="008C2B26"/>
    <w:rPr>
      <w:rFonts w:ascii="Arial" w:hAnsi="Arial"/>
      <w:b/>
      <w:bCs/>
      <w:color w:val="000000" w:themeColor="text1"/>
      <w:lang w:eastAsia="en-US"/>
    </w:rPr>
  </w:style>
  <w:style w:type="numbering" w:customStyle="1" w:styleId="CurrentList23">
    <w:name w:val="Current List23"/>
    <w:uiPriority w:val="99"/>
    <w:rsid w:val="008C2B26"/>
    <w:pPr>
      <w:numPr>
        <w:numId w:val="34"/>
      </w:numPr>
    </w:pPr>
  </w:style>
  <w:style w:type="numbering" w:customStyle="1" w:styleId="CurrentList24">
    <w:name w:val="Current List24"/>
    <w:uiPriority w:val="99"/>
    <w:rsid w:val="008C2B26"/>
    <w:pPr>
      <w:numPr>
        <w:numId w:val="35"/>
      </w:numPr>
    </w:pPr>
  </w:style>
  <w:style w:type="numbering" w:customStyle="1" w:styleId="CurrentList25">
    <w:name w:val="Current List25"/>
    <w:uiPriority w:val="99"/>
    <w:rsid w:val="008C2B26"/>
    <w:pPr>
      <w:numPr>
        <w:numId w:val="36"/>
      </w:numPr>
    </w:pPr>
  </w:style>
  <w:style w:type="paragraph" w:customStyle="1" w:styleId="Sectionheading">
    <w:name w:val="Section heading"/>
    <w:basedOn w:val="Heading1"/>
    <w:rsid w:val="00EA030B"/>
    <w:pPr>
      <w:numPr>
        <w:numId w:val="37"/>
      </w:numPr>
    </w:pPr>
    <w:rPr>
      <w:color w:val="FFFFFF" w:themeColor="background1"/>
    </w:rPr>
  </w:style>
  <w:style w:type="numbering" w:customStyle="1" w:styleId="CurrentList26">
    <w:name w:val="Current List26"/>
    <w:uiPriority w:val="99"/>
    <w:rsid w:val="00EA030B"/>
    <w:pPr>
      <w:numPr>
        <w:numId w:val="38"/>
      </w:numPr>
    </w:pPr>
  </w:style>
  <w:style w:type="numbering" w:customStyle="1" w:styleId="CurrentList27">
    <w:name w:val="Current List27"/>
    <w:uiPriority w:val="99"/>
    <w:rsid w:val="00EA030B"/>
    <w:pPr>
      <w:numPr>
        <w:numId w:val="39"/>
      </w:numPr>
    </w:pPr>
  </w:style>
  <w:style w:type="numbering" w:customStyle="1" w:styleId="CurrentList28">
    <w:name w:val="Current List28"/>
    <w:uiPriority w:val="99"/>
    <w:rsid w:val="00EA030B"/>
    <w:pPr>
      <w:numPr>
        <w:numId w:val="40"/>
      </w:numPr>
    </w:pPr>
  </w:style>
  <w:style w:type="numbering" w:customStyle="1" w:styleId="CurrentList29">
    <w:name w:val="Current List29"/>
    <w:uiPriority w:val="99"/>
    <w:rsid w:val="00295373"/>
    <w:pPr>
      <w:numPr>
        <w:numId w:val="42"/>
      </w:numPr>
    </w:pPr>
  </w:style>
  <w:style w:type="numbering" w:customStyle="1" w:styleId="CurrentList30">
    <w:name w:val="Current List30"/>
    <w:uiPriority w:val="99"/>
    <w:rsid w:val="00295373"/>
    <w:pPr>
      <w:numPr>
        <w:numId w:val="43"/>
      </w:numPr>
    </w:pPr>
  </w:style>
  <w:style w:type="paragraph" w:customStyle="1" w:styleId="Sectionsub-heading">
    <w:name w:val="Section sub-heading"/>
    <w:basedOn w:val="Heading2"/>
    <w:next w:val="Sectiondotpoints"/>
    <w:link w:val="Sectionsub-headingChar"/>
    <w:qFormat/>
    <w:rsid w:val="0075734A"/>
    <w:pPr>
      <w:spacing w:line="460" w:lineRule="exact"/>
      <w:ind w:left="23"/>
    </w:pPr>
    <w:rPr>
      <w:b w:val="0"/>
      <w:color w:val="FFFFFF"/>
    </w:rPr>
  </w:style>
  <w:style w:type="character" w:customStyle="1" w:styleId="Sectionsub-headingChar">
    <w:name w:val="Section sub-heading Char"/>
    <w:basedOn w:val="DefaultParagraphFont"/>
    <w:link w:val="Sectionsub-heading"/>
    <w:rsid w:val="0075734A"/>
    <w:rPr>
      <w:rFonts w:ascii="Arial" w:hAnsi="Arial" w:cs="Arial"/>
      <w:bCs/>
      <w:iCs/>
      <w:color w:val="FFFFFF"/>
      <w:sz w:val="44"/>
      <w:szCs w:val="28"/>
      <w:lang w:eastAsia="en-US"/>
    </w:rPr>
  </w:style>
  <w:style w:type="paragraph" w:customStyle="1" w:styleId="Sectiondotpoints">
    <w:name w:val="Section dot points"/>
    <w:basedOn w:val="BodyText"/>
    <w:link w:val="SectiondotpointsChar"/>
    <w:qFormat/>
    <w:rsid w:val="0075734A"/>
    <w:pPr>
      <w:numPr>
        <w:numId w:val="11"/>
      </w:numPr>
      <w:spacing w:line="260" w:lineRule="exact"/>
    </w:pPr>
    <w:rPr>
      <w:color w:val="FFFFFF" w:themeColor="background1"/>
    </w:rPr>
  </w:style>
  <w:style w:type="character" w:customStyle="1" w:styleId="SectiondotpointsChar">
    <w:name w:val="Section dot points Char"/>
    <w:basedOn w:val="BodyTextChar"/>
    <w:link w:val="Sectiondotpoints"/>
    <w:rsid w:val="0075734A"/>
    <w:rPr>
      <w:rFonts w:ascii="Arial" w:hAnsi="Arial"/>
      <w:color w:val="FFFFFF" w:themeColor="background1"/>
      <w:sz w:val="24"/>
      <w:szCs w:val="24"/>
      <w:lang w:eastAsia="en-US"/>
    </w:rPr>
  </w:style>
  <w:style w:type="character" w:styleId="FollowedHyperlink">
    <w:name w:val="FollowedHyperlink"/>
    <w:basedOn w:val="DefaultParagraphFont"/>
    <w:semiHidden/>
    <w:unhideWhenUsed/>
    <w:rsid w:val="00766EF2"/>
    <w:rPr>
      <w:color w:val="0070C0"/>
      <w:u w:val="single"/>
    </w:rPr>
  </w:style>
  <w:style w:type="paragraph" w:customStyle="1" w:styleId="Paragraphtext">
    <w:name w:val="Paragraph text"/>
    <w:basedOn w:val="Normal"/>
    <w:qFormat/>
    <w:rsid w:val="00B85FC0"/>
    <w:pPr>
      <w:spacing w:after="60" w:line="240" w:lineRule="auto"/>
    </w:pPr>
    <w:rPr>
      <w:sz w:val="21"/>
    </w:rPr>
  </w:style>
  <w:style w:type="character" w:customStyle="1" w:styleId="InstructionText">
    <w:name w:val="Instruction Text"/>
    <w:qFormat/>
    <w:rsid w:val="00B85FC0"/>
    <w:rPr>
      <w:i/>
      <w:iCs w:val="0"/>
      <w:color w:val="0070C0"/>
    </w:rPr>
  </w:style>
  <w:style w:type="character" w:styleId="FootnoteReference">
    <w:name w:val="footnote reference"/>
    <w:basedOn w:val="DefaultParagraphFont"/>
    <w:unhideWhenUsed/>
    <w:rsid w:val="00B85FC0"/>
    <w:rPr>
      <w:vertAlign w:val="superscript"/>
    </w:rPr>
  </w:style>
  <w:style w:type="paragraph" w:customStyle="1" w:styleId="Style3">
    <w:name w:val="Style3"/>
    <w:basedOn w:val="Heading2"/>
    <w:link w:val="Style3Char"/>
    <w:qFormat/>
    <w:rsid w:val="00B85FC0"/>
    <w:pPr>
      <w:spacing w:before="240" w:after="60"/>
    </w:pPr>
    <w:rPr>
      <w:b w:val="0"/>
      <w:color w:val="358189"/>
      <w:sz w:val="32"/>
      <w:szCs w:val="28"/>
    </w:rPr>
  </w:style>
  <w:style w:type="character" w:customStyle="1" w:styleId="Style3Char">
    <w:name w:val="Style3 Char"/>
    <w:basedOn w:val="DefaultParagraphFont"/>
    <w:link w:val="Style3"/>
    <w:rsid w:val="00B85FC0"/>
    <w:rPr>
      <w:rFonts w:ascii="Arial" w:hAnsi="Arial" w:cs="Arial"/>
      <w:bCs/>
      <w:iCs/>
      <w:color w:val="358189"/>
      <w:sz w:val="32"/>
      <w:szCs w:val="28"/>
      <w:lang w:eastAsia="en-US"/>
    </w:rPr>
  </w:style>
  <w:style w:type="paragraph" w:styleId="ListBullet">
    <w:name w:val="List Bullet"/>
    <w:basedOn w:val="Normal"/>
    <w:uiPriority w:val="99"/>
    <w:unhideWhenUsed/>
    <w:qFormat/>
    <w:rsid w:val="00494017"/>
    <w:pPr>
      <w:numPr>
        <w:numId w:val="56"/>
      </w:numPr>
      <w:contextualSpacing/>
    </w:pPr>
  </w:style>
  <w:style w:type="paragraph" w:styleId="Revision">
    <w:name w:val="Revision"/>
    <w:hidden/>
    <w:uiPriority w:val="99"/>
    <w:semiHidden/>
    <w:rsid w:val="005D77C1"/>
    <w:rPr>
      <w:rFonts w:ascii="Arial" w:hAnsi="Arial"/>
      <w:color w:val="000000" w:themeColor="text1"/>
      <w:sz w:val="24"/>
      <w:szCs w:val="24"/>
      <w:lang w:eastAsia="en-US"/>
    </w:rPr>
  </w:style>
  <w:style w:type="paragraph" w:customStyle="1" w:styleId="Figuretitle">
    <w:name w:val="Figure title"/>
    <w:basedOn w:val="Normal"/>
    <w:rsid w:val="00310453"/>
    <w:rPr>
      <w:b/>
      <w:bCs/>
      <w:color w:val="002060"/>
    </w:rPr>
  </w:style>
  <w:style w:type="paragraph" w:styleId="ListBullet3">
    <w:name w:val="List Bullet 3"/>
    <w:basedOn w:val="Normal"/>
    <w:unhideWhenUsed/>
    <w:rsid w:val="004C3002"/>
    <w:pPr>
      <w:numPr>
        <w:numId w:val="57"/>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442209">
      <w:bodyDiv w:val="1"/>
      <w:marLeft w:val="0"/>
      <w:marRight w:val="0"/>
      <w:marTop w:val="0"/>
      <w:marBottom w:val="0"/>
      <w:divBdr>
        <w:top w:val="none" w:sz="0" w:space="0" w:color="auto"/>
        <w:left w:val="none" w:sz="0" w:space="0" w:color="auto"/>
        <w:bottom w:val="none" w:sz="0" w:space="0" w:color="auto"/>
        <w:right w:val="none" w:sz="0" w:space="0" w:color="auto"/>
      </w:divBdr>
    </w:div>
    <w:div w:id="345596314">
      <w:bodyDiv w:val="1"/>
      <w:marLeft w:val="0"/>
      <w:marRight w:val="0"/>
      <w:marTop w:val="0"/>
      <w:marBottom w:val="0"/>
      <w:divBdr>
        <w:top w:val="none" w:sz="0" w:space="0" w:color="auto"/>
        <w:left w:val="none" w:sz="0" w:space="0" w:color="auto"/>
        <w:bottom w:val="none" w:sz="0" w:space="0" w:color="auto"/>
        <w:right w:val="none" w:sz="0" w:space="0" w:color="auto"/>
      </w:divBdr>
    </w:div>
    <w:div w:id="434401465">
      <w:bodyDiv w:val="1"/>
      <w:marLeft w:val="0"/>
      <w:marRight w:val="0"/>
      <w:marTop w:val="0"/>
      <w:marBottom w:val="0"/>
      <w:divBdr>
        <w:top w:val="none" w:sz="0" w:space="0" w:color="auto"/>
        <w:left w:val="none" w:sz="0" w:space="0" w:color="auto"/>
        <w:bottom w:val="none" w:sz="0" w:space="0" w:color="auto"/>
        <w:right w:val="none" w:sz="0" w:space="0" w:color="auto"/>
      </w:divBdr>
    </w:div>
    <w:div w:id="588390095">
      <w:bodyDiv w:val="1"/>
      <w:marLeft w:val="0"/>
      <w:marRight w:val="0"/>
      <w:marTop w:val="0"/>
      <w:marBottom w:val="0"/>
      <w:divBdr>
        <w:top w:val="none" w:sz="0" w:space="0" w:color="auto"/>
        <w:left w:val="none" w:sz="0" w:space="0" w:color="auto"/>
        <w:bottom w:val="none" w:sz="0" w:space="0" w:color="auto"/>
        <w:right w:val="none" w:sz="0" w:space="0" w:color="auto"/>
      </w:divBdr>
    </w:div>
    <w:div w:id="610670463">
      <w:bodyDiv w:val="1"/>
      <w:marLeft w:val="0"/>
      <w:marRight w:val="0"/>
      <w:marTop w:val="0"/>
      <w:marBottom w:val="0"/>
      <w:divBdr>
        <w:top w:val="none" w:sz="0" w:space="0" w:color="auto"/>
        <w:left w:val="none" w:sz="0" w:space="0" w:color="auto"/>
        <w:bottom w:val="none" w:sz="0" w:space="0" w:color="auto"/>
        <w:right w:val="none" w:sz="0" w:space="0" w:color="auto"/>
      </w:divBdr>
    </w:div>
    <w:div w:id="735668350">
      <w:bodyDiv w:val="1"/>
      <w:marLeft w:val="0"/>
      <w:marRight w:val="0"/>
      <w:marTop w:val="0"/>
      <w:marBottom w:val="0"/>
      <w:divBdr>
        <w:top w:val="none" w:sz="0" w:space="0" w:color="auto"/>
        <w:left w:val="none" w:sz="0" w:space="0" w:color="auto"/>
        <w:bottom w:val="none" w:sz="0" w:space="0" w:color="auto"/>
        <w:right w:val="none" w:sz="0" w:space="0" w:color="auto"/>
      </w:divBdr>
    </w:div>
    <w:div w:id="756483079">
      <w:bodyDiv w:val="1"/>
      <w:marLeft w:val="0"/>
      <w:marRight w:val="0"/>
      <w:marTop w:val="0"/>
      <w:marBottom w:val="0"/>
      <w:divBdr>
        <w:top w:val="none" w:sz="0" w:space="0" w:color="auto"/>
        <w:left w:val="none" w:sz="0" w:space="0" w:color="auto"/>
        <w:bottom w:val="none" w:sz="0" w:space="0" w:color="auto"/>
        <w:right w:val="none" w:sz="0" w:space="0" w:color="auto"/>
      </w:divBdr>
    </w:div>
    <w:div w:id="796411015">
      <w:bodyDiv w:val="1"/>
      <w:marLeft w:val="0"/>
      <w:marRight w:val="0"/>
      <w:marTop w:val="0"/>
      <w:marBottom w:val="0"/>
      <w:divBdr>
        <w:top w:val="none" w:sz="0" w:space="0" w:color="auto"/>
        <w:left w:val="none" w:sz="0" w:space="0" w:color="auto"/>
        <w:bottom w:val="none" w:sz="0" w:space="0" w:color="auto"/>
        <w:right w:val="none" w:sz="0" w:space="0" w:color="auto"/>
      </w:divBdr>
    </w:div>
    <w:div w:id="1067875552">
      <w:bodyDiv w:val="1"/>
      <w:marLeft w:val="0"/>
      <w:marRight w:val="0"/>
      <w:marTop w:val="0"/>
      <w:marBottom w:val="0"/>
      <w:divBdr>
        <w:top w:val="none" w:sz="0" w:space="0" w:color="auto"/>
        <w:left w:val="none" w:sz="0" w:space="0" w:color="auto"/>
        <w:bottom w:val="none" w:sz="0" w:space="0" w:color="auto"/>
        <w:right w:val="none" w:sz="0" w:space="0" w:color="auto"/>
      </w:divBdr>
    </w:div>
    <w:div w:id="1083838838">
      <w:bodyDiv w:val="1"/>
      <w:marLeft w:val="0"/>
      <w:marRight w:val="0"/>
      <w:marTop w:val="0"/>
      <w:marBottom w:val="0"/>
      <w:divBdr>
        <w:top w:val="none" w:sz="0" w:space="0" w:color="auto"/>
        <w:left w:val="none" w:sz="0" w:space="0" w:color="auto"/>
        <w:bottom w:val="none" w:sz="0" w:space="0" w:color="auto"/>
        <w:right w:val="none" w:sz="0" w:space="0" w:color="auto"/>
      </w:divBdr>
    </w:div>
    <w:div w:id="1091656434">
      <w:bodyDiv w:val="1"/>
      <w:marLeft w:val="0"/>
      <w:marRight w:val="0"/>
      <w:marTop w:val="0"/>
      <w:marBottom w:val="0"/>
      <w:divBdr>
        <w:top w:val="none" w:sz="0" w:space="0" w:color="auto"/>
        <w:left w:val="none" w:sz="0" w:space="0" w:color="auto"/>
        <w:bottom w:val="none" w:sz="0" w:space="0" w:color="auto"/>
        <w:right w:val="none" w:sz="0" w:space="0" w:color="auto"/>
      </w:divBdr>
    </w:div>
    <w:div w:id="1094403852">
      <w:bodyDiv w:val="1"/>
      <w:marLeft w:val="0"/>
      <w:marRight w:val="0"/>
      <w:marTop w:val="0"/>
      <w:marBottom w:val="0"/>
      <w:divBdr>
        <w:top w:val="none" w:sz="0" w:space="0" w:color="auto"/>
        <w:left w:val="none" w:sz="0" w:space="0" w:color="auto"/>
        <w:bottom w:val="none" w:sz="0" w:space="0" w:color="auto"/>
        <w:right w:val="none" w:sz="0" w:space="0" w:color="auto"/>
      </w:divBdr>
    </w:div>
    <w:div w:id="1229875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5.xml"/><Relationship Id="rId26" Type="http://schemas.openxmlformats.org/officeDocument/2006/relationships/image" Target="media/image12.png"/><Relationship Id="rId39" Type="http://schemas.openxmlformats.org/officeDocument/2006/relationships/hyperlink" Target="https://www.counterfraud.gov.au/library/framework-2024" TargetMode="External"/><Relationship Id="rId21" Type="http://schemas.openxmlformats.org/officeDocument/2006/relationships/image" Target="media/image7.svg"/><Relationship Id="rId34" Type="http://schemas.openxmlformats.org/officeDocument/2006/relationships/hyperlink" Target="https://www.legislation.gov.au/F2014L00911/latest/text" TargetMode="External"/><Relationship Id="rId42" Type="http://schemas.openxmlformats.org/officeDocument/2006/relationships/hyperlink" Target="tel:1800%20829%20403" TargetMode="External"/><Relationship Id="rId47" Type="http://schemas.openxmlformats.org/officeDocument/2006/relationships/image" Target="media/image21.png"/><Relationship Id="rId50" Type="http://schemas.openxmlformats.org/officeDocument/2006/relationships/image" Target="media/image24.svg"/><Relationship Id="rId55" Type="http://schemas.openxmlformats.org/officeDocument/2006/relationships/image" Target="media/image29.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image" Target="media/image15.svg"/><Relationship Id="rId11" Type="http://schemas.openxmlformats.org/officeDocument/2006/relationships/header" Target="header1.xml"/><Relationship Id="rId24" Type="http://schemas.openxmlformats.org/officeDocument/2006/relationships/image" Target="media/image10.png"/><Relationship Id="rId32" Type="http://schemas.openxmlformats.org/officeDocument/2006/relationships/hyperlink" Target="https://www.health.gov.au/sites/default/files/2025-07/aged-care-regulatory-and-governance-roles.pdf" TargetMode="External"/><Relationship Id="rId37" Type="http://schemas.openxmlformats.org/officeDocument/2006/relationships/hyperlink" Target="https://www.legislation.gov.au/C2013A00123/latest/text" TargetMode="External"/><Relationship Id="rId40" Type="http://schemas.openxmlformats.org/officeDocument/2006/relationships/hyperlink" Target="https://www.legislation.gov.au/C2013A00123/latest/text" TargetMode="External"/><Relationship Id="rId45" Type="http://schemas.openxmlformats.org/officeDocument/2006/relationships/image" Target="media/image19.png"/><Relationship Id="rId53" Type="http://schemas.openxmlformats.org/officeDocument/2006/relationships/image" Target="media/image27.png"/><Relationship Id="rId58" Type="http://schemas.openxmlformats.org/officeDocument/2006/relationships/fontTable" Target="fontTable.xml"/><Relationship Id="rId5" Type="http://schemas.openxmlformats.org/officeDocument/2006/relationships/numbering" Target="numbering.xml"/><Relationship Id="rId19"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8.png"/><Relationship Id="rId27" Type="http://schemas.openxmlformats.org/officeDocument/2006/relationships/image" Target="media/image13.svg"/><Relationship Id="rId30" Type="http://schemas.openxmlformats.org/officeDocument/2006/relationships/image" Target="media/image16.png"/><Relationship Id="rId35" Type="http://schemas.openxmlformats.org/officeDocument/2006/relationships/hyperlink" Target="https://www.counterfraud.gov.au/library/framework-2024" TargetMode="External"/><Relationship Id="rId43" Type="http://schemas.openxmlformats.org/officeDocument/2006/relationships/hyperlink" Target="mailto:agedcarefraud@health.gov.au" TargetMode="External"/><Relationship Id="rId48" Type="http://schemas.openxmlformats.org/officeDocument/2006/relationships/image" Target="media/image22.svg"/><Relationship Id="rId56" Type="http://schemas.openxmlformats.org/officeDocument/2006/relationships/image" Target="media/image30.png"/><Relationship Id="rId8" Type="http://schemas.openxmlformats.org/officeDocument/2006/relationships/webSettings" Target="webSettings.xml"/><Relationship Id="rId51" Type="http://schemas.openxmlformats.org/officeDocument/2006/relationships/image" Target="media/image25.png"/><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image" Target="media/image11.svg"/><Relationship Id="rId33" Type="http://schemas.openxmlformats.org/officeDocument/2006/relationships/hyperlink" Target="https://www.legislation.gov.au/C2013A00123/latest/text" TargetMode="External"/><Relationship Id="rId38" Type="http://schemas.openxmlformats.org/officeDocument/2006/relationships/hyperlink" Target="https://www.legislation.gov.au/F2024L00854/asmade/text" TargetMode="External"/><Relationship Id="rId46" Type="http://schemas.openxmlformats.org/officeDocument/2006/relationships/image" Target="media/image20.svg"/><Relationship Id="rId59" Type="http://schemas.openxmlformats.org/officeDocument/2006/relationships/theme" Target="theme/theme1.xml"/><Relationship Id="rId20" Type="http://schemas.openxmlformats.org/officeDocument/2006/relationships/image" Target="media/image6.png"/><Relationship Id="rId41" Type="http://schemas.openxmlformats.org/officeDocument/2006/relationships/image" Target="media/image18.jpg"/><Relationship Id="rId54"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image" Target="media/image9.svg"/><Relationship Id="rId28" Type="http://schemas.openxmlformats.org/officeDocument/2006/relationships/image" Target="media/image14.png"/><Relationship Id="rId36" Type="http://schemas.openxmlformats.org/officeDocument/2006/relationships/hyperlink" Target="https://www.legislation.gov.au/F2024L00854/asmade/text" TargetMode="External"/><Relationship Id="rId49" Type="http://schemas.openxmlformats.org/officeDocument/2006/relationships/image" Target="media/image23.png"/><Relationship Id="rId57" Type="http://schemas.openxmlformats.org/officeDocument/2006/relationships/image" Target="media/image31.svg"/><Relationship Id="rId10" Type="http://schemas.openxmlformats.org/officeDocument/2006/relationships/endnotes" Target="endnotes.xml"/><Relationship Id="rId31" Type="http://schemas.openxmlformats.org/officeDocument/2006/relationships/image" Target="media/image17.svg"/><Relationship Id="rId44" Type="http://schemas.openxmlformats.org/officeDocument/2006/relationships/hyperlink" Target="https://www1.health.gov.au/internet/main/publishing.nsf/Content/reporting-suspected-fraud" TargetMode="External"/><Relationship Id="rId52" Type="http://schemas.openxmlformats.org/officeDocument/2006/relationships/image" Target="media/image26.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footnotes.xml.rels><?xml version="1.0" encoding="UTF-8" standalone="yes"?>
<Relationships xmlns="http://schemas.openxmlformats.org/package/2006/relationships"><Relationship Id="rId3" Type="http://schemas.openxmlformats.org/officeDocument/2006/relationships/hyperlink" Target="https://www.health.gov.au/sites/default/files/2025-07/aged-care-regulatory-and-governance-roles.pdf" TargetMode="External"/><Relationship Id="rId2" Type="http://schemas.openxmlformats.org/officeDocument/2006/relationships/hyperlink" Target="https://www.health.gov.au/resources/publications/corporate-plan-2025-26?language=en" TargetMode="External"/><Relationship Id="rId1" Type="http://schemas.openxmlformats.org/officeDocument/2006/relationships/hyperlink" Target="https://www.health.gov.au/resources/publications/support-at-home-program-manual-a-guide-for-registered-providers" TargetMode="External"/></Relationships>
</file>

<file path=word/_rels/header3.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1E1545"/>
        </a:solidFill>
      </a:spPr>
      <a:bodyPr wrap="square" lIns="0" tIns="0" rIns="0" bIns="0" rtlCol="0">
        <a:prstTxWarp prst="textNoShape">
          <a:avLst/>
        </a:prstTxWarp>
        <a:noAutofit/>
      </a:bodyPr>
      <a:lst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AA38C9F81075744843CDA91B656E382" ma:contentTypeVersion="16" ma:contentTypeDescription="Create a new document." ma:contentTypeScope="" ma:versionID="f2b8a4b3bb570e827f46405fec908c22">
  <xsd:schema xmlns:xsd="http://www.w3.org/2001/XMLSchema" xmlns:xs="http://www.w3.org/2001/XMLSchema" xmlns:p="http://schemas.microsoft.com/office/2006/metadata/properties" xmlns:ns2="12f7b466-49fa-4efd-8558-afd11113d64c" xmlns:ns3="0248287d-23c7-4a2a-a3e0-c0447c1b254b" targetNamespace="http://schemas.microsoft.com/office/2006/metadata/properties" ma:root="true" ma:fieldsID="69d381471eecf61db5737d13b997765c" ns2:_="" ns3:_="">
    <xsd:import namespace="12f7b466-49fa-4efd-8558-afd11113d64c"/>
    <xsd:import namespace="0248287d-23c7-4a2a-a3e0-c0447c1b254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ObjectDetectorVersions" minOccurs="0"/>
                <xsd:element ref="ns2:MediaServiceGenerationTime" minOccurs="0"/>
                <xsd:element ref="ns2:MediaServiceEventHashCode" minOccurs="0"/>
                <xsd:element ref="ns3:SharedWithUsers" minOccurs="0"/>
                <xsd:element ref="ns3:SharedWithDetails" minOccurs="0"/>
                <xsd:element ref="ns2:MediaServiceOCR" minOccurs="0"/>
                <xsd:element ref="ns2:MediaServiceSearchProperties" minOccurs="0"/>
                <xsd:element ref="ns2:MediaServiceLocation" minOccurs="0"/>
                <xsd:element ref="ns2:DateCreat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2f7b466-49fa-4efd-8558-afd11113d64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element name="DateCreated" ma:index="23" nillable="true" ma:displayName="Date Created" ma:format="DateOnly" ma:internalName="DateCreated">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0248287d-23c7-4a2a-a3e0-c0447c1b254b"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e80bcdcb-5d35-4cfa-b459-3cbb3cdeb293}" ma:internalName="TaxCatchAll" ma:showField="CatchAllData" ma:web="0248287d-23c7-4a2a-a3e0-c0447c1b254b">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0248287d-23c7-4a2a-a3e0-c0447c1b254b" xsi:nil="true"/>
    <SharedWithUsers xmlns="0248287d-23c7-4a2a-a3e0-c0447c1b254b">
      <UserInfo>
        <DisplayName>DESA, Katarina</DisplayName>
        <AccountId>499</AccountId>
        <AccountType/>
      </UserInfo>
    </SharedWithUsers>
    <lcf76f155ced4ddcb4097134ff3c332f xmlns="12f7b466-49fa-4efd-8558-afd11113d64c">
      <Terms xmlns="http://schemas.microsoft.com/office/infopath/2007/PartnerControls"/>
    </lcf76f155ced4ddcb4097134ff3c332f>
    <DateCreated xmlns="12f7b466-49fa-4efd-8558-afd11113d64c" xsi:nil="true"/>
  </documentManagement>
</p:properties>
</file>

<file path=customXml/itemProps1.xml><?xml version="1.0" encoding="utf-8"?>
<ds:datastoreItem xmlns:ds="http://schemas.openxmlformats.org/officeDocument/2006/customXml" ds:itemID="{0FB9117E-35B3-4AB3-A88F-834EF93E30D0}">
  <ds:schemaRefs>
    <ds:schemaRef ds:uri="http://schemas.openxmlformats.org/officeDocument/2006/bibliography"/>
  </ds:schemaRefs>
</ds:datastoreItem>
</file>

<file path=customXml/itemProps2.xml><?xml version="1.0" encoding="utf-8"?>
<ds:datastoreItem xmlns:ds="http://schemas.openxmlformats.org/officeDocument/2006/customXml" ds:itemID="{3BFCAFB5-863C-4C24-ACB5-1626D6CA35D8}">
  <ds:schemaRefs>
    <ds:schemaRef ds:uri="http://schemas.microsoft.com/sharepoint/v3/contenttype/forms"/>
  </ds:schemaRefs>
</ds:datastoreItem>
</file>

<file path=customXml/itemProps3.xml><?xml version="1.0" encoding="utf-8"?>
<ds:datastoreItem xmlns:ds="http://schemas.openxmlformats.org/officeDocument/2006/customXml" ds:itemID="{4DB4F398-4E1A-4FA5-8E65-CEAF4E89946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2f7b466-49fa-4efd-8558-afd11113d64c"/>
    <ds:schemaRef ds:uri="0248287d-23c7-4a2a-a3e0-c0447c1b254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20C6417-ADBB-487B-9091-DC3471F064BF}">
  <ds:schemaRefs>
    <ds:schemaRef ds:uri="http://schemas.microsoft.com/office/2006/metadata/properties"/>
    <ds:schemaRef ds:uri="http://schemas.microsoft.com/office/infopath/2007/PartnerControls"/>
    <ds:schemaRef ds:uri="0248287d-23c7-4a2a-a3e0-c0447c1b254b"/>
    <ds:schemaRef ds:uri="12f7b466-49fa-4efd-8558-afd11113d64c"/>
  </ds:schemaRefs>
</ds:datastoreItem>
</file>

<file path=docProps/app.xml><?xml version="1.0" encoding="utf-8"?>
<Properties xmlns="http://schemas.openxmlformats.org/officeDocument/2006/extended-properties" xmlns:vt="http://schemas.openxmlformats.org/officeDocument/2006/docPropsVTypes">
  <Template>Normal.dotm</Template>
  <TotalTime>43</TotalTime>
  <Pages>1</Pages>
  <Words>5920</Words>
  <Characters>35407</Characters>
  <Application>Microsoft Office Word</Application>
  <DocSecurity>0</DocSecurity>
  <Lines>863</Lines>
  <Paragraphs>417</Paragraphs>
  <ScaleCrop>false</ScaleCrop>
  <HeadingPairs>
    <vt:vector size="2" baseType="variant">
      <vt:variant>
        <vt:lpstr>Title</vt:lpstr>
      </vt:variant>
      <vt:variant>
        <vt:i4>1</vt:i4>
      </vt:variant>
    </vt:vector>
  </HeadingPairs>
  <TitlesOfParts>
    <vt:vector size="1" baseType="lpstr">
      <vt:lpstr>Support at Home program assurance framework</vt:lpstr>
    </vt:vector>
  </TitlesOfParts>
  <Manager/>
  <Company>Department of Health and Aged Care</Company>
  <LinksUpToDate>false</LinksUpToDate>
  <CharactersWithSpaces>40910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Support at Home program assurance framework</dc:title>
  <dc:subject>Aged Care, Senior Australians</dc:subject>
  <dc:creator>Australian Government Department of Health, Disability and Ageing</dc:creator>
  <cp:keywords>Aged Care, Senior Australians</cp:keywords>
  <dc:description/>
  <cp:lastModifiedBy>MASCHKE, Elvia</cp:lastModifiedBy>
  <cp:revision>14</cp:revision>
  <cp:lastPrinted>2024-02-27T19:45:00Z</cp:lastPrinted>
  <dcterms:created xsi:type="dcterms:W3CDTF">2026-03-03T03:49:00Z</dcterms:created>
  <dcterms:modified xsi:type="dcterms:W3CDTF">2026-03-03T22:39:00Z</dcterms:modified>
  <cp:category>Aged Care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7a08ce11,3c840f83,62e9dc40,7aec2060,3b3f4b2d</vt:lpwstr>
  </property>
  <property fmtid="{D5CDD505-2E9C-101B-9397-08002B2CF9AE}" pid="3" name="ClassificationContentMarkingHeaderFontProps">
    <vt:lpwstr>#ff0000,12,Aptos</vt:lpwstr>
  </property>
  <property fmtid="{D5CDD505-2E9C-101B-9397-08002B2CF9AE}" pid="4" name="ClassificationContentMarkingHeaderText">
    <vt:lpwstr>OFFICIAL</vt:lpwstr>
  </property>
  <property fmtid="{D5CDD505-2E9C-101B-9397-08002B2CF9AE}" pid="5" name="ClassificationContentMarkingFooterShapeIds">
    <vt:lpwstr>446f1e74,74fbc85b,7b763,30da8f3f</vt:lpwstr>
  </property>
  <property fmtid="{D5CDD505-2E9C-101B-9397-08002B2CF9AE}" pid="6" name="ClassificationContentMarkingFooterFontProps">
    <vt:lpwstr>#ff0000,12,Aptos</vt:lpwstr>
  </property>
  <property fmtid="{D5CDD505-2E9C-101B-9397-08002B2CF9AE}" pid="7" name="ClassificationContentMarkingFooterText">
    <vt:lpwstr>OFFICIAL</vt:lpwstr>
  </property>
  <property fmtid="{D5CDD505-2E9C-101B-9397-08002B2CF9AE}" pid="8" name="MSIP_Label_7cd3e8b9-ffed-43a8-b7f4-cc2fa0382d36_Enabled">
    <vt:lpwstr>true</vt:lpwstr>
  </property>
  <property fmtid="{D5CDD505-2E9C-101B-9397-08002B2CF9AE}" pid="9" name="MSIP_Label_7cd3e8b9-ffed-43a8-b7f4-cc2fa0382d36_SetDate">
    <vt:lpwstr>2025-12-10T04:37:41Z</vt:lpwstr>
  </property>
  <property fmtid="{D5CDD505-2E9C-101B-9397-08002B2CF9AE}" pid="10" name="MSIP_Label_7cd3e8b9-ffed-43a8-b7f4-cc2fa0382d36_Method">
    <vt:lpwstr>Privileged</vt:lpwstr>
  </property>
  <property fmtid="{D5CDD505-2E9C-101B-9397-08002B2CF9AE}" pid="11" name="MSIP_Label_7cd3e8b9-ffed-43a8-b7f4-cc2fa0382d36_Name">
    <vt:lpwstr>O</vt:lpwstr>
  </property>
  <property fmtid="{D5CDD505-2E9C-101B-9397-08002B2CF9AE}" pid="12" name="MSIP_Label_7cd3e8b9-ffed-43a8-b7f4-cc2fa0382d36_SiteId">
    <vt:lpwstr>34a3929c-73cf-4954-abfe-147dc3517892</vt:lpwstr>
  </property>
  <property fmtid="{D5CDD505-2E9C-101B-9397-08002B2CF9AE}" pid="13" name="MSIP_Label_7cd3e8b9-ffed-43a8-b7f4-cc2fa0382d36_ActionId">
    <vt:lpwstr>4c19e3b7-5eac-4486-a826-eb92a81ebfbf</vt:lpwstr>
  </property>
  <property fmtid="{D5CDD505-2E9C-101B-9397-08002B2CF9AE}" pid="14" name="MSIP_Label_7cd3e8b9-ffed-43a8-b7f4-cc2fa0382d36_ContentBits">
    <vt:lpwstr>3</vt:lpwstr>
  </property>
  <property fmtid="{D5CDD505-2E9C-101B-9397-08002B2CF9AE}" pid="15" name="MSIP_Label_7cd3e8b9-ffed-43a8-b7f4-cc2fa0382d36_Tag">
    <vt:lpwstr>10, 0, 1, 1</vt:lpwstr>
  </property>
</Properties>
</file>