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5B36E" w14:textId="77777777" w:rsidR="00471B8A" w:rsidRDefault="00471B8A" w:rsidP="00FF31C3">
      <w:pPr>
        <w:pStyle w:val="Title"/>
        <w:sectPr w:rsidR="00471B8A" w:rsidSect="00471B8A">
          <w:footerReference w:type="default" r:id="rId11"/>
          <w:headerReference w:type="first" r:id="rId12"/>
          <w:footerReference w:type="first" r:id="rId13"/>
          <w:endnotePr>
            <w:numFmt w:val="decimal"/>
          </w:endnotePr>
          <w:pgSz w:w="11906" w:h="16838"/>
          <w:pgMar w:top="1418" w:right="1418" w:bottom="993" w:left="1418" w:header="851" w:footer="567" w:gutter="0"/>
          <w:cols w:space="708"/>
          <w:titlePg/>
          <w:docGrid w:linePitch="360"/>
        </w:sectPr>
      </w:pPr>
    </w:p>
    <w:p w14:paraId="481BF59A" w14:textId="1EB2646E" w:rsidR="00F53000" w:rsidRPr="00D56A45" w:rsidRDefault="00B2664E" w:rsidP="00FF31C3">
      <w:pPr>
        <w:pStyle w:val="Title"/>
      </w:pPr>
      <w:r w:rsidRPr="00D56A45">
        <w:t>Report</w:t>
      </w:r>
      <w:r w:rsidR="00290185" w:rsidRPr="00D56A45">
        <w:t xml:space="preserve"> on B</w:t>
      </w:r>
      <w:r w:rsidR="00CD4F67" w:rsidRPr="00D56A45">
        <w:t xml:space="preserve">arriers </w:t>
      </w:r>
      <w:r w:rsidRPr="00D56A45">
        <w:t>and Issues in</w:t>
      </w:r>
      <w:r w:rsidR="00CD4F67" w:rsidRPr="00D56A45">
        <w:t xml:space="preserve"> Health Advocacy for People with Disability</w:t>
      </w:r>
    </w:p>
    <w:p w14:paraId="1FC87519" w14:textId="39B64446" w:rsidR="00BC410C" w:rsidRPr="00D56A45" w:rsidRDefault="002547BD" w:rsidP="00B17BAC">
      <w:pPr>
        <w:pStyle w:val="Subtitle"/>
      </w:pPr>
      <w:r w:rsidRPr="00D56A45">
        <w:t>Long Term Health Advocacy Working Group</w:t>
      </w:r>
    </w:p>
    <w:sdt>
      <w:sdtPr>
        <w:id w:val="-436445680"/>
        <w:docPartObj>
          <w:docPartGallery w:val="Table of Contents"/>
          <w:docPartUnique/>
        </w:docPartObj>
      </w:sdtPr>
      <w:sdtEndPr>
        <w:rPr>
          <w:rFonts w:ascii="Arial" w:eastAsia="Times New Roman" w:hAnsi="Arial" w:cs="Times New Roman"/>
          <w:color w:val="auto"/>
          <w:sz w:val="22"/>
          <w:szCs w:val="24"/>
          <w:lang w:val="en-AU"/>
        </w:rPr>
      </w:sdtEndPr>
      <w:sdtContent>
        <w:p w14:paraId="69778551" w14:textId="3E8442AD" w:rsidR="00110CAE" w:rsidRPr="00995C6A" w:rsidRDefault="00110CAE" w:rsidP="00612589">
          <w:pPr>
            <w:pStyle w:val="TOCHeading"/>
          </w:pPr>
          <w:r w:rsidRPr="00995C6A">
            <w:t>Contents</w:t>
          </w:r>
        </w:p>
        <w:p w14:paraId="524F5709" w14:textId="54A18184" w:rsidR="00BE5DF0" w:rsidRDefault="00BE5DF0">
          <w:pPr>
            <w:pStyle w:val="TOC1"/>
            <w:rPr>
              <w:noProof/>
              <w:lang w:eastAsia="ja-JP"/>
            </w:rPr>
          </w:pPr>
          <w:r>
            <w:fldChar w:fldCharType="begin"/>
          </w:r>
          <w:r>
            <w:instrText xml:space="preserve"> TOC \o "1-2" \h \z \u </w:instrText>
          </w:r>
          <w:r>
            <w:fldChar w:fldCharType="separate"/>
          </w:r>
          <w:hyperlink w:anchor="_Toc225778737" w:history="1">
            <w:r w:rsidRPr="00405CDC">
              <w:rPr>
                <w:rStyle w:val="Hyperlink"/>
                <w:noProof/>
              </w:rPr>
              <w:t>Acknowledgements</w:t>
            </w:r>
            <w:r>
              <w:rPr>
                <w:noProof/>
                <w:webHidden/>
              </w:rPr>
              <w:tab/>
            </w:r>
            <w:r>
              <w:rPr>
                <w:noProof/>
                <w:webHidden/>
              </w:rPr>
              <w:fldChar w:fldCharType="begin"/>
            </w:r>
            <w:r>
              <w:rPr>
                <w:noProof/>
                <w:webHidden/>
              </w:rPr>
              <w:instrText xml:space="preserve"> PAGEREF _Toc225778737 \h </w:instrText>
            </w:r>
            <w:r>
              <w:rPr>
                <w:noProof/>
                <w:webHidden/>
              </w:rPr>
            </w:r>
            <w:r>
              <w:rPr>
                <w:noProof/>
                <w:webHidden/>
              </w:rPr>
              <w:fldChar w:fldCharType="separate"/>
            </w:r>
            <w:r>
              <w:rPr>
                <w:noProof/>
                <w:webHidden/>
              </w:rPr>
              <w:t>4</w:t>
            </w:r>
            <w:r>
              <w:rPr>
                <w:noProof/>
                <w:webHidden/>
              </w:rPr>
              <w:fldChar w:fldCharType="end"/>
            </w:r>
          </w:hyperlink>
        </w:p>
        <w:p w14:paraId="48CACF3B" w14:textId="3CAC1B45" w:rsidR="00BE5DF0" w:rsidRDefault="00BE5DF0">
          <w:pPr>
            <w:pStyle w:val="TOC2"/>
            <w:rPr>
              <w:noProof/>
              <w:lang w:eastAsia="ja-JP"/>
            </w:rPr>
          </w:pPr>
          <w:hyperlink w:anchor="_Toc225778738" w:history="1">
            <w:r w:rsidRPr="00405CDC">
              <w:rPr>
                <w:rStyle w:val="Hyperlink"/>
                <w:noProof/>
              </w:rPr>
              <w:t>Acknowledgement of Country</w:t>
            </w:r>
            <w:r>
              <w:rPr>
                <w:noProof/>
                <w:webHidden/>
              </w:rPr>
              <w:tab/>
            </w:r>
            <w:r>
              <w:rPr>
                <w:noProof/>
                <w:webHidden/>
              </w:rPr>
              <w:fldChar w:fldCharType="begin"/>
            </w:r>
            <w:r>
              <w:rPr>
                <w:noProof/>
                <w:webHidden/>
              </w:rPr>
              <w:instrText xml:space="preserve"> PAGEREF _Toc225778738 \h </w:instrText>
            </w:r>
            <w:r>
              <w:rPr>
                <w:noProof/>
                <w:webHidden/>
              </w:rPr>
            </w:r>
            <w:r>
              <w:rPr>
                <w:noProof/>
                <w:webHidden/>
              </w:rPr>
              <w:fldChar w:fldCharType="separate"/>
            </w:r>
            <w:r>
              <w:rPr>
                <w:noProof/>
                <w:webHidden/>
              </w:rPr>
              <w:t>4</w:t>
            </w:r>
            <w:r>
              <w:rPr>
                <w:noProof/>
                <w:webHidden/>
              </w:rPr>
              <w:fldChar w:fldCharType="end"/>
            </w:r>
          </w:hyperlink>
        </w:p>
        <w:p w14:paraId="277CF7E8" w14:textId="3D110A57" w:rsidR="00BE5DF0" w:rsidRDefault="00BE5DF0">
          <w:pPr>
            <w:pStyle w:val="TOC2"/>
            <w:rPr>
              <w:noProof/>
              <w:lang w:eastAsia="ja-JP"/>
            </w:rPr>
          </w:pPr>
          <w:hyperlink w:anchor="_Toc225778739" w:history="1">
            <w:r w:rsidRPr="00405CDC">
              <w:rPr>
                <w:rStyle w:val="Hyperlink"/>
                <w:noProof/>
              </w:rPr>
              <w:t>Acknowledgement of people with disability and their support networks</w:t>
            </w:r>
            <w:r>
              <w:rPr>
                <w:noProof/>
                <w:webHidden/>
              </w:rPr>
              <w:tab/>
            </w:r>
            <w:r>
              <w:rPr>
                <w:noProof/>
                <w:webHidden/>
              </w:rPr>
              <w:fldChar w:fldCharType="begin"/>
            </w:r>
            <w:r>
              <w:rPr>
                <w:noProof/>
                <w:webHidden/>
              </w:rPr>
              <w:instrText xml:space="preserve"> PAGEREF _Toc225778739 \h </w:instrText>
            </w:r>
            <w:r>
              <w:rPr>
                <w:noProof/>
                <w:webHidden/>
              </w:rPr>
            </w:r>
            <w:r>
              <w:rPr>
                <w:noProof/>
                <w:webHidden/>
              </w:rPr>
              <w:fldChar w:fldCharType="separate"/>
            </w:r>
            <w:r>
              <w:rPr>
                <w:noProof/>
                <w:webHidden/>
              </w:rPr>
              <w:t>4</w:t>
            </w:r>
            <w:r>
              <w:rPr>
                <w:noProof/>
                <w:webHidden/>
              </w:rPr>
              <w:fldChar w:fldCharType="end"/>
            </w:r>
          </w:hyperlink>
        </w:p>
        <w:p w14:paraId="003F4139" w14:textId="471CE20B" w:rsidR="00BE5DF0" w:rsidRDefault="00BE5DF0">
          <w:pPr>
            <w:pStyle w:val="TOC1"/>
            <w:rPr>
              <w:noProof/>
              <w:lang w:eastAsia="ja-JP"/>
            </w:rPr>
          </w:pPr>
          <w:hyperlink w:anchor="_Toc225778740" w:history="1">
            <w:r w:rsidRPr="00405CDC">
              <w:rPr>
                <w:rStyle w:val="Hyperlink"/>
                <w:noProof/>
              </w:rPr>
              <w:t>Acronyms</w:t>
            </w:r>
            <w:r>
              <w:rPr>
                <w:noProof/>
                <w:webHidden/>
              </w:rPr>
              <w:tab/>
            </w:r>
            <w:r>
              <w:rPr>
                <w:noProof/>
                <w:webHidden/>
              </w:rPr>
              <w:fldChar w:fldCharType="begin"/>
            </w:r>
            <w:r>
              <w:rPr>
                <w:noProof/>
                <w:webHidden/>
              </w:rPr>
              <w:instrText xml:space="preserve"> PAGEREF _Toc225778740 \h </w:instrText>
            </w:r>
            <w:r>
              <w:rPr>
                <w:noProof/>
                <w:webHidden/>
              </w:rPr>
            </w:r>
            <w:r>
              <w:rPr>
                <w:noProof/>
                <w:webHidden/>
              </w:rPr>
              <w:fldChar w:fldCharType="separate"/>
            </w:r>
            <w:r>
              <w:rPr>
                <w:noProof/>
                <w:webHidden/>
              </w:rPr>
              <w:t>5</w:t>
            </w:r>
            <w:r>
              <w:rPr>
                <w:noProof/>
                <w:webHidden/>
              </w:rPr>
              <w:fldChar w:fldCharType="end"/>
            </w:r>
          </w:hyperlink>
        </w:p>
        <w:p w14:paraId="15B5D531" w14:textId="5E50C736" w:rsidR="00BE5DF0" w:rsidRDefault="00BE5DF0">
          <w:pPr>
            <w:pStyle w:val="TOC1"/>
            <w:rPr>
              <w:noProof/>
              <w:lang w:eastAsia="ja-JP"/>
            </w:rPr>
          </w:pPr>
          <w:hyperlink w:anchor="_Toc225778741" w:history="1">
            <w:r w:rsidRPr="00405CDC">
              <w:rPr>
                <w:rStyle w:val="Hyperlink"/>
                <w:noProof/>
              </w:rPr>
              <w:t>Executive Summary</w:t>
            </w:r>
            <w:r>
              <w:rPr>
                <w:noProof/>
                <w:webHidden/>
              </w:rPr>
              <w:tab/>
            </w:r>
            <w:r>
              <w:rPr>
                <w:noProof/>
                <w:webHidden/>
              </w:rPr>
              <w:fldChar w:fldCharType="begin"/>
            </w:r>
            <w:r>
              <w:rPr>
                <w:noProof/>
                <w:webHidden/>
              </w:rPr>
              <w:instrText xml:space="preserve"> PAGEREF _Toc225778741 \h </w:instrText>
            </w:r>
            <w:r>
              <w:rPr>
                <w:noProof/>
                <w:webHidden/>
              </w:rPr>
            </w:r>
            <w:r>
              <w:rPr>
                <w:noProof/>
                <w:webHidden/>
              </w:rPr>
              <w:fldChar w:fldCharType="separate"/>
            </w:r>
            <w:r>
              <w:rPr>
                <w:noProof/>
                <w:webHidden/>
              </w:rPr>
              <w:t>6</w:t>
            </w:r>
            <w:r>
              <w:rPr>
                <w:noProof/>
                <w:webHidden/>
              </w:rPr>
              <w:fldChar w:fldCharType="end"/>
            </w:r>
          </w:hyperlink>
        </w:p>
        <w:p w14:paraId="7BC07617" w14:textId="3ADF17C0" w:rsidR="00BE5DF0" w:rsidRDefault="00BE5DF0">
          <w:pPr>
            <w:pStyle w:val="TOC1"/>
            <w:rPr>
              <w:noProof/>
              <w:lang w:eastAsia="ja-JP"/>
            </w:rPr>
          </w:pPr>
          <w:hyperlink w:anchor="_Toc225778742" w:history="1">
            <w:r w:rsidRPr="00405CDC">
              <w:rPr>
                <w:rStyle w:val="Hyperlink"/>
                <w:noProof/>
              </w:rPr>
              <w:t>Introduction</w:t>
            </w:r>
            <w:r>
              <w:rPr>
                <w:noProof/>
                <w:webHidden/>
              </w:rPr>
              <w:tab/>
            </w:r>
            <w:r>
              <w:rPr>
                <w:noProof/>
                <w:webHidden/>
              </w:rPr>
              <w:fldChar w:fldCharType="begin"/>
            </w:r>
            <w:r>
              <w:rPr>
                <w:noProof/>
                <w:webHidden/>
              </w:rPr>
              <w:instrText xml:space="preserve"> PAGEREF _Toc225778742 \h </w:instrText>
            </w:r>
            <w:r>
              <w:rPr>
                <w:noProof/>
                <w:webHidden/>
              </w:rPr>
            </w:r>
            <w:r>
              <w:rPr>
                <w:noProof/>
                <w:webHidden/>
              </w:rPr>
              <w:fldChar w:fldCharType="separate"/>
            </w:r>
            <w:r>
              <w:rPr>
                <w:noProof/>
                <w:webHidden/>
              </w:rPr>
              <w:t>9</w:t>
            </w:r>
            <w:r>
              <w:rPr>
                <w:noProof/>
                <w:webHidden/>
              </w:rPr>
              <w:fldChar w:fldCharType="end"/>
            </w:r>
          </w:hyperlink>
        </w:p>
        <w:p w14:paraId="217F4EE5" w14:textId="39B04AAE" w:rsidR="00BE5DF0" w:rsidRDefault="00BE5DF0">
          <w:pPr>
            <w:pStyle w:val="TOC2"/>
            <w:rPr>
              <w:noProof/>
              <w:lang w:eastAsia="ja-JP"/>
            </w:rPr>
          </w:pPr>
          <w:hyperlink w:anchor="_Toc225778743" w:history="1">
            <w:r w:rsidRPr="00405CDC">
              <w:rPr>
                <w:rStyle w:val="Hyperlink"/>
                <w:noProof/>
              </w:rPr>
              <w:t>Long-Term Health Advocacy Working Group</w:t>
            </w:r>
            <w:r>
              <w:rPr>
                <w:noProof/>
                <w:webHidden/>
              </w:rPr>
              <w:tab/>
            </w:r>
            <w:r>
              <w:rPr>
                <w:noProof/>
                <w:webHidden/>
              </w:rPr>
              <w:fldChar w:fldCharType="begin"/>
            </w:r>
            <w:r>
              <w:rPr>
                <w:noProof/>
                <w:webHidden/>
              </w:rPr>
              <w:instrText xml:space="preserve"> PAGEREF _Toc225778743 \h </w:instrText>
            </w:r>
            <w:r>
              <w:rPr>
                <w:noProof/>
                <w:webHidden/>
              </w:rPr>
            </w:r>
            <w:r>
              <w:rPr>
                <w:noProof/>
                <w:webHidden/>
              </w:rPr>
              <w:fldChar w:fldCharType="separate"/>
            </w:r>
            <w:r>
              <w:rPr>
                <w:noProof/>
                <w:webHidden/>
              </w:rPr>
              <w:t>9</w:t>
            </w:r>
            <w:r>
              <w:rPr>
                <w:noProof/>
                <w:webHidden/>
              </w:rPr>
              <w:fldChar w:fldCharType="end"/>
            </w:r>
          </w:hyperlink>
        </w:p>
        <w:p w14:paraId="2C025A85" w14:textId="6592ACBB" w:rsidR="00BE5DF0" w:rsidRDefault="00BE5DF0">
          <w:pPr>
            <w:pStyle w:val="TOC2"/>
            <w:rPr>
              <w:noProof/>
              <w:lang w:eastAsia="ja-JP"/>
            </w:rPr>
          </w:pPr>
          <w:hyperlink w:anchor="_Toc225778744" w:history="1">
            <w:r w:rsidRPr="00405CDC">
              <w:rPr>
                <w:rStyle w:val="Hyperlink"/>
                <w:noProof/>
              </w:rPr>
              <w:t>Purpose and use of the report</w:t>
            </w:r>
            <w:r>
              <w:rPr>
                <w:noProof/>
                <w:webHidden/>
              </w:rPr>
              <w:tab/>
            </w:r>
            <w:r>
              <w:rPr>
                <w:noProof/>
                <w:webHidden/>
              </w:rPr>
              <w:fldChar w:fldCharType="begin"/>
            </w:r>
            <w:r>
              <w:rPr>
                <w:noProof/>
                <w:webHidden/>
              </w:rPr>
              <w:instrText xml:space="preserve"> PAGEREF _Toc225778744 \h </w:instrText>
            </w:r>
            <w:r>
              <w:rPr>
                <w:noProof/>
                <w:webHidden/>
              </w:rPr>
            </w:r>
            <w:r>
              <w:rPr>
                <w:noProof/>
                <w:webHidden/>
              </w:rPr>
              <w:fldChar w:fldCharType="separate"/>
            </w:r>
            <w:r>
              <w:rPr>
                <w:noProof/>
                <w:webHidden/>
              </w:rPr>
              <w:t>9</w:t>
            </w:r>
            <w:r>
              <w:rPr>
                <w:noProof/>
                <w:webHidden/>
              </w:rPr>
              <w:fldChar w:fldCharType="end"/>
            </w:r>
          </w:hyperlink>
        </w:p>
        <w:p w14:paraId="7157640D" w14:textId="6B5BBD65" w:rsidR="00BE5DF0" w:rsidRDefault="00BE5DF0">
          <w:pPr>
            <w:pStyle w:val="TOC1"/>
            <w:rPr>
              <w:noProof/>
              <w:lang w:eastAsia="ja-JP"/>
            </w:rPr>
          </w:pPr>
          <w:hyperlink w:anchor="_Toc225778745" w:history="1">
            <w:r w:rsidRPr="00405CDC">
              <w:rPr>
                <w:rStyle w:val="Hyperlink"/>
                <w:noProof/>
              </w:rPr>
              <w:t>The importance of health advocacy</w:t>
            </w:r>
            <w:r>
              <w:rPr>
                <w:noProof/>
                <w:webHidden/>
              </w:rPr>
              <w:tab/>
            </w:r>
            <w:r>
              <w:rPr>
                <w:noProof/>
                <w:webHidden/>
              </w:rPr>
              <w:fldChar w:fldCharType="begin"/>
            </w:r>
            <w:r>
              <w:rPr>
                <w:noProof/>
                <w:webHidden/>
              </w:rPr>
              <w:instrText xml:space="preserve"> PAGEREF _Toc225778745 \h </w:instrText>
            </w:r>
            <w:r>
              <w:rPr>
                <w:noProof/>
                <w:webHidden/>
              </w:rPr>
            </w:r>
            <w:r>
              <w:rPr>
                <w:noProof/>
                <w:webHidden/>
              </w:rPr>
              <w:fldChar w:fldCharType="separate"/>
            </w:r>
            <w:r>
              <w:rPr>
                <w:noProof/>
                <w:webHidden/>
              </w:rPr>
              <w:t>11</w:t>
            </w:r>
            <w:r>
              <w:rPr>
                <w:noProof/>
                <w:webHidden/>
              </w:rPr>
              <w:fldChar w:fldCharType="end"/>
            </w:r>
          </w:hyperlink>
        </w:p>
        <w:p w14:paraId="40A6285B" w14:textId="28BF10A1" w:rsidR="00BE5DF0" w:rsidRDefault="00BE5DF0">
          <w:pPr>
            <w:pStyle w:val="TOC1"/>
            <w:rPr>
              <w:noProof/>
              <w:lang w:eastAsia="ja-JP"/>
            </w:rPr>
          </w:pPr>
          <w:hyperlink w:anchor="_Toc225778746" w:history="1">
            <w:r w:rsidRPr="00405CDC">
              <w:rPr>
                <w:rStyle w:val="Hyperlink"/>
                <w:noProof/>
              </w:rPr>
              <w:t>Overarching Themes</w:t>
            </w:r>
            <w:r>
              <w:rPr>
                <w:noProof/>
                <w:webHidden/>
              </w:rPr>
              <w:tab/>
            </w:r>
            <w:r>
              <w:rPr>
                <w:noProof/>
                <w:webHidden/>
              </w:rPr>
              <w:fldChar w:fldCharType="begin"/>
            </w:r>
            <w:r>
              <w:rPr>
                <w:noProof/>
                <w:webHidden/>
              </w:rPr>
              <w:instrText xml:space="preserve"> PAGEREF _Toc225778746 \h </w:instrText>
            </w:r>
            <w:r>
              <w:rPr>
                <w:noProof/>
                <w:webHidden/>
              </w:rPr>
            </w:r>
            <w:r>
              <w:rPr>
                <w:noProof/>
                <w:webHidden/>
              </w:rPr>
              <w:fldChar w:fldCharType="separate"/>
            </w:r>
            <w:r>
              <w:rPr>
                <w:noProof/>
                <w:webHidden/>
              </w:rPr>
              <w:t>13</w:t>
            </w:r>
            <w:r>
              <w:rPr>
                <w:noProof/>
                <w:webHidden/>
              </w:rPr>
              <w:fldChar w:fldCharType="end"/>
            </w:r>
          </w:hyperlink>
        </w:p>
        <w:p w14:paraId="4166F89C" w14:textId="6E898BF0" w:rsidR="00BE5DF0" w:rsidRDefault="00BE5DF0">
          <w:pPr>
            <w:pStyle w:val="TOC2"/>
            <w:rPr>
              <w:noProof/>
              <w:lang w:eastAsia="ja-JP"/>
            </w:rPr>
          </w:pPr>
          <w:hyperlink w:anchor="_Toc225778747" w:history="1">
            <w:r w:rsidRPr="00405CDC">
              <w:rPr>
                <w:rStyle w:val="Hyperlink"/>
                <w:noProof/>
              </w:rPr>
              <w:t>Advocacy barrier types</w:t>
            </w:r>
            <w:r>
              <w:rPr>
                <w:noProof/>
                <w:webHidden/>
              </w:rPr>
              <w:tab/>
            </w:r>
            <w:r>
              <w:rPr>
                <w:noProof/>
                <w:webHidden/>
              </w:rPr>
              <w:fldChar w:fldCharType="begin"/>
            </w:r>
            <w:r>
              <w:rPr>
                <w:noProof/>
                <w:webHidden/>
              </w:rPr>
              <w:instrText xml:space="preserve"> PAGEREF _Toc225778747 \h </w:instrText>
            </w:r>
            <w:r>
              <w:rPr>
                <w:noProof/>
                <w:webHidden/>
              </w:rPr>
            </w:r>
            <w:r>
              <w:rPr>
                <w:noProof/>
                <w:webHidden/>
              </w:rPr>
              <w:fldChar w:fldCharType="separate"/>
            </w:r>
            <w:r>
              <w:rPr>
                <w:noProof/>
                <w:webHidden/>
              </w:rPr>
              <w:t>15</w:t>
            </w:r>
            <w:r>
              <w:rPr>
                <w:noProof/>
                <w:webHidden/>
              </w:rPr>
              <w:fldChar w:fldCharType="end"/>
            </w:r>
          </w:hyperlink>
        </w:p>
        <w:p w14:paraId="265C5270" w14:textId="4B520A52" w:rsidR="00BE5DF0" w:rsidRDefault="00BE5DF0">
          <w:pPr>
            <w:pStyle w:val="TOC1"/>
            <w:rPr>
              <w:noProof/>
              <w:lang w:eastAsia="ja-JP"/>
            </w:rPr>
          </w:pPr>
          <w:hyperlink w:anchor="_Toc225778748" w:history="1">
            <w:r w:rsidRPr="00405CDC">
              <w:rPr>
                <w:rStyle w:val="Hyperlink"/>
                <w:noProof/>
              </w:rPr>
              <w:t>Individual advocacy barriers</w:t>
            </w:r>
            <w:r>
              <w:rPr>
                <w:noProof/>
                <w:webHidden/>
              </w:rPr>
              <w:tab/>
            </w:r>
            <w:r>
              <w:rPr>
                <w:noProof/>
                <w:webHidden/>
              </w:rPr>
              <w:fldChar w:fldCharType="begin"/>
            </w:r>
            <w:r>
              <w:rPr>
                <w:noProof/>
                <w:webHidden/>
              </w:rPr>
              <w:instrText xml:space="preserve"> PAGEREF _Toc225778748 \h </w:instrText>
            </w:r>
            <w:r>
              <w:rPr>
                <w:noProof/>
                <w:webHidden/>
              </w:rPr>
            </w:r>
            <w:r>
              <w:rPr>
                <w:noProof/>
                <w:webHidden/>
              </w:rPr>
              <w:fldChar w:fldCharType="separate"/>
            </w:r>
            <w:r>
              <w:rPr>
                <w:noProof/>
                <w:webHidden/>
              </w:rPr>
              <w:t>16</w:t>
            </w:r>
            <w:r>
              <w:rPr>
                <w:noProof/>
                <w:webHidden/>
              </w:rPr>
              <w:fldChar w:fldCharType="end"/>
            </w:r>
          </w:hyperlink>
        </w:p>
        <w:p w14:paraId="3ED35D64" w14:textId="56EBBE30" w:rsidR="00BE5DF0" w:rsidRDefault="00BE5DF0">
          <w:pPr>
            <w:pStyle w:val="TOC2"/>
            <w:rPr>
              <w:noProof/>
              <w:lang w:eastAsia="ja-JP"/>
            </w:rPr>
          </w:pPr>
          <w:hyperlink w:anchor="_Toc225778749" w:history="1">
            <w:r w:rsidRPr="00405CDC">
              <w:rPr>
                <w:rStyle w:val="Hyperlink"/>
                <w:noProof/>
              </w:rPr>
              <w:t>Individual capacity to navigate the health and disability interface</w:t>
            </w:r>
            <w:r>
              <w:rPr>
                <w:noProof/>
                <w:webHidden/>
              </w:rPr>
              <w:tab/>
            </w:r>
            <w:r>
              <w:rPr>
                <w:noProof/>
                <w:webHidden/>
              </w:rPr>
              <w:fldChar w:fldCharType="begin"/>
            </w:r>
            <w:r>
              <w:rPr>
                <w:noProof/>
                <w:webHidden/>
              </w:rPr>
              <w:instrText xml:space="preserve"> PAGEREF _Toc225778749 \h </w:instrText>
            </w:r>
            <w:r>
              <w:rPr>
                <w:noProof/>
                <w:webHidden/>
              </w:rPr>
            </w:r>
            <w:r>
              <w:rPr>
                <w:noProof/>
                <w:webHidden/>
              </w:rPr>
              <w:fldChar w:fldCharType="separate"/>
            </w:r>
            <w:r>
              <w:rPr>
                <w:noProof/>
                <w:webHidden/>
              </w:rPr>
              <w:t>16</w:t>
            </w:r>
            <w:r>
              <w:rPr>
                <w:noProof/>
                <w:webHidden/>
              </w:rPr>
              <w:fldChar w:fldCharType="end"/>
            </w:r>
          </w:hyperlink>
        </w:p>
        <w:p w14:paraId="4DB2A2D7" w14:textId="79E6655D" w:rsidR="00BE5DF0" w:rsidRDefault="00BE5DF0">
          <w:pPr>
            <w:pStyle w:val="TOC2"/>
            <w:rPr>
              <w:noProof/>
              <w:lang w:eastAsia="ja-JP"/>
            </w:rPr>
          </w:pPr>
          <w:hyperlink w:anchor="_Toc225778750" w:history="1">
            <w:r w:rsidRPr="00405CDC">
              <w:rPr>
                <w:rStyle w:val="Hyperlink"/>
                <w:noProof/>
              </w:rPr>
              <w:t>NDIS concurrent supports are not available for people with complex needs while in hospital</w:t>
            </w:r>
            <w:r>
              <w:rPr>
                <w:noProof/>
                <w:webHidden/>
              </w:rPr>
              <w:tab/>
            </w:r>
            <w:r>
              <w:rPr>
                <w:noProof/>
                <w:webHidden/>
              </w:rPr>
              <w:fldChar w:fldCharType="begin"/>
            </w:r>
            <w:r>
              <w:rPr>
                <w:noProof/>
                <w:webHidden/>
              </w:rPr>
              <w:instrText xml:space="preserve"> PAGEREF _Toc225778750 \h </w:instrText>
            </w:r>
            <w:r>
              <w:rPr>
                <w:noProof/>
                <w:webHidden/>
              </w:rPr>
            </w:r>
            <w:r>
              <w:rPr>
                <w:noProof/>
                <w:webHidden/>
              </w:rPr>
              <w:fldChar w:fldCharType="separate"/>
            </w:r>
            <w:r>
              <w:rPr>
                <w:noProof/>
                <w:webHidden/>
              </w:rPr>
              <w:t>16</w:t>
            </w:r>
            <w:r>
              <w:rPr>
                <w:noProof/>
                <w:webHidden/>
              </w:rPr>
              <w:fldChar w:fldCharType="end"/>
            </w:r>
          </w:hyperlink>
        </w:p>
        <w:p w14:paraId="591DDFF4" w14:textId="1BE087C3" w:rsidR="00BE5DF0" w:rsidRDefault="00BE5DF0">
          <w:pPr>
            <w:pStyle w:val="TOC2"/>
            <w:rPr>
              <w:noProof/>
              <w:lang w:eastAsia="ja-JP"/>
            </w:rPr>
          </w:pPr>
          <w:hyperlink w:anchor="_Toc225778751" w:history="1">
            <w:r w:rsidRPr="00405CDC">
              <w:rPr>
                <w:rStyle w:val="Hyperlink"/>
                <w:noProof/>
              </w:rPr>
              <w:t>Communication, access and autonomy barriers</w:t>
            </w:r>
            <w:r>
              <w:rPr>
                <w:noProof/>
                <w:webHidden/>
              </w:rPr>
              <w:tab/>
            </w:r>
            <w:r>
              <w:rPr>
                <w:noProof/>
                <w:webHidden/>
              </w:rPr>
              <w:fldChar w:fldCharType="begin"/>
            </w:r>
            <w:r>
              <w:rPr>
                <w:noProof/>
                <w:webHidden/>
              </w:rPr>
              <w:instrText xml:space="preserve"> PAGEREF _Toc225778751 \h </w:instrText>
            </w:r>
            <w:r>
              <w:rPr>
                <w:noProof/>
                <w:webHidden/>
              </w:rPr>
            </w:r>
            <w:r>
              <w:rPr>
                <w:noProof/>
                <w:webHidden/>
              </w:rPr>
              <w:fldChar w:fldCharType="separate"/>
            </w:r>
            <w:r>
              <w:rPr>
                <w:noProof/>
                <w:webHidden/>
              </w:rPr>
              <w:t>17</w:t>
            </w:r>
            <w:r>
              <w:rPr>
                <w:noProof/>
                <w:webHidden/>
              </w:rPr>
              <w:fldChar w:fldCharType="end"/>
            </w:r>
          </w:hyperlink>
        </w:p>
        <w:p w14:paraId="6A258947" w14:textId="1447B978" w:rsidR="00BE5DF0" w:rsidRDefault="00BE5DF0">
          <w:pPr>
            <w:pStyle w:val="TOC2"/>
            <w:rPr>
              <w:noProof/>
              <w:lang w:eastAsia="ja-JP"/>
            </w:rPr>
          </w:pPr>
          <w:hyperlink w:anchor="_Toc225778752" w:history="1">
            <w:r w:rsidRPr="00405CDC">
              <w:rPr>
                <w:rStyle w:val="Hyperlink"/>
                <w:noProof/>
              </w:rPr>
              <w:t>Current opportunities and limitations</w:t>
            </w:r>
            <w:r>
              <w:rPr>
                <w:noProof/>
                <w:webHidden/>
              </w:rPr>
              <w:tab/>
            </w:r>
            <w:r>
              <w:rPr>
                <w:noProof/>
                <w:webHidden/>
              </w:rPr>
              <w:fldChar w:fldCharType="begin"/>
            </w:r>
            <w:r>
              <w:rPr>
                <w:noProof/>
                <w:webHidden/>
              </w:rPr>
              <w:instrText xml:space="preserve"> PAGEREF _Toc225778752 \h </w:instrText>
            </w:r>
            <w:r>
              <w:rPr>
                <w:noProof/>
                <w:webHidden/>
              </w:rPr>
            </w:r>
            <w:r>
              <w:rPr>
                <w:noProof/>
                <w:webHidden/>
              </w:rPr>
              <w:fldChar w:fldCharType="separate"/>
            </w:r>
            <w:r>
              <w:rPr>
                <w:noProof/>
                <w:webHidden/>
              </w:rPr>
              <w:t>18</w:t>
            </w:r>
            <w:r>
              <w:rPr>
                <w:noProof/>
                <w:webHidden/>
              </w:rPr>
              <w:fldChar w:fldCharType="end"/>
            </w:r>
          </w:hyperlink>
        </w:p>
        <w:p w14:paraId="3D104960" w14:textId="6B2B2BAA" w:rsidR="00BE5DF0" w:rsidRDefault="00BE5DF0">
          <w:pPr>
            <w:pStyle w:val="TOC1"/>
            <w:rPr>
              <w:noProof/>
              <w:lang w:eastAsia="ja-JP"/>
            </w:rPr>
          </w:pPr>
          <w:hyperlink w:anchor="_Toc225778753" w:history="1">
            <w:r w:rsidRPr="00405CDC">
              <w:rPr>
                <w:rStyle w:val="Hyperlink"/>
                <w:noProof/>
              </w:rPr>
              <w:t>System advocacy barriers</w:t>
            </w:r>
            <w:r>
              <w:rPr>
                <w:noProof/>
                <w:webHidden/>
              </w:rPr>
              <w:tab/>
            </w:r>
            <w:r>
              <w:rPr>
                <w:noProof/>
                <w:webHidden/>
              </w:rPr>
              <w:fldChar w:fldCharType="begin"/>
            </w:r>
            <w:r>
              <w:rPr>
                <w:noProof/>
                <w:webHidden/>
              </w:rPr>
              <w:instrText xml:space="preserve"> PAGEREF _Toc225778753 \h </w:instrText>
            </w:r>
            <w:r>
              <w:rPr>
                <w:noProof/>
                <w:webHidden/>
              </w:rPr>
            </w:r>
            <w:r>
              <w:rPr>
                <w:noProof/>
                <w:webHidden/>
              </w:rPr>
              <w:fldChar w:fldCharType="separate"/>
            </w:r>
            <w:r>
              <w:rPr>
                <w:noProof/>
                <w:webHidden/>
              </w:rPr>
              <w:t>19</w:t>
            </w:r>
            <w:r>
              <w:rPr>
                <w:noProof/>
                <w:webHidden/>
              </w:rPr>
              <w:fldChar w:fldCharType="end"/>
            </w:r>
          </w:hyperlink>
        </w:p>
        <w:p w14:paraId="34DBC6E3" w14:textId="444A23C5" w:rsidR="00BE5DF0" w:rsidRDefault="00BE5DF0">
          <w:pPr>
            <w:pStyle w:val="TOC2"/>
            <w:rPr>
              <w:noProof/>
              <w:lang w:eastAsia="ja-JP"/>
            </w:rPr>
          </w:pPr>
          <w:hyperlink w:anchor="_Toc225778754" w:history="1">
            <w:r w:rsidRPr="00405CDC">
              <w:rPr>
                <w:rStyle w:val="Hyperlink"/>
                <w:noProof/>
              </w:rPr>
              <w:t>Health and disability interface</w:t>
            </w:r>
            <w:r>
              <w:rPr>
                <w:noProof/>
                <w:webHidden/>
              </w:rPr>
              <w:tab/>
            </w:r>
            <w:r>
              <w:rPr>
                <w:noProof/>
                <w:webHidden/>
              </w:rPr>
              <w:fldChar w:fldCharType="begin"/>
            </w:r>
            <w:r>
              <w:rPr>
                <w:noProof/>
                <w:webHidden/>
              </w:rPr>
              <w:instrText xml:space="preserve"> PAGEREF _Toc225778754 \h </w:instrText>
            </w:r>
            <w:r>
              <w:rPr>
                <w:noProof/>
                <w:webHidden/>
              </w:rPr>
            </w:r>
            <w:r>
              <w:rPr>
                <w:noProof/>
                <w:webHidden/>
              </w:rPr>
              <w:fldChar w:fldCharType="separate"/>
            </w:r>
            <w:r>
              <w:rPr>
                <w:noProof/>
                <w:webHidden/>
              </w:rPr>
              <w:t>19</w:t>
            </w:r>
            <w:r>
              <w:rPr>
                <w:noProof/>
                <w:webHidden/>
              </w:rPr>
              <w:fldChar w:fldCharType="end"/>
            </w:r>
          </w:hyperlink>
        </w:p>
        <w:p w14:paraId="6E69B23A" w14:textId="3B315F3F" w:rsidR="00BE5DF0" w:rsidRDefault="00BE5DF0">
          <w:pPr>
            <w:pStyle w:val="TOC2"/>
            <w:rPr>
              <w:noProof/>
              <w:lang w:eastAsia="ja-JP"/>
            </w:rPr>
          </w:pPr>
          <w:hyperlink w:anchor="_Toc225778755" w:history="1">
            <w:r w:rsidRPr="00405CDC">
              <w:rPr>
                <w:rStyle w:val="Hyperlink"/>
                <w:noProof/>
              </w:rPr>
              <w:t>Workforce knowledge and practice</w:t>
            </w:r>
            <w:r>
              <w:rPr>
                <w:noProof/>
                <w:webHidden/>
              </w:rPr>
              <w:tab/>
            </w:r>
            <w:r>
              <w:rPr>
                <w:noProof/>
                <w:webHidden/>
              </w:rPr>
              <w:fldChar w:fldCharType="begin"/>
            </w:r>
            <w:r>
              <w:rPr>
                <w:noProof/>
                <w:webHidden/>
              </w:rPr>
              <w:instrText xml:space="preserve"> PAGEREF _Toc225778755 \h </w:instrText>
            </w:r>
            <w:r>
              <w:rPr>
                <w:noProof/>
                <w:webHidden/>
              </w:rPr>
            </w:r>
            <w:r>
              <w:rPr>
                <w:noProof/>
                <w:webHidden/>
              </w:rPr>
              <w:fldChar w:fldCharType="separate"/>
            </w:r>
            <w:r>
              <w:rPr>
                <w:noProof/>
                <w:webHidden/>
              </w:rPr>
              <w:t>22</w:t>
            </w:r>
            <w:r>
              <w:rPr>
                <w:noProof/>
                <w:webHidden/>
              </w:rPr>
              <w:fldChar w:fldCharType="end"/>
            </w:r>
          </w:hyperlink>
        </w:p>
        <w:p w14:paraId="67E74B03" w14:textId="0E32B51C" w:rsidR="00BE5DF0" w:rsidRDefault="00BE5DF0">
          <w:pPr>
            <w:pStyle w:val="TOC2"/>
            <w:rPr>
              <w:noProof/>
              <w:lang w:eastAsia="ja-JP"/>
            </w:rPr>
          </w:pPr>
          <w:hyperlink w:anchor="_Toc225778756" w:history="1">
            <w:r w:rsidRPr="00405CDC">
              <w:rPr>
                <w:rStyle w:val="Hyperlink"/>
                <w:noProof/>
              </w:rPr>
              <w:t>System barriers to communication, access and autonomy</w:t>
            </w:r>
            <w:r>
              <w:rPr>
                <w:noProof/>
                <w:webHidden/>
              </w:rPr>
              <w:tab/>
            </w:r>
            <w:r>
              <w:rPr>
                <w:noProof/>
                <w:webHidden/>
              </w:rPr>
              <w:fldChar w:fldCharType="begin"/>
            </w:r>
            <w:r>
              <w:rPr>
                <w:noProof/>
                <w:webHidden/>
              </w:rPr>
              <w:instrText xml:space="preserve"> PAGEREF _Toc225778756 \h </w:instrText>
            </w:r>
            <w:r>
              <w:rPr>
                <w:noProof/>
                <w:webHidden/>
              </w:rPr>
            </w:r>
            <w:r>
              <w:rPr>
                <w:noProof/>
                <w:webHidden/>
              </w:rPr>
              <w:fldChar w:fldCharType="separate"/>
            </w:r>
            <w:r>
              <w:rPr>
                <w:noProof/>
                <w:webHidden/>
              </w:rPr>
              <w:t>26</w:t>
            </w:r>
            <w:r>
              <w:rPr>
                <w:noProof/>
                <w:webHidden/>
              </w:rPr>
              <w:fldChar w:fldCharType="end"/>
            </w:r>
          </w:hyperlink>
        </w:p>
        <w:p w14:paraId="2F359A51" w14:textId="12CEFEF2" w:rsidR="00BE5DF0" w:rsidRDefault="00BE5DF0">
          <w:pPr>
            <w:pStyle w:val="TOC1"/>
            <w:rPr>
              <w:noProof/>
              <w:lang w:eastAsia="ja-JP"/>
            </w:rPr>
          </w:pPr>
          <w:hyperlink w:anchor="_Toc225778757" w:history="1">
            <w:r w:rsidRPr="00405CDC">
              <w:rPr>
                <w:rStyle w:val="Hyperlink"/>
                <w:noProof/>
              </w:rPr>
              <w:t>Next Steps for Consideration</w:t>
            </w:r>
            <w:r>
              <w:rPr>
                <w:noProof/>
                <w:webHidden/>
              </w:rPr>
              <w:tab/>
            </w:r>
            <w:r>
              <w:rPr>
                <w:noProof/>
                <w:webHidden/>
              </w:rPr>
              <w:fldChar w:fldCharType="begin"/>
            </w:r>
            <w:r>
              <w:rPr>
                <w:noProof/>
                <w:webHidden/>
              </w:rPr>
              <w:instrText xml:space="preserve"> PAGEREF _Toc225778757 \h </w:instrText>
            </w:r>
            <w:r>
              <w:rPr>
                <w:noProof/>
                <w:webHidden/>
              </w:rPr>
            </w:r>
            <w:r>
              <w:rPr>
                <w:noProof/>
                <w:webHidden/>
              </w:rPr>
              <w:fldChar w:fldCharType="separate"/>
            </w:r>
            <w:r>
              <w:rPr>
                <w:noProof/>
                <w:webHidden/>
              </w:rPr>
              <w:t>29</w:t>
            </w:r>
            <w:r>
              <w:rPr>
                <w:noProof/>
                <w:webHidden/>
              </w:rPr>
              <w:fldChar w:fldCharType="end"/>
            </w:r>
          </w:hyperlink>
        </w:p>
        <w:p w14:paraId="366DE24E" w14:textId="5958AE77" w:rsidR="00BE5DF0" w:rsidRDefault="00BE5DF0">
          <w:pPr>
            <w:pStyle w:val="TOC2"/>
            <w:rPr>
              <w:noProof/>
              <w:lang w:eastAsia="ja-JP"/>
            </w:rPr>
          </w:pPr>
          <w:hyperlink w:anchor="_Toc225778758" w:history="1">
            <w:r w:rsidRPr="00405CDC">
              <w:rPr>
                <w:rStyle w:val="Hyperlink"/>
                <w:noProof/>
              </w:rPr>
              <w:t>Immediate action to provide clarity around NDIS-funded disability support workers in hospitals</w:t>
            </w:r>
            <w:r>
              <w:rPr>
                <w:noProof/>
                <w:webHidden/>
              </w:rPr>
              <w:tab/>
            </w:r>
            <w:r>
              <w:rPr>
                <w:noProof/>
                <w:webHidden/>
              </w:rPr>
              <w:fldChar w:fldCharType="begin"/>
            </w:r>
            <w:r>
              <w:rPr>
                <w:noProof/>
                <w:webHidden/>
              </w:rPr>
              <w:instrText xml:space="preserve"> PAGEREF _Toc225778758 \h </w:instrText>
            </w:r>
            <w:r>
              <w:rPr>
                <w:noProof/>
                <w:webHidden/>
              </w:rPr>
            </w:r>
            <w:r>
              <w:rPr>
                <w:noProof/>
                <w:webHidden/>
              </w:rPr>
              <w:fldChar w:fldCharType="separate"/>
            </w:r>
            <w:r>
              <w:rPr>
                <w:noProof/>
                <w:webHidden/>
              </w:rPr>
              <w:t>29</w:t>
            </w:r>
            <w:r>
              <w:rPr>
                <w:noProof/>
                <w:webHidden/>
              </w:rPr>
              <w:fldChar w:fldCharType="end"/>
            </w:r>
          </w:hyperlink>
        </w:p>
        <w:p w14:paraId="308F8BC0" w14:textId="73B03BEF" w:rsidR="00BE5DF0" w:rsidRDefault="00BE5DF0">
          <w:pPr>
            <w:pStyle w:val="TOC2"/>
            <w:rPr>
              <w:noProof/>
              <w:lang w:eastAsia="ja-JP"/>
            </w:rPr>
          </w:pPr>
          <w:hyperlink w:anchor="_Toc225778759" w:history="1">
            <w:r w:rsidRPr="00405CDC">
              <w:rPr>
                <w:rStyle w:val="Hyperlink"/>
                <w:noProof/>
              </w:rPr>
              <w:t>Long-term solutions to improve health advocacy support for people with disability</w:t>
            </w:r>
            <w:r>
              <w:rPr>
                <w:noProof/>
                <w:webHidden/>
              </w:rPr>
              <w:tab/>
            </w:r>
            <w:r>
              <w:rPr>
                <w:noProof/>
                <w:webHidden/>
              </w:rPr>
              <w:fldChar w:fldCharType="begin"/>
            </w:r>
            <w:r>
              <w:rPr>
                <w:noProof/>
                <w:webHidden/>
              </w:rPr>
              <w:instrText xml:space="preserve"> PAGEREF _Toc225778759 \h </w:instrText>
            </w:r>
            <w:r>
              <w:rPr>
                <w:noProof/>
                <w:webHidden/>
              </w:rPr>
            </w:r>
            <w:r>
              <w:rPr>
                <w:noProof/>
                <w:webHidden/>
              </w:rPr>
              <w:fldChar w:fldCharType="separate"/>
            </w:r>
            <w:r>
              <w:rPr>
                <w:noProof/>
                <w:webHidden/>
              </w:rPr>
              <w:t>30</w:t>
            </w:r>
            <w:r>
              <w:rPr>
                <w:noProof/>
                <w:webHidden/>
              </w:rPr>
              <w:fldChar w:fldCharType="end"/>
            </w:r>
          </w:hyperlink>
        </w:p>
        <w:p w14:paraId="0DF10E2F" w14:textId="2E4A7A7C" w:rsidR="00BE5DF0" w:rsidRDefault="00BE5DF0">
          <w:pPr>
            <w:pStyle w:val="TOC2"/>
            <w:rPr>
              <w:noProof/>
              <w:lang w:eastAsia="ja-JP"/>
            </w:rPr>
          </w:pPr>
          <w:hyperlink w:anchor="_Toc225778760" w:history="1">
            <w:r w:rsidRPr="00405CDC">
              <w:rPr>
                <w:rStyle w:val="Hyperlink"/>
                <w:noProof/>
              </w:rPr>
              <w:t>Where individuals cannot advocate for themselves, promote and develop external advocacy solutions</w:t>
            </w:r>
            <w:r>
              <w:rPr>
                <w:noProof/>
                <w:webHidden/>
              </w:rPr>
              <w:tab/>
            </w:r>
            <w:r>
              <w:rPr>
                <w:noProof/>
                <w:webHidden/>
              </w:rPr>
              <w:fldChar w:fldCharType="begin"/>
            </w:r>
            <w:r>
              <w:rPr>
                <w:noProof/>
                <w:webHidden/>
              </w:rPr>
              <w:instrText xml:space="preserve"> PAGEREF _Toc225778760 \h </w:instrText>
            </w:r>
            <w:r>
              <w:rPr>
                <w:noProof/>
                <w:webHidden/>
              </w:rPr>
            </w:r>
            <w:r>
              <w:rPr>
                <w:noProof/>
                <w:webHidden/>
              </w:rPr>
              <w:fldChar w:fldCharType="separate"/>
            </w:r>
            <w:r>
              <w:rPr>
                <w:noProof/>
                <w:webHidden/>
              </w:rPr>
              <w:t>31</w:t>
            </w:r>
            <w:r>
              <w:rPr>
                <w:noProof/>
                <w:webHidden/>
              </w:rPr>
              <w:fldChar w:fldCharType="end"/>
            </w:r>
          </w:hyperlink>
        </w:p>
        <w:p w14:paraId="73B9D4D9" w14:textId="781B116C" w:rsidR="00BE5DF0" w:rsidRDefault="00BE5DF0">
          <w:pPr>
            <w:pStyle w:val="TOC2"/>
            <w:rPr>
              <w:noProof/>
              <w:lang w:eastAsia="ja-JP"/>
            </w:rPr>
          </w:pPr>
          <w:hyperlink w:anchor="_Toc225778761" w:history="1">
            <w:r w:rsidRPr="00405CDC">
              <w:rPr>
                <w:rStyle w:val="Hyperlink"/>
                <w:noProof/>
              </w:rPr>
              <w:t>Increase capacity in the health system to better understand the health needs of people with disability</w:t>
            </w:r>
            <w:r>
              <w:rPr>
                <w:noProof/>
                <w:webHidden/>
              </w:rPr>
              <w:tab/>
            </w:r>
            <w:r>
              <w:rPr>
                <w:noProof/>
                <w:webHidden/>
              </w:rPr>
              <w:fldChar w:fldCharType="begin"/>
            </w:r>
            <w:r>
              <w:rPr>
                <w:noProof/>
                <w:webHidden/>
              </w:rPr>
              <w:instrText xml:space="preserve"> PAGEREF _Toc225778761 \h </w:instrText>
            </w:r>
            <w:r>
              <w:rPr>
                <w:noProof/>
                <w:webHidden/>
              </w:rPr>
            </w:r>
            <w:r>
              <w:rPr>
                <w:noProof/>
                <w:webHidden/>
              </w:rPr>
              <w:fldChar w:fldCharType="separate"/>
            </w:r>
            <w:r>
              <w:rPr>
                <w:noProof/>
                <w:webHidden/>
              </w:rPr>
              <w:t>32</w:t>
            </w:r>
            <w:r>
              <w:rPr>
                <w:noProof/>
                <w:webHidden/>
              </w:rPr>
              <w:fldChar w:fldCharType="end"/>
            </w:r>
          </w:hyperlink>
        </w:p>
        <w:p w14:paraId="3B277661" w14:textId="3F851D32" w:rsidR="00BE5DF0" w:rsidRDefault="00BE5DF0">
          <w:pPr>
            <w:pStyle w:val="TOC1"/>
            <w:rPr>
              <w:noProof/>
              <w:lang w:eastAsia="ja-JP"/>
            </w:rPr>
          </w:pPr>
          <w:hyperlink w:anchor="_Toc225778762" w:history="1">
            <w:r w:rsidRPr="00405CDC">
              <w:rPr>
                <w:rStyle w:val="Hyperlink"/>
                <w:noProof/>
              </w:rPr>
              <w:t>Appendix 1. Standards and rules</w:t>
            </w:r>
            <w:r>
              <w:rPr>
                <w:noProof/>
                <w:webHidden/>
              </w:rPr>
              <w:tab/>
            </w:r>
            <w:r>
              <w:rPr>
                <w:noProof/>
                <w:webHidden/>
              </w:rPr>
              <w:fldChar w:fldCharType="begin"/>
            </w:r>
            <w:r>
              <w:rPr>
                <w:noProof/>
                <w:webHidden/>
              </w:rPr>
              <w:instrText xml:space="preserve"> PAGEREF _Toc225778762 \h </w:instrText>
            </w:r>
            <w:r>
              <w:rPr>
                <w:noProof/>
                <w:webHidden/>
              </w:rPr>
            </w:r>
            <w:r>
              <w:rPr>
                <w:noProof/>
                <w:webHidden/>
              </w:rPr>
              <w:fldChar w:fldCharType="separate"/>
            </w:r>
            <w:r>
              <w:rPr>
                <w:noProof/>
                <w:webHidden/>
              </w:rPr>
              <w:t>33</w:t>
            </w:r>
            <w:r>
              <w:rPr>
                <w:noProof/>
                <w:webHidden/>
              </w:rPr>
              <w:fldChar w:fldCharType="end"/>
            </w:r>
          </w:hyperlink>
        </w:p>
        <w:p w14:paraId="73F5304A" w14:textId="3FDDCFFE" w:rsidR="00BE5DF0" w:rsidRDefault="00BE5DF0">
          <w:pPr>
            <w:pStyle w:val="TOC1"/>
            <w:rPr>
              <w:noProof/>
              <w:lang w:eastAsia="ja-JP"/>
            </w:rPr>
          </w:pPr>
          <w:hyperlink w:anchor="_Toc225778763" w:history="1">
            <w:r w:rsidRPr="00405CDC">
              <w:rPr>
                <w:rStyle w:val="Hyperlink"/>
                <w:noProof/>
              </w:rPr>
              <w:t>Appendix 2. Primary health map</w:t>
            </w:r>
            <w:r>
              <w:rPr>
                <w:noProof/>
                <w:webHidden/>
              </w:rPr>
              <w:tab/>
            </w:r>
            <w:r>
              <w:rPr>
                <w:noProof/>
                <w:webHidden/>
              </w:rPr>
              <w:fldChar w:fldCharType="begin"/>
            </w:r>
            <w:r>
              <w:rPr>
                <w:noProof/>
                <w:webHidden/>
              </w:rPr>
              <w:instrText xml:space="preserve"> PAGEREF _Toc225778763 \h </w:instrText>
            </w:r>
            <w:r>
              <w:rPr>
                <w:noProof/>
                <w:webHidden/>
              </w:rPr>
            </w:r>
            <w:r>
              <w:rPr>
                <w:noProof/>
                <w:webHidden/>
              </w:rPr>
              <w:fldChar w:fldCharType="separate"/>
            </w:r>
            <w:r>
              <w:rPr>
                <w:noProof/>
                <w:webHidden/>
              </w:rPr>
              <w:t>35</w:t>
            </w:r>
            <w:r>
              <w:rPr>
                <w:noProof/>
                <w:webHidden/>
              </w:rPr>
              <w:fldChar w:fldCharType="end"/>
            </w:r>
          </w:hyperlink>
        </w:p>
        <w:p w14:paraId="204A8AE9" w14:textId="62218065" w:rsidR="00BE5DF0" w:rsidRDefault="00BE5DF0">
          <w:pPr>
            <w:pStyle w:val="TOC1"/>
            <w:rPr>
              <w:noProof/>
              <w:lang w:eastAsia="ja-JP"/>
            </w:rPr>
          </w:pPr>
          <w:hyperlink w:anchor="_Toc225778764" w:history="1">
            <w:r w:rsidRPr="00405CDC">
              <w:rPr>
                <w:rStyle w:val="Hyperlink"/>
                <w:noProof/>
              </w:rPr>
              <w:t>Appendix 3. Hospital Journey</w:t>
            </w:r>
            <w:r>
              <w:rPr>
                <w:noProof/>
                <w:webHidden/>
              </w:rPr>
              <w:tab/>
            </w:r>
            <w:r>
              <w:rPr>
                <w:noProof/>
                <w:webHidden/>
              </w:rPr>
              <w:fldChar w:fldCharType="begin"/>
            </w:r>
            <w:r>
              <w:rPr>
                <w:noProof/>
                <w:webHidden/>
              </w:rPr>
              <w:instrText xml:space="preserve"> PAGEREF _Toc225778764 \h </w:instrText>
            </w:r>
            <w:r>
              <w:rPr>
                <w:noProof/>
                <w:webHidden/>
              </w:rPr>
            </w:r>
            <w:r>
              <w:rPr>
                <w:noProof/>
                <w:webHidden/>
              </w:rPr>
              <w:fldChar w:fldCharType="separate"/>
            </w:r>
            <w:r>
              <w:rPr>
                <w:noProof/>
                <w:webHidden/>
              </w:rPr>
              <w:t>36</w:t>
            </w:r>
            <w:r>
              <w:rPr>
                <w:noProof/>
                <w:webHidden/>
              </w:rPr>
              <w:fldChar w:fldCharType="end"/>
            </w:r>
          </w:hyperlink>
        </w:p>
        <w:p w14:paraId="66BFC237" w14:textId="68F0807B" w:rsidR="00BE5DF0" w:rsidRDefault="00BE5DF0">
          <w:pPr>
            <w:pStyle w:val="TOC1"/>
            <w:rPr>
              <w:noProof/>
              <w:lang w:eastAsia="ja-JP"/>
            </w:rPr>
          </w:pPr>
          <w:hyperlink w:anchor="_Toc225778765" w:history="1">
            <w:r w:rsidRPr="00405CDC">
              <w:rPr>
                <w:rStyle w:val="Hyperlink"/>
                <w:noProof/>
              </w:rPr>
              <w:t>References</w:t>
            </w:r>
            <w:r>
              <w:rPr>
                <w:noProof/>
                <w:webHidden/>
              </w:rPr>
              <w:tab/>
            </w:r>
            <w:r>
              <w:rPr>
                <w:noProof/>
                <w:webHidden/>
              </w:rPr>
              <w:fldChar w:fldCharType="begin"/>
            </w:r>
            <w:r>
              <w:rPr>
                <w:noProof/>
                <w:webHidden/>
              </w:rPr>
              <w:instrText xml:space="preserve"> PAGEREF _Toc225778765 \h </w:instrText>
            </w:r>
            <w:r>
              <w:rPr>
                <w:noProof/>
                <w:webHidden/>
              </w:rPr>
            </w:r>
            <w:r>
              <w:rPr>
                <w:noProof/>
                <w:webHidden/>
              </w:rPr>
              <w:fldChar w:fldCharType="separate"/>
            </w:r>
            <w:r>
              <w:rPr>
                <w:noProof/>
                <w:webHidden/>
              </w:rPr>
              <w:t>37</w:t>
            </w:r>
            <w:r>
              <w:rPr>
                <w:noProof/>
                <w:webHidden/>
              </w:rPr>
              <w:fldChar w:fldCharType="end"/>
            </w:r>
          </w:hyperlink>
        </w:p>
        <w:p w14:paraId="633F0860" w14:textId="77777777" w:rsidR="008C775C" w:rsidRDefault="00BE5DF0" w:rsidP="008C775C">
          <w:r>
            <w:rPr>
              <w:rFonts w:asciiTheme="minorHAnsi" w:eastAsiaTheme="minorEastAsia" w:hAnsiTheme="minorHAnsi" w:cstheme="minorBidi"/>
              <w:kern w:val="2"/>
              <w:sz w:val="24"/>
              <w:lang w:eastAsia="en-AU"/>
              <w14:ligatures w14:val="standardContextual"/>
            </w:rPr>
            <w:fldChar w:fldCharType="end"/>
          </w:r>
        </w:p>
      </w:sdtContent>
    </w:sdt>
    <w:p w14:paraId="22F2F00F" w14:textId="23327F01" w:rsidR="00110CAE" w:rsidRPr="00D56A45" w:rsidRDefault="00110CAE" w:rsidP="008C775C">
      <w:r w:rsidRPr="00D56A45">
        <w:br w:type="page"/>
      </w:r>
    </w:p>
    <w:p w14:paraId="2554A805" w14:textId="1A9DFB16" w:rsidR="00FF31C3" w:rsidRPr="00092215" w:rsidRDefault="00FF31C3" w:rsidP="00092215">
      <w:pPr>
        <w:rPr>
          <w:rStyle w:val="IntenseReference"/>
        </w:rPr>
      </w:pPr>
      <w:r w:rsidRPr="00092215">
        <w:rPr>
          <w:rStyle w:val="IntenseReference"/>
        </w:rPr>
        <w:t>Disclaimer:</w:t>
      </w:r>
    </w:p>
    <w:p w14:paraId="4E459EC0" w14:textId="34A8D3E9" w:rsidR="00FF31C3" w:rsidRPr="00FF31C3" w:rsidRDefault="00FF31C3" w:rsidP="00FF31C3">
      <w:r w:rsidRPr="00FF31C3">
        <w:t>This report was prepared by the Long-Term Health Advocacy Working Group of the Disability and Health Sector Consultation Committee (DHSCC) to support discussion and stakeholder engagement.</w:t>
      </w:r>
    </w:p>
    <w:p w14:paraId="622B6F09" w14:textId="4BD66650" w:rsidR="00FF31C3" w:rsidRPr="00FF31C3" w:rsidRDefault="00FF31C3" w:rsidP="00FF31C3">
      <w:r w:rsidRPr="00FF31C3">
        <w:t>The views expressed are those of the Working Group and contributors and do not reflect the views of the Australian Government, the Minister for Health, Disability and Ageing, or the Department of Health, Disability and Ageing.</w:t>
      </w:r>
    </w:p>
    <w:p w14:paraId="58F89708" w14:textId="53C6E678" w:rsidR="00FF31C3" w:rsidRPr="00FF31C3" w:rsidRDefault="00FF31C3" w:rsidP="00FF31C3">
      <w:r w:rsidRPr="00FF31C3">
        <w:t>The report is provided for information and discussion purposes only and does not represent Government policy or funding decisions.</w:t>
      </w:r>
      <w:r>
        <w:br w:type="page"/>
      </w:r>
    </w:p>
    <w:p w14:paraId="3EF3E485" w14:textId="1312F2C8" w:rsidR="00D05438" w:rsidRPr="00D56A45" w:rsidRDefault="00D05438" w:rsidP="00612589">
      <w:pPr>
        <w:pStyle w:val="Heading1"/>
      </w:pPr>
      <w:bookmarkStart w:id="0" w:name="_Toc225778737"/>
      <w:r w:rsidRPr="00D56A45">
        <w:t>Acknowledgements</w:t>
      </w:r>
      <w:bookmarkEnd w:id="0"/>
    </w:p>
    <w:p w14:paraId="2D928C32" w14:textId="77777777" w:rsidR="00D05438" w:rsidRPr="00D56A45" w:rsidRDefault="00D05438" w:rsidP="007B7D66">
      <w:pPr>
        <w:pStyle w:val="Heading2"/>
      </w:pPr>
      <w:bookmarkStart w:id="1" w:name="_Toc225778738"/>
      <w:r w:rsidRPr="00D56A45">
        <w:t>Acknowledgement of Country</w:t>
      </w:r>
      <w:bookmarkEnd w:id="1"/>
    </w:p>
    <w:p w14:paraId="6A1937BF" w14:textId="0218266D" w:rsidR="00D05438" w:rsidRPr="00D56A45" w:rsidRDefault="00D05438" w:rsidP="00D05438">
      <w:r w:rsidRPr="00D56A45">
        <w:t>The Working Group acknowledges the traditional owners of Country throughout Australia, and their continuing connection to land, sea and community. We pay our respects to them and their cultures, and to elders both past and present. We pay our respects to all First Nations people with disability and acknowledge the higher prevalence of disability among First Nations peoples and the distinct challenges they face, along with the contributions they make to society.</w:t>
      </w:r>
      <w:r w:rsidR="007409E7" w:rsidRPr="00D56A45">
        <w:t xml:space="preserve"> </w:t>
      </w:r>
    </w:p>
    <w:p w14:paraId="647C9591" w14:textId="77777777" w:rsidR="00D05438" w:rsidRPr="00D56A45" w:rsidRDefault="00D05438" w:rsidP="007B7D66">
      <w:pPr>
        <w:pStyle w:val="Heading2"/>
      </w:pPr>
      <w:bookmarkStart w:id="2" w:name="_Toc225778739"/>
      <w:r w:rsidRPr="00D56A45">
        <w:t>Acknowledgement of people with disability and their support networks</w:t>
      </w:r>
      <w:bookmarkEnd w:id="2"/>
    </w:p>
    <w:p w14:paraId="0BA86784" w14:textId="27F4E325" w:rsidR="003E305C" w:rsidRPr="00D56A45" w:rsidRDefault="00D05438" w:rsidP="00D05438">
      <w:r w:rsidRPr="00D56A45">
        <w:t xml:space="preserve">The Working Group acknowledges people with disability and the people who support them who have fought and advocated for improved health care for people with disability. </w:t>
      </w:r>
      <w:r w:rsidR="0038362E" w:rsidRPr="00D56A45">
        <w:t>We acknowledge Working Group members who generously shared their lived experience expertise and people with disability and their support networks who informed this report.</w:t>
      </w:r>
    </w:p>
    <w:p w14:paraId="78BAD71B" w14:textId="77777777" w:rsidR="003E305C" w:rsidRPr="00D56A45" w:rsidRDefault="003E305C" w:rsidP="00ED2C49">
      <w:r w:rsidRPr="00D56A45">
        <w:br w:type="page"/>
      </w:r>
    </w:p>
    <w:p w14:paraId="3740438C" w14:textId="63B2B8BE" w:rsidR="00D05438" w:rsidRPr="00D56A45" w:rsidRDefault="00655785" w:rsidP="00612589">
      <w:pPr>
        <w:pStyle w:val="Heading1"/>
      </w:pPr>
      <w:bookmarkStart w:id="3" w:name="_Toc225778740"/>
      <w:r w:rsidRPr="00D56A45">
        <w:t>Acronyms</w:t>
      </w:r>
      <w:bookmarkEnd w:id="3"/>
    </w:p>
    <w:p w14:paraId="7B55C49D" w14:textId="77777777" w:rsidR="0038362E" w:rsidRPr="00D56A45" w:rsidRDefault="0038362E" w:rsidP="0038362E">
      <w:r w:rsidRPr="00D56A45">
        <w:t xml:space="preserve">ADS: Australia’s Disability Strategy </w:t>
      </w:r>
    </w:p>
    <w:p w14:paraId="5493C640" w14:textId="74B9AE81" w:rsidR="00231349" w:rsidRPr="00D56A45" w:rsidRDefault="00231349" w:rsidP="0038362E">
      <w:r w:rsidRPr="00D56A45">
        <w:t>AAC: Augmentative and Alternative Communication</w:t>
      </w:r>
    </w:p>
    <w:p w14:paraId="71F5DD0C" w14:textId="208E1E83" w:rsidR="00AA66D6" w:rsidRPr="00D56A45" w:rsidRDefault="00AA66D6" w:rsidP="0038362E">
      <w:r w:rsidRPr="00D56A45">
        <w:t>AHPRA</w:t>
      </w:r>
      <w:r w:rsidR="004B1447" w:rsidRPr="00D56A45">
        <w:t>:</w:t>
      </w:r>
      <w:r w:rsidRPr="00D56A45">
        <w:t xml:space="preserve"> Australian Health Pr</w:t>
      </w:r>
      <w:r w:rsidR="00231349" w:rsidRPr="00D56A45">
        <w:t>actitioner Regulation Agency</w:t>
      </w:r>
      <w:r w:rsidRPr="00D56A45">
        <w:t xml:space="preserve"> </w:t>
      </w:r>
    </w:p>
    <w:p w14:paraId="07354CC1" w14:textId="490DE0F8" w:rsidR="004B1447" w:rsidRPr="00D56A45" w:rsidRDefault="004B1447" w:rsidP="0038362E">
      <w:r w:rsidRPr="00D56A45">
        <w:t xml:space="preserve">APTOS: Applied Principles and Tables of Support – determines responsibility of NDIS and other service systems </w:t>
      </w:r>
    </w:p>
    <w:p w14:paraId="5A982D00" w14:textId="10881BC2" w:rsidR="00AA66D6" w:rsidRPr="00D56A45" w:rsidRDefault="00AA66D6" w:rsidP="0038362E">
      <w:r w:rsidRPr="00D56A45">
        <w:t>CHAP</w:t>
      </w:r>
      <w:r w:rsidR="00231349" w:rsidRPr="00D56A45">
        <w:t>: C</w:t>
      </w:r>
      <w:r w:rsidR="00C37577" w:rsidRPr="00D56A45">
        <w:t>omprehensive</w:t>
      </w:r>
      <w:r w:rsidR="00231349" w:rsidRPr="00D56A45">
        <w:t xml:space="preserve"> Health Assessment Program (for people with intellectual disability)</w:t>
      </w:r>
    </w:p>
    <w:p w14:paraId="4FD9569C" w14:textId="509D9853" w:rsidR="004B1447" w:rsidRPr="00D56A45" w:rsidRDefault="004B1447" w:rsidP="0038362E">
      <w:r w:rsidRPr="00D56A45">
        <w:t xml:space="preserve">DHDA: Australian Government Department of Health, Disability and </w:t>
      </w:r>
      <w:r w:rsidR="00B82EA2" w:rsidRPr="00D56A45">
        <w:t>Ageing</w:t>
      </w:r>
    </w:p>
    <w:p w14:paraId="2464B339" w14:textId="36C4A954" w:rsidR="0038362E" w:rsidRPr="00D56A45" w:rsidRDefault="0038362E" w:rsidP="0038362E">
      <w:r w:rsidRPr="00D56A45">
        <w:t xml:space="preserve">DHSCC: Disability </w:t>
      </w:r>
      <w:r w:rsidR="000B080D" w:rsidRPr="00D56A45">
        <w:t xml:space="preserve">and </w:t>
      </w:r>
      <w:r w:rsidRPr="00D56A45">
        <w:t>Health Sector Consultation Committee</w:t>
      </w:r>
    </w:p>
    <w:p w14:paraId="59BAE455" w14:textId="4F25DD7D" w:rsidR="00583DE0" w:rsidRPr="00D56A45" w:rsidRDefault="0038362E" w:rsidP="0038362E">
      <w:r w:rsidRPr="00D56A45">
        <w:t>DRC:  Royal Commission into Violence, Abuse, Neglect and Exploitation of People with Disability</w:t>
      </w:r>
    </w:p>
    <w:p w14:paraId="67492C33" w14:textId="40B76407" w:rsidR="00454D9E" w:rsidRPr="00D56A45" w:rsidRDefault="00454D9E" w:rsidP="0038362E">
      <w:r w:rsidRPr="00D56A45">
        <w:t>HITH: Hospital in the Home</w:t>
      </w:r>
    </w:p>
    <w:p w14:paraId="58A0EA66" w14:textId="71E15FA1" w:rsidR="00490143" w:rsidRPr="00D56A45" w:rsidRDefault="00490143" w:rsidP="0038362E">
      <w:r w:rsidRPr="00D56A45">
        <w:t>NDIA: National Disability Insurance Agency</w:t>
      </w:r>
      <w:r w:rsidR="00AA6BCF" w:rsidRPr="00D56A45">
        <w:t xml:space="preserve"> – Agency that manages the National Disability Insurance Scheme (NDIS)</w:t>
      </w:r>
    </w:p>
    <w:p w14:paraId="41D88B08" w14:textId="135C6571" w:rsidR="00AA6BCF" w:rsidRPr="00D56A45" w:rsidRDefault="00AA6BCF" w:rsidP="0038362E">
      <w:r w:rsidRPr="00D56A45">
        <w:t>NDIS</w:t>
      </w:r>
      <w:r w:rsidR="004B1447" w:rsidRPr="00D56A45">
        <w:t>:</w:t>
      </w:r>
      <w:r w:rsidRPr="00D56A45">
        <w:t xml:space="preserve"> National Disability Insurance Scheme </w:t>
      </w:r>
    </w:p>
    <w:p w14:paraId="5966F946" w14:textId="21D8DE45" w:rsidR="004B1447" w:rsidRPr="00D56A45" w:rsidRDefault="004B1447" w:rsidP="0038362E">
      <w:r w:rsidRPr="00D56A45">
        <w:t>NSQHS: National Safety and Quality Health Service Standards</w:t>
      </w:r>
    </w:p>
    <w:p w14:paraId="3223E187" w14:textId="7A600DFB" w:rsidR="00231349" w:rsidRPr="00D56A45" w:rsidRDefault="00231349" w:rsidP="0038362E">
      <w:r w:rsidRPr="00D56A45">
        <w:t>PHN: Primary Health Network</w:t>
      </w:r>
    </w:p>
    <w:p w14:paraId="347FC338" w14:textId="0D67EB6D" w:rsidR="00AA66D6" w:rsidRPr="00D56A45" w:rsidRDefault="00AA66D6" w:rsidP="0038362E">
      <w:r w:rsidRPr="00D56A45">
        <w:t xml:space="preserve">PTSD: Post Traumatic Stress </w:t>
      </w:r>
      <w:r w:rsidR="00293F86" w:rsidRPr="00D56A45">
        <w:t>Disorder</w:t>
      </w:r>
    </w:p>
    <w:p w14:paraId="174F8C94" w14:textId="5D48F014" w:rsidR="00AA66D6" w:rsidRPr="00D56A45" w:rsidRDefault="00AA66D6" w:rsidP="0038362E">
      <w:r w:rsidRPr="00D56A45">
        <w:t xml:space="preserve">RACGP: Royal Australian College of General Practice </w:t>
      </w:r>
    </w:p>
    <w:p w14:paraId="133C5678" w14:textId="5CCB0B51" w:rsidR="003E305C" w:rsidRPr="00D56A45" w:rsidRDefault="0038362E" w:rsidP="0038362E">
      <w:pPr>
        <w:rPr>
          <w:rFonts w:eastAsia="Arial"/>
        </w:rPr>
      </w:pPr>
      <w:r w:rsidRPr="00D56A45">
        <w:t xml:space="preserve">UNCRPD: </w:t>
      </w:r>
      <w:r w:rsidRPr="00D56A45">
        <w:rPr>
          <w:rFonts w:eastAsia="Arial"/>
        </w:rPr>
        <w:t xml:space="preserve">United Nation’s Convention on the Rights of </w:t>
      </w:r>
      <w:r w:rsidR="00637BAB" w:rsidRPr="00D56A45">
        <w:rPr>
          <w:rFonts w:eastAsia="Arial"/>
        </w:rPr>
        <w:t xml:space="preserve">Persons </w:t>
      </w:r>
      <w:r w:rsidRPr="00D56A45">
        <w:rPr>
          <w:rFonts w:eastAsia="Arial"/>
        </w:rPr>
        <w:t>with Disability</w:t>
      </w:r>
    </w:p>
    <w:p w14:paraId="747E1823" w14:textId="77777777" w:rsidR="003E305C" w:rsidRPr="00D56A45" w:rsidRDefault="003E305C" w:rsidP="00ED2C49">
      <w:pPr>
        <w:rPr>
          <w:rFonts w:eastAsia="Arial"/>
        </w:rPr>
      </w:pPr>
      <w:r w:rsidRPr="00D56A45">
        <w:rPr>
          <w:rFonts w:eastAsia="Arial"/>
        </w:rPr>
        <w:br w:type="page"/>
      </w:r>
    </w:p>
    <w:p w14:paraId="59A0B0AC" w14:textId="7B66E0FF" w:rsidR="00243CCF" w:rsidRPr="00D56A45" w:rsidRDefault="00243CCF" w:rsidP="00612589">
      <w:pPr>
        <w:pStyle w:val="Heading1"/>
      </w:pPr>
      <w:bookmarkStart w:id="4" w:name="_Toc225778741"/>
      <w:r w:rsidRPr="00D56A45">
        <w:t>Executive Summary</w:t>
      </w:r>
      <w:bookmarkEnd w:id="4"/>
    </w:p>
    <w:p w14:paraId="39BDF063" w14:textId="77777777" w:rsidR="00170BCE" w:rsidRPr="00D56A45" w:rsidRDefault="00170BCE" w:rsidP="00170BCE">
      <w:r w:rsidRPr="00D56A45">
        <w:t>The Long-Term Health Advocacy Working Group (the Working Group), established by the Disability and Health Sector Consultation Committee (DHSCC), was tasked with identifying the key issues relating to health advocacy for people with disability.</w:t>
      </w:r>
    </w:p>
    <w:p w14:paraId="46BBE7E5" w14:textId="77A1C772" w:rsidR="00170BCE" w:rsidRPr="00D56A45" w:rsidRDefault="00170BCE" w:rsidP="00170BCE">
      <w:r w:rsidRPr="00D56A45">
        <w:t xml:space="preserve">This report draws on evidence from </w:t>
      </w:r>
      <w:r w:rsidR="007D508D" w:rsidRPr="00D56A45">
        <w:t>Royal Commission into Violence, Abuse, Neglect and Exploitation of People with Disability</w:t>
      </w:r>
      <w:r w:rsidR="007D508D" w:rsidRPr="00D56A45" w:rsidDel="007D508D">
        <w:t xml:space="preserve"> </w:t>
      </w:r>
      <w:r w:rsidRPr="00D56A45">
        <w:t xml:space="preserve">(DRC), national reviews, stakeholder input, and lived experience to inform DHSCC members and relevant stakeholders about the key advocacy barriers affecting people with disability across all health settings. It distinguishes between individual and systemic advocacy issues and outlines opportunities for improvements. </w:t>
      </w:r>
    </w:p>
    <w:p w14:paraId="31BC258B" w14:textId="77777777" w:rsidR="00170BCE" w:rsidRPr="00ED2C49" w:rsidRDefault="00170BCE" w:rsidP="00170BCE">
      <w:r w:rsidRPr="00D56A45">
        <w:t>The report does not make policy or budget recommendations but identifies areas for influence and action by DHSCC member organisations.</w:t>
      </w:r>
      <w:r w:rsidRPr="00ED2C49" w:rsidDel="00F7060D">
        <w:t xml:space="preserve"> </w:t>
      </w:r>
    </w:p>
    <w:p w14:paraId="19F907CF" w14:textId="77777777" w:rsidR="00170BCE" w:rsidRPr="00D56A45" w:rsidRDefault="00170BCE" w:rsidP="007B7D66">
      <w:pPr>
        <w:pStyle w:val="Heading3"/>
      </w:pPr>
      <w:r w:rsidRPr="00D56A45">
        <w:t>It is a human right for people with disability to have quality health care</w:t>
      </w:r>
    </w:p>
    <w:p w14:paraId="01AD6087" w14:textId="77777777" w:rsidR="00170BCE" w:rsidRPr="00D56A45" w:rsidRDefault="00170BCE" w:rsidP="00170BCE">
      <w:r w:rsidRPr="00D56A45">
        <w:t xml:space="preserve">The United Nations Convention on the Rights of People with a </w:t>
      </w:r>
      <w:proofErr w:type="gramStart"/>
      <w:r w:rsidRPr="00D56A45">
        <w:t>Disability states</w:t>
      </w:r>
      <w:proofErr w:type="gramEnd"/>
      <w:r w:rsidRPr="00D56A45">
        <w:t xml:space="preserve"> in Article 25 that </w:t>
      </w:r>
      <w:r w:rsidRPr="0018198F">
        <w:rPr>
          <w:rStyle w:val="Emphasis"/>
        </w:rPr>
        <w:t>‘</w:t>
      </w:r>
      <w:r w:rsidRPr="007B7D66">
        <w:rPr>
          <w:rStyle w:val="Emphasis"/>
        </w:rPr>
        <w:t>Persons with disabilities have the right to the enjoyment of the highest attainable standard of health without discrimination on the basis of disability</w:t>
      </w:r>
      <w:r w:rsidRPr="0018198F">
        <w:rPr>
          <w:rStyle w:val="Emphasis"/>
        </w:rPr>
        <w:t>.’</w:t>
      </w:r>
      <w:r w:rsidRPr="00D56A45">
        <w:t xml:space="preserve"> While Australia ratified the convention in 2008, the Working Group noted that the fundamental rights under the convention have not yet been achieved across Australian health systems </w:t>
      </w:r>
      <w:proofErr w:type="gramStart"/>
      <w:r w:rsidRPr="00D56A45">
        <w:t>as a result of</w:t>
      </w:r>
      <w:proofErr w:type="gramEnd"/>
      <w:r w:rsidRPr="00D56A45">
        <w:t xml:space="preserve"> health advocacy barriers faced by people with disability.</w:t>
      </w:r>
    </w:p>
    <w:p w14:paraId="735CC3BA" w14:textId="77777777" w:rsidR="00170BCE" w:rsidRPr="00D56A45" w:rsidRDefault="00170BCE" w:rsidP="007B7D66">
      <w:pPr>
        <w:pStyle w:val="Heading3"/>
      </w:pPr>
      <w:r w:rsidRPr="00D56A45">
        <w:t>Health advocacy is critical for health equity</w:t>
      </w:r>
    </w:p>
    <w:p w14:paraId="48CDA89D" w14:textId="77777777" w:rsidR="00170BCE" w:rsidRPr="00D56A45" w:rsidRDefault="00170BCE" w:rsidP="00170BCE">
      <w:r w:rsidRPr="00D56A45">
        <w:t>People with disability continue to face significant barriers to receiving appropriate and quality health care, as highlighted in the DRC. These barriers are deeply embedded in both individual and systemic factors, requiring coordinated, cross-sectoral responses. While substantial work has been done to dismantle these barriers across the federal and jurisdictional health systems, there is significant work to be done until health equity is achieved on a national scale. In the meantime, health advocacy plays a crucial role in creating opportunities for people with disability to be an active participant in their own health care.</w:t>
      </w:r>
    </w:p>
    <w:p w14:paraId="14CA6B20" w14:textId="77777777" w:rsidR="00170BCE" w:rsidRPr="00D56A45" w:rsidRDefault="00170BCE" w:rsidP="00170BCE">
      <w:r w:rsidRPr="00D56A45">
        <w:t>The Working Group calls on DHSCC members to use their influence to drive change, support sustainable advocacy models, and ensure that people with disability can access the health care they are entitled to under the UN Convention on the Rights of Persons with Disabilities.</w:t>
      </w:r>
    </w:p>
    <w:p w14:paraId="347C672B" w14:textId="77777777" w:rsidR="00170BCE" w:rsidRPr="00D56A45" w:rsidRDefault="00170BCE" w:rsidP="007B7D66">
      <w:pPr>
        <w:pStyle w:val="Heading3"/>
      </w:pPr>
      <w:r w:rsidRPr="00D56A45">
        <w:t>Key health advocacy themes and barriers</w:t>
      </w:r>
    </w:p>
    <w:p w14:paraId="238EAD79" w14:textId="77777777" w:rsidR="00170BCE" w:rsidRPr="00D56A45" w:rsidRDefault="00170BCE" w:rsidP="00170BCE">
      <w:r w:rsidRPr="00D56A45">
        <w:t>The Working Group identified four overarching themes in relation to health advocacy for people with disability, as shown below.</w:t>
      </w:r>
    </w:p>
    <w:p w14:paraId="33A1AE0F" w14:textId="77777777" w:rsidR="00170BCE" w:rsidRPr="00D56A45" w:rsidRDefault="00170BCE" w:rsidP="00170BCE">
      <w:r w:rsidRPr="00D56A45">
        <w:rPr>
          <w:noProof/>
        </w:rPr>
        <w:drawing>
          <wp:inline distT="0" distB="0" distL="0" distR="0" wp14:anchorId="7F895238" wp14:editId="3247FC52">
            <wp:extent cx="5759450" cy="568960"/>
            <wp:effectExtent l="0" t="0" r="0" b="2540"/>
            <wp:docPr id="1109304026" name="Picture 1" descr="Key health advocacy themes and barri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304026" name="Picture 1" descr="Key health advocacy themes and barriers"/>
                    <pic:cNvPicPr/>
                  </pic:nvPicPr>
                  <pic:blipFill>
                    <a:blip r:embed="rId14"/>
                    <a:stretch>
                      <a:fillRect/>
                    </a:stretch>
                  </pic:blipFill>
                  <pic:spPr>
                    <a:xfrm>
                      <a:off x="0" y="0"/>
                      <a:ext cx="5759450" cy="568960"/>
                    </a:xfrm>
                    <a:prstGeom prst="rect">
                      <a:avLst/>
                    </a:prstGeom>
                  </pic:spPr>
                </pic:pic>
              </a:graphicData>
            </a:graphic>
          </wp:inline>
        </w:drawing>
      </w:r>
    </w:p>
    <w:p w14:paraId="5C9F4AA4" w14:textId="77777777" w:rsidR="00170BCE" w:rsidRPr="00D56A45" w:rsidRDefault="00170BCE" w:rsidP="00170BCE">
      <w:r w:rsidRPr="00D56A45">
        <w:t xml:space="preserve">The key issues surrounding these themes relate to </w:t>
      </w:r>
      <w:r w:rsidRPr="00D56A45">
        <w:rPr>
          <w:b/>
          <w:bCs/>
        </w:rPr>
        <w:t xml:space="preserve">individual self-advocacy </w:t>
      </w:r>
      <w:r w:rsidRPr="00D56A45">
        <w:t xml:space="preserve">and </w:t>
      </w:r>
      <w:r w:rsidRPr="00D56A45">
        <w:rPr>
          <w:b/>
          <w:bCs/>
        </w:rPr>
        <w:t>systemic advocacy barriers</w:t>
      </w:r>
      <w:r w:rsidRPr="00D56A45">
        <w:t>.</w:t>
      </w:r>
    </w:p>
    <w:p w14:paraId="65FF6392" w14:textId="77777777" w:rsidR="00170BCE" w:rsidRPr="00D56A45" w:rsidRDefault="00170BCE" w:rsidP="00170BCE">
      <w:r w:rsidRPr="00D56A45">
        <w:rPr>
          <w:b/>
          <w:bCs/>
        </w:rPr>
        <w:t>Self-advocacy</w:t>
      </w:r>
      <w:r w:rsidRPr="00D56A45">
        <w:t xml:space="preserve"> relates to a person’s capacity to determine their own health needs at all stages, communicate their health and support needs, and participate in health treatment decisions autonomously. </w:t>
      </w:r>
      <w:r w:rsidRPr="00D56A45">
        <w:rPr>
          <w:b/>
          <w:bCs/>
        </w:rPr>
        <w:t>Individual advocacy</w:t>
      </w:r>
      <w:r w:rsidRPr="00D56A45">
        <w:t xml:space="preserve"> is when a person uses one-on-one advocacy supports such as a professional advocate, relative, friend or volunteer to help them advocate for their own health needs. </w:t>
      </w:r>
    </w:p>
    <w:p w14:paraId="119BCAC2" w14:textId="77777777" w:rsidR="00170BCE" w:rsidRPr="00D56A45" w:rsidRDefault="00170BCE" w:rsidP="00170BCE">
      <w:r w:rsidRPr="00D56A45">
        <w:rPr>
          <w:b/>
          <w:bCs/>
        </w:rPr>
        <w:t>System advocacy</w:t>
      </w:r>
      <w:r w:rsidRPr="00D56A45">
        <w:t xml:space="preserve"> relates to the broader health and disability systems and their capacity to enable people with disability to determine their own health needs at all stages, communicate their health and support needs, and participate in their health treatment decisions.</w:t>
      </w:r>
    </w:p>
    <w:p w14:paraId="20BE2B7A" w14:textId="77777777" w:rsidR="00170BCE" w:rsidRPr="00D56A45" w:rsidRDefault="00170BCE" w:rsidP="00170BCE">
      <w:r w:rsidRPr="00D56A45">
        <w:t>This report identifies several health advocacy barriers at both the individual and system levels across the key themes.</w:t>
      </w:r>
    </w:p>
    <w:p w14:paraId="3A96A73C" w14:textId="77777777" w:rsidR="00170BCE" w:rsidRPr="00D56A45" w:rsidRDefault="00170BCE" w:rsidP="007B7D66">
      <w:pPr>
        <w:pStyle w:val="Heading3"/>
      </w:pPr>
      <w:r w:rsidRPr="00D56A45">
        <w:t>Health and disability system interface</w:t>
      </w:r>
    </w:p>
    <w:p w14:paraId="409A8050" w14:textId="77777777" w:rsidR="00170BCE" w:rsidRPr="00D56A45" w:rsidRDefault="00170BCE" w:rsidP="00170BCE">
      <w:r w:rsidRPr="00D56A45">
        <w:t>NDIS concurrent supports are not available for people with complex needs while in hospital. Removing access to a person’s usual disability supports while in hospital can also remove access to advocacy support, as well as other essential day to day supports for people with complex needs. This is viewed as an urgent issue by the Working Group.</w:t>
      </w:r>
    </w:p>
    <w:p w14:paraId="02395CE6" w14:textId="77777777" w:rsidR="00170BCE" w:rsidRPr="00D56A45" w:rsidRDefault="00170BCE" w:rsidP="00170BCE">
      <w:r w:rsidRPr="00D56A45">
        <w:t>Lack of clarity around shared responsibilities and funding arrangements between the NDIS and hospitals is a system barrier that prevents individuals accessing appropriate disability supports when they are admitted to hospital.</w:t>
      </w:r>
    </w:p>
    <w:p w14:paraId="6DADA33E" w14:textId="77777777" w:rsidR="00170BCE" w:rsidRPr="00D56A45" w:rsidRDefault="00170BCE" w:rsidP="00170BCE">
      <w:r w:rsidRPr="00D56A45">
        <w:t>This service gap between NDIS-funded supports and hospital care poses several risks to individuals with disability and complex needs. This includes an increased risk of medical and clinical hazards, lack of correct mobility and feeding supports, lack of communication and consent, elevated risk of triggering behaviours of concern, and increased chance of traumatic experiences for the patient.</w:t>
      </w:r>
    </w:p>
    <w:p w14:paraId="395C6A80" w14:textId="77777777" w:rsidR="00170BCE" w:rsidRPr="00D56A45" w:rsidRDefault="00170BCE" w:rsidP="007B7D66">
      <w:pPr>
        <w:pStyle w:val="Heading3"/>
      </w:pPr>
      <w:r w:rsidRPr="00D56A45">
        <w:t>Workforce knowledge and practice</w:t>
      </w:r>
    </w:p>
    <w:p w14:paraId="296E8D56" w14:textId="146D48A4" w:rsidR="00170BCE" w:rsidRPr="00D56A45" w:rsidRDefault="00170BCE" w:rsidP="00170BCE">
      <w:r w:rsidRPr="00D56A45">
        <w:t>The health and disability workforces lack foundational knowledge and practice as it relate</w:t>
      </w:r>
      <w:r w:rsidR="00722AA1" w:rsidRPr="00D56A45">
        <w:t>s</w:t>
      </w:r>
      <w:r w:rsidRPr="00D56A45">
        <w:t xml:space="preserve"> to the wider health care of people with disability. The health workforce lacks appropriate disability knowledge, such as knowing how to identify person-centred need</w:t>
      </w:r>
      <w:r w:rsidR="00832166" w:rsidRPr="00D56A45">
        <w:t>s</w:t>
      </w:r>
      <w:r w:rsidRPr="00D56A45">
        <w:t xml:space="preserve"> like communication formation, required </w:t>
      </w:r>
      <w:proofErr w:type="gramStart"/>
      <w:r w:rsidRPr="00D56A45">
        <w:t>functional</w:t>
      </w:r>
      <w:r w:rsidR="00832166" w:rsidRPr="00D56A45">
        <w:t>-disability</w:t>
      </w:r>
      <w:proofErr w:type="gramEnd"/>
      <w:r w:rsidRPr="00D56A45">
        <w:t xml:space="preserve"> supports, and understanding of supported decision-making. Without appropriate training, staff may have low confidence in treating people with disability and complex needs. Unless appropriate health advocacy options are available, this can lead to diagnostic overshadowing, misdiagnosis, unnecessary restrictive interventions, and repeated presentations to hospital.</w:t>
      </w:r>
    </w:p>
    <w:p w14:paraId="1130F81C" w14:textId="77777777" w:rsidR="00170BCE" w:rsidRPr="00D56A45" w:rsidRDefault="00170BCE" w:rsidP="00170BCE">
      <w:r w:rsidRPr="00D56A45">
        <w:t xml:space="preserve">The disability workforce often has poor health literacy which can limit their capacity for health advocacy. Health literacy training is not mandatory for disability support workers, and the disability workforce does not receive consistent training to set themselves up as effective health advocates. </w:t>
      </w:r>
    </w:p>
    <w:p w14:paraId="1EAAF1D0" w14:textId="77777777" w:rsidR="00170BCE" w:rsidRPr="00D56A45" w:rsidRDefault="00170BCE" w:rsidP="007B7D66">
      <w:pPr>
        <w:pStyle w:val="Heading3"/>
      </w:pPr>
      <w:r w:rsidRPr="00D56A45">
        <w:t>Access, autonomy and communication</w:t>
      </w:r>
    </w:p>
    <w:p w14:paraId="1F0B6F6A" w14:textId="2A81FF3F" w:rsidR="00170BCE" w:rsidRPr="00D56A45" w:rsidRDefault="00170BCE" w:rsidP="00170BCE">
      <w:r w:rsidRPr="00D56A45">
        <w:t xml:space="preserve">Communication, access and autonomy barriers are found across all touchpoints of the health system in various health settings. People with disability often require a trusted and trained communication partner to help </w:t>
      </w:r>
      <w:r w:rsidR="00CF28A7" w:rsidRPr="00D56A45">
        <w:t xml:space="preserve">them understand the reasoning </w:t>
      </w:r>
      <w:r w:rsidR="0015168D" w:rsidRPr="00D56A45">
        <w:t>for specific health procedures</w:t>
      </w:r>
      <w:r w:rsidRPr="00D56A45">
        <w:t>, facilitate supported decision-making, and help an individual understand health information and instructions. Access barriers can also include high private fees for NDIS-required assessments or being declined treatment due to perceived risk or complexity of health care needs.</w:t>
      </w:r>
    </w:p>
    <w:p w14:paraId="14BDE77D" w14:textId="77777777" w:rsidR="00170BCE" w:rsidRPr="00D56A45" w:rsidRDefault="00170BCE" w:rsidP="00170BCE">
      <w:r w:rsidRPr="00D56A45">
        <w:t xml:space="preserve">System barriers to communication, access and autonomy were also identified. There is systemic lack of inclusion of people with disability in health policies and procedures, as well as a lack of accessible health information. Health professionals often have limited awareness of communication formats or needs and low confidence treating people with disability. Telehealth appointments or Hospital in the Home care are underutilised, there are long wait-times for disability-specific services, and high out-of-pocket costs for appropriate services. </w:t>
      </w:r>
    </w:p>
    <w:p w14:paraId="54665FCE" w14:textId="77777777" w:rsidR="00170BCE" w:rsidRPr="00D56A45" w:rsidRDefault="00170BCE" w:rsidP="00170BCE">
      <w:r w:rsidRPr="00D56A45">
        <w:t>Mainstream health services often lack appropriate supports or adjustments to provide care for people with disability. Many health services have short appointment times, lack physical access adjustments such as ramp access, height-adjustable examination beds or hoists, and are often high sensory overload environments in facilities that are inaccessible to people with low health literacy.</w:t>
      </w:r>
    </w:p>
    <w:p w14:paraId="767640EB" w14:textId="77777777" w:rsidR="00170BCE" w:rsidRPr="00D56A45" w:rsidRDefault="00170BCE" w:rsidP="007B7D66">
      <w:pPr>
        <w:pStyle w:val="Heading3"/>
      </w:pPr>
      <w:r w:rsidRPr="00D56A45">
        <w:t>Opportunities for further action</w:t>
      </w:r>
    </w:p>
    <w:p w14:paraId="31A56478" w14:textId="77777777" w:rsidR="00170BCE" w:rsidRPr="00D56A45" w:rsidRDefault="00170BCE" w:rsidP="00170BCE">
      <w:r w:rsidRPr="00D56A45">
        <w:t xml:space="preserve">To address these health system issues and their impacts on the health advocacy of people with disability, the Working Group proposes the following </w:t>
      </w:r>
      <w:r w:rsidRPr="00D56A45">
        <w:rPr>
          <w:b/>
          <w:bCs/>
        </w:rPr>
        <w:t>next steps for consideration</w:t>
      </w:r>
      <w:r w:rsidRPr="00D56A45">
        <w:t>.</w:t>
      </w:r>
    </w:p>
    <w:p w14:paraId="310C150E" w14:textId="77777777" w:rsidR="00170BCE" w:rsidRPr="007B7D66" w:rsidRDefault="00170BCE" w:rsidP="007B7D66">
      <w:pPr>
        <w:pStyle w:val="Heading4"/>
      </w:pPr>
      <w:r w:rsidRPr="007B7D66">
        <w:t>Immediate action to address NDIS-funded disability support workers in hospitals</w:t>
      </w:r>
    </w:p>
    <w:p w14:paraId="37907C2C" w14:textId="77777777" w:rsidR="00170BCE" w:rsidRPr="007B7D66" w:rsidRDefault="00170BCE" w:rsidP="007B7D66">
      <w:r w:rsidRPr="007B7D66">
        <w:t>This includes opportunities to improve access to concurrent supports for people with disability while in hospital as part of their NDIS plan review process, including reviewing current rules, principles and processes. There is also an opportunity to continue work to clarify shared roles and responsibilities between Commonwealth government portfolios and states and territories. This would help to provide consistent and appropriate care across mainstream health services, disability settings, and hospitals.</w:t>
      </w:r>
    </w:p>
    <w:p w14:paraId="3CF885C4" w14:textId="77777777" w:rsidR="00170BCE" w:rsidRPr="007B7D66" w:rsidRDefault="00170BCE" w:rsidP="007B7D66">
      <w:pPr>
        <w:pStyle w:val="Heading4"/>
      </w:pPr>
      <w:r w:rsidRPr="007B7D66">
        <w:t>Long-term solutions to improve health advocacy support for people with disability</w:t>
      </w:r>
    </w:p>
    <w:p w14:paraId="25308B9E" w14:textId="2B1361C1" w:rsidR="00170BCE" w:rsidRPr="007B7D66" w:rsidRDefault="00170BCE" w:rsidP="007B7D66">
      <w:r w:rsidRPr="007B7D66">
        <w:t>This includes opportunities to facilitate access to health advocacy programs website</w:t>
      </w:r>
      <w:r w:rsidR="00DA1873" w:rsidRPr="007B7D66">
        <w:t>s</w:t>
      </w:r>
      <w:r w:rsidRPr="007B7D66">
        <w:t xml:space="preserve"> and support government policy for these to be available at no costs to population groups identified at highest risk. There is also an opportunity to undertake a scoping review of nation-wide capacity building initiatives and fund disability advocacy programs targeting improved health literacy and navigation.</w:t>
      </w:r>
    </w:p>
    <w:p w14:paraId="5268F6F4" w14:textId="77777777" w:rsidR="00170BCE" w:rsidRPr="007B7D66" w:rsidRDefault="00170BCE" w:rsidP="007B7D66">
      <w:pPr>
        <w:pStyle w:val="Heading4"/>
      </w:pPr>
      <w:r w:rsidRPr="007B7D66">
        <w:t>Promote and develop external advocacy solutions</w:t>
      </w:r>
    </w:p>
    <w:p w14:paraId="1FD6BE37" w14:textId="440BCAFB" w:rsidR="00170BCE" w:rsidRPr="007B7D66" w:rsidRDefault="00170BCE" w:rsidP="007B7D66">
      <w:r w:rsidRPr="007B7D66">
        <w:t xml:space="preserve">This includes opportunities to review the hospital liaison model process to identify improved linkages with most at risk people admitted to hospital including multiple identification pathways. Consideration could also be given to hospital resourcing and cost benefits related to the hospital liaison officer or </w:t>
      </w:r>
      <w:r w:rsidR="005779F8" w:rsidRPr="007B7D66">
        <w:t xml:space="preserve">disability </w:t>
      </w:r>
      <w:r w:rsidRPr="007B7D66">
        <w:t>navigator roles that specialise in disability advocacy and support for most at risk population groups.</w:t>
      </w:r>
    </w:p>
    <w:p w14:paraId="0C4C1A14" w14:textId="77777777" w:rsidR="00170BCE" w:rsidRPr="007B7D66" w:rsidRDefault="00170BCE" w:rsidP="007B7D66">
      <w:pPr>
        <w:pStyle w:val="Heading4"/>
      </w:pPr>
      <w:r w:rsidRPr="007B7D66">
        <w:t>Increase capacity in the health system to better understand the health needs of people with disability</w:t>
      </w:r>
    </w:p>
    <w:p w14:paraId="5E91196D" w14:textId="77777777" w:rsidR="00170BCE" w:rsidRPr="007B7D66" w:rsidRDefault="00170BCE" w:rsidP="007B7D66">
      <w:r w:rsidRPr="007B7D66">
        <w:t>There could be an opportunity to review standards and requirements for disability baseline knowledge as part of workforce/service standards review. Better integration of health information across systems is needed so that information follows an individual across health systems.</w:t>
      </w:r>
    </w:p>
    <w:p w14:paraId="06786742" w14:textId="1D23BF96" w:rsidR="002F744C" w:rsidRPr="00100B41" w:rsidRDefault="000B45C3" w:rsidP="00100B41">
      <w:pPr>
        <w:pStyle w:val="Heading1"/>
      </w:pPr>
      <w:bookmarkStart w:id="5" w:name="_Toc225778742"/>
      <w:r w:rsidRPr="00D56A45">
        <w:t>Introduction</w:t>
      </w:r>
      <w:bookmarkEnd w:id="5"/>
    </w:p>
    <w:p w14:paraId="02002F97" w14:textId="06EB8321" w:rsidR="000B45C3" w:rsidRPr="00D56A45" w:rsidRDefault="000B45C3" w:rsidP="00100B41">
      <w:pPr>
        <w:pStyle w:val="Heading2"/>
      </w:pPr>
      <w:bookmarkStart w:id="6" w:name="_Toc225778743"/>
      <w:r w:rsidRPr="00D56A45">
        <w:t>Long-Term Health Advocacy Working Group</w:t>
      </w:r>
      <w:bookmarkEnd w:id="6"/>
    </w:p>
    <w:p w14:paraId="2808C507" w14:textId="5B540416" w:rsidR="00F90BD2" w:rsidRPr="00D56A45" w:rsidRDefault="00E7710D" w:rsidP="00F90BD2">
      <w:r w:rsidRPr="00D56A45">
        <w:t>The Long-</w:t>
      </w:r>
      <w:r w:rsidR="0088373E" w:rsidRPr="00D56A45">
        <w:t>T</w:t>
      </w:r>
      <w:r w:rsidRPr="00D56A45">
        <w:t xml:space="preserve">erm Health Advocacy Working Group </w:t>
      </w:r>
      <w:r w:rsidR="0088373E" w:rsidRPr="00D56A45">
        <w:t xml:space="preserve">(the “Working Group”) </w:t>
      </w:r>
      <w:r w:rsidRPr="00D56A45">
        <w:t xml:space="preserve">was </w:t>
      </w:r>
      <w:r w:rsidR="0088373E" w:rsidRPr="00D56A45">
        <w:t xml:space="preserve">established </w:t>
      </w:r>
      <w:r w:rsidR="000162E1" w:rsidRPr="00D56A45">
        <w:t xml:space="preserve">in </w:t>
      </w:r>
      <w:r w:rsidR="00C030B2" w:rsidRPr="00D56A45">
        <w:t>August</w:t>
      </w:r>
      <w:r w:rsidR="000162E1" w:rsidRPr="00D56A45">
        <w:t xml:space="preserve"> 2024 </w:t>
      </w:r>
      <w:r w:rsidR="0088373E" w:rsidRPr="00D56A45">
        <w:t xml:space="preserve">by the </w:t>
      </w:r>
      <w:r w:rsidR="000B080D" w:rsidRPr="00D56A45">
        <w:t>Disability and Health Sector Consultation Committee (DHSCC</w:t>
      </w:r>
      <w:r w:rsidR="00047F07" w:rsidRPr="00D56A45">
        <w:t>)</w:t>
      </w:r>
      <w:r w:rsidR="00611787" w:rsidRPr="00D56A45">
        <w:t>.</w:t>
      </w:r>
      <w:r w:rsidR="00327C1C" w:rsidRPr="00D56A45">
        <w:t xml:space="preserve"> </w:t>
      </w:r>
      <w:r w:rsidR="00F90BD2" w:rsidRPr="00D56A45">
        <w:t xml:space="preserve">The Working Group </w:t>
      </w:r>
      <w:r w:rsidR="00285364" w:rsidRPr="00D56A45">
        <w:t>was created</w:t>
      </w:r>
      <w:r w:rsidR="00047F07" w:rsidRPr="00D56A45">
        <w:t xml:space="preserve"> </w:t>
      </w:r>
      <w:r w:rsidR="003F2393" w:rsidRPr="00D56A45">
        <w:t>as a time-limited group</w:t>
      </w:r>
      <w:r w:rsidR="00285364" w:rsidRPr="00D56A45">
        <w:t xml:space="preserve"> to</w:t>
      </w:r>
      <w:r w:rsidR="00F90BD2" w:rsidRPr="00D56A45">
        <w:t xml:space="preserve"> </w:t>
      </w:r>
      <w:r w:rsidR="00285364" w:rsidRPr="00D56A45">
        <w:t>define</w:t>
      </w:r>
      <w:r w:rsidR="00F90BD2" w:rsidRPr="00D56A45">
        <w:t xml:space="preserve"> the key advocacy barriers experienced by people with disability </w:t>
      </w:r>
      <w:r w:rsidR="00285364" w:rsidRPr="00D56A45">
        <w:t xml:space="preserve">in </w:t>
      </w:r>
      <w:r w:rsidR="00F90BD2" w:rsidRPr="00D56A45">
        <w:t>health settings in relation to:</w:t>
      </w:r>
    </w:p>
    <w:p w14:paraId="737B6EFD" w14:textId="364979EC" w:rsidR="00F90BD2" w:rsidRPr="00D56A45" w:rsidRDefault="009C2A3D" w:rsidP="00637BAB">
      <w:pPr>
        <w:pStyle w:val="ListBullet"/>
      </w:pPr>
      <w:r w:rsidRPr="00D56A45">
        <w:t xml:space="preserve">Opportunities for </w:t>
      </w:r>
      <w:r w:rsidR="00F90BD2" w:rsidRPr="00D56A45">
        <w:t>people with disability</w:t>
      </w:r>
      <w:r w:rsidRPr="00D56A45">
        <w:t xml:space="preserve"> to increase their own individual health advocacy and health literacy</w:t>
      </w:r>
      <w:r w:rsidR="00F90BD2" w:rsidRPr="00D56A45">
        <w:t>.</w:t>
      </w:r>
    </w:p>
    <w:p w14:paraId="2FC2E7FE" w14:textId="5BF93F5C" w:rsidR="000620AF" w:rsidRPr="00D56A45" w:rsidRDefault="00F90BD2" w:rsidP="007B7D66">
      <w:pPr>
        <w:pStyle w:val="ListBullet"/>
      </w:pPr>
      <w:r w:rsidRPr="00D56A45">
        <w:t xml:space="preserve">Systemic barriers within health settings </w:t>
      </w:r>
      <w:r w:rsidR="00B257A0" w:rsidRPr="00D56A45">
        <w:t xml:space="preserve">that </w:t>
      </w:r>
      <w:r w:rsidR="009C2A3D" w:rsidRPr="00D56A45">
        <w:t>impact opportunities for</w:t>
      </w:r>
      <w:r w:rsidR="00B257A0" w:rsidRPr="00D56A45">
        <w:t xml:space="preserve"> </w:t>
      </w:r>
      <w:r w:rsidR="0048424C" w:rsidRPr="00D56A45">
        <w:t xml:space="preserve">short and long-term </w:t>
      </w:r>
      <w:r w:rsidR="00B257A0" w:rsidRPr="00D56A45">
        <w:t xml:space="preserve">health advocacy </w:t>
      </w:r>
      <w:r w:rsidR="0048424C" w:rsidRPr="00D56A45">
        <w:t>of people with disability.</w:t>
      </w:r>
    </w:p>
    <w:p w14:paraId="706261AC" w14:textId="2F7828D3" w:rsidR="00F90BD2" w:rsidRPr="00D56A45" w:rsidRDefault="00F521AB" w:rsidP="00B329E4">
      <w:r w:rsidRPr="00D56A45">
        <w:t>Membership of the Working Group:</w:t>
      </w:r>
    </w:p>
    <w:p w14:paraId="3D92C67C" w14:textId="13575CAA" w:rsidR="00F521AB" w:rsidRPr="00D56A45" w:rsidRDefault="00696E6B" w:rsidP="00637BAB">
      <w:pPr>
        <w:pStyle w:val="ListBullet"/>
      </w:pPr>
      <w:r w:rsidRPr="00D56A45">
        <w:t>Co-Chair – Heather McMinn, National Disability Service</w:t>
      </w:r>
      <w:r w:rsidR="005A27FA" w:rsidRPr="00D56A45">
        <w:t xml:space="preserve"> </w:t>
      </w:r>
    </w:p>
    <w:p w14:paraId="742E2F96" w14:textId="3ACBD1C3" w:rsidR="00696E6B" w:rsidRPr="00D56A45" w:rsidRDefault="00696E6B" w:rsidP="00637BAB">
      <w:pPr>
        <w:pStyle w:val="ListBullet"/>
      </w:pPr>
      <w:r w:rsidRPr="00D56A45">
        <w:t xml:space="preserve">Co-Chair – Jayne Lehmann, </w:t>
      </w:r>
      <w:proofErr w:type="spellStart"/>
      <w:r w:rsidRPr="00D56A45">
        <w:t>E</w:t>
      </w:r>
      <w:r w:rsidR="00380F00" w:rsidRPr="00D56A45">
        <w:t>d</w:t>
      </w:r>
      <w:r w:rsidRPr="00D56A45">
        <w:t>Health</w:t>
      </w:r>
      <w:proofErr w:type="spellEnd"/>
    </w:p>
    <w:p w14:paraId="6DCB3205" w14:textId="28C2F6ED" w:rsidR="00CE0434" w:rsidRPr="00D56A45" w:rsidRDefault="00CE0434" w:rsidP="00CE0434">
      <w:pPr>
        <w:pStyle w:val="ListBullet"/>
      </w:pPr>
      <w:r w:rsidRPr="00D56A45">
        <w:t>Donna Gillies, NDIS Quality and Safeguards Commission</w:t>
      </w:r>
    </w:p>
    <w:p w14:paraId="217EBD09" w14:textId="323ED1E3" w:rsidR="00696E6B" w:rsidRPr="00D56A45" w:rsidRDefault="00C95BB6" w:rsidP="00637BAB">
      <w:pPr>
        <w:pStyle w:val="ListBullet"/>
      </w:pPr>
      <w:r w:rsidRPr="00D56A45">
        <w:t>Tracey Martell, Office of the Public Advocate Queensland</w:t>
      </w:r>
    </w:p>
    <w:p w14:paraId="30E93592" w14:textId="458611EF" w:rsidR="00C95BB6" w:rsidRPr="00D56A45" w:rsidRDefault="00C95BB6" w:rsidP="00637BAB">
      <w:pPr>
        <w:pStyle w:val="ListBullet"/>
      </w:pPr>
      <w:r w:rsidRPr="00D56A45">
        <w:t>Dariane McLean, Inclusion Australia</w:t>
      </w:r>
    </w:p>
    <w:p w14:paraId="745F0C3F" w14:textId="383AEFB8" w:rsidR="00C95BB6" w:rsidRPr="00D56A45" w:rsidRDefault="00C95BB6" w:rsidP="00637BAB">
      <w:pPr>
        <w:pStyle w:val="ListBullet"/>
      </w:pPr>
      <w:r w:rsidRPr="00D56A45">
        <w:t xml:space="preserve">Jaquie Mills, </w:t>
      </w:r>
      <w:proofErr w:type="spellStart"/>
      <w:r w:rsidRPr="00D56A45">
        <w:t>Microboards</w:t>
      </w:r>
      <w:proofErr w:type="spellEnd"/>
      <w:r w:rsidRPr="00D56A45">
        <w:t xml:space="preserve"> Australia</w:t>
      </w:r>
    </w:p>
    <w:p w14:paraId="20F050C5" w14:textId="34E8888B" w:rsidR="00C95BB6" w:rsidRPr="00D56A45" w:rsidRDefault="00C95BB6" w:rsidP="00CE0434">
      <w:pPr>
        <w:pStyle w:val="ListBullet"/>
      </w:pPr>
      <w:r w:rsidRPr="00D56A45">
        <w:t>George Taleporos, Consumer Advocat</w:t>
      </w:r>
      <w:r w:rsidR="00CE0434" w:rsidRPr="00D56A45">
        <w:t>e</w:t>
      </w:r>
    </w:p>
    <w:p w14:paraId="58C73C17" w14:textId="77777777" w:rsidR="00B17891" w:rsidRPr="00D56A45" w:rsidRDefault="00B17891" w:rsidP="00B17891">
      <w:pPr>
        <w:pStyle w:val="ListBullet"/>
      </w:pPr>
      <w:r w:rsidRPr="00D56A45">
        <w:t>Samantha Connor, People with Disability Australia</w:t>
      </w:r>
    </w:p>
    <w:p w14:paraId="3F284C51" w14:textId="7326A7C7" w:rsidR="00277F9E" w:rsidRPr="00D56A45" w:rsidRDefault="00713E88" w:rsidP="00637BAB">
      <w:pPr>
        <w:pStyle w:val="ListBullet"/>
      </w:pPr>
      <w:r w:rsidRPr="00D56A45">
        <w:t xml:space="preserve">Secretariat - </w:t>
      </w:r>
      <w:r w:rsidR="00277F9E" w:rsidRPr="00D56A45">
        <w:t>Department of Health</w:t>
      </w:r>
      <w:r w:rsidR="007C266A" w:rsidRPr="00D56A45">
        <w:t xml:space="preserve">, Disability and </w:t>
      </w:r>
      <w:r w:rsidR="00277F9E" w:rsidRPr="00D56A45">
        <w:t>Age</w:t>
      </w:r>
      <w:r w:rsidR="007C266A" w:rsidRPr="00D56A45">
        <w:t>ing</w:t>
      </w:r>
    </w:p>
    <w:p w14:paraId="3182BA35" w14:textId="453011B0" w:rsidR="0042439F" w:rsidRPr="00D56A45" w:rsidRDefault="0042439F" w:rsidP="00612589">
      <w:pPr>
        <w:pStyle w:val="Heading2"/>
      </w:pPr>
      <w:bookmarkStart w:id="7" w:name="_Toc225778744"/>
      <w:r w:rsidRPr="00D56A45">
        <w:t xml:space="preserve">Purpose </w:t>
      </w:r>
      <w:r w:rsidR="00C75DD8" w:rsidRPr="00D56A45">
        <w:t>and use of the report</w:t>
      </w:r>
      <w:bookmarkEnd w:id="7"/>
    </w:p>
    <w:p w14:paraId="5A9FE352" w14:textId="3961A1B6" w:rsidR="000B080D" w:rsidRPr="00D56A45" w:rsidRDefault="000B080D" w:rsidP="0038362E">
      <w:bookmarkStart w:id="8" w:name="_Hlk201214363"/>
      <w:r w:rsidRPr="00D56A45">
        <w:t>This report has been prepared for the DHSCC to further its consideration of how to</w:t>
      </w:r>
      <w:r w:rsidR="009C6F06" w:rsidRPr="00D56A45">
        <w:t xml:space="preserve"> a</w:t>
      </w:r>
      <w:r w:rsidRPr="00D56A45">
        <w:t xml:space="preserve">ddress, </w:t>
      </w:r>
      <w:r w:rsidR="009C6F06" w:rsidRPr="00D56A45">
        <w:t xml:space="preserve">facilitate </w:t>
      </w:r>
      <w:r w:rsidRPr="00D56A45">
        <w:t>and strengthen health advocacy for people with disability.</w:t>
      </w:r>
    </w:p>
    <w:p w14:paraId="1CDF8891" w14:textId="7276A12C" w:rsidR="00995C6A" w:rsidRDefault="0038362E" w:rsidP="0038362E">
      <w:r w:rsidRPr="00D56A45">
        <w:t>This report provides an overview of the key barriers faced by people with disability</w:t>
      </w:r>
      <w:r w:rsidR="0065760B" w:rsidRPr="00D56A45">
        <w:t xml:space="preserve"> </w:t>
      </w:r>
      <w:r w:rsidR="009E37A3" w:rsidRPr="00D56A45">
        <w:t xml:space="preserve">in </w:t>
      </w:r>
      <w:r w:rsidR="0065760B" w:rsidRPr="00D56A45">
        <w:t>advocat</w:t>
      </w:r>
      <w:r w:rsidR="009E37A3" w:rsidRPr="00D56A45">
        <w:t>ing</w:t>
      </w:r>
      <w:r w:rsidR="0065760B" w:rsidRPr="00D56A45">
        <w:t xml:space="preserve"> for their health rights and needs</w:t>
      </w:r>
      <w:r w:rsidRPr="00D56A45">
        <w:t xml:space="preserve"> across health settings</w:t>
      </w:r>
      <w:r w:rsidR="00285364" w:rsidRPr="00D56A45">
        <w:t>. This report also</w:t>
      </w:r>
      <w:r w:rsidRPr="00D56A45">
        <w:t xml:space="preserve"> highlight</w:t>
      </w:r>
      <w:r w:rsidR="000B080D" w:rsidRPr="00D56A45">
        <w:t>s key</w:t>
      </w:r>
      <w:r w:rsidRPr="00D56A45">
        <w:t xml:space="preserve"> concerns </w:t>
      </w:r>
      <w:r w:rsidR="000B080D" w:rsidRPr="00D56A45">
        <w:t>at a system level that contribute to</w:t>
      </w:r>
      <w:r w:rsidR="0047684F" w:rsidRPr="00D56A45">
        <w:t xml:space="preserve"> </w:t>
      </w:r>
      <w:r w:rsidR="000B080D" w:rsidRPr="00D56A45">
        <w:t xml:space="preserve">health </w:t>
      </w:r>
      <w:r w:rsidR="0047684F" w:rsidRPr="00D56A45">
        <w:t>advocacy</w:t>
      </w:r>
      <w:r w:rsidRPr="00D56A45">
        <w:t xml:space="preserve"> barriers.</w:t>
      </w:r>
    </w:p>
    <w:p w14:paraId="4C1200E1" w14:textId="77777777" w:rsidR="00995C6A" w:rsidRPr="00995C6A" w:rsidRDefault="00995C6A" w:rsidP="00995C6A">
      <w:r>
        <w:br w:type="page"/>
      </w:r>
    </w:p>
    <w:p w14:paraId="367C1EF4" w14:textId="4225FD51" w:rsidR="00471BF4" w:rsidRDefault="00F25FFC" w:rsidP="00F25FFC">
      <w:pPr>
        <w:pStyle w:val="Boxheading"/>
      </w:pPr>
      <w:r w:rsidRPr="00F25FFC">
        <w:t>Definition of health</w:t>
      </w:r>
    </w:p>
    <w:p w14:paraId="4FDF932B" w14:textId="77777777" w:rsidR="00F25FFC" w:rsidRPr="00D56A45" w:rsidRDefault="00F25FFC" w:rsidP="00F25FFC">
      <w:pPr>
        <w:pStyle w:val="Boxtype"/>
      </w:pPr>
      <w:r w:rsidRPr="00D56A45">
        <w:t xml:space="preserve">The World Health </w:t>
      </w:r>
      <w:proofErr w:type="spellStart"/>
      <w:r w:rsidRPr="00D56A45">
        <w:t>Organisation</w:t>
      </w:r>
      <w:proofErr w:type="spellEnd"/>
      <w:r w:rsidRPr="00D56A45">
        <w:t xml:space="preserve"> defines health as “a state of complete physical, mental and social well-being and not merely the absence of disease or infirmity”</w:t>
      </w:r>
      <w:r w:rsidRPr="00D56A45">
        <w:rPr>
          <w:rStyle w:val="EndnoteReference"/>
        </w:rPr>
        <w:endnoteReference w:id="2"/>
      </w:r>
      <w:r w:rsidRPr="00D56A45">
        <w:t xml:space="preserve">. The health system, when working optimally, facilitates the pursuit of good health for all through inclusive and accessible access to a </w:t>
      </w:r>
      <w:proofErr w:type="gramStart"/>
      <w:r w:rsidRPr="00D56A45">
        <w:t>range</w:t>
      </w:r>
      <w:proofErr w:type="gramEnd"/>
      <w:r w:rsidRPr="00D56A45">
        <w:t xml:space="preserve"> health services, including:</w:t>
      </w:r>
    </w:p>
    <w:p w14:paraId="4F1DA978" w14:textId="0EBB80E2" w:rsidR="00F25FFC" w:rsidRPr="00F25FFC" w:rsidRDefault="00F25FFC" w:rsidP="007B7D66">
      <w:pPr>
        <w:pStyle w:val="Boxtypelist"/>
      </w:pPr>
      <w:r w:rsidRPr="00D56A45">
        <w:t>Prim</w:t>
      </w:r>
      <w:r w:rsidRPr="00F25FFC">
        <w:t xml:space="preserve">ary care services, such General Practice, oral </w:t>
      </w:r>
      <w:proofErr w:type="spellStart"/>
      <w:r w:rsidRPr="00F25FFC">
        <w:t>health,</w:t>
      </w:r>
      <w:proofErr w:type="spellEnd"/>
      <w:r w:rsidRPr="00F25FFC">
        <w:t xml:space="preserve"> allied </w:t>
      </w:r>
      <w:proofErr w:type="spellStart"/>
      <w:r w:rsidRPr="00F25FFC">
        <w:t>health,</w:t>
      </w:r>
      <w:proofErr w:type="spellEnd"/>
      <w:r w:rsidRPr="00F25FFC">
        <w:t xml:space="preserve"> and sexual and reproductive health services.</w:t>
      </w:r>
    </w:p>
    <w:p w14:paraId="3FFB3A0F" w14:textId="5F7FD844" w:rsidR="00F25FFC" w:rsidRPr="00F25FFC" w:rsidRDefault="00F25FFC" w:rsidP="007B7D66">
      <w:pPr>
        <w:pStyle w:val="Boxtypelist"/>
      </w:pPr>
      <w:r w:rsidRPr="00F25FFC">
        <w:t>Mental health services</w:t>
      </w:r>
    </w:p>
    <w:p w14:paraId="23EF26A5" w14:textId="1D6729C3" w:rsidR="00F25FFC" w:rsidRPr="00F25FFC" w:rsidRDefault="00F25FFC" w:rsidP="007B7D66">
      <w:pPr>
        <w:pStyle w:val="Boxtypelist"/>
      </w:pPr>
      <w:r w:rsidRPr="00F25FFC">
        <w:t xml:space="preserve">Other specialist medical services for specific and/or complex conditions </w:t>
      </w:r>
    </w:p>
    <w:p w14:paraId="28AA4F93" w14:textId="454CB71A" w:rsidR="00F25FFC" w:rsidRPr="00F25FFC" w:rsidRDefault="00F25FFC" w:rsidP="007B7D66">
      <w:pPr>
        <w:pStyle w:val="Boxtypelist"/>
      </w:pPr>
      <w:r w:rsidRPr="00F25FFC">
        <w:t>Hospitals</w:t>
      </w:r>
    </w:p>
    <w:p w14:paraId="28BB86C2" w14:textId="3EE22B4B" w:rsidR="00F25FFC" w:rsidRPr="00D56A45" w:rsidRDefault="00F25FFC" w:rsidP="00F25FFC">
      <w:pPr>
        <w:pStyle w:val="Boxtype"/>
      </w:pPr>
      <w:r w:rsidRPr="00D56A45">
        <w:t xml:space="preserve">This report identifies the advocacy barriers experienced by people with </w:t>
      </w:r>
      <w:proofErr w:type="gramStart"/>
      <w:r w:rsidRPr="00D56A45">
        <w:t>disability</w:t>
      </w:r>
      <w:proofErr w:type="gramEnd"/>
      <w:r w:rsidRPr="00D56A45">
        <w:t xml:space="preserve"> across a broad range of health services such as those listed above. It is also acknowledged that specific mainstream health services may present additional health risks and barriers to people with disability.</w:t>
      </w:r>
    </w:p>
    <w:p w14:paraId="2FA71E10" w14:textId="77777777" w:rsidR="00F25FFC" w:rsidRPr="00D56A45" w:rsidRDefault="00F25FFC" w:rsidP="00F25FFC">
      <w:pPr>
        <w:pStyle w:val="Boxheading"/>
      </w:pPr>
      <w:r w:rsidRPr="00D56A45">
        <w:t>Definition of health advocacy</w:t>
      </w:r>
    </w:p>
    <w:p w14:paraId="3939147E" w14:textId="77777777" w:rsidR="00F25FFC" w:rsidRPr="00D56A45" w:rsidRDefault="00F25FFC" w:rsidP="00F25FFC">
      <w:pPr>
        <w:pStyle w:val="Boxtype"/>
      </w:pPr>
      <w:r w:rsidRPr="00D56A45">
        <w:t>For the purposes of this report, the Working Group defines health advocacy as enabling an individual to:</w:t>
      </w:r>
    </w:p>
    <w:p w14:paraId="5DD406F4" w14:textId="63B36743" w:rsidR="00F25FFC" w:rsidRPr="00D56A45" w:rsidRDefault="00F25FFC" w:rsidP="007B7D66">
      <w:pPr>
        <w:pStyle w:val="Boxtypelist"/>
      </w:pPr>
      <w:r w:rsidRPr="00D56A45">
        <w:t xml:space="preserve">determine their own health needs at all stages </w:t>
      </w:r>
    </w:p>
    <w:p w14:paraId="2A1BAF09" w14:textId="60920282" w:rsidR="00F25FFC" w:rsidRPr="00D56A45" w:rsidRDefault="00F25FFC" w:rsidP="007B7D66">
      <w:pPr>
        <w:pStyle w:val="Boxtypelist"/>
      </w:pPr>
      <w:r w:rsidRPr="00D56A45">
        <w:t>communicate their person-</w:t>
      </w:r>
      <w:proofErr w:type="spellStart"/>
      <w:r w:rsidRPr="00D56A45">
        <w:t>centred</w:t>
      </w:r>
      <w:proofErr w:type="spellEnd"/>
      <w:r w:rsidRPr="00D56A45">
        <w:t xml:space="preserve"> needs, health history, and home and living settings and supports</w:t>
      </w:r>
    </w:p>
    <w:p w14:paraId="0316B16F" w14:textId="560700CA" w:rsidR="00F25FFC" w:rsidRPr="00D56A45" w:rsidRDefault="00F25FFC" w:rsidP="007B7D66">
      <w:pPr>
        <w:pStyle w:val="Boxtypelist"/>
      </w:pPr>
      <w:r w:rsidRPr="00D56A45">
        <w:t>access health services to meet their health needs</w:t>
      </w:r>
    </w:p>
    <w:p w14:paraId="18A1958A" w14:textId="637E9D67" w:rsidR="00F25FFC" w:rsidRPr="00D56A45" w:rsidRDefault="00F25FFC" w:rsidP="007B7D66">
      <w:pPr>
        <w:pStyle w:val="Boxtypelist"/>
      </w:pPr>
      <w:r w:rsidRPr="00D56A45">
        <w:t>request reasonable accommodations to ensure their access needs are met</w:t>
      </w:r>
    </w:p>
    <w:p w14:paraId="5E259270" w14:textId="7CAA867D" w:rsidR="00F25FFC" w:rsidRDefault="00F25FFC" w:rsidP="007B7D66">
      <w:pPr>
        <w:pStyle w:val="Boxtypelist"/>
      </w:pPr>
      <w:r w:rsidRPr="00D56A45">
        <w:t xml:space="preserve">raise and protest discriminatory approaches which prevent their health </w:t>
      </w:r>
      <w:proofErr w:type="gramStart"/>
      <w:r w:rsidRPr="00D56A45">
        <w:t>needs</w:t>
      </w:r>
      <w:proofErr w:type="gramEnd"/>
      <w:r w:rsidRPr="00D56A45">
        <w:t xml:space="preserve"> being met</w:t>
      </w:r>
    </w:p>
    <w:p w14:paraId="3256F27E" w14:textId="1B5835BC" w:rsidR="00F25FFC" w:rsidRPr="00F25FFC" w:rsidRDefault="00F25FFC" w:rsidP="007B7D66">
      <w:pPr>
        <w:pStyle w:val="Boxtypelist"/>
      </w:pPr>
      <w:r w:rsidRPr="00D56A45">
        <w:t xml:space="preserve">participate in planning prior to </w:t>
      </w:r>
      <w:proofErr w:type="spellStart"/>
      <w:r w:rsidRPr="00D56A45">
        <w:t>hospitalisation</w:t>
      </w:r>
      <w:proofErr w:type="spellEnd"/>
      <w:r w:rsidRPr="00D56A45">
        <w:t>, health treatment decisions, recovery planning and implementation of health plans.</w:t>
      </w:r>
    </w:p>
    <w:bookmarkEnd w:id="8"/>
    <w:p w14:paraId="3E702879" w14:textId="73541593" w:rsidR="00681304" w:rsidRPr="00D56A45" w:rsidRDefault="0065760B" w:rsidP="00A11551">
      <w:r w:rsidRPr="00D56A45">
        <w:t>The</w:t>
      </w:r>
      <w:r w:rsidR="00681304" w:rsidRPr="00D56A45">
        <w:t xml:space="preserve"> Working Group found</w:t>
      </w:r>
      <w:r w:rsidR="005A27FA" w:rsidRPr="00D56A45">
        <w:t xml:space="preserve"> there were challenges in </w:t>
      </w:r>
      <w:r w:rsidRPr="00D56A45">
        <w:t>distinguish</w:t>
      </w:r>
      <w:r w:rsidR="005A27FA" w:rsidRPr="00D56A45">
        <w:t>ing the individual and system</w:t>
      </w:r>
      <w:r w:rsidRPr="00D56A45">
        <w:t xml:space="preserve"> advocacy barriers from wider health</w:t>
      </w:r>
      <w:r w:rsidR="00B11BC3" w:rsidRPr="00D56A45">
        <w:t xml:space="preserve"> </w:t>
      </w:r>
      <w:r w:rsidRPr="00D56A45">
        <w:t xml:space="preserve">care issues affecting people with disability, </w:t>
      </w:r>
      <w:r w:rsidR="000B080D" w:rsidRPr="00D56A45">
        <w:t>such as</w:t>
      </w:r>
      <w:r w:rsidRPr="00D56A45">
        <w:t xml:space="preserve"> service delivery and access.</w:t>
      </w:r>
      <w:r w:rsidR="00681304" w:rsidRPr="00D56A45">
        <w:t xml:space="preserve"> </w:t>
      </w:r>
      <w:r w:rsidR="00E7656D" w:rsidRPr="00D56A45">
        <w:t>While</w:t>
      </w:r>
      <w:r w:rsidR="00681304" w:rsidRPr="00D56A45">
        <w:t xml:space="preserve"> </w:t>
      </w:r>
      <w:r w:rsidR="00F947D2" w:rsidRPr="00D56A45">
        <w:t>th</w:t>
      </w:r>
      <w:r w:rsidR="005A7B39" w:rsidRPr="00D56A45">
        <w:t>is</w:t>
      </w:r>
      <w:r w:rsidR="00F947D2" w:rsidRPr="00D56A45">
        <w:t xml:space="preserve"> report acknowledges </w:t>
      </w:r>
      <w:r w:rsidR="009E37A3" w:rsidRPr="00D56A45">
        <w:t xml:space="preserve">the importance and relevance of </w:t>
      </w:r>
      <w:r w:rsidR="00F947D2" w:rsidRPr="00D56A45">
        <w:t xml:space="preserve">these broader health system issues </w:t>
      </w:r>
      <w:r w:rsidR="005A7B39" w:rsidRPr="00D56A45">
        <w:t>to many organisations represented on the DHSCC</w:t>
      </w:r>
      <w:r w:rsidR="00E7656D" w:rsidRPr="00D56A45">
        <w:t>,</w:t>
      </w:r>
      <w:r w:rsidR="00F947D2" w:rsidRPr="00D56A45">
        <w:t xml:space="preserve"> they are </w:t>
      </w:r>
      <w:r w:rsidR="000B080D" w:rsidRPr="00D56A45">
        <w:t xml:space="preserve">considered </w:t>
      </w:r>
      <w:r w:rsidR="00F947D2" w:rsidRPr="00D56A45">
        <w:t xml:space="preserve">out of scope for this report. </w:t>
      </w:r>
    </w:p>
    <w:p w14:paraId="42925123" w14:textId="717F0151" w:rsidR="0038362E" w:rsidRPr="00D56A45" w:rsidRDefault="007354D1" w:rsidP="0038362E">
      <w:r w:rsidRPr="00D56A45">
        <w:t xml:space="preserve">This report does not make policy or budget recommendations. Instead, organisations with policy ownership across government and non-government sectors are </w:t>
      </w:r>
      <w:r w:rsidR="003A6BED" w:rsidRPr="00D56A45">
        <w:t>identified against</w:t>
      </w:r>
      <w:r w:rsidRPr="00D56A45">
        <w:t xml:space="preserve"> each </w:t>
      </w:r>
      <w:r w:rsidR="003A6BED" w:rsidRPr="00D56A45">
        <w:t xml:space="preserve">advocacy </w:t>
      </w:r>
      <w:r w:rsidRPr="00D56A45">
        <w:t>barrier</w:t>
      </w:r>
      <w:r w:rsidR="003A6BED" w:rsidRPr="00D56A45">
        <w:t xml:space="preserve">. </w:t>
      </w:r>
      <w:r w:rsidR="007D4A76" w:rsidRPr="00D56A45">
        <w:t>I</w:t>
      </w:r>
      <w:r w:rsidR="0038362E" w:rsidRPr="00D56A45">
        <w:t xml:space="preserve">ndividual DHSCC member representatives </w:t>
      </w:r>
      <w:r w:rsidR="00E40677" w:rsidRPr="00D56A45">
        <w:t>can</w:t>
      </w:r>
      <w:r w:rsidR="0038362E" w:rsidRPr="00D56A45">
        <w:t xml:space="preserve"> consider</w:t>
      </w:r>
      <w:r w:rsidR="007D4A76" w:rsidRPr="00D56A45">
        <w:t xml:space="preserve"> </w:t>
      </w:r>
      <w:r w:rsidR="0038362E" w:rsidRPr="00D56A45">
        <w:t>the report’s findings from their own organisational perspectives and areas of influence</w:t>
      </w:r>
      <w:r w:rsidR="009E37A3" w:rsidRPr="00D56A45">
        <w:t>,</w:t>
      </w:r>
      <w:r w:rsidR="0038362E" w:rsidRPr="00D56A45">
        <w:t xml:space="preserve"> to address local needs and opportunities </w:t>
      </w:r>
      <w:r w:rsidR="001F2B8D" w:rsidRPr="00D56A45">
        <w:t xml:space="preserve">within </w:t>
      </w:r>
      <w:r w:rsidR="0038362E" w:rsidRPr="00D56A45">
        <w:t>the health and disability interface.</w:t>
      </w:r>
    </w:p>
    <w:p w14:paraId="35E18DA9" w14:textId="3FBC4275" w:rsidR="007B7784" w:rsidRPr="00D56A45" w:rsidRDefault="0038362E" w:rsidP="007B7784">
      <w:r w:rsidRPr="00D56A45">
        <w:t>In develop</w:t>
      </w:r>
      <w:r w:rsidR="001F2B8D" w:rsidRPr="00D56A45">
        <w:t>ing</w:t>
      </w:r>
      <w:r w:rsidR="00EB3708" w:rsidRPr="00D56A45">
        <w:t xml:space="preserve"> </w:t>
      </w:r>
      <w:r w:rsidRPr="00D56A45">
        <w:t xml:space="preserve">this report, the Working Group considered evidence from </w:t>
      </w:r>
      <w:r w:rsidR="001F2B8D" w:rsidRPr="00D56A45">
        <w:t>the</w:t>
      </w:r>
      <w:r w:rsidR="00EB3708" w:rsidRPr="00D56A45">
        <w:t xml:space="preserve"> Royal Commission into Violence Abuse, Neglect and Exploitation of People with Disability </w:t>
      </w:r>
      <w:r w:rsidR="001F2B8D" w:rsidRPr="00D56A45">
        <w:t>(</w:t>
      </w:r>
      <w:r w:rsidRPr="00D56A45">
        <w:t>DRC</w:t>
      </w:r>
      <w:r w:rsidR="001F2B8D" w:rsidRPr="00D56A45">
        <w:t>),</w:t>
      </w:r>
      <w:r w:rsidRPr="00D56A45">
        <w:t xml:space="preserve"> recent review and reform reports, government policy and strategies</w:t>
      </w:r>
      <w:r w:rsidR="00D115EC" w:rsidRPr="00D56A45">
        <w:t xml:space="preserve"> (listed in Appendix 1)</w:t>
      </w:r>
      <w:r w:rsidRPr="00D56A45">
        <w:t>, key stakeholder disability focused reports</w:t>
      </w:r>
      <w:r w:rsidR="001F2B8D" w:rsidRPr="00D56A45">
        <w:t xml:space="preserve"> and</w:t>
      </w:r>
      <w:r w:rsidRPr="00D56A45">
        <w:t xml:space="preserve"> anecdotal evidence from people with disability</w:t>
      </w:r>
      <w:r w:rsidR="00807B35" w:rsidRPr="00D56A45">
        <w:t>, family or carers and disability providers</w:t>
      </w:r>
      <w:r w:rsidRPr="00D56A45">
        <w:t xml:space="preserve">. </w:t>
      </w:r>
    </w:p>
    <w:p w14:paraId="157CA11D" w14:textId="6A77024A" w:rsidR="00E75A93" w:rsidRPr="00D56A45" w:rsidRDefault="00980886" w:rsidP="007B7784">
      <w:r w:rsidRPr="00D56A45">
        <w:t xml:space="preserve">Working Group members </w:t>
      </w:r>
      <w:r w:rsidR="009B5A24" w:rsidRPr="00D56A45">
        <w:t xml:space="preserve">also </w:t>
      </w:r>
      <w:r w:rsidRPr="00D56A45">
        <w:t xml:space="preserve">acknowledge the </w:t>
      </w:r>
      <w:r w:rsidR="00BD5B60" w:rsidRPr="00D56A45">
        <w:t>additional advocacy barriers experienced by First Nations people with disability</w:t>
      </w:r>
      <w:r w:rsidR="00B76EB9" w:rsidRPr="00D56A45">
        <w:t>. Fir</w:t>
      </w:r>
      <w:r w:rsidR="000D459F" w:rsidRPr="00D56A45">
        <w:t>st Nations people with disability face</w:t>
      </w:r>
      <w:r w:rsidR="006B74C8" w:rsidRPr="00D56A45">
        <w:t xml:space="preserve"> </w:t>
      </w:r>
      <w:r w:rsidR="00E326F5" w:rsidRPr="00D56A45">
        <w:t xml:space="preserve">intensified </w:t>
      </w:r>
      <w:r w:rsidR="006B74C8" w:rsidRPr="00D56A45">
        <w:t xml:space="preserve">marginalisation </w:t>
      </w:r>
      <w:r w:rsidR="007F56F2" w:rsidRPr="00D56A45">
        <w:t>when accessing health</w:t>
      </w:r>
      <w:r w:rsidR="006E7050" w:rsidRPr="00D56A45">
        <w:t xml:space="preserve"> </w:t>
      </w:r>
      <w:r w:rsidR="007F56F2" w:rsidRPr="00D56A45">
        <w:t>care</w:t>
      </w:r>
      <w:r w:rsidR="0090653A" w:rsidRPr="00D56A45">
        <w:t>, with increased challenges in their ability to access services and support</w:t>
      </w:r>
      <w:r w:rsidR="007F56F2" w:rsidRPr="00D56A45">
        <w:t>.</w:t>
      </w:r>
      <w:r w:rsidR="00E326F5" w:rsidRPr="00D56A45">
        <w:t xml:space="preserve"> </w:t>
      </w:r>
      <w:r w:rsidR="007250F0" w:rsidRPr="00D56A45">
        <w:t xml:space="preserve">Working Group members note that, beyond health advocacy barriers for people with disability, mainstream services </w:t>
      </w:r>
      <w:r w:rsidR="009B5A24" w:rsidRPr="00D56A45">
        <w:t>do not always provide</w:t>
      </w:r>
      <w:r w:rsidR="007250F0" w:rsidRPr="00D56A45">
        <w:t xml:space="preserve"> culturally safe care for First Nations people. </w:t>
      </w:r>
      <w:r w:rsidR="00212F1A" w:rsidRPr="00D56A45">
        <w:t xml:space="preserve">The </w:t>
      </w:r>
      <w:r w:rsidR="00BA0A75" w:rsidRPr="00D56A45">
        <w:t xml:space="preserve">health advocacy barriers described in this report </w:t>
      </w:r>
      <w:r w:rsidR="0067777C" w:rsidRPr="00D56A45">
        <w:t xml:space="preserve">present </w:t>
      </w:r>
      <w:r w:rsidR="001E7C3D" w:rsidRPr="00D56A45">
        <w:t>increased negative consequences on the health outcomes of First Nations people with disability.</w:t>
      </w:r>
    </w:p>
    <w:p w14:paraId="3CE79AA1" w14:textId="71EB75A4" w:rsidR="008750D5" w:rsidRPr="00D56A45" w:rsidRDefault="00E326F5" w:rsidP="00ED2C49">
      <w:r w:rsidRPr="00D56A45">
        <w:t>The</w:t>
      </w:r>
      <w:r w:rsidR="009C0FB5" w:rsidRPr="00D56A45">
        <w:t xml:space="preserve"> Working Group </w:t>
      </w:r>
      <w:r w:rsidR="00E75A93" w:rsidRPr="00D56A45">
        <w:t>also acknowledges the continuing negative effects of COVID</w:t>
      </w:r>
      <w:r w:rsidR="009E37A3" w:rsidRPr="00D56A45">
        <w:t>-</w:t>
      </w:r>
      <w:r w:rsidR="00E75A93" w:rsidRPr="00D56A45">
        <w:t>19 on the disability community across Australia.</w:t>
      </w:r>
      <w:r w:rsidR="00001A91" w:rsidRPr="00D56A45">
        <w:t xml:space="preserve"> </w:t>
      </w:r>
      <w:r w:rsidR="00C5356F" w:rsidRPr="00D56A45">
        <w:t>The heightened risk of severe COVID-19 symptoms in the disability community underscores the urgent need to address health advocacy barriers for those who require frequent access to health</w:t>
      </w:r>
      <w:r w:rsidR="006E7050" w:rsidRPr="00D56A45">
        <w:t xml:space="preserve"> </w:t>
      </w:r>
      <w:r w:rsidR="00C5356F" w:rsidRPr="00D56A45">
        <w:t xml:space="preserve">care services </w:t>
      </w:r>
      <w:proofErr w:type="gramStart"/>
      <w:r w:rsidR="00C5356F" w:rsidRPr="00D56A45">
        <w:t>as a result of</w:t>
      </w:r>
      <w:proofErr w:type="gramEnd"/>
      <w:r w:rsidR="00C5356F" w:rsidRPr="00D56A45">
        <w:t xml:space="preserve"> </w:t>
      </w:r>
      <w:r w:rsidR="00601EB8" w:rsidRPr="00D56A45">
        <w:t>COVID</w:t>
      </w:r>
      <w:r w:rsidR="009E37A3" w:rsidRPr="00D56A45">
        <w:t>-</w:t>
      </w:r>
      <w:r w:rsidR="00601EB8" w:rsidRPr="00D56A45">
        <w:t>19 diagnosis.</w:t>
      </w:r>
    </w:p>
    <w:p w14:paraId="2844568D" w14:textId="433667C4" w:rsidR="003F0EDD" w:rsidRPr="00D56A45" w:rsidRDefault="005575E4" w:rsidP="00612589">
      <w:pPr>
        <w:pStyle w:val="Heading1"/>
      </w:pPr>
      <w:bookmarkStart w:id="9" w:name="_Toc225778745"/>
      <w:r w:rsidRPr="00D56A45">
        <w:t>The importance of health advocacy</w:t>
      </w:r>
      <w:bookmarkEnd w:id="9"/>
    </w:p>
    <w:p w14:paraId="68C5FB09" w14:textId="1F870F30" w:rsidR="005A7B39" w:rsidRPr="00F3094C" w:rsidRDefault="005A7B39" w:rsidP="00F3094C">
      <w:pPr>
        <w:pStyle w:val="VisionBox"/>
      </w:pPr>
      <w:r w:rsidRPr="00F3094C">
        <w:t>The United Nation’s Convention on the Rights of People with a Disability identifies key human rights that people with disability are entitled to expect, including autonomy, respect and freedom to make their own choices and decisions and this applies to all aspects of life. Article 25 states ‘</w:t>
      </w:r>
      <w:r w:rsidRPr="0018198F">
        <w:rPr>
          <w:rStyle w:val="IntenseEmphasis"/>
        </w:rPr>
        <w:t>Persons with disabilities have the right to the enjoyment of the highest attainable standard of health without discrimination on the basis of disability</w:t>
      </w:r>
      <w:r w:rsidRPr="00F3094C">
        <w:t>.’ Australia ratified the UNCRPD convention in 2008, and the convention came into effect in 2009. However, people with disability continue to report barriers are impacting their ability to advocate for their individual health needs, supports and services.</w:t>
      </w:r>
    </w:p>
    <w:p w14:paraId="7FB04423" w14:textId="01D74B3B" w:rsidR="00F57414" w:rsidRPr="00D56A45" w:rsidRDefault="00F57414" w:rsidP="005575E4">
      <w:r w:rsidRPr="00D56A45">
        <w:t>People with disability have a right to advocate for their health care needs, information and support</w:t>
      </w:r>
      <w:r w:rsidR="00864C68" w:rsidRPr="00D56A45">
        <w:t>.</w:t>
      </w:r>
    </w:p>
    <w:p w14:paraId="62B3FE24" w14:textId="667A5F8B" w:rsidR="005575E4" w:rsidRPr="00D56A45" w:rsidRDefault="005575E4" w:rsidP="0018198F">
      <w:r w:rsidRPr="00D56A45">
        <w:t>Equitable health care access for people with disability, as identified in Article 25 of the UNCRPD, includes:</w:t>
      </w:r>
    </w:p>
    <w:p w14:paraId="2E29A510" w14:textId="079A0F93" w:rsidR="005575E4" w:rsidRPr="00F3094C" w:rsidRDefault="005575E4" w:rsidP="0018198F">
      <w:pPr>
        <w:pStyle w:val="ListNumber4"/>
      </w:pPr>
      <w:r w:rsidRPr="00D56A45">
        <w:t>providing persons with disability with the same range, quality and standard of free or affordable health care and programmes as provided to other persons, including sexual and reproductive health and population-based public health programmes.</w:t>
      </w:r>
    </w:p>
    <w:p w14:paraId="0EAE2591" w14:textId="77777777" w:rsidR="005575E4" w:rsidRPr="007B7D66" w:rsidRDefault="005575E4" w:rsidP="00F3094C">
      <w:pPr>
        <w:pStyle w:val="VisionBox"/>
      </w:pPr>
      <w:r w:rsidRPr="0018198F">
        <w:rPr>
          <w:rStyle w:val="IntenseEmphasis"/>
        </w:rPr>
        <w:t>d)  removing health system barriers to ensure that health professionals can provide care of the same quality to persons with disabilities as those without disabilities. This includes facilitating free and informed consent through training and enforcing ethical standards for public and private health care</w:t>
      </w:r>
      <w:r w:rsidRPr="007B7D66">
        <w:rPr>
          <w:rStyle w:val="EndnoteReference"/>
        </w:rPr>
        <w:endnoteReference w:id="3"/>
      </w:r>
      <w:r w:rsidRPr="007B7D66">
        <w:t>.</w:t>
      </w:r>
    </w:p>
    <w:p w14:paraId="4AE85C08" w14:textId="77777777" w:rsidR="008E4EA9" w:rsidRPr="00D56A45" w:rsidRDefault="008E4EA9" w:rsidP="008E4EA9">
      <w:r w:rsidRPr="00D56A45">
        <w:t>Federal, state and territory governments all share responsibility for protecting the rights of people with disability, as enshrined in the ratified UNCRPD Article 25. While the convention underpins government policies and strategies, the system barriers highlight significant gaps in how this is currently applied to workforce training and service requirements as previously identified by evidence given to the DRC during the public hearings on health</w:t>
      </w:r>
      <w:r w:rsidRPr="00D56A45">
        <w:rPr>
          <w:rStyle w:val="EndnoteReference"/>
        </w:rPr>
        <w:endnoteReference w:id="4"/>
      </w:r>
      <w:r w:rsidRPr="00D56A45">
        <w:t>.</w:t>
      </w:r>
    </w:p>
    <w:p w14:paraId="4F1F8961" w14:textId="77777777" w:rsidR="008E4EA9" w:rsidRPr="00D56A45" w:rsidRDefault="008E4EA9" w:rsidP="008E4EA9">
      <w:r w:rsidRPr="00D56A45">
        <w:t>The report</w:t>
      </w:r>
      <w:r w:rsidRPr="0018198F">
        <w:rPr>
          <w:rStyle w:val="Emphasis"/>
        </w:rPr>
        <w:t xml:space="preserve"> ‘System changes to enable optimal health outcomes for people with disability’</w:t>
      </w:r>
      <w:r w:rsidRPr="00D56A45">
        <w:rPr>
          <w:rStyle w:val="EndnoteReference"/>
        </w:rPr>
        <w:endnoteReference w:id="5"/>
      </w:r>
      <w:r w:rsidRPr="0018198F">
        <w:rPr>
          <w:rStyle w:val="Emphasis"/>
        </w:rPr>
        <w:t xml:space="preserve"> </w:t>
      </w:r>
      <w:r w:rsidRPr="00D56A45">
        <w:t xml:space="preserve">noted that the equitable health care obligations are not being met despite Australia’s commitment to the UNCRPD. This is identified </w:t>
      </w:r>
      <w:proofErr w:type="gramStart"/>
      <w:r w:rsidRPr="00D56A45">
        <w:t>as a result of</w:t>
      </w:r>
      <w:proofErr w:type="gramEnd"/>
      <w:r w:rsidRPr="00D56A45">
        <w:t xml:space="preserve"> systemic issues including socio-economic disadvantage and lack of access to quality and affordable health care, health promotion and prevention and suggests an overarching disability and health strategy should be considered.</w:t>
      </w:r>
      <w:r w:rsidRPr="00D56A45" w:rsidDel="00EB38EB">
        <w:rPr>
          <w:rStyle w:val="EndnoteReference"/>
        </w:rPr>
        <w:t xml:space="preserve"> </w:t>
      </w:r>
    </w:p>
    <w:p w14:paraId="49E3DB7B" w14:textId="392118B7" w:rsidR="005575E4" w:rsidRPr="00D56A45" w:rsidRDefault="005575E4" w:rsidP="005575E4">
      <w:r w:rsidRPr="00D56A45">
        <w:t xml:space="preserve">The Working Group noted that substantial progress on achieving the fundamental rights under the convention has not yet been achieved across Australian health systems, in part due to broader health advocacy barriers. These barriers impact awareness, access, prevention, early intervention and treatment of people with disability. </w:t>
      </w:r>
    </w:p>
    <w:p w14:paraId="4567D32D" w14:textId="77777777" w:rsidR="005575E4" w:rsidRPr="00D56A45" w:rsidRDefault="005575E4" w:rsidP="005575E4">
      <w:r w:rsidRPr="00D56A45">
        <w:t xml:space="preserve">There is urgent need for appropriate health advocacy channels and supports to ensure people with disability attain their fundamental right to health as outlined in the UNCRPD. </w:t>
      </w:r>
    </w:p>
    <w:p w14:paraId="3B1D48DA" w14:textId="77777777" w:rsidR="005575E4" w:rsidRPr="00D56A45" w:rsidRDefault="005575E4" w:rsidP="00F3094C">
      <w:pPr>
        <w:pStyle w:val="Boxtype"/>
      </w:pPr>
      <w:r w:rsidRPr="00D56A45">
        <w:t>Achieving the UNCRPD ratified rights can only occur when both individual and system barriers impacting a person’s ability to advocate for their immediate and long-term health needs are addressed.</w:t>
      </w:r>
    </w:p>
    <w:p w14:paraId="2F68EDCB" w14:textId="05FE415F" w:rsidR="005A7B39" w:rsidRPr="00D56A45" w:rsidRDefault="005A7B39" w:rsidP="00B329E4">
      <w:r w:rsidRPr="00D56A45">
        <w:t>People</w:t>
      </w:r>
      <w:r w:rsidR="00C51EE8" w:rsidRPr="00D56A45">
        <w:t xml:space="preserve"> with disability continue to </w:t>
      </w:r>
      <w:r w:rsidR="008A7D37" w:rsidRPr="00D56A45">
        <w:t>face</w:t>
      </w:r>
      <w:r w:rsidR="003A6BED" w:rsidRPr="00D56A45">
        <w:t xml:space="preserve"> health</w:t>
      </w:r>
      <w:r w:rsidR="007A048D" w:rsidRPr="00D56A45">
        <w:t xml:space="preserve"> </w:t>
      </w:r>
      <w:r w:rsidR="003A6BED" w:rsidRPr="00D56A45">
        <w:t>care</w:t>
      </w:r>
      <w:r w:rsidR="008A7D37" w:rsidRPr="00D56A45">
        <w:t xml:space="preserve"> barriers </w:t>
      </w:r>
      <w:r w:rsidR="003A6BED" w:rsidRPr="00D56A45">
        <w:t>and poor support within Australia’s health system</w:t>
      </w:r>
      <w:r w:rsidR="00646444" w:rsidRPr="00D56A45">
        <w:rPr>
          <w:rStyle w:val="EndnoteReference"/>
        </w:rPr>
        <w:endnoteReference w:id="6"/>
      </w:r>
      <w:r w:rsidR="003A6BED" w:rsidRPr="00D56A45">
        <w:t>.</w:t>
      </w:r>
      <w:r w:rsidR="00962F0D" w:rsidRPr="00D56A45">
        <w:t xml:space="preserve"> </w:t>
      </w:r>
      <w:r w:rsidR="008C48A0" w:rsidRPr="00D56A45">
        <w:t xml:space="preserve">Barriers include unacceptable or lengthy waiting times, cost, inaccessibility of buildings, discrimination by health professionals, and issues caused by lack of communication between the health professionals treating them. </w:t>
      </w:r>
      <w:r w:rsidR="00962F0D" w:rsidRPr="00D56A45">
        <w:t>These issues severely impact access to quality health services and the attainment of good health by people with disability.</w:t>
      </w:r>
      <w:r w:rsidRPr="00D56A45">
        <w:t xml:space="preserve"> </w:t>
      </w:r>
      <w:r w:rsidR="0006678F" w:rsidRPr="00D56A45">
        <w:t xml:space="preserve">While there are </w:t>
      </w:r>
      <w:r w:rsidRPr="00D56A45">
        <w:t>reforms underway that</w:t>
      </w:r>
      <w:r w:rsidR="0006678F" w:rsidRPr="00D56A45">
        <w:t xml:space="preserve"> </w:t>
      </w:r>
      <w:r w:rsidR="0097052C" w:rsidRPr="00D56A45">
        <w:t>may</w:t>
      </w:r>
      <w:r w:rsidR="008D5236" w:rsidRPr="00D56A45">
        <w:t xml:space="preserve"> </w:t>
      </w:r>
      <w:r w:rsidR="0006678F" w:rsidRPr="00D56A45">
        <w:t>eventually help to overcome these barriers, we know t</w:t>
      </w:r>
      <w:r w:rsidR="00962F0D" w:rsidRPr="00D56A45">
        <w:t>hat</w:t>
      </w:r>
      <w:r w:rsidR="002026CE" w:rsidRPr="00D56A45">
        <w:t xml:space="preserve"> </w:t>
      </w:r>
      <w:r w:rsidR="00040D33" w:rsidRPr="00D56A45">
        <w:t>any changes to the</w:t>
      </w:r>
      <w:r w:rsidR="002026CE" w:rsidRPr="00D56A45">
        <w:t xml:space="preserve"> health system</w:t>
      </w:r>
      <w:r w:rsidR="00962F0D" w:rsidRPr="00D56A45">
        <w:t xml:space="preserve">, and particularly the health and disability interface, </w:t>
      </w:r>
      <w:r w:rsidR="00040D33" w:rsidRPr="00D56A45">
        <w:t xml:space="preserve">are </w:t>
      </w:r>
      <w:r w:rsidR="00962F0D" w:rsidRPr="00D56A45">
        <w:t>complex and will take time to achieve</w:t>
      </w:r>
      <w:r w:rsidR="002026CE" w:rsidRPr="00D56A45">
        <w:t>. In the meantime, people with disability need</w:t>
      </w:r>
      <w:r w:rsidRPr="00D56A45">
        <w:t xml:space="preserve"> to be able to advocate for their health needs where they are not being met. </w:t>
      </w:r>
      <w:r w:rsidRPr="00D56A45">
        <w:rPr>
          <w:rFonts w:eastAsia="Arial"/>
        </w:rPr>
        <w:t>The right to self-advocacy is fundamental to a person’s health and wellbeing.</w:t>
      </w:r>
      <w:r w:rsidRPr="00D56A45">
        <w:t xml:space="preserve"> </w:t>
      </w:r>
    </w:p>
    <w:p w14:paraId="1F987C58" w14:textId="7B703D52" w:rsidR="00482D6C" w:rsidRPr="00D56A45" w:rsidRDefault="008224A9" w:rsidP="00B329E4">
      <w:pPr>
        <w:rPr>
          <w:rFonts w:eastAsia="Arial"/>
        </w:rPr>
      </w:pPr>
      <w:r w:rsidRPr="00D56A45">
        <w:rPr>
          <w:rFonts w:eastAsia="Arial"/>
        </w:rPr>
        <w:t xml:space="preserve">The DRC Final Report underscores the importance of advocacy </w:t>
      </w:r>
      <w:r w:rsidR="001D2A27" w:rsidRPr="00D56A45">
        <w:rPr>
          <w:rFonts w:eastAsia="Arial"/>
        </w:rPr>
        <w:t>for</w:t>
      </w:r>
      <w:r w:rsidRPr="00D56A45">
        <w:rPr>
          <w:rFonts w:eastAsia="Arial"/>
        </w:rPr>
        <w:t xml:space="preserve"> people with disability and their supporters as needed. Witnesses to the report describe that there is a risk of patients falling between the gaps in health services if they do not have advocacy support</w:t>
      </w:r>
      <w:r w:rsidR="00482D6C" w:rsidRPr="007B7D66">
        <w:rPr>
          <w:rStyle w:val="EndnoteReference"/>
        </w:rPr>
        <w:endnoteReference w:id="7"/>
      </w:r>
      <w:r w:rsidR="00482D6C" w:rsidRPr="00D56A45">
        <w:rPr>
          <w:rFonts w:eastAsia="Arial"/>
        </w:rPr>
        <w:t xml:space="preserve">. </w:t>
      </w:r>
    </w:p>
    <w:p w14:paraId="2BAF9C83" w14:textId="63713A88" w:rsidR="00482D6C" w:rsidRPr="00D56A45" w:rsidRDefault="00482D6C" w:rsidP="00B329E4">
      <w:pPr>
        <w:rPr>
          <w:rFonts w:eastAsia="Arial"/>
        </w:rPr>
      </w:pPr>
      <w:r w:rsidRPr="00D56A45">
        <w:rPr>
          <w:rFonts w:eastAsia="Arial"/>
        </w:rPr>
        <w:t>To review where advocacy barriers occur for people with disability across the health system, the Working Group developed two process maps:</w:t>
      </w:r>
    </w:p>
    <w:p w14:paraId="522EFA12" w14:textId="344E60FD" w:rsidR="00482D6C" w:rsidRPr="00D56A45" w:rsidRDefault="00482D6C" w:rsidP="00637BAB">
      <w:pPr>
        <w:pStyle w:val="ListBullet"/>
      </w:pPr>
      <w:r w:rsidRPr="00D56A45">
        <w:t xml:space="preserve">the health journey of a person with disability within primary health services (See Appendix </w:t>
      </w:r>
      <w:r w:rsidR="006B1AFF" w:rsidRPr="00D56A45">
        <w:t>2</w:t>
      </w:r>
      <w:r w:rsidRPr="00D56A45">
        <w:t>: Primary Health Journey: Person with disability)</w:t>
      </w:r>
    </w:p>
    <w:p w14:paraId="5674A24F" w14:textId="3DEBA59F" w:rsidR="00482D6C" w:rsidRPr="00D56A45" w:rsidRDefault="00482D6C" w:rsidP="00637BAB">
      <w:pPr>
        <w:pStyle w:val="ListBullet"/>
      </w:pPr>
      <w:r w:rsidRPr="00D56A45">
        <w:t xml:space="preserve">the hospital journey (Appendix </w:t>
      </w:r>
      <w:r w:rsidR="006B1AFF" w:rsidRPr="00D56A45">
        <w:t>3</w:t>
      </w:r>
      <w:r w:rsidRPr="00D56A45">
        <w:t>: Hospital Journey: Person with disability).</w:t>
      </w:r>
    </w:p>
    <w:p w14:paraId="2A476E2D" w14:textId="4F68C99E" w:rsidR="00482D6C" w:rsidRPr="00D56A45" w:rsidRDefault="00482D6C" w:rsidP="00B329E4">
      <w:pPr>
        <w:rPr>
          <w:rFonts w:eastAsia="Arial"/>
        </w:rPr>
      </w:pPr>
      <w:r w:rsidRPr="00D56A45">
        <w:rPr>
          <w:rFonts w:eastAsia="Arial"/>
        </w:rPr>
        <w:t>This process confirmed members’ understanding of the reality people with disability face when interacting with Australian acute and primary care health services. The process also highlighted the complexity of touchpoints between the individual and health system where barriers were identified.</w:t>
      </w:r>
    </w:p>
    <w:p w14:paraId="49AD997D" w14:textId="77963BDD" w:rsidR="00B04698" w:rsidRPr="00612589" w:rsidRDefault="00B04698" w:rsidP="00612589">
      <w:pPr>
        <w:pStyle w:val="Heading1"/>
      </w:pPr>
      <w:bookmarkStart w:id="10" w:name="_Toc225778746"/>
      <w:r w:rsidRPr="00612589">
        <w:t>Overarching Themes</w:t>
      </w:r>
      <w:bookmarkEnd w:id="10"/>
    </w:p>
    <w:p w14:paraId="5D5CD6F4" w14:textId="21B10131" w:rsidR="00112BCC" w:rsidRPr="00D56A45" w:rsidRDefault="006C2AAC" w:rsidP="00B04698">
      <w:pPr>
        <w:rPr>
          <w:rFonts w:eastAsia="Arial"/>
        </w:rPr>
      </w:pPr>
      <w:r w:rsidRPr="00D56A45">
        <w:rPr>
          <w:rFonts w:eastAsia="Arial"/>
        </w:rPr>
        <w:t xml:space="preserve">The Working Group identified four overarching themes </w:t>
      </w:r>
      <w:r w:rsidR="001C6E77" w:rsidRPr="00D56A45">
        <w:rPr>
          <w:rFonts w:eastAsia="Arial"/>
        </w:rPr>
        <w:t>relating to health advocacy</w:t>
      </w:r>
      <w:r w:rsidR="00112BCC" w:rsidRPr="00D56A45">
        <w:rPr>
          <w:rFonts w:eastAsia="Arial"/>
        </w:rPr>
        <w:t>:</w:t>
      </w:r>
    </w:p>
    <w:p w14:paraId="6D5BAF0F" w14:textId="1728917B" w:rsidR="00112BCC" w:rsidRPr="00D56A45" w:rsidRDefault="00112BCC" w:rsidP="00112BCC">
      <w:pPr>
        <w:pStyle w:val="ListBullet"/>
      </w:pPr>
      <w:r w:rsidRPr="00D56A45">
        <w:t>Workforce knowledge and practice</w:t>
      </w:r>
    </w:p>
    <w:p w14:paraId="698E5385" w14:textId="532493F9" w:rsidR="00112BCC" w:rsidRPr="00D56A45" w:rsidRDefault="00112BCC" w:rsidP="00112BCC">
      <w:pPr>
        <w:pStyle w:val="ListBullet"/>
      </w:pPr>
      <w:r w:rsidRPr="00D56A45">
        <w:t>Health and disability system interface</w:t>
      </w:r>
    </w:p>
    <w:p w14:paraId="69CA7BE5" w14:textId="2B5AF904" w:rsidR="00112BCC" w:rsidRPr="00D56A45" w:rsidRDefault="00112BCC" w:rsidP="00112BCC">
      <w:pPr>
        <w:pStyle w:val="ListBullet"/>
      </w:pPr>
      <w:r w:rsidRPr="00D56A45">
        <w:t>Access and autonomy for people with disability</w:t>
      </w:r>
    </w:p>
    <w:p w14:paraId="6453FF39" w14:textId="5479F0DF" w:rsidR="00112BCC" w:rsidRPr="00D56A45" w:rsidRDefault="00112BCC" w:rsidP="00A11551">
      <w:pPr>
        <w:pStyle w:val="ListBullet"/>
      </w:pPr>
      <w:r w:rsidRPr="00D56A45">
        <w:t>Communication</w:t>
      </w:r>
    </w:p>
    <w:p w14:paraId="1F231412" w14:textId="7177D45F" w:rsidR="00112BCC" w:rsidRPr="00D56A45" w:rsidRDefault="001C6E77" w:rsidP="00B04698">
      <w:pPr>
        <w:rPr>
          <w:rFonts w:eastAsia="Arial"/>
        </w:rPr>
        <w:sectPr w:rsidR="00112BCC" w:rsidRPr="00D56A45" w:rsidSect="00471B8A">
          <w:endnotePr>
            <w:numFmt w:val="decimal"/>
          </w:endnotePr>
          <w:type w:val="continuous"/>
          <w:pgSz w:w="11906" w:h="16838"/>
          <w:pgMar w:top="1418" w:right="1418" w:bottom="993" w:left="1418" w:header="851" w:footer="567" w:gutter="0"/>
          <w:cols w:space="708"/>
          <w:titlePg/>
          <w:docGrid w:linePitch="360"/>
        </w:sectPr>
      </w:pPr>
      <w:r w:rsidRPr="00D56A45">
        <w:rPr>
          <w:rFonts w:eastAsia="Arial"/>
        </w:rPr>
        <w:t>The themes, issues and opportunities discussed in this report are outlined in</w:t>
      </w:r>
      <w:r w:rsidR="00612589">
        <w:rPr>
          <w:rFonts w:eastAsia="Arial"/>
        </w:rPr>
        <w:t xml:space="preserve"> </w:t>
      </w:r>
      <w:r w:rsidR="00612589">
        <w:rPr>
          <w:rFonts w:eastAsia="Arial"/>
        </w:rPr>
        <w:fldChar w:fldCharType="begin"/>
      </w:r>
      <w:r w:rsidR="00612589">
        <w:rPr>
          <w:rFonts w:eastAsia="Arial"/>
        </w:rPr>
        <w:instrText xml:space="preserve"> REF _Ref225775309 \h </w:instrText>
      </w:r>
      <w:r w:rsidR="00612589">
        <w:rPr>
          <w:rFonts w:eastAsia="Arial"/>
        </w:rPr>
      </w:r>
      <w:r w:rsidR="00612589">
        <w:rPr>
          <w:rFonts w:eastAsia="Arial"/>
        </w:rPr>
        <w:fldChar w:fldCharType="separate"/>
      </w:r>
      <w:r w:rsidR="00612589">
        <w:t xml:space="preserve">Figure </w:t>
      </w:r>
      <w:r w:rsidR="00612589">
        <w:rPr>
          <w:noProof/>
        </w:rPr>
        <w:t>1</w:t>
      </w:r>
      <w:r w:rsidR="00612589">
        <w:rPr>
          <w:rFonts w:eastAsia="Arial"/>
        </w:rPr>
        <w:fldChar w:fldCharType="end"/>
      </w:r>
      <w:r w:rsidRPr="00D56A45">
        <w:rPr>
          <w:rFonts w:eastAsia="Arial"/>
        </w:rPr>
        <w:t>.</w:t>
      </w:r>
    </w:p>
    <w:p w14:paraId="23899628" w14:textId="6153B0BF" w:rsidR="00041BB1" w:rsidRPr="00F3094C" w:rsidRDefault="007F72D7" w:rsidP="00F3094C">
      <w:pPr>
        <w:pStyle w:val="Caption"/>
      </w:pPr>
      <w:bookmarkStart w:id="11" w:name="_Ref225775309"/>
      <w:r>
        <w:t xml:space="preserve">Figure </w:t>
      </w:r>
      <w:r>
        <w:fldChar w:fldCharType="begin"/>
      </w:r>
      <w:r>
        <w:instrText xml:space="preserve"> SEQ Figure \* ARABIC </w:instrText>
      </w:r>
      <w:r>
        <w:fldChar w:fldCharType="separate"/>
      </w:r>
      <w:r>
        <w:rPr>
          <w:noProof/>
        </w:rPr>
        <w:t>1</w:t>
      </w:r>
      <w:r>
        <w:fldChar w:fldCharType="end"/>
      </w:r>
      <w:bookmarkEnd w:id="11"/>
      <w:r w:rsidR="00C01959" w:rsidRPr="00F3094C">
        <w:t xml:space="preserve">: </w:t>
      </w:r>
      <w:r w:rsidR="00D73F0D" w:rsidRPr="00F3094C">
        <w:t xml:space="preserve">Overview of </w:t>
      </w:r>
      <w:r w:rsidR="003F56DD" w:rsidRPr="00F3094C">
        <w:t>key themes, issues and opportunities relating to health advocacy</w:t>
      </w:r>
    </w:p>
    <w:p w14:paraId="3FE9F07E" w14:textId="67242C4E" w:rsidR="00112BCC" w:rsidRPr="00D56A45" w:rsidRDefault="00E2726C" w:rsidP="008F6CB0">
      <w:pPr>
        <w:rPr>
          <w:rFonts w:eastAsia="Arial"/>
        </w:rPr>
        <w:sectPr w:rsidR="00112BCC" w:rsidRPr="00D56A45" w:rsidSect="00A11551">
          <w:endnotePr>
            <w:numFmt w:val="decimal"/>
          </w:endnotePr>
          <w:pgSz w:w="16838" w:h="11906" w:orient="landscape"/>
          <w:pgMar w:top="1418" w:right="1418" w:bottom="1418" w:left="992" w:header="851" w:footer="567" w:gutter="0"/>
          <w:cols w:space="708"/>
          <w:docGrid w:linePitch="360"/>
        </w:sectPr>
      </w:pPr>
      <w:r w:rsidRPr="00D56A45">
        <w:rPr>
          <w:rFonts w:eastAsia="Arial"/>
          <w:noProof/>
        </w:rPr>
        <w:drawing>
          <wp:inline distT="0" distB="0" distL="0" distR="0" wp14:anchorId="71C49C0D" wp14:editId="028D9374">
            <wp:extent cx="9161780" cy="5117465"/>
            <wp:effectExtent l="0" t="0" r="1270" b="6985"/>
            <wp:docPr id="380375743" name="Picture 1" descr="Figure 1: Overview of key themes, issues and opportunities relating to health advoc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75743" name="Picture 1" descr="Figure 1: Overview of key themes, issues and opportunities relating to health advocacy"/>
                    <pic:cNvPicPr/>
                  </pic:nvPicPr>
                  <pic:blipFill>
                    <a:blip r:embed="rId15"/>
                    <a:stretch>
                      <a:fillRect/>
                    </a:stretch>
                  </pic:blipFill>
                  <pic:spPr>
                    <a:xfrm>
                      <a:off x="0" y="0"/>
                      <a:ext cx="9161780" cy="5117465"/>
                    </a:xfrm>
                    <a:prstGeom prst="rect">
                      <a:avLst/>
                    </a:prstGeom>
                  </pic:spPr>
                </pic:pic>
              </a:graphicData>
            </a:graphic>
          </wp:inline>
        </w:drawing>
      </w:r>
    </w:p>
    <w:p w14:paraId="65455E9F" w14:textId="7AB11D13" w:rsidR="005575E4" w:rsidRPr="00D56A45" w:rsidRDefault="003F2C24" w:rsidP="00612589">
      <w:pPr>
        <w:pStyle w:val="Heading2"/>
      </w:pPr>
      <w:bookmarkStart w:id="12" w:name="_Toc225778747"/>
      <w:r w:rsidRPr="00D56A45">
        <w:t>Advocacy barrier types</w:t>
      </w:r>
      <w:bookmarkEnd w:id="12"/>
    </w:p>
    <w:p w14:paraId="7FFDC000" w14:textId="2E7F9B03" w:rsidR="00482D6C" w:rsidRPr="00D56A45" w:rsidRDefault="009142D5" w:rsidP="0038362E">
      <w:r w:rsidRPr="00D56A45">
        <w:rPr>
          <w:rFonts w:eastAsia="Arial"/>
        </w:rPr>
        <w:t>A</w:t>
      </w:r>
      <w:r w:rsidR="00482D6C" w:rsidRPr="00D56A45">
        <w:t xml:space="preserve">dvocacy barriers </w:t>
      </w:r>
      <w:r w:rsidR="00252DD6" w:rsidRPr="00D56A45">
        <w:t xml:space="preserve">have been grouped </w:t>
      </w:r>
      <w:r w:rsidR="00482D6C" w:rsidRPr="00D56A45">
        <w:t xml:space="preserve">into two main </w:t>
      </w:r>
      <w:r w:rsidR="00C9668E" w:rsidRPr="00D56A45">
        <w:t>categories</w:t>
      </w:r>
      <w:r w:rsidR="00482D6C" w:rsidRPr="00D56A45">
        <w:t>:</w:t>
      </w:r>
    </w:p>
    <w:p w14:paraId="372992F1" w14:textId="3208C7B9" w:rsidR="00B31456" w:rsidRPr="00D56A45" w:rsidRDefault="00611BA9" w:rsidP="007B7D66">
      <w:pPr>
        <w:pStyle w:val="ListNumber"/>
      </w:pPr>
      <w:r w:rsidRPr="00D56A45">
        <w:t>Sel</w:t>
      </w:r>
      <w:r w:rsidR="00475078" w:rsidRPr="00D56A45">
        <w:t>f</w:t>
      </w:r>
      <w:r w:rsidRPr="00D56A45">
        <w:t>-advocacy and i</w:t>
      </w:r>
      <w:r w:rsidR="00482D6C" w:rsidRPr="00D56A45">
        <w:t xml:space="preserve">ndividual advocacy </w:t>
      </w:r>
      <w:r w:rsidR="00E31FC4" w:rsidRPr="00D56A45">
        <w:t>barriers</w:t>
      </w:r>
      <w:r w:rsidR="00482D6C" w:rsidRPr="00D56A45">
        <w:t xml:space="preserve"> </w:t>
      </w:r>
    </w:p>
    <w:p w14:paraId="71F467B0" w14:textId="15E2D4AF" w:rsidR="003D54A4" w:rsidRPr="00D56A45" w:rsidRDefault="00611BA9" w:rsidP="003D54A4">
      <w:r w:rsidRPr="00D56A45">
        <w:t xml:space="preserve">Self-advocacy </w:t>
      </w:r>
      <w:r w:rsidR="006F31B2" w:rsidRPr="00D56A45">
        <w:t>relates to a person’s capacity to determine their own health needs at all stages, communicate their health and support needs, and participate in health treatment decisions autonomously.</w:t>
      </w:r>
      <w:r w:rsidR="003D54A4" w:rsidRPr="00D56A45">
        <w:t xml:space="preserve"> However, some people with disability may have limited capability to self-advocate. </w:t>
      </w:r>
      <w:r w:rsidR="00804E02" w:rsidRPr="00D56A45">
        <w:t xml:space="preserve">This could be due to </w:t>
      </w:r>
      <w:r w:rsidR="003D54A4" w:rsidRPr="00D56A45">
        <w:t xml:space="preserve">personal circumstances or </w:t>
      </w:r>
      <w:r w:rsidR="00A90F19" w:rsidRPr="00D56A45">
        <w:t>complex</w:t>
      </w:r>
      <w:r w:rsidR="003D54A4" w:rsidRPr="00D56A45">
        <w:t xml:space="preserve"> support </w:t>
      </w:r>
      <w:r w:rsidR="005D6941" w:rsidRPr="00D56A45">
        <w:t xml:space="preserve">and communication needs, and they may </w:t>
      </w:r>
      <w:r w:rsidR="003D54A4" w:rsidRPr="00D56A45">
        <w:t>require independent advocacy support.</w:t>
      </w:r>
    </w:p>
    <w:p w14:paraId="588EF25F" w14:textId="794DE4B9" w:rsidR="00C13DB9" w:rsidRPr="00D56A45" w:rsidRDefault="00570E53" w:rsidP="006F31B2">
      <w:r w:rsidRPr="00D56A45">
        <w:t xml:space="preserve">Individual advocacy is </w:t>
      </w:r>
      <w:r w:rsidR="00752B13" w:rsidRPr="00D56A45">
        <w:t>when</w:t>
      </w:r>
      <w:r w:rsidR="002B6CC7" w:rsidRPr="00D56A45">
        <w:t xml:space="preserve"> a person use</w:t>
      </w:r>
      <w:r w:rsidR="00752B13" w:rsidRPr="00D56A45">
        <w:t>s one-on-one</w:t>
      </w:r>
      <w:r w:rsidR="002B6CC7" w:rsidRPr="00D56A45">
        <w:t xml:space="preserve"> advocacy supports such </w:t>
      </w:r>
      <w:r w:rsidR="00057A17" w:rsidRPr="00D56A45">
        <w:t>as a professional advocate, relative, friend or volunteer</w:t>
      </w:r>
      <w:r w:rsidR="00A54FC3" w:rsidRPr="00D56A45">
        <w:t xml:space="preserve"> to help them advocate for their own health needs.</w:t>
      </w:r>
      <w:r w:rsidR="00FE1715" w:rsidRPr="00D56A45">
        <w:t xml:space="preserve"> </w:t>
      </w:r>
    </w:p>
    <w:p w14:paraId="4D0E7512" w14:textId="3E1DA013" w:rsidR="006F31B2" w:rsidRPr="00D56A45" w:rsidRDefault="006F31B2" w:rsidP="006F31B2">
      <w:r w:rsidRPr="00D56A45">
        <w:t>The report will discuss</w:t>
      </w:r>
      <w:r w:rsidR="00AB3452" w:rsidRPr="00D56A45">
        <w:t xml:space="preserve"> the individual advocacy barriers and considerations relating to:</w:t>
      </w:r>
    </w:p>
    <w:p w14:paraId="205FF824" w14:textId="7F0A0B04" w:rsidR="00AB3452" w:rsidRPr="00D56A45" w:rsidRDefault="00AB3452" w:rsidP="007B7D66">
      <w:pPr>
        <w:pStyle w:val="ListBullet3"/>
      </w:pPr>
      <w:r w:rsidRPr="00D56A45">
        <w:t xml:space="preserve">increasing one’s own </w:t>
      </w:r>
      <w:r w:rsidRPr="00F3094C">
        <w:t>health literacy</w:t>
      </w:r>
      <w:r w:rsidRPr="00ED2C49">
        <w:t xml:space="preserve"> </w:t>
      </w:r>
      <w:r w:rsidRPr="00D56A45">
        <w:t>to navigate the health and disability system interface.</w:t>
      </w:r>
    </w:p>
    <w:p w14:paraId="31AE27D3" w14:textId="77777777" w:rsidR="00C87A7B" w:rsidRPr="00D56A45" w:rsidRDefault="00AB3452" w:rsidP="007B7D66">
      <w:pPr>
        <w:pStyle w:val="ListBullet3"/>
      </w:pPr>
      <w:r w:rsidRPr="00D56A45">
        <w:t xml:space="preserve">the ability of a person with disability to </w:t>
      </w:r>
      <w:r w:rsidRPr="00F3094C">
        <w:t>communicate</w:t>
      </w:r>
      <w:r w:rsidRPr="00D56A45">
        <w:t xml:space="preserve"> their health needs</w:t>
      </w:r>
      <w:r w:rsidR="00C87A7B" w:rsidRPr="00D56A45">
        <w:t xml:space="preserve">, </w:t>
      </w:r>
      <w:r w:rsidR="007C266A" w:rsidRPr="00F3094C">
        <w:t>access</w:t>
      </w:r>
      <w:r w:rsidR="007C266A" w:rsidRPr="00D56A45">
        <w:t xml:space="preserve"> appropriate health care </w:t>
      </w:r>
      <w:r w:rsidR="00C87A7B" w:rsidRPr="00D56A45">
        <w:t xml:space="preserve">and exercise </w:t>
      </w:r>
      <w:r w:rsidR="00C87A7B" w:rsidRPr="00F3094C">
        <w:t>autonomy</w:t>
      </w:r>
      <w:r w:rsidR="00C87A7B" w:rsidRPr="00B329E4">
        <w:t xml:space="preserve"> </w:t>
      </w:r>
      <w:r w:rsidR="00C87A7B" w:rsidRPr="00D56A45">
        <w:t>over their health treatment decisions.</w:t>
      </w:r>
    </w:p>
    <w:p w14:paraId="54A7EF12" w14:textId="78B5C87C" w:rsidR="00EF47FB" w:rsidRPr="00D56A45" w:rsidRDefault="00EF47FB" w:rsidP="00A11551">
      <w:r w:rsidRPr="00D56A45">
        <w:t>The Working Group noted that most of the barriers identified for urgent consideration were associated with health services and systems outside of the individual’s control. As a result, the individual advocacy barriers for consideration, such as health literacy capacity building and health system navigation, while important, would only achieve limited impact on their own.</w:t>
      </w:r>
    </w:p>
    <w:p w14:paraId="33377C9C" w14:textId="768463EC" w:rsidR="007C266A" w:rsidRPr="00D56A45" w:rsidRDefault="00482D6C" w:rsidP="007B7D66">
      <w:pPr>
        <w:pStyle w:val="ListNumber"/>
      </w:pPr>
      <w:r w:rsidRPr="00D56A45">
        <w:t xml:space="preserve">System advocacy </w:t>
      </w:r>
      <w:r w:rsidR="00E31FC4" w:rsidRPr="00D56A45">
        <w:t>barriers</w:t>
      </w:r>
    </w:p>
    <w:p w14:paraId="2A17F3FD" w14:textId="52C15FB0" w:rsidR="00482D6C" w:rsidRPr="00D56A45" w:rsidRDefault="007C266A" w:rsidP="007C266A">
      <w:r w:rsidRPr="00D56A45">
        <w:t xml:space="preserve">System advocacy relates to the </w:t>
      </w:r>
      <w:r w:rsidR="0052624A" w:rsidRPr="00D56A45">
        <w:t xml:space="preserve">broader </w:t>
      </w:r>
      <w:r w:rsidRPr="00D56A45">
        <w:t>health and disability systems</w:t>
      </w:r>
      <w:r w:rsidR="0052624A" w:rsidRPr="00D56A45">
        <w:t xml:space="preserve"> and their capacity to</w:t>
      </w:r>
      <w:r w:rsidRPr="00D56A45">
        <w:t xml:space="preserve"> </w:t>
      </w:r>
      <w:r w:rsidR="0052624A" w:rsidRPr="00D56A45">
        <w:t>enable people with disability to determine their own health needs at all stages, communicate their health and support needs, and participate in their health treatment decisions.</w:t>
      </w:r>
    </w:p>
    <w:p w14:paraId="74B8E74E" w14:textId="464EC085" w:rsidR="0052624A" w:rsidRPr="00D56A45" w:rsidRDefault="0052624A" w:rsidP="007C266A">
      <w:r w:rsidRPr="00D56A45">
        <w:t>The report will discuss the system advocacy barriers and considerations relating to:</w:t>
      </w:r>
    </w:p>
    <w:p w14:paraId="0D162E65" w14:textId="775AAAAF" w:rsidR="0052624A" w:rsidRPr="007B7D66" w:rsidRDefault="0070796E" w:rsidP="007B7D66">
      <w:pPr>
        <w:pStyle w:val="ListBullet3"/>
      </w:pPr>
      <w:r w:rsidRPr="00D56A45">
        <w:t>addressing the</w:t>
      </w:r>
      <w:r w:rsidR="00EC5537" w:rsidRPr="00D56A45">
        <w:t xml:space="preserve"> support gaps created </w:t>
      </w:r>
      <w:proofErr w:type="gramStart"/>
      <w:r w:rsidR="00EC5537" w:rsidRPr="00D56A45">
        <w:t>as a result of</w:t>
      </w:r>
      <w:proofErr w:type="gramEnd"/>
      <w:r w:rsidR="00EC5537" w:rsidRPr="00D56A45">
        <w:t xml:space="preserve"> the</w:t>
      </w:r>
      <w:r w:rsidR="00EC5537" w:rsidRPr="00B329E4">
        <w:t xml:space="preserve"> </w:t>
      </w:r>
      <w:r w:rsidR="00EC5537" w:rsidRPr="007B7D66">
        <w:t>health and disability funding interface, specifically as it relates to functional support in hospitals.</w:t>
      </w:r>
    </w:p>
    <w:p w14:paraId="61A16C8D" w14:textId="0B63379A" w:rsidR="00EC5537" w:rsidRPr="00FF31C3" w:rsidRDefault="0070796E" w:rsidP="007B7D66">
      <w:pPr>
        <w:pStyle w:val="ListBullet4"/>
      </w:pPr>
      <w:r w:rsidRPr="00FF31C3">
        <w:t>health and disability workforce knowledge, practice, and training</w:t>
      </w:r>
    </w:p>
    <w:p w14:paraId="12412747" w14:textId="7201AD9C" w:rsidR="0070796E" w:rsidRPr="00D56A45" w:rsidRDefault="002144C1" w:rsidP="007B7D66">
      <w:pPr>
        <w:pStyle w:val="ListBullet3"/>
      </w:pPr>
      <w:r w:rsidRPr="00D56A45">
        <w:t>system</w:t>
      </w:r>
      <w:r w:rsidR="0070796E" w:rsidRPr="00D56A45">
        <w:t xml:space="preserve"> barriers that impact the</w:t>
      </w:r>
      <w:r w:rsidR="00391751" w:rsidRPr="00F3094C">
        <w:t xml:space="preserve"> communication, access, and autonomy</w:t>
      </w:r>
      <w:r w:rsidRPr="00F3094C">
        <w:t xml:space="preserve"> needs</w:t>
      </w:r>
      <w:r w:rsidR="0070796E" w:rsidRPr="00ED2C49">
        <w:t xml:space="preserve"> </w:t>
      </w:r>
      <w:r w:rsidR="0070796E" w:rsidRPr="00D56A45">
        <w:t>for people with disability.</w:t>
      </w:r>
    </w:p>
    <w:p w14:paraId="490D837B" w14:textId="4DBA544B" w:rsidR="00BB6F41" w:rsidRPr="00D56A45" w:rsidRDefault="0070796E" w:rsidP="00B329E4">
      <w:r w:rsidRPr="00D56A45">
        <w:t>The Working Group noted that system advocacy barriers present the most serious impact on health outcomes for people with disability.</w:t>
      </w:r>
      <w:r w:rsidR="00BB6F41" w:rsidRPr="00D56A45">
        <w:t xml:space="preserve"> System advocacy barriers can lead to delayed health management access for people with a disability, misdiagnosis, avoidable hospitalisation, ineffective models of care and avoidable use of restrictive interventions. This, in turn, adds to increased health related trauma for individuals with disability, and family or carers.</w:t>
      </w:r>
    </w:p>
    <w:p w14:paraId="017746D5" w14:textId="635350D4" w:rsidR="0070796E" w:rsidRPr="00D56A45" w:rsidRDefault="00BB6F41" w:rsidP="00B329E4">
      <w:r w:rsidRPr="00D56A45">
        <w:t xml:space="preserve">System barriers also affect health service budgets, avoidable use of emergency transport and hospital admissions, and operational requirements in both health and disability service sectors. The system advocacy barriers are a contributing factor to inappropriate service delivery and priorities. Opportunities to address system barriers will benefit both people with a disability and health systems. </w:t>
      </w:r>
    </w:p>
    <w:p w14:paraId="247814D1" w14:textId="5F80C7CA" w:rsidR="003F2C24" w:rsidRPr="00D56A45" w:rsidRDefault="003F2C24" w:rsidP="00612589">
      <w:pPr>
        <w:pStyle w:val="Heading1"/>
      </w:pPr>
      <w:bookmarkStart w:id="13" w:name="_Individual_advocacy_barriers"/>
      <w:bookmarkStart w:id="14" w:name="_Toc225778748"/>
      <w:bookmarkEnd w:id="13"/>
      <w:r w:rsidRPr="00D56A45">
        <w:t xml:space="preserve">Individual advocacy </w:t>
      </w:r>
      <w:r w:rsidR="00E31FC4" w:rsidRPr="00D56A45">
        <w:t>barriers</w:t>
      </w:r>
      <w:bookmarkEnd w:id="14"/>
    </w:p>
    <w:p w14:paraId="40ACD35E" w14:textId="413606F4" w:rsidR="00B27A0B" w:rsidRPr="00D56A45" w:rsidRDefault="00D2303E" w:rsidP="00612589">
      <w:pPr>
        <w:pStyle w:val="Heading2"/>
      </w:pPr>
      <w:bookmarkStart w:id="15" w:name="_Toc225778749"/>
      <w:r w:rsidRPr="00D56A45">
        <w:t>Individual capacity</w:t>
      </w:r>
      <w:r w:rsidR="008E1439" w:rsidRPr="00D56A45">
        <w:t xml:space="preserve"> to navigate the health and disability interface</w:t>
      </w:r>
      <w:bookmarkEnd w:id="15"/>
    </w:p>
    <w:p w14:paraId="5438CDCB" w14:textId="1807722F" w:rsidR="00075827" w:rsidRPr="00D56A45" w:rsidRDefault="00B27A0B" w:rsidP="00075827">
      <w:r w:rsidRPr="00D56A45">
        <w:t xml:space="preserve">The interface between health and disability systems at the Commonwealth, state and territory level </w:t>
      </w:r>
      <w:r w:rsidR="006F7BAA" w:rsidRPr="00D56A45">
        <w:t xml:space="preserve">is complex. </w:t>
      </w:r>
      <w:r w:rsidR="00167AAB" w:rsidRPr="00D56A45">
        <w:t xml:space="preserve">Service fragmentation, lack of care coordination, </w:t>
      </w:r>
      <w:r w:rsidR="00811C48" w:rsidRPr="00D56A45">
        <w:t xml:space="preserve">lack of appropriate services, </w:t>
      </w:r>
      <w:r w:rsidR="00D33206" w:rsidRPr="00D56A45">
        <w:t>information that is not accessible</w:t>
      </w:r>
      <w:r w:rsidR="004C427D" w:rsidRPr="00D56A45">
        <w:t xml:space="preserve"> nor consistent across services</w:t>
      </w:r>
      <w:r w:rsidR="00D33206" w:rsidRPr="00D56A45">
        <w:t xml:space="preserve">, and separate funding systems all contribute to the complexity </w:t>
      </w:r>
      <w:r w:rsidR="006C3E0B" w:rsidRPr="00D56A45">
        <w:t xml:space="preserve">of </w:t>
      </w:r>
      <w:r w:rsidR="001002D9" w:rsidRPr="00D56A45">
        <w:t>how the health and disability systems interact</w:t>
      </w:r>
      <w:r w:rsidR="006C3E0B" w:rsidRPr="00D56A45">
        <w:t>. F</w:t>
      </w:r>
      <w:r w:rsidR="009D2149" w:rsidRPr="00D56A45">
        <w:t>or an indi</w:t>
      </w:r>
      <w:r w:rsidR="004C427D" w:rsidRPr="00D56A45">
        <w:t>vidual with both health care needs and disability support needs</w:t>
      </w:r>
      <w:r w:rsidR="006C3E0B" w:rsidRPr="00D56A45">
        <w:t>, t</w:t>
      </w:r>
      <w:r w:rsidR="00ED397A" w:rsidRPr="00D56A45">
        <w:t xml:space="preserve">his </w:t>
      </w:r>
      <w:r w:rsidRPr="00D56A45">
        <w:t xml:space="preserve">can impact a person’s ability </w:t>
      </w:r>
      <w:r w:rsidR="00E34522" w:rsidRPr="00D56A45">
        <w:t xml:space="preserve">to </w:t>
      </w:r>
      <w:r w:rsidR="005E6EB0" w:rsidRPr="00D56A45">
        <w:t>navigate the health system</w:t>
      </w:r>
      <w:r w:rsidR="00ED397A" w:rsidRPr="00D56A45">
        <w:t>,</w:t>
      </w:r>
      <w:r w:rsidR="005E6EB0" w:rsidRPr="00D56A45">
        <w:t xml:space="preserve"> and </w:t>
      </w:r>
      <w:r w:rsidR="009277FB" w:rsidRPr="00D56A45">
        <w:t xml:space="preserve">their ability to </w:t>
      </w:r>
      <w:r w:rsidR="005E6EB0" w:rsidRPr="00D56A45">
        <w:t xml:space="preserve">advocate for their health </w:t>
      </w:r>
      <w:r w:rsidR="004C427D" w:rsidRPr="00D56A45">
        <w:t xml:space="preserve">and disability </w:t>
      </w:r>
      <w:r w:rsidR="005E6EB0" w:rsidRPr="00D56A45">
        <w:t>needs</w:t>
      </w:r>
      <w:r w:rsidR="009277FB" w:rsidRPr="00D56A45">
        <w:t>.</w:t>
      </w:r>
    </w:p>
    <w:p w14:paraId="549A5237" w14:textId="1EA86258" w:rsidR="00B27A0B" w:rsidRPr="00D56A45" w:rsidRDefault="00075827" w:rsidP="00B27A0B">
      <w:r w:rsidRPr="00D56A45">
        <w:t xml:space="preserve">As a result, </w:t>
      </w:r>
      <w:proofErr w:type="gramStart"/>
      <w:r w:rsidR="00463269" w:rsidRPr="00D56A45">
        <w:t>in order to</w:t>
      </w:r>
      <w:proofErr w:type="gramEnd"/>
      <w:r w:rsidR="00463269" w:rsidRPr="00D56A45">
        <w:t xml:space="preserve"> navigate the complex health and disability interface across state and federal jurisdictions, including the NDIS, </w:t>
      </w:r>
      <w:r w:rsidRPr="00D56A45">
        <w:t>people with disability require high levels of health literacy</w:t>
      </w:r>
      <w:r w:rsidR="00204379" w:rsidRPr="00D56A45">
        <w:t xml:space="preserve">, or access to </w:t>
      </w:r>
      <w:r w:rsidR="00CA01A4" w:rsidRPr="00D56A45">
        <w:t>individual s</w:t>
      </w:r>
      <w:r w:rsidR="00E60186" w:rsidRPr="00D56A45">
        <w:t>upport</w:t>
      </w:r>
      <w:r w:rsidR="00DF4516" w:rsidRPr="00D56A45">
        <w:t>s to provide health literacy</w:t>
      </w:r>
      <w:r w:rsidR="00895676" w:rsidRPr="00D56A45">
        <w:t xml:space="preserve"> expertise</w:t>
      </w:r>
      <w:r w:rsidRPr="00D56A45">
        <w:t>.</w:t>
      </w:r>
      <w:r w:rsidR="00115682" w:rsidRPr="00D56A45">
        <w:t xml:space="preserve"> </w:t>
      </w:r>
      <w:r w:rsidR="00E94931" w:rsidRPr="00D56A45">
        <w:t>A lack of</w:t>
      </w:r>
      <w:r w:rsidR="0066279D" w:rsidRPr="00D56A45">
        <w:t xml:space="preserve"> appropriate health literacy and health advocacy supports</w:t>
      </w:r>
      <w:r w:rsidR="00E94931" w:rsidRPr="00D56A45">
        <w:t xml:space="preserve"> can result in</w:t>
      </w:r>
      <w:r w:rsidR="006C3E0B" w:rsidRPr="00D56A45">
        <w:t xml:space="preserve"> </w:t>
      </w:r>
      <w:r w:rsidR="00B27A0B" w:rsidRPr="00D56A45">
        <w:t xml:space="preserve">serious </w:t>
      </w:r>
      <w:r w:rsidR="00094CEE" w:rsidRPr="00D56A45">
        <w:t>health</w:t>
      </w:r>
      <w:r w:rsidR="00B27A0B" w:rsidRPr="00D56A45">
        <w:t xml:space="preserve"> outcomes</w:t>
      </w:r>
      <w:r w:rsidR="00355731" w:rsidRPr="00D56A45">
        <w:t>,</w:t>
      </w:r>
      <w:r w:rsidR="00B27A0B" w:rsidRPr="00D56A45">
        <w:t xml:space="preserve"> particularly in hospital systems.</w:t>
      </w:r>
    </w:p>
    <w:p w14:paraId="71A28222" w14:textId="77777777" w:rsidR="00E914DA" w:rsidRPr="007B7D66" w:rsidRDefault="00E914DA" w:rsidP="007B7D66">
      <w:pPr>
        <w:pStyle w:val="Boxtype"/>
      </w:pPr>
      <w:r w:rsidRPr="007B7D66">
        <w:rPr>
          <w:rStyle w:val="Strong"/>
        </w:rPr>
        <w:t>This issue corresponds directly with the following</w:t>
      </w:r>
      <w:r w:rsidRPr="007B7D66">
        <w:t>:</w:t>
      </w:r>
    </w:p>
    <w:p w14:paraId="2B52723E" w14:textId="715F2765" w:rsidR="00BA5798" w:rsidRPr="007B7D66" w:rsidRDefault="00E914DA" w:rsidP="007B7D66">
      <w:pPr>
        <w:pStyle w:val="Boxtype"/>
      </w:pPr>
      <w:r w:rsidRPr="007B7D66">
        <w:t xml:space="preserve">NDIS Review </w:t>
      </w:r>
      <w:r w:rsidR="00E83420" w:rsidRPr="007B7D66">
        <w:t xml:space="preserve">(2023) </w:t>
      </w:r>
      <w:r w:rsidRPr="007B7D66">
        <w:t>Action 1.4: National Cabinet should agree to jointly invest in navigation support for people with disability outside the NDIS.</w:t>
      </w:r>
    </w:p>
    <w:p w14:paraId="0430562E" w14:textId="3EF0D5EC" w:rsidR="00085339" w:rsidRPr="00D56A45" w:rsidRDefault="00B41D68" w:rsidP="00612589">
      <w:pPr>
        <w:pStyle w:val="Heading2"/>
      </w:pPr>
      <w:bookmarkStart w:id="16" w:name="_Toc225778750"/>
      <w:r w:rsidRPr="00D56A45">
        <w:t xml:space="preserve">NDIS concurrent supports </w:t>
      </w:r>
      <w:r w:rsidR="000944CC" w:rsidRPr="00D56A45">
        <w:t xml:space="preserve">are </w:t>
      </w:r>
      <w:r w:rsidR="00045EED" w:rsidRPr="00D56A45">
        <w:t>not available</w:t>
      </w:r>
      <w:r w:rsidR="000944CC" w:rsidRPr="00D56A45">
        <w:t xml:space="preserve"> </w:t>
      </w:r>
      <w:r w:rsidRPr="00D56A45">
        <w:t>for people with complex needs while in hospital</w:t>
      </w:r>
      <w:bookmarkEnd w:id="16"/>
    </w:p>
    <w:p w14:paraId="572248AA" w14:textId="5EBD2C83" w:rsidR="006B647D" w:rsidRPr="00D56A45" w:rsidRDefault="001B3D3F" w:rsidP="00B27A0B">
      <w:r w:rsidRPr="00D56A45">
        <w:t>One</w:t>
      </w:r>
      <w:r w:rsidR="001C680A" w:rsidRPr="00D56A45">
        <w:t xml:space="preserve"> </w:t>
      </w:r>
      <w:r w:rsidR="003065E7" w:rsidRPr="00D56A45">
        <w:t xml:space="preserve">example of </w:t>
      </w:r>
      <w:r w:rsidRPr="00D56A45">
        <w:t xml:space="preserve">a </w:t>
      </w:r>
      <w:r w:rsidR="003065E7" w:rsidRPr="00D56A45">
        <w:t xml:space="preserve">barrier due to the </w:t>
      </w:r>
      <w:r w:rsidRPr="00D56A45">
        <w:t xml:space="preserve">complexity of the </w:t>
      </w:r>
      <w:r w:rsidR="003065E7" w:rsidRPr="00D56A45">
        <w:t xml:space="preserve">health and disability interface is that </w:t>
      </w:r>
      <w:r w:rsidR="00B27A0B" w:rsidRPr="00D56A45">
        <w:t xml:space="preserve">there is </w:t>
      </w:r>
      <w:r w:rsidR="00045347" w:rsidRPr="00D56A45">
        <w:t xml:space="preserve">a lack of shared understanding </w:t>
      </w:r>
      <w:r w:rsidR="00B27A0B" w:rsidRPr="00D56A45">
        <w:t xml:space="preserve"> between the NDIS and the health system as to which agency is responsible for funding disability workers to support the functional needs of people with disability while in hospital</w:t>
      </w:r>
      <w:r w:rsidR="00CC79A1" w:rsidRPr="00D56A45">
        <w:t xml:space="preserve"> (see </w:t>
      </w:r>
      <w:hyperlink w:anchor="_Health_and_disability" w:history="1">
        <w:r w:rsidR="00CC79A1" w:rsidRPr="00D56A45">
          <w:rPr>
            <w:rStyle w:val="Hyperlink"/>
          </w:rPr>
          <w:t>System Barriers: Health and Disability Interface</w:t>
        </w:r>
      </w:hyperlink>
      <w:r w:rsidR="00CC79A1" w:rsidRPr="00D56A45">
        <w:t xml:space="preserve"> for more information)</w:t>
      </w:r>
      <w:r w:rsidR="00B27A0B" w:rsidRPr="00D56A45">
        <w:t xml:space="preserve">. </w:t>
      </w:r>
      <w:r w:rsidR="006B647D" w:rsidRPr="00D56A45">
        <w:t xml:space="preserve">The result of this is that people with disability often </w:t>
      </w:r>
      <w:r w:rsidR="008716A4" w:rsidRPr="00D56A45">
        <w:t xml:space="preserve">have inconsistent, </w:t>
      </w:r>
      <w:r w:rsidR="004E45C2" w:rsidRPr="00D56A45">
        <w:t>delayed or</w:t>
      </w:r>
      <w:r w:rsidR="00746680" w:rsidRPr="00D56A45">
        <w:t>,</w:t>
      </w:r>
      <w:r w:rsidR="004E45C2" w:rsidRPr="00D56A45">
        <w:t xml:space="preserve"> in some instances</w:t>
      </w:r>
      <w:r w:rsidR="00746680" w:rsidRPr="00D56A45">
        <w:t>,</w:t>
      </w:r>
      <w:r w:rsidR="004E45C2" w:rsidRPr="00D56A45">
        <w:t xml:space="preserve"> no </w:t>
      </w:r>
      <w:r w:rsidR="006B647D" w:rsidRPr="00D56A45">
        <w:t>access to their NDIS-funded disability support workers while they are in hospital.</w:t>
      </w:r>
    </w:p>
    <w:p w14:paraId="67050287" w14:textId="3C962D04" w:rsidR="00B7576B" w:rsidRPr="00D56A45" w:rsidRDefault="00A80177" w:rsidP="00B7576B">
      <w:r w:rsidRPr="00D56A45">
        <w:t>When admitted to hospital, p</w:t>
      </w:r>
      <w:r w:rsidR="00B7576B" w:rsidRPr="00D56A45">
        <w:t xml:space="preserve">eople with disability are often required to understand and effectively communicate their disability and co-occurring health needs at a time when they are unwell. If a person with disability has limited capacity to self-advocate and they require independent advocacy support, removing access to concurrent NDIS </w:t>
      </w:r>
      <w:r w:rsidR="00DF0CF1" w:rsidRPr="00D56A45">
        <w:t>supports</w:t>
      </w:r>
      <w:r w:rsidR="00B7576B" w:rsidRPr="00D56A45">
        <w:t xml:space="preserve"> while in hospital may also remove access to advocacy support. </w:t>
      </w:r>
    </w:p>
    <w:p w14:paraId="53E89974" w14:textId="77777777" w:rsidR="00A81560" w:rsidRPr="007B7D66" w:rsidRDefault="00A81560" w:rsidP="007B7D66">
      <w:pPr>
        <w:pStyle w:val="Boxtype"/>
        <w:rPr>
          <w:rStyle w:val="Strong"/>
        </w:rPr>
      </w:pPr>
      <w:r w:rsidRPr="007B7D66">
        <w:rPr>
          <w:rStyle w:val="Strong"/>
        </w:rPr>
        <w:t>This issue corresponds directly with the following:</w:t>
      </w:r>
    </w:p>
    <w:p w14:paraId="1D53CD3C" w14:textId="0A952E8F" w:rsidR="00A81560" w:rsidRPr="00D56A45" w:rsidRDefault="00A81560" w:rsidP="007B7D66">
      <w:pPr>
        <w:pStyle w:val="Boxtype"/>
      </w:pPr>
      <w:r w:rsidRPr="007B7D66">
        <w:t>NDIS Review</w:t>
      </w:r>
      <w:r w:rsidR="00E83420" w:rsidRPr="007B7D66">
        <w:t xml:space="preserve"> (2023)</w:t>
      </w:r>
      <w:r w:rsidRPr="00D56A45">
        <w:t xml:space="preserve"> Recommendation 2: </w:t>
      </w:r>
      <w:r w:rsidR="007436E9" w:rsidRPr="00D56A45">
        <w:t>Increase the scale and pace of change in mainstream and community inclusion and accessibility and improve the connection between mainstream services and the NDIS</w:t>
      </w:r>
    </w:p>
    <w:p w14:paraId="448D9E2E" w14:textId="2AE4ED88" w:rsidR="00D3410E" w:rsidRPr="00D56A45" w:rsidRDefault="009B4EA2" w:rsidP="00B27A0B">
      <w:r w:rsidRPr="00D56A45">
        <w:t xml:space="preserve">While </w:t>
      </w:r>
      <w:r w:rsidR="00EB7FE9" w:rsidRPr="00D56A45">
        <w:t>hospitals are responsible for managing the health care needs of a</w:t>
      </w:r>
      <w:r w:rsidR="008C059B" w:rsidRPr="00D56A45">
        <w:t>dmitted</w:t>
      </w:r>
      <w:r w:rsidR="00EB7FE9" w:rsidRPr="00D56A45">
        <w:t xml:space="preserve"> patient</w:t>
      </w:r>
      <w:r w:rsidR="008C059B" w:rsidRPr="00D56A45">
        <w:t>s</w:t>
      </w:r>
      <w:r w:rsidR="00577286" w:rsidRPr="00D56A45">
        <w:t xml:space="preserve">, </w:t>
      </w:r>
      <w:r w:rsidR="00A35818" w:rsidRPr="00D56A45">
        <w:t xml:space="preserve">it </w:t>
      </w:r>
      <w:r w:rsidR="00233979" w:rsidRPr="00D56A45">
        <w:t xml:space="preserve">may not be possible for </w:t>
      </w:r>
      <w:r w:rsidR="00577286" w:rsidRPr="00D56A45">
        <w:t xml:space="preserve">an individual’s disability support needs </w:t>
      </w:r>
      <w:r w:rsidR="00233979" w:rsidRPr="00D56A45">
        <w:t>to be met by hospital staff.</w:t>
      </w:r>
      <w:r w:rsidR="006B647D" w:rsidRPr="00D56A45">
        <w:t xml:space="preserve"> People with high support needs </w:t>
      </w:r>
      <w:r w:rsidR="00752538" w:rsidRPr="00D56A45">
        <w:t>require</w:t>
      </w:r>
      <w:r w:rsidR="006B647D" w:rsidRPr="00D56A45">
        <w:t xml:space="preserve"> disability related support when in hospital </w:t>
      </w:r>
      <w:r w:rsidR="00D3410E" w:rsidRPr="00D56A45">
        <w:t>for functions such as:</w:t>
      </w:r>
    </w:p>
    <w:p w14:paraId="772B7F02" w14:textId="32D83B20" w:rsidR="00A35165" w:rsidRPr="00D56A45" w:rsidRDefault="00C01331" w:rsidP="00D3410E">
      <w:pPr>
        <w:pStyle w:val="ListBullet"/>
      </w:pPr>
      <w:r w:rsidRPr="00D56A45">
        <w:t>maintaining effective communication</w:t>
      </w:r>
      <w:r w:rsidR="00165932" w:rsidRPr="00D56A45">
        <w:t xml:space="preserve"> and </w:t>
      </w:r>
      <w:r w:rsidR="006C2BD4" w:rsidRPr="00D56A45">
        <w:t xml:space="preserve">supporting the health care team to understand how a person </w:t>
      </w:r>
      <w:r w:rsidR="001B349F" w:rsidRPr="00D56A45">
        <w:t>exhibits pain</w:t>
      </w:r>
    </w:p>
    <w:p w14:paraId="6C82A456" w14:textId="0636D485" w:rsidR="00D7456E" w:rsidRPr="00D56A45" w:rsidRDefault="00171009" w:rsidP="00D3410E">
      <w:pPr>
        <w:pStyle w:val="ListBullet"/>
      </w:pPr>
      <w:r w:rsidRPr="00D56A45">
        <w:t xml:space="preserve">support </w:t>
      </w:r>
      <w:proofErr w:type="gramStart"/>
      <w:r w:rsidRPr="00D56A45">
        <w:t>in regard to</w:t>
      </w:r>
      <w:proofErr w:type="gramEnd"/>
      <w:r w:rsidRPr="00D56A45">
        <w:t xml:space="preserve"> body positioning and movement to prevent pressure sores, identification of falls risks, and ensuring a person is positioned to eat safely</w:t>
      </w:r>
    </w:p>
    <w:p w14:paraId="686610CB" w14:textId="4FED1048" w:rsidR="00171009" w:rsidRPr="00D56A45" w:rsidRDefault="00F82AEA" w:rsidP="00D3410E">
      <w:pPr>
        <w:pStyle w:val="ListBullet"/>
      </w:pPr>
      <w:r w:rsidRPr="00D56A45">
        <w:t>expert support for feeding</w:t>
      </w:r>
    </w:p>
    <w:p w14:paraId="5684679E" w14:textId="71C2B6DB" w:rsidR="00F82AEA" w:rsidRPr="00D56A45" w:rsidRDefault="0082630D" w:rsidP="00D3410E">
      <w:pPr>
        <w:pStyle w:val="ListBullet"/>
      </w:pPr>
      <w:r w:rsidRPr="00D56A45">
        <w:t>c</w:t>
      </w:r>
      <w:r w:rsidR="002A1E77" w:rsidRPr="00D56A45">
        <w:t>o</w:t>
      </w:r>
      <w:r w:rsidR="00137309" w:rsidRPr="00D56A45">
        <w:t>regulation support from a trusted person who knows them well to support their sense of safety, prevent escalation, help identify potential triggers and respond appropriately to behaviours of concern</w:t>
      </w:r>
    </w:p>
    <w:p w14:paraId="5FC035A5" w14:textId="213C3CBC" w:rsidR="0082630D" w:rsidRPr="00D56A45" w:rsidRDefault="00137309" w:rsidP="00D3410E">
      <w:pPr>
        <w:pStyle w:val="ListBullet"/>
      </w:pPr>
      <w:r w:rsidRPr="00D56A45">
        <w:t>support to engage with specific treatments o</w:t>
      </w:r>
      <w:r w:rsidR="00777661" w:rsidRPr="00D56A45">
        <w:t xml:space="preserve">r </w:t>
      </w:r>
      <w:r w:rsidRPr="00D56A45">
        <w:t>procedures, including regulation support and co-design of adjustments</w:t>
      </w:r>
    </w:p>
    <w:p w14:paraId="43A8A172" w14:textId="47E8881B" w:rsidR="00384799" w:rsidRPr="00D56A45" w:rsidRDefault="001E59B4" w:rsidP="00A11551">
      <w:pPr>
        <w:pStyle w:val="ListBullet"/>
      </w:pPr>
      <w:r w:rsidRPr="00D56A45">
        <w:t xml:space="preserve">maintaining functions of daily life such as </w:t>
      </w:r>
      <w:r w:rsidR="009B17FF" w:rsidRPr="00D56A45">
        <w:t>social connection</w:t>
      </w:r>
      <w:r w:rsidR="002E3BF0" w:rsidRPr="00D56A45">
        <w:t xml:space="preserve">, </w:t>
      </w:r>
      <w:r w:rsidR="00F439C9" w:rsidRPr="00D56A45">
        <w:t xml:space="preserve">online </w:t>
      </w:r>
      <w:r w:rsidR="00E32CB3" w:rsidRPr="00D56A45">
        <w:t>work or entertainment</w:t>
      </w:r>
      <w:r w:rsidR="00F439C9" w:rsidRPr="00D56A45">
        <w:t>.</w:t>
      </w:r>
    </w:p>
    <w:p w14:paraId="63EC3033" w14:textId="17106C07" w:rsidR="003F2C24" w:rsidRPr="00D56A45" w:rsidRDefault="00A64F84" w:rsidP="00612589">
      <w:pPr>
        <w:pStyle w:val="Heading2"/>
      </w:pPr>
      <w:bookmarkStart w:id="17" w:name="_Toc225778751"/>
      <w:r w:rsidRPr="00D56A45">
        <w:t xml:space="preserve">Communication, </w:t>
      </w:r>
      <w:r w:rsidR="001F28A5" w:rsidRPr="00D56A45">
        <w:t>access and autonomy</w:t>
      </w:r>
      <w:r w:rsidR="00836FCC" w:rsidRPr="00D56A45">
        <w:t xml:space="preserve"> barriers</w:t>
      </w:r>
      <w:bookmarkEnd w:id="17"/>
    </w:p>
    <w:p w14:paraId="58E51345" w14:textId="649F94BA" w:rsidR="00C87A7B" w:rsidRPr="00D56A45" w:rsidRDefault="00C87A7B" w:rsidP="00B329E4">
      <w:r w:rsidRPr="00D56A45">
        <w:t xml:space="preserve">Advocacy relies on </w:t>
      </w:r>
      <w:r w:rsidR="00B4660A" w:rsidRPr="00D56A45">
        <w:t>the</w:t>
      </w:r>
      <w:r w:rsidRPr="00D56A45">
        <w:t xml:space="preserve"> ability of a person to communicate their health needs. Communication and advocacy are essential for asserting autonomy over health choices, including selecting providers, consenting to treatments, or agreeing to medications.</w:t>
      </w:r>
    </w:p>
    <w:p w14:paraId="3E6AA6D8" w14:textId="1B28F1B5" w:rsidR="00936F2A" w:rsidRPr="00D56A45" w:rsidRDefault="0080237C" w:rsidP="007B7D66">
      <w:pPr>
        <w:pStyle w:val="PolicyStatementDark"/>
      </w:pPr>
      <w:r w:rsidRPr="00D56A45">
        <w:t>“</w:t>
      </w:r>
      <w:r w:rsidR="00936F2A" w:rsidRPr="00D56A45">
        <w:t>People with disability face a range of barriers to accessing quality health care. These must be removed by … identifying adaptations and supports required for a person-centred approach.</w:t>
      </w:r>
      <w:r w:rsidRPr="00D56A45">
        <w:t>”</w:t>
      </w:r>
    </w:p>
    <w:p w14:paraId="1C8F91C6" w14:textId="77777777" w:rsidR="00936F2A" w:rsidRPr="007B7D66" w:rsidRDefault="00936F2A" w:rsidP="007B7D66">
      <w:pPr>
        <w:pStyle w:val="PolicyStatementDark"/>
      </w:pPr>
      <w:r w:rsidRPr="007B7D66">
        <w:t>- Disability Royal Commission, Final Report, Executive Summary</w:t>
      </w:r>
    </w:p>
    <w:p w14:paraId="439FD399" w14:textId="77777777" w:rsidR="00936F2A" w:rsidRPr="00D56A45" w:rsidRDefault="00936F2A" w:rsidP="00936F2A">
      <w:r w:rsidRPr="00D56A45">
        <w:t xml:space="preserve">Barriers to a person’s right to communication, access and autonomy are found across all touchpoints of the health system, from General Practice, allied </w:t>
      </w:r>
      <w:proofErr w:type="spellStart"/>
      <w:r w:rsidRPr="00D56A45">
        <w:t>health,</w:t>
      </w:r>
      <w:proofErr w:type="spellEnd"/>
      <w:r w:rsidRPr="00D56A45">
        <w:t xml:space="preserve"> and oral health services through to specialist professionals.</w:t>
      </w:r>
    </w:p>
    <w:p w14:paraId="65855DC9" w14:textId="77777777" w:rsidR="00936F2A" w:rsidRPr="00D56A45" w:rsidRDefault="00936F2A" w:rsidP="00936F2A">
      <w:r w:rsidRPr="00D56A45">
        <w:t>Examples of individual barriers include:</w:t>
      </w:r>
    </w:p>
    <w:p w14:paraId="486BD39E" w14:textId="77777777" w:rsidR="00936F2A" w:rsidRPr="00D56A45" w:rsidRDefault="00936F2A" w:rsidP="00936F2A">
      <w:pPr>
        <w:pStyle w:val="ListBullet"/>
      </w:pPr>
      <w:r w:rsidRPr="00D56A45">
        <w:t>the need to pay private fees to ensure assessment reports can be completed for NDIS plans.</w:t>
      </w:r>
    </w:p>
    <w:p w14:paraId="6BA227F1" w14:textId="77777777" w:rsidR="00936F2A" w:rsidRPr="00D56A45" w:rsidRDefault="00936F2A" w:rsidP="00936F2A">
      <w:pPr>
        <w:pStyle w:val="ListBullet"/>
      </w:pPr>
      <w:r w:rsidRPr="00D56A45">
        <w:t>requirement for digital literacy skills to make appointments, complete hospital pre-admission documents, assist with health service navigation, or manage contact systems with multiple digital options.</w:t>
      </w:r>
    </w:p>
    <w:p w14:paraId="46E336B2" w14:textId="77777777" w:rsidR="00936F2A" w:rsidRPr="00D56A45" w:rsidRDefault="00936F2A" w:rsidP="00936F2A">
      <w:pPr>
        <w:pStyle w:val="ListBullet"/>
      </w:pPr>
      <w:r w:rsidRPr="00D56A45">
        <w:t>inaccessible health information or instructions.</w:t>
      </w:r>
    </w:p>
    <w:p w14:paraId="15B6251B" w14:textId="77777777" w:rsidR="00936F2A" w:rsidRPr="00D56A45" w:rsidRDefault="00936F2A" w:rsidP="00936F2A">
      <w:pPr>
        <w:pStyle w:val="ListBullet"/>
      </w:pPr>
      <w:r w:rsidRPr="00D56A45">
        <w:t>lack of supported decision-making.</w:t>
      </w:r>
    </w:p>
    <w:p w14:paraId="7F920EF1" w14:textId="0737B6BD" w:rsidR="00314FB1" w:rsidRPr="00D56A45" w:rsidRDefault="00314FB1" w:rsidP="00A11551">
      <w:r w:rsidRPr="00D56A45">
        <w:t xml:space="preserve">Supported decision-making is decision-making with the support of others. It starts from the premise that everyone </w:t>
      </w:r>
      <w:proofErr w:type="gramStart"/>
      <w:r w:rsidRPr="00D56A45">
        <w:t>is able to</w:t>
      </w:r>
      <w:proofErr w:type="gramEnd"/>
      <w:r w:rsidRPr="00D56A45">
        <w:t xml:space="preserve"> make decisions and should be supported to do so. Article 12 of the CRPD recognises the right to support for decision making.</w:t>
      </w:r>
    </w:p>
    <w:p w14:paraId="1152B4BB" w14:textId="4C356C39" w:rsidR="00C87A7B" w:rsidRPr="00D56A45" w:rsidRDefault="00733866" w:rsidP="00B329E4">
      <w:r w:rsidRPr="00D56A45">
        <w:t>Communication and supported decision making are not a one size fits all practice, and many people require a skilled communication partner trained in their specific needs in these areas.</w:t>
      </w:r>
    </w:p>
    <w:p w14:paraId="75F16A0F" w14:textId="4A075E6F" w:rsidR="00C87A7B" w:rsidRPr="00D56A45" w:rsidRDefault="00981CAD" w:rsidP="00E42FC7">
      <w:r w:rsidRPr="00D56A45">
        <w:t>Lived experience</w:t>
      </w:r>
      <w:r w:rsidR="00B426AC" w:rsidRPr="00D56A45">
        <w:t xml:space="preserve"> input from the Working Group indicate</w:t>
      </w:r>
      <w:r w:rsidR="006872B2" w:rsidRPr="00D56A45">
        <w:t>s</w:t>
      </w:r>
      <w:r w:rsidR="00B426AC" w:rsidRPr="00D56A45">
        <w:t xml:space="preserve"> that s</w:t>
      </w:r>
      <w:r w:rsidR="00C87A7B" w:rsidRPr="00D56A45">
        <w:t>ome health professionals are reported to be declining appointments for people with disability</w:t>
      </w:r>
      <w:r w:rsidR="00261BB5" w:rsidRPr="00D56A45">
        <w:t xml:space="preserve"> </w:t>
      </w:r>
      <w:r w:rsidR="00C87A7B" w:rsidRPr="00D56A45">
        <w:t>due to complexity of needs, burden of health support documentation, and NDIS assessment requirements that are not cost effective to the practice.</w:t>
      </w:r>
    </w:p>
    <w:p w14:paraId="7363C3CC" w14:textId="05D348C8" w:rsidR="00C87A7B" w:rsidRPr="00D56A45" w:rsidRDefault="00C87A7B" w:rsidP="00EF30C8">
      <w:r w:rsidRPr="00D56A45">
        <w:t xml:space="preserve">These autonomy and access barriers reflect opportunities for system improvements. </w:t>
      </w:r>
      <w:r w:rsidR="00AF0D89" w:rsidRPr="00D56A45">
        <w:t>T</w:t>
      </w:r>
      <w:r w:rsidRPr="00D56A45">
        <w:t xml:space="preserve">hey are </w:t>
      </w:r>
      <w:r w:rsidR="00AF0D89" w:rsidRPr="00D56A45">
        <w:t xml:space="preserve">also </w:t>
      </w:r>
      <w:r w:rsidRPr="00D56A45">
        <w:t xml:space="preserve">important to </w:t>
      </w:r>
      <w:r w:rsidR="00DB2F9F" w:rsidRPr="00D56A45">
        <w:t>consider</w:t>
      </w:r>
      <w:r w:rsidRPr="00D56A45">
        <w:t xml:space="preserve"> from an individual advocacy lens as they highlight how people with disability are discriminated against as result of their disability due to perceived complexities outside of their control.</w:t>
      </w:r>
    </w:p>
    <w:p w14:paraId="7D2E5347" w14:textId="79523118" w:rsidR="00663D1B" w:rsidRPr="00D56A45" w:rsidRDefault="0050570C" w:rsidP="00612589">
      <w:pPr>
        <w:pStyle w:val="Heading2"/>
      </w:pPr>
      <w:bookmarkStart w:id="18" w:name="_Toc225778752"/>
      <w:r w:rsidRPr="00D56A45">
        <w:t xml:space="preserve">Current </w:t>
      </w:r>
      <w:r w:rsidR="00663D1B" w:rsidRPr="00D56A45">
        <w:t>opportunities and limitations</w:t>
      </w:r>
      <w:bookmarkEnd w:id="18"/>
    </w:p>
    <w:p w14:paraId="7551A29D" w14:textId="159BCCF1" w:rsidR="005A7C37" w:rsidRPr="00D56A45" w:rsidRDefault="001E687E" w:rsidP="0080388B">
      <w:r w:rsidRPr="00D56A45">
        <w:t xml:space="preserve">The </w:t>
      </w:r>
      <w:r w:rsidR="00E94D38" w:rsidRPr="00D56A45">
        <w:t xml:space="preserve">individual </w:t>
      </w:r>
      <w:r w:rsidRPr="00D56A45">
        <w:t>health literacy</w:t>
      </w:r>
      <w:r w:rsidR="00E94D38" w:rsidRPr="00D56A45">
        <w:t xml:space="preserve">, communication, access and autonomy barriers highlight the need for </w:t>
      </w:r>
      <w:r w:rsidR="00EC0192" w:rsidRPr="00D56A45">
        <w:t>sustained capa</w:t>
      </w:r>
      <w:r w:rsidR="00A82CE3" w:rsidRPr="00D56A45">
        <w:t>bility</w:t>
      </w:r>
      <w:r w:rsidR="00EC0192" w:rsidRPr="00D56A45">
        <w:t>-building initiatives</w:t>
      </w:r>
      <w:r w:rsidR="00DA1D81" w:rsidRPr="00D56A45">
        <w:t xml:space="preserve"> for people with disability</w:t>
      </w:r>
      <w:r w:rsidR="00EC0192" w:rsidRPr="00D56A45">
        <w:t>.</w:t>
      </w:r>
    </w:p>
    <w:p w14:paraId="6DB4797A" w14:textId="3FD56908" w:rsidR="00C36B3C" w:rsidRPr="00D56A45" w:rsidRDefault="005A7C37" w:rsidP="0080388B">
      <w:r w:rsidRPr="00D56A45">
        <w:t xml:space="preserve">Programs </w:t>
      </w:r>
      <w:r w:rsidR="00A82CE3" w:rsidRPr="00D56A45">
        <w:t xml:space="preserve">with existing capacity </w:t>
      </w:r>
      <w:r w:rsidRPr="00D56A45">
        <w:t xml:space="preserve">to increase individual advocacy </w:t>
      </w:r>
      <w:r w:rsidR="00A82CE3" w:rsidRPr="00D56A45">
        <w:t xml:space="preserve">capability </w:t>
      </w:r>
      <w:r w:rsidR="0080019D" w:rsidRPr="00D56A45">
        <w:t>may</w:t>
      </w:r>
      <w:r w:rsidRPr="00D56A45">
        <w:t xml:space="preserve"> address health-related barriers</w:t>
      </w:r>
      <w:r w:rsidR="00A967FD" w:rsidRPr="00D56A45">
        <w:t xml:space="preserve"> in some cases</w:t>
      </w:r>
      <w:r w:rsidRPr="00D56A45">
        <w:t xml:space="preserve">. For example, Inclusion Australia’s </w:t>
      </w:r>
      <w:r w:rsidRPr="0018198F">
        <w:rPr>
          <w:rStyle w:val="Emphasis"/>
        </w:rPr>
        <w:t xml:space="preserve">It’s Doctor Time! </w:t>
      </w:r>
      <w:r w:rsidRPr="00D56A45">
        <w:t>campaign includes resources to make the annual health assessment easier and more accessible for people with intellectual disability, their supporters and families.</w:t>
      </w:r>
    </w:p>
    <w:p w14:paraId="24525F15" w14:textId="110A0910" w:rsidR="0080388B" w:rsidRPr="00D56A45" w:rsidRDefault="00C36B3C" w:rsidP="0080388B">
      <w:r w:rsidRPr="00D56A45">
        <w:t>However,</w:t>
      </w:r>
      <w:r w:rsidR="00EC0192" w:rsidRPr="00D56A45">
        <w:t xml:space="preserve"> </w:t>
      </w:r>
      <w:r w:rsidRPr="00D56A45">
        <w:t>c</w:t>
      </w:r>
      <w:r w:rsidR="0080388B" w:rsidRPr="00D56A45">
        <w:t>apa</w:t>
      </w:r>
      <w:r w:rsidR="00A82CE3" w:rsidRPr="00D56A45">
        <w:t>bility</w:t>
      </w:r>
      <w:r w:rsidR="0080388B" w:rsidRPr="00D56A45">
        <w:t>-building initiatives rely on funding being available to support the development and running of the program. Without them, individuals must seek independent access or become dependent on others for their advocacy. The Working Group identified that capa</w:t>
      </w:r>
      <w:r w:rsidR="00A82CE3" w:rsidRPr="00D56A45">
        <w:t>bility</w:t>
      </w:r>
      <w:r w:rsidR="0080388B" w:rsidRPr="00D56A45">
        <w:t xml:space="preserve">-building initiatives were limited, especially for people with disability requiring support to advocate for their health needs and functional requirements. </w:t>
      </w:r>
      <w:r w:rsidR="00B441B0" w:rsidRPr="00D56A45">
        <w:t xml:space="preserve">Many </w:t>
      </w:r>
      <w:r w:rsidR="00A03C55" w:rsidRPr="00D56A45">
        <w:t>initiatives are only short-term projects</w:t>
      </w:r>
      <w:r w:rsidR="00E33A34" w:rsidRPr="00D56A45">
        <w:t>.</w:t>
      </w:r>
    </w:p>
    <w:p w14:paraId="43BB7E0D" w14:textId="490A6AE0" w:rsidR="00663D1B" w:rsidRPr="00D56A45" w:rsidRDefault="008B4C29" w:rsidP="00A11551">
      <w:r w:rsidRPr="00D56A45">
        <w:t>Organisations or advocacy groups with both health knowledge and disability expertise</w:t>
      </w:r>
      <w:r w:rsidR="00AE44E3" w:rsidRPr="00D56A45">
        <w:t xml:space="preserve"> could</w:t>
      </w:r>
      <w:r w:rsidRPr="00D56A45">
        <w:t xml:space="preserve"> achieve long-term effectiveness, especially when people with a disability are actively involved in all parts of the project.</w:t>
      </w:r>
      <w:r w:rsidR="00DA1D81" w:rsidRPr="00D56A45">
        <w:t xml:space="preserve"> The Working Group noted that family and carers would also benefit from being able to increase their health literacy and service navigation </w:t>
      </w:r>
      <w:r w:rsidR="002454E4" w:rsidRPr="00D56A45">
        <w:t>capability-</w:t>
      </w:r>
      <w:r w:rsidR="00DA1D81" w:rsidRPr="00D56A45">
        <w:t>building programs to support people with disability more effectively when required.</w:t>
      </w:r>
    </w:p>
    <w:p w14:paraId="603BD9A7" w14:textId="6CEEDD56" w:rsidR="007807B9" w:rsidRPr="00D56A45" w:rsidRDefault="00EF30C8" w:rsidP="00612589">
      <w:pPr>
        <w:pStyle w:val="Heading1"/>
      </w:pPr>
      <w:bookmarkStart w:id="19" w:name="_System_advocacy_barriers"/>
      <w:bookmarkStart w:id="20" w:name="_Toc225778753"/>
      <w:bookmarkEnd w:id="19"/>
      <w:r w:rsidRPr="00D56A45">
        <w:t xml:space="preserve">System advocacy </w:t>
      </w:r>
      <w:r w:rsidR="00E31FC4" w:rsidRPr="00D56A45">
        <w:t>barriers</w:t>
      </w:r>
      <w:bookmarkEnd w:id="20"/>
    </w:p>
    <w:p w14:paraId="27E77F21" w14:textId="30161238" w:rsidR="005703AC" w:rsidRPr="00D56A45" w:rsidRDefault="008F1EF4" w:rsidP="00612589">
      <w:pPr>
        <w:pStyle w:val="Heading2"/>
      </w:pPr>
      <w:bookmarkStart w:id="21" w:name="_Health_and_disability"/>
      <w:bookmarkStart w:id="22" w:name="_Toc225778754"/>
      <w:bookmarkEnd w:id="21"/>
      <w:r w:rsidRPr="00D56A45">
        <w:t xml:space="preserve">Health and </w:t>
      </w:r>
      <w:r w:rsidR="00B10C24" w:rsidRPr="00D56A45">
        <w:t>d</w:t>
      </w:r>
      <w:r w:rsidRPr="00D56A45">
        <w:t xml:space="preserve">isability </w:t>
      </w:r>
      <w:r w:rsidR="00B10C24" w:rsidRPr="00D56A45">
        <w:t>i</w:t>
      </w:r>
      <w:r w:rsidRPr="00D56A45">
        <w:t>nterface</w:t>
      </w:r>
      <w:bookmarkEnd w:id="22"/>
    </w:p>
    <w:p w14:paraId="12644B64" w14:textId="6AA2CD1D" w:rsidR="00036761" w:rsidRPr="00D56A45" w:rsidRDefault="00F45DAF" w:rsidP="00A11551">
      <w:r w:rsidRPr="00D56A45">
        <w:t xml:space="preserve">As </w:t>
      </w:r>
      <w:r w:rsidR="00C13495" w:rsidRPr="00D56A45">
        <w:t xml:space="preserve">previously discussed in the </w:t>
      </w:r>
      <w:hyperlink w:anchor="_Individual_advocacy_barriers" w:history="1">
        <w:r w:rsidR="00C13495" w:rsidRPr="00995C6A">
          <w:rPr>
            <w:rStyle w:val="Hyperlink"/>
          </w:rPr>
          <w:t>Individual advocacy barriers</w:t>
        </w:r>
      </w:hyperlink>
      <w:r w:rsidR="00C13495" w:rsidRPr="00D56A45">
        <w:t xml:space="preserve"> section, the interface between health and disability systems at the Commonwealth, state and territory level is complex. It follows that there are also complex funding arrangements</w:t>
      </w:r>
      <w:r w:rsidR="00036761" w:rsidRPr="00D56A45">
        <w:t xml:space="preserve"> and there are often </w:t>
      </w:r>
      <w:r w:rsidR="00B400CF" w:rsidRPr="00D56A45">
        <w:t>shared</w:t>
      </w:r>
      <w:r w:rsidR="00036761" w:rsidRPr="00D56A45">
        <w:t xml:space="preserve"> responsibilities</w:t>
      </w:r>
      <w:r w:rsidR="00430013" w:rsidRPr="00D56A45">
        <w:t xml:space="preserve"> across different</w:t>
      </w:r>
      <w:r w:rsidR="002A6FF0" w:rsidRPr="00D56A45">
        <w:t xml:space="preserve"> government agencies</w:t>
      </w:r>
      <w:r w:rsidR="00036761" w:rsidRPr="00D56A45">
        <w:t>.</w:t>
      </w:r>
    </w:p>
    <w:p w14:paraId="338A3EAC" w14:textId="31FAC79B" w:rsidR="00D77612" w:rsidRPr="00D56A45" w:rsidRDefault="00B5061B" w:rsidP="00612589">
      <w:pPr>
        <w:pStyle w:val="Heading3"/>
      </w:pPr>
      <w:r w:rsidRPr="00D56A45">
        <w:t xml:space="preserve">Lack of clarity around </w:t>
      </w:r>
      <w:r w:rsidR="00AA3A2D" w:rsidRPr="00D56A45">
        <w:t xml:space="preserve">shared responsibilities </w:t>
      </w:r>
      <w:r w:rsidR="00C427B4" w:rsidRPr="00D56A45">
        <w:t xml:space="preserve">and funding arrangements </w:t>
      </w:r>
      <w:r w:rsidR="004E4C88" w:rsidRPr="00D56A45">
        <w:t>between the NDIS and</w:t>
      </w:r>
      <w:r w:rsidR="00D77612" w:rsidRPr="00D56A45">
        <w:t xml:space="preserve"> hospital</w:t>
      </w:r>
      <w:r w:rsidR="00004AF3" w:rsidRPr="00D56A45">
        <w:t xml:space="preserve"> care</w:t>
      </w:r>
      <w:r w:rsidR="008D748C" w:rsidRPr="00D56A45">
        <w:t xml:space="preserve"> </w:t>
      </w:r>
    </w:p>
    <w:p w14:paraId="716BCB2F" w14:textId="77777777" w:rsidR="007458E2" w:rsidRPr="00D56A45" w:rsidRDefault="001854EA" w:rsidP="001854EA">
      <w:r w:rsidRPr="00D56A45">
        <w:t xml:space="preserve">The NDIS Review recommendations highlight a failure of government agencies to agree on shared responsibilities under the current </w:t>
      </w:r>
      <w:r w:rsidRPr="0018198F">
        <w:rPr>
          <w:rStyle w:val="Emphasis"/>
        </w:rPr>
        <w:t xml:space="preserve">Applied Principles and Tables of Support to Determine Responsibilities of the NDIS and other service systems </w:t>
      </w:r>
      <w:r w:rsidRPr="00D56A45">
        <w:t>(APTOS)</w:t>
      </w:r>
      <w:r w:rsidRPr="00D56A45">
        <w:rPr>
          <w:rStyle w:val="EndnoteReference"/>
        </w:rPr>
        <w:endnoteReference w:id="8"/>
      </w:r>
      <w:r w:rsidRPr="00D56A45">
        <w:t xml:space="preserve">. </w:t>
      </w:r>
    </w:p>
    <w:p w14:paraId="6DD51C4D" w14:textId="161D5575" w:rsidR="007458E2" w:rsidRPr="007B7D66" w:rsidRDefault="0080237C" w:rsidP="007B7D66">
      <w:pPr>
        <w:pStyle w:val="PolicyStatementDark"/>
      </w:pPr>
      <w:r w:rsidRPr="007B7D66">
        <w:t>“</w:t>
      </w:r>
      <w:r w:rsidR="007458E2" w:rsidRPr="007B7D66">
        <w:t>The framework which governs the relationship between the NDIS and other service systems — the Applied Principles and Tables of Support (APTOS) — has failed. It is based on the idea that there is a hard line between the NDIS and other systems. Despite its intent, it has led to seemingly endless arguments about who does what and who pays for it.</w:t>
      </w:r>
      <w:r w:rsidRPr="007B7D66">
        <w:t>”</w:t>
      </w:r>
    </w:p>
    <w:p w14:paraId="78C46F0D" w14:textId="1EB64980" w:rsidR="000365FE" w:rsidRPr="007B7D66" w:rsidRDefault="000365FE" w:rsidP="007B7D66">
      <w:pPr>
        <w:pStyle w:val="PolicyStatementDark"/>
      </w:pPr>
      <w:r w:rsidRPr="007B7D66">
        <w:t xml:space="preserve">- </w:t>
      </w:r>
      <w:r w:rsidR="003F69D1" w:rsidRPr="007B7D66">
        <w:t>NDIS Review: Working together to deliver the NDIS Final Report</w:t>
      </w:r>
    </w:p>
    <w:p w14:paraId="0A5A9C14" w14:textId="0000B49C" w:rsidR="001854EA" w:rsidRPr="00D56A45" w:rsidRDefault="001854EA" w:rsidP="001854EA">
      <w:r w:rsidRPr="00D56A45">
        <w:t xml:space="preserve">Specifically, there is no </w:t>
      </w:r>
      <w:r w:rsidR="005003B2" w:rsidRPr="00D56A45">
        <w:t xml:space="preserve">common understanding </w:t>
      </w:r>
      <w:r w:rsidRPr="00D56A45">
        <w:t>between the NDIS and the health system as to which agency is responsible for funding disability workers to support the functional needs of people with disability while in hospital. This is despite functional supports being recognised as reasonable and necessary within NDIS funding more broadly.</w:t>
      </w:r>
    </w:p>
    <w:p w14:paraId="6F75C5BD" w14:textId="2243E814" w:rsidR="00AA6E5D" w:rsidRPr="00D56A45" w:rsidRDefault="001854EA" w:rsidP="00167644">
      <w:r w:rsidRPr="00D56A45">
        <w:t xml:space="preserve">The 2024 NDIS Transitional Rules </w:t>
      </w:r>
      <w:r w:rsidR="00523A95" w:rsidRPr="00D56A45">
        <w:t xml:space="preserve">state </w:t>
      </w:r>
      <w:r w:rsidRPr="00D56A45">
        <w:t>that the NDIS is responsible for</w:t>
      </w:r>
      <w:r w:rsidR="00AA6E5D" w:rsidRPr="00D56A45">
        <w:t xml:space="preserve"> </w:t>
      </w:r>
      <w:r w:rsidR="00354938" w:rsidRPr="00D56A45">
        <w:t>“</w:t>
      </w:r>
      <w:r w:rsidR="00AA6E5D" w:rsidRPr="0018198F">
        <w:rPr>
          <w:rStyle w:val="Emphasis"/>
        </w:rPr>
        <w:t xml:space="preserve">funding </w:t>
      </w:r>
      <w:r w:rsidR="002F5FAA" w:rsidRPr="0018198F">
        <w:rPr>
          <w:rStyle w:val="Emphasis"/>
        </w:rPr>
        <w:t>of [disability-related health supports]</w:t>
      </w:r>
      <w:r w:rsidR="00AA6E5D" w:rsidRPr="0018198F">
        <w:rPr>
          <w:rStyle w:val="Emphasis"/>
        </w:rPr>
        <w:t xml:space="preserve"> for people with complex communication access needs or behaviours when accessing health services, including hospitals and in-patient facilities</w:t>
      </w:r>
      <w:r w:rsidR="00354938" w:rsidRPr="00D56A45">
        <w:t>”</w:t>
      </w:r>
      <w:r w:rsidR="00354938" w:rsidRPr="00D56A45">
        <w:rPr>
          <w:rStyle w:val="EndnoteReference"/>
        </w:rPr>
        <w:endnoteReference w:id="9"/>
      </w:r>
      <w:r w:rsidR="00E770A6" w:rsidRPr="00D56A45">
        <w:t xml:space="preserve">. Despite this, anecdotal evidence and lived experience indicates that the delivery of </w:t>
      </w:r>
      <w:r w:rsidR="002F5FAA" w:rsidRPr="00D56A45">
        <w:t xml:space="preserve">disability-related health </w:t>
      </w:r>
      <w:r w:rsidR="00E770A6" w:rsidRPr="00D56A45">
        <w:t xml:space="preserve">supports </w:t>
      </w:r>
      <w:r w:rsidR="00672F0B" w:rsidRPr="00D56A45">
        <w:t>is</w:t>
      </w:r>
      <w:r w:rsidR="00E770A6" w:rsidRPr="00D56A45">
        <w:t xml:space="preserve"> being referred to </w:t>
      </w:r>
      <w:r w:rsidR="002F5FAA" w:rsidRPr="00D56A45">
        <w:t xml:space="preserve">hospital staff when </w:t>
      </w:r>
      <w:r w:rsidR="00167644" w:rsidRPr="00D56A45">
        <w:t>a person with disability is admitted to hospital</w:t>
      </w:r>
      <w:r w:rsidR="00672F0B" w:rsidRPr="00D56A45">
        <w:t xml:space="preserve">, and that NDIS-funded support workers </w:t>
      </w:r>
      <w:r w:rsidR="00B26EAB" w:rsidRPr="00D56A45">
        <w:t>are not a central part of the care team</w:t>
      </w:r>
      <w:r w:rsidR="00167644" w:rsidRPr="00D56A45">
        <w:t>.</w:t>
      </w:r>
    </w:p>
    <w:p w14:paraId="6C853C7F" w14:textId="77777777" w:rsidR="00A05759" w:rsidRPr="00F3094C" w:rsidRDefault="00A05759" w:rsidP="00F3094C">
      <w:pPr>
        <w:pStyle w:val="Boxtype"/>
        <w:rPr>
          <w:rStyle w:val="Strong"/>
        </w:rPr>
      </w:pPr>
      <w:r w:rsidRPr="00F3094C">
        <w:rPr>
          <w:rStyle w:val="Strong"/>
        </w:rPr>
        <w:t>This issue corresponds directly with the following:</w:t>
      </w:r>
    </w:p>
    <w:p w14:paraId="48FEBB69" w14:textId="2D6D0662" w:rsidR="00A05759" w:rsidRPr="00B329E4" w:rsidRDefault="00A05759" w:rsidP="00F3094C">
      <w:pPr>
        <w:pStyle w:val="Boxtype"/>
      </w:pPr>
      <w:r w:rsidRPr="00F3094C">
        <w:t>NDIS Review (2023)</w:t>
      </w:r>
      <w:r w:rsidRPr="00D56A45">
        <w:t xml:space="preserve"> – Recommendation 2: Increase the scale and pace of change in community inclusion and accessibility and improve the connection between mainstream services and the NDIS</w:t>
      </w:r>
      <w:r w:rsidRPr="00D56A45">
        <w:rPr>
          <w:rStyle w:val="EndnoteReference"/>
        </w:rPr>
        <w:endnoteReference w:id="10"/>
      </w:r>
      <w:r w:rsidRPr="00D56A45">
        <w:t>.</w:t>
      </w:r>
    </w:p>
    <w:p w14:paraId="314C8CD9" w14:textId="215D34B1" w:rsidR="00E45630" w:rsidRPr="00D56A45" w:rsidRDefault="00E45630" w:rsidP="00612589">
      <w:pPr>
        <w:pStyle w:val="Heading3"/>
      </w:pPr>
      <w:r w:rsidRPr="00D56A45">
        <w:t xml:space="preserve">Disability support needs </w:t>
      </w:r>
      <w:r w:rsidR="00B1045F" w:rsidRPr="00D56A45">
        <w:t xml:space="preserve">are not being met </w:t>
      </w:r>
      <w:r w:rsidRPr="00D56A45">
        <w:t>in hospitals</w:t>
      </w:r>
      <w:r w:rsidR="00B1045F" w:rsidRPr="00D56A45">
        <w:t xml:space="preserve"> without disability support</w:t>
      </w:r>
    </w:p>
    <w:p w14:paraId="594E7D53" w14:textId="737825DE" w:rsidR="00DB66B2" w:rsidRPr="00D56A45" w:rsidRDefault="00162306" w:rsidP="00E42FC7">
      <w:r w:rsidRPr="00D56A45">
        <w:t>While support needs vary between individuals, p</w:t>
      </w:r>
      <w:r w:rsidR="00DB66B2" w:rsidRPr="00D56A45">
        <w:t>eople with high support needs still need disability related support when in hospital</w:t>
      </w:r>
      <w:r w:rsidR="00E61F60" w:rsidRPr="00D56A45">
        <w:t>.</w:t>
      </w:r>
    </w:p>
    <w:p w14:paraId="714D7903" w14:textId="63519A46" w:rsidR="00A9475F" w:rsidRPr="00D56A45" w:rsidRDefault="00A9475F" w:rsidP="00907301">
      <w:r w:rsidRPr="00D56A45">
        <w:t xml:space="preserve">Many supports require general health staff to have specialist </w:t>
      </w:r>
      <w:r w:rsidR="0073188A" w:rsidRPr="00D56A45">
        <w:t xml:space="preserve">disability </w:t>
      </w:r>
      <w:r w:rsidRPr="00D56A45">
        <w:t>knowledge. However, this specialist knowledge has been identified as lacking in health services due to the low levels of disability support training among health professionals. While existing strategies for initial and ongoing learning for health professionals are being developed, these will take time for the workforce to complete their training.</w:t>
      </w:r>
      <w:r w:rsidRPr="00D56A45">
        <w:rPr>
          <w:rStyle w:val="EndnoteReference"/>
        </w:rPr>
        <w:endnoteReference w:id="11"/>
      </w:r>
      <w:r w:rsidRPr="00D56A45">
        <w:t xml:space="preserve"> </w:t>
      </w:r>
      <w:r w:rsidR="00C21A4B" w:rsidRPr="00D56A45">
        <w:t>Even if this does occur, many people with disability require supporters with specific individualised understanding of how to meet these needs which rarely conform to a one size fits all approach, meaning that the safest option for people with disability is to have their correctly trained and experienced support workers</w:t>
      </w:r>
      <w:r w:rsidR="00303FF1" w:rsidRPr="00D56A45">
        <w:t xml:space="preserve"> (referred in this report as disability-functional support)</w:t>
      </w:r>
      <w:r w:rsidR="00C21A4B" w:rsidRPr="00D56A45">
        <w:t xml:space="preserve"> with them in hospital and other health settings.</w:t>
      </w:r>
    </w:p>
    <w:p w14:paraId="5EDA6974" w14:textId="628F440A" w:rsidR="007B34B0" w:rsidRPr="00D56A45" w:rsidRDefault="007B34B0" w:rsidP="007B34B0">
      <w:r w:rsidRPr="00D56A45">
        <w:t xml:space="preserve">The people most at risk of health advocacy barriers in hospital are people with disability who are unable to advocate for their own specific needs or </w:t>
      </w:r>
      <w:r w:rsidR="00273C2D" w:rsidRPr="00D56A45">
        <w:t>face barriers to communicating their health needs effectively with health workers</w:t>
      </w:r>
      <w:r w:rsidRPr="00D56A45">
        <w:t xml:space="preserve">. This includes people: </w:t>
      </w:r>
    </w:p>
    <w:p w14:paraId="7C0C67A5" w14:textId="4C986D89" w:rsidR="007B34B0" w:rsidRPr="00D56A45" w:rsidRDefault="007B34B0" w:rsidP="007B34B0">
      <w:pPr>
        <w:pStyle w:val="ListBullet"/>
      </w:pPr>
      <w:r w:rsidRPr="00D56A45">
        <w:t xml:space="preserve">with intellectual disability </w:t>
      </w:r>
    </w:p>
    <w:p w14:paraId="02F12359" w14:textId="0EAEEF26" w:rsidR="007B34B0" w:rsidRPr="00D56A45" w:rsidRDefault="007B34B0" w:rsidP="007B34B0">
      <w:pPr>
        <w:pStyle w:val="ListBullet"/>
      </w:pPr>
      <w:r w:rsidRPr="00D56A45">
        <w:t xml:space="preserve">with developmental delay, cognitive or neurological conditions </w:t>
      </w:r>
    </w:p>
    <w:p w14:paraId="77E5D14A" w14:textId="77777777" w:rsidR="007B34B0" w:rsidRPr="00D56A45" w:rsidRDefault="007B34B0" w:rsidP="007B34B0">
      <w:pPr>
        <w:pStyle w:val="ListBullet"/>
      </w:pPr>
      <w:r w:rsidRPr="00D56A45">
        <w:t xml:space="preserve">who require support with communication or Augmentative and Alternative Communication (AAC) methods </w:t>
      </w:r>
    </w:p>
    <w:p w14:paraId="469AFA6C" w14:textId="77777777" w:rsidR="007B34B0" w:rsidRPr="00D56A45" w:rsidRDefault="007B34B0" w:rsidP="007B34B0">
      <w:pPr>
        <w:pStyle w:val="ListBullet"/>
      </w:pPr>
      <w:r w:rsidRPr="00D56A45">
        <w:t>who have a history of trauma associated with health-related treatments, environments or experiences</w:t>
      </w:r>
    </w:p>
    <w:p w14:paraId="54E98330" w14:textId="68193821" w:rsidR="006A18F0" w:rsidRPr="00D56A45" w:rsidRDefault="006A18F0" w:rsidP="007B34B0">
      <w:pPr>
        <w:pStyle w:val="ListBullet"/>
      </w:pPr>
      <w:r w:rsidRPr="00D56A45">
        <w:t>who struggle to self-regula</w:t>
      </w:r>
      <w:r w:rsidR="00D0440D" w:rsidRPr="00D56A45">
        <w:t>te for a range of reasons, including pain or being unwell, resulting in difficulties engaging with diagnosis or treatment processes</w:t>
      </w:r>
    </w:p>
    <w:p w14:paraId="4285D96D" w14:textId="77777777" w:rsidR="007B34B0" w:rsidRPr="00D56A45" w:rsidRDefault="007B34B0" w:rsidP="007B34B0">
      <w:pPr>
        <w:pStyle w:val="ListBullet"/>
      </w:pPr>
      <w:r w:rsidRPr="00D56A45">
        <w:t>who do not have family or carer support available or involved and are reliant on familiar and trained disability support workers to assist functional advocacy needs</w:t>
      </w:r>
    </w:p>
    <w:p w14:paraId="04108620" w14:textId="5FD358DD" w:rsidR="007B34B0" w:rsidRPr="00D56A45" w:rsidRDefault="007B34B0" w:rsidP="00907301">
      <w:pPr>
        <w:pStyle w:val="ListBullet"/>
      </w:pPr>
      <w:r w:rsidRPr="00D56A45">
        <w:t xml:space="preserve">who have specialised physical </w:t>
      </w:r>
      <w:proofErr w:type="spellStart"/>
      <w:r w:rsidRPr="00D56A45">
        <w:t>health,</w:t>
      </w:r>
      <w:proofErr w:type="spellEnd"/>
      <w:r w:rsidRPr="00D56A45">
        <w:t xml:space="preserve"> equipment or mobility requirements</w:t>
      </w:r>
      <w:r w:rsidR="00BB0C6E" w:rsidRPr="00D56A45">
        <w:t>.</w:t>
      </w:r>
    </w:p>
    <w:p w14:paraId="7663AF4C" w14:textId="5602601D" w:rsidR="00927A12" w:rsidRPr="00D56A45" w:rsidRDefault="00927A12" w:rsidP="00612589">
      <w:pPr>
        <w:pStyle w:val="Heading4"/>
      </w:pPr>
      <w:r w:rsidRPr="00D56A45">
        <w:t xml:space="preserve">Risks </w:t>
      </w:r>
      <w:r w:rsidR="00BB77A3" w:rsidRPr="00D56A45">
        <w:t>resulting from</w:t>
      </w:r>
      <w:r w:rsidR="001C1393" w:rsidRPr="00D56A45">
        <w:t xml:space="preserve"> gaps in the health and disability funding interface</w:t>
      </w:r>
    </w:p>
    <w:p w14:paraId="17CE6006" w14:textId="34265956" w:rsidR="00F53A86" w:rsidRPr="00D56A45" w:rsidRDefault="00AE4D96" w:rsidP="00A11551">
      <w:r w:rsidRPr="00D56A45">
        <w:t xml:space="preserve">The gap in </w:t>
      </w:r>
      <w:r w:rsidR="00DD4589" w:rsidRPr="00D56A45">
        <w:t>disability-</w:t>
      </w:r>
      <w:r w:rsidRPr="00D56A45">
        <w:t xml:space="preserve">functional support created by the health and disability funding interface can result in </w:t>
      </w:r>
      <w:r w:rsidR="00641320" w:rsidRPr="00D56A45">
        <w:t>greater health risks for people with disability.</w:t>
      </w:r>
    </w:p>
    <w:p w14:paraId="1AB93AF2" w14:textId="5440CCF1" w:rsidR="00E86AE4" w:rsidRPr="00D56A45" w:rsidRDefault="00CA1FE4" w:rsidP="00612589">
      <w:pPr>
        <w:pStyle w:val="Sub-heading"/>
      </w:pPr>
      <w:r w:rsidRPr="00D56A45">
        <w:t>Increased risk of m</w:t>
      </w:r>
      <w:r w:rsidR="00E86AE4" w:rsidRPr="00D56A45">
        <w:t>edica</w:t>
      </w:r>
      <w:r w:rsidR="00BC7C58" w:rsidRPr="00D56A45">
        <w:t>l and clinical hazards</w:t>
      </w:r>
    </w:p>
    <w:p w14:paraId="37E53FBC" w14:textId="224E8ABE" w:rsidR="00CA1FE4" w:rsidRPr="00D56A45" w:rsidRDefault="00844515" w:rsidP="00B329E4">
      <w:r w:rsidRPr="00D56A45">
        <w:t>The gap of</w:t>
      </w:r>
      <w:r w:rsidR="003B55DB" w:rsidRPr="00D56A45">
        <w:t xml:space="preserve"> disability-functional</w:t>
      </w:r>
      <w:r w:rsidRPr="00D56A45">
        <w:t xml:space="preserve"> support created </w:t>
      </w:r>
      <w:proofErr w:type="gramStart"/>
      <w:r w:rsidRPr="00D56A45">
        <w:t>as a result of</w:t>
      </w:r>
      <w:proofErr w:type="gramEnd"/>
      <w:r w:rsidRPr="00D56A45">
        <w:t xml:space="preserve"> </w:t>
      </w:r>
      <w:r w:rsidR="009227F9" w:rsidRPr="00D56A45">
        <w:t>the health and disability funding interface can result in serious risk to health for people with disability.</w:t>
      </w:r>
      <w:r w:rsidR="008647A5" w:rsidRPr="00D56A45">
        <w:t xml:space="preserve"> Without</w:t>
      </w:r>
      <w:r w:rsidR="003B55DB" w:rsidRPr="00D56A45">
        <w:t xml:space="preserve"> disability-</w:t>
      </w:r>
      <w:r w:rsidR="008647A5" w:rsidRPr="00D56A45">
        <w:t>functional support, people with complex needs are generally unable to recognise clinical risk</w:t>
      </w:r>
      <w:r w:rsidR="009D3CBB" w:rsidRPr="00D56A45">
        <w:t>s or hazards</w:t>
      </w:r>
      <w:r w:rsidR="008647A5" w:rsidRPr="00D56A45">
        <w:t xml:space="preserve"> and communicate that to their care team</w:t>
      </w:r>
      <w:r w:rsidR="0058231C" w:rsidRPr="00D56A45">
        <w:t xml:space="preserve">. </w:t>
      </w:r>
    </w:p>
    <w:p w14:paraId="3923B83D" w14:textId="514DC049" w:rsidR="00D87FA4" w:rsidRPr="00D56A45" w:rsidRDefault="00D87FA4" w:rsidP="00612589">
      <w:pPr>
        <w:pStyle w:val="Sub-heading"/>
      </w:pPr>
      <w:r w:rsidRPr="00D56A45">
        <w:t>Pressure sores and body positioning issues</w:t>
      </w:r>
    </w:p>
    <w:p w14:paraId="61D73B03" w14:textId="7B4286F7" w:rsidR="00136A65" w:rsidRPr="00D56A45" w:rsidRDefault="00136A65" w:rsidP="00A11551">
      <w:r w:rsidRPr="00D56A45">
        <w:t xml:space="preserve">People with high physical support needs may require additional support </w:t>
      </w:r>
      <w:r w:rsidR="00134117" w:rsidRPr="00D56A45">
        <w:t>with</w:t>
      </w:r>
      <w:r w:rsidRPr="00D56A45">
        <w:t xml:space="preserve"> body positioning and movement. This may include the need for regular repositioning to prevent pressure sores, identification of falls risks, and ensuring a person is positioned to eat safely. These</w:t>
      </w:r>
      <w:r w:rsidR="002C301A" w:rsidRPr="00D56A45">
        <w:t xml:space="preserve"> support</w:t>
      </w:r>
      <w:r w:rsidR="00D87FA4" w:rsidRPr="00D56A45">
        <w:t>s require the presence of disability</w:t>
      </w:r>
      <w:r w:rsidR="00134117" w:rsidRPr="00D56A45">
        <w:t>-functional</w:t>
      </w:r>
      <w:r w:rsidR="00D87FA4" w:rsidRPr="00D56A45">
        <w:t xml:space="preserve"> support workers who know the patient.</w:t>
      </w:r>
    </w:p>
    <w:p w14:paraId="55D20778" w14:textId="59DE15C3" w:rsidR="00D87FA4" w:rsidRPr="00D56A45" w:rsidRDefault="005A2B7C" w:rsidP="00612589">
      <w:pPr>
        <w:pStyle w:val="Sub-heading"/>
      </w:pPr>
      <w:r w:rsidRPr="00D56A45">
        <w:t>Lack of feeding support</w:t>
      </w:r>
    </w:p>
    <w:p w14:paraId="4DE6AD5B" w14:textId="52E892F4" w:rsidR="00BC7C58" w:rsidRPr="00D56A45" w:rsidRDefault="004E4E71" w:rsidP="00B329E4">
      <w:r w:rsidRPr="00D56A45">
        <w:t>People with complex needs may need expert support for feedin</w:t>
      </w:r>
      <w:r w:rsidR="00D14788" w:rsidRPr="00D56A45">
        <w:t>g</w:t>
      </w:r>
      <w:r w:rsidR="003E48A3" w:rsidRPr="00D56A45">
        <w:t>.</w:t>
      </w:r>
      <w:r w:rsidR="00D14788" w:rsidRPr="00D56A45">
        <w:t xml:space="preserve"> </w:t>
      </w:r>
      <w:r w:rsidR="009C1446" w:rsidRPr="00D56A45">
        <w:t>People with difficulty swallowing (dysphagia) are a</w:t>
      </w:r>
      <w:r w:rsidR="00012CB1" w:rsidRPr="00D56A45">
        <w:t>t a greater risk of choking or aspiration without appropriate trained support and supervision</w:t>
      </w:r>
      <w:r w:rsidR="004977B5" w:rsidRPr="00D56A45">
        <w:t xml:space="preserve">, which may beyond the </w:t>
      </w:r>
      <w:r w:rsidR="00BA4A1A" w:rsidRPr="00D56A45">
        <w:t>capacity of hospital staff.</w:t>
      </w:r>
    </w:p>
    <w:p w14:paraId="50C56F95" w14:textId="3060B905" w:rsidR="00BC7C58" w:rsidRPr="00D56A45" w:rsidRDefault="002E71F4" w:rsidP="00612589">
      <w:pPr>
        <w:pStyle w:val="Sub-heading"/>
      </w:pPr>
      <w:r w:rsidRPr="00D56A45">
        <w:t>Elevated risk of triggering ‘behaviours of concern’</w:t>
      </w:r>
    </w:p>
    <w:p w14:paraId="3BDF79E0" w14:textId="729FBCED" w:rsidR="00272FEA" w:rsidRPr="00D56A45" w:rsidRDefault="00272FEA">
      <w:r w:rsidRPr="00D56A45">
        <w:t xml:space="preserve">When a person with disability cannot advocate for their supports and health needs, behavioural responses can be triggered. While they may be interpreted by hospital staff as ‘concerning’ or posing potential danger, the behaviour is often a form of communication or </w:t>
      </w:r>
      <w:r w:rsidR="00B50D85" w:rsidRPr="00D56A45">
        <w:t>the</w:t>
      </w:r>
      <w:r w:rsidRPr="00D56A45">
        <w:t xml:space="preserve"> result of previous trauma </w:t>
      </w:r>
      <w:r w:rsidR="003F5005" w:rsidRPr="00D56A45">
        <w:t xml:space="preserve">experienced within </w:t>
      </w:r>
      <w:r w:rsidRPr="00D56A45">
        <w:t xml:space="preserve">health services. Often, hospital workers lack the skills required to </w:t>
      </w:r>
      <w:r w:rsidR="001604B3" w:rsidRPr="00D56A45">
        <w:t xml:space="preserve">identify and </w:t>
      </w:r>
      <w:r w:rsidRPr="00D56A45">
        <w:t xml:space="preserve">support people when they are showing signs of distress. </w:t>
      </w:r>
      <w:r w:rsidR="001402CC" w:rsidRPr="00D56A45">
        <w:t xml:space="preserve">Regardless of </w:t>
      </w:r>
      <w:r w:rsidR="004A7B70" w:rsidRPr="00D56A45">
        <w:t>the training hospital staff may have, many individuals require the presence of a trusted person – who knows them well – to facilitate coregulation and assist in processing the stress and disorientation associated with illness, pain, and unfamiliar environments.</w:t>
      </w:r>
      <w:r w:rsidR="004A7B70" w:rsidRPr="00D56A45" w:rsidDel="004A7B70">
        <w:t xml:space="preserve"> </w:t>
      </w:r>
      <w:r w:rsidR="001402CC" w:rsidRPr="00D56A45">
        <w:t>The lack of support</w:t>
      </w:r>
      <w:r w:rsidRPr="00D56A45">
        <w:t xml:space="preserve"> can lead to the use of unnecessary restrictive practices</w:t>
      </w:r>
      <w:r w:rsidR="00863B11" w:rsidRPr="00D56A45">
        <w:t xml:space="preserve"> or a failure to diagnose</w:t>
      </w:r>
      <w:r w:rsidR="006F00EB" w:rsidRPr="00D56A45">
        <w:t>.</w:t>
      </w:r>
    </w:p>
    <w:p w14:paraId="12E8CE32" w14:textId="1738B76D" w:rsidR="00B05C5A" w:rsidRPr="00D56A45" w:rsidRDefault="007C20BA" w:rsidP="00612589">
      <w:pPr>
        <w:pStyle w:val="Sub-heading"/>
      </w:pPr>
      <w:r w:rsidRPr="00D56A45">
        <w:t>Lack of communication and consent</w:t>
      </w:r>
    </w:p>
    <w:p w14:paraId="04BE37F4" w14:textId="0A09B9FB" w:rsidR="00B01893" w:rsidRPr="00D56A45" w:rsidRDefault="00B01893">
      <w:r w:rsidRPr="00D56A45">
        <w:t>People with complex communication needs require an effective communication partner available</w:t>
      </w:r>
      <w:r w:rsidR="00B840E6" w:rsidRPr="00D56A45">
        <w:t xml:space="preserve">, </w:t>
      </w:r>
      <w:r w:rsidR="00F03C83" w:rsidRPr="00D56A45">
        <w:t>preferably</w:t>
      </w:r>
      <w:r w:rsidR="00B840E6" w:rsidRPr="00D56A45">
        <w:t xml:space="preserve"> a disability</w:t>
      </w:r>
      <w:r w:rsidR="00747BBC" w:rsidRPr="00D56A45">
        <w:t>-functional</w:t>
      </w:r>
      <w:r w:rsidR="00B840E6" w:rsidRPr="00D56A45">
        <w:t xml:space="preserve"> support worker who knows</w:t>
      </w:r>
      <w:r w:rsidR="00E118E2" w:rsidRPr="00D56A45">
        <w:t xml:space="preserve"> the patient’s communication needs well</w:t>
      </w:r>
      <w:r w:rsidRPr="00D56A45">
        <w:t>.</w:t>
      </w:r>
      <w:r w:rsidR="00F57239" w:rsidRPr="00FF31C3">
        <w:t xml:space="preserve"> </w:t>
      </w:r>
      <w:r w:rsidR="00F57239" w:rsidRPr="00D56A45">
        <w:t>Communication partners can ensure the patient has a voice and support the health care team to understand how a person exhibits pain.</w:t>
      </w:r>
      <w:r w:rsidR="00A74BD4" w:rsidRPr="00D56A45">
        <w:t xml:space="preserve"> </w:t>
      </w:r>
      <w:r w:rsidR="0073444F" w:rsidRPr="00D56A45">
        <w:t>Communication partners also support the person’s processing and decision-making</w:t>
      </w:r>
      <w:r w:rsidR="00F73F6A" w:rsidRPr="00D56A45">
        <w:t xml:space="preserve"> ability</w:t>
      </w:r>
      <w:r w:rsidR="0073444F" w:rsidRPr="00D56A45">
        <w:t xml:space="preserve">, i.e. to be able to understand what is happening and to give consent.  </w:t>
      </w:r>
      <w:r w:rsidR="00A74BD4" w:rsidRPr="00D56A45">
        <w:t xml:space="preserve">The risks of assault escalate where there </w:t>
      </w:r>
      <w:proofErr w:type="gramStart"/>
      <w:r w:rsidR="00F05F47" w:rsidRPr="00D56A45">
        <w:t>are</w:t>
      </w:r>
      <w:proofErr w:type="gramEnd"/>
      <w:r w:rsidR="00A74BD4" w:rsidRPr="00D56A45">
        <w:t xml:space="preserve"> no skilled communication partner</w:t>
      </w:r>
      <w:r w:rsidR="00F05F47" w:rsidRPr="00D56A45">
        <w:t xml:space="preserve">s </w:t>
      </w:r>
      <w:proofErr w:type="gramStart"/>
      <w:r w:rsidR="00F05F47" w:rsidRPr="00D56A45">
        <w:t>present</w:t>
      </w:r>
      <w:proofErr w:type="gramEnd"/>
      <w:r w:rsidR="00FA4F81" w:rsidRPr="00D56A45">
        <w:t xml:space="preserve"> and </w:t>
      </w:r>
      <w:r w:rsidR="00A74BD4" w:rsidRPr="00D56A45">
        <w:t>hospital staff are left to guess if a person is giving consent or not.</w:t>
      </w:r>
    </w:p>
    <w:p w14:paraId="24F970CD" w14:textId="15A5E36F" w:rsidR="00B05185" w:rsidRPr="00D56A45" w:rsidRDefault="00A02260" w:rsidP="00612589">
      <w:pPr>
        <w:pStyle w:val="Sub-heading"/>
      </w:pPr>
      <w:r w:rsidRPr="00D56A45">
        <w:t>Difficulties in receiving treatment</w:t>
      </w:r>
    </w:p>
    <w:p w14:paraId="1F5A141F" w14:textId="77777777" w:rsidR="00A83233" w:rsidRPr="00D56A45" w:rsidRDefault="00A83233" w:rsidP="00A11551">
      <w:r w:rsidRPr="00D56A45">
        <w:t>Some people may require additional support to comply with specific treatments or procedures, such as scans, blood draws, or taking medications. The person’s usual support worker is well placed to know what the patient needs to ensure those necessary procedures can be completed. If procedures are unable to be completed, then opportunities for diagnosis and/or treatment are lost.</w:t>
      </w:r>
    </w:p>
    <w:p w14:paraId="62B15778" w14:textId="4470B965" w:rsidR="00EF18B5" w:rsidRPr="00D56A45" w:rsidRDefault="009F52F0" w:rsidP="00612589">
      <w:pPr>
        <w:pStyle w:val="Sub-heading"/>
      </w:pPr>
      <w:r w:rsidRPr="00D56A45">
        <w:t>Increased risk of poor mental health</w:t>
      </w:r>
    </w:p>
    <w:p w14:paraId="4B7C9A69" w14:textId="323090AD" w:rsidR="00A83233" w:rsidRPr="00D56A45" w:rsidRDefault="00E11D25">
      <w:r w:rsidRPr="00D56A45">
        <w:t xml:space="preserve">People with high support needs still need disability related support when in hospital to do the usual things they might do in daily life, for example, maintaining social connections, or engaging with the broader world (e.g., work, entertainment) online. Staying in hospital without access to the kinds of distractions and activities which </w:t>
      </w:r>
      <w:r w:rsidR="002F001D" w:rsidRPr="00D56A45">
        <w:t>would generally be available</w:t>
      </w:r>
      <w:r w:rsidRPr="00D56A45">
        <w:t xml:space="preserve"> is a violation of human rights and likely to negatively impact mental health.</w:t>
      </w:r>
    </w:p>
    <w:p w14:paraId="73B0B6D2" w14:textId="4C8E5DE3" w:rsidR="002871E5" w:rsidRPr="00D56A45" w:rsidRDefault="002871E5" w:rsidP="00612589">
      <w:pPr>
        <w:pStyle w:val="Sub-heading"/>
      </w:pPr>
      <w:r w:rsidRPr="00D56A45">
        <w:t>Increased cost to the health system</w:t>
      </w:r>
    </w:p>
    <w:p w14:paraId="33749072" w14:textId="6019B0A2" w:rsidR="002871E5" w:rsidRPr="00D56A45" w:rsidRDefault="002871E5">
      <w:r w:rsidRPr="00D56A45">
        <w:t>As a result of the increased risk of inadequate health treatment for people with disability in hospital, the Working Group noted the high prevalence of people with disability</w:t>
      </w:r>
      <w:r w:rsidR="00C135B2" w:rsidRPr="00D56A45">
        <w:t xml:space="preserve"> who are </w:t>
      </w:r>
      <w:r w:rsidRPr="00D56A45">
        <w:t>readmitt</w:t>
      </w:r>
      <w:r w:rsidR="00C135B2" w:rsidRPr="00D56A45">
        <w:t>ed</w:t>
      </w:r>
      <w:r w:rsidRPr="00D56A45">
        <w:t xml:space="preserve"> to hospital with the same untreated health conditions. The presence of disability-functional support workers or communication partners can ensure that health treatment and communication needs of the person with disability are addressed in the first instance. The absence of these support workers increases the risk of</w:t>
      </w:r>
      <w:r w:rsidR="00741A2E" w:rsidRPr="00D56A45">
        <w:t xml:space="preserve"> miscommunication and</w:t>
      </w:r>
      <w:r w:rsidRPr="00D56A45">
        <w:t xml:space="preserve"> readmission, which can lead to additional</w:t>
      </w:r>
      <w:r w:rsidR="00741A2E" w:rsidRPr="00D56A45">
        <w:t xml:space="preserve"> and unnecessary </w:t>
      </w:r>
      <w:r w:rsidRPr="00D56A45">
        <w:t xml:space="preserve">costs incurred by hospitals. </w:t>
      </w:r>
    </w:p>
    <w:p w14:paraId="4BB4012C" w14:textId="0C2B030F" w:rsidR="00844515" w:rsidRPr="00D56A45" w:rsidRDefault="00844515">
      <w:r w:rsidRPr="00D56A45">
        <w:t xml:space="preserve">To address the gap of disability supports in hospital, close contacts of people with disability have reported to take extreme measures to provide care. This includes </w:t>
      </w:r>
      <w:r w:rsidR="00966AC3" w:rsidRPr="00D56A45">
        <w:t xml:space="preserve">instances where </w:t>
      </w:r>
      <w:r w:rsidRPr="00D56A45">
        <w:t xml:space="preserve">elderly parents </w:t>
      </w:r>
      <w:r w:rsidR="00966AC3" w:rsidRPr="00D56A45">
        <w:t xml:space="preserve">have </w:t>
      </w:r>
      <w:r w:rsidRPr="00D56A45">
        <w:t>stay</w:t>
      </w:r>
      <w:r w:rsidR="00966AC3" w:rsidRPr="00D56A45">
        <w:t>ed</w:t>
      </w:r>
      <w:r w:rsidRPr="00D56A45">
        <w:t xml:space="preserve"> in hospital with their family member with disability, despite their own health needs.</w:t>
      </w:r>
    </w:p>
    <w:p w14:paraId="57CE7ADE" w14:textId="235F2E3E" w:rsidR="00BA4127" w:rsidRPr="00D56A45" w:rsidRDefault="00C54B5D" w:rsidP="00612589">
      <w:pPr>
        <w:pStyle w:val="Heading3"/>
      </w:pPr>
      <w:r w:rsidRPr="00D56A45">
        <w:t>Current opportunities and limitations</w:t>
      </w:r>
    </w:p>
    <w:p w14:paraId="79A023A9" w14:textId="76594D79" w:rsidR="006F0796" w:rsidRPr="00D56A45" w:rsidRDefault="006F0796" w:rsidP="00C54B5D">
      <w:r w:rsidRPr="00D56A45">
        <w:t>Currently, there is a mechanism to gain approval for NDIS concurrent supports, enabling the person’s usual support to be provided while the person is in hospital. However, this mechanism is applied inconsistently across Australia. For example, in NSW it is possible for a physician to request the supports for a person with complex needs with approval granted for up to a 12-month period, potentially covering multiple hospital admissions. In contrast, in WA the request is only made once the person has already been admitted and covers only that admission. Approval can take up to 48 hours, resulting in uncertainty regarding whether</w:t>
      </w:r>
      <w:r w:rsidR="00C54B5D" w:rsidRPr="00D56A45">
        <w:t xml:space="preserve"> disability </w:t>
      </w:r>
      <w:r w:rsidRPr="00D56A45">
        <w:t>organisations will be recompensed for providing the support.</w:t>
      </w:r>
    </w:p>
    <w:p w14:paraId="69D3D5C2" w14:textId="4FB417EA" w:rsidR="00C54B5D" w:rsidRPr="00D56A45" w:rsidRDefault="00563257" w:rsidP="00C54B5D">
      <w:r w:rsidRPr="00D56A45">
        <w:t>D</w:t>
      </w:r>
      <w:r w:rsidR="00C54B5D" w:rsidRPr="00D56A45">
        <w:t xml:space="preserve">isability hospital liaison officer </w:t>
      </w:r>
      <w:r w:rsidR="004840CF" w:rsidRPr="00D56A45">
        <w:t xml:space="preserve">(HLO) </w:t>
      </w:r>
      <w:r w:rsidR="00C54B5D" w:rsidRPr="00D56A45">
        <w:t>models who specialise in disability advocacy may be able to support a person advocating for their health management. The hospital liaison officer model varies in scope for advocacy requirements across Australia. Reports indicate the model relies on the person with disability being identified by hospital staff as needing the HLO, with referral to the HLO initiating the connection with the individual. This process often leads to advocacy delays and cannot easily be initiated by family or disability support workers.</w:t>
      </w:r>
    </w:p>
    <w:p w14:paraId="729B5090" w14:textId="48E0BC74" w:rsidR="00C54B5D" w:rsidRPr="00D56A45" w:rsidRDefault="00C54B5D" w:rsidP="00A11551">
      <w:r w:rsidRPr="00D56A45">
        <w:t xml:space="preserve">Other models of support are disability liaison officers (DLOs) or specialist teams established in hospital services with varying levels of engagement related to the scope of work set by the health service. Despite positive reports of the Victorian DLO program, multi-site requirements and staff shortages </w:t>
      </w:r>
      <w:r w:rsidR="0060153B" w:rsidRPr="00D56A45">
        <w:t xml:space="preserve">may still result in </w:t>
      </w:r>
      <w:r w:rsidRPr="00D56A45">
        <w:t>advocacy gaps across health systems</w:t>
      </w:r>
      <w:r w:rsidR="006F0796" w:rsidRPr="00D56A45">
        <w:t>.</w:t>
      </w:r>
    </w:p>
    <w:p w14:paraId="7704EE86" w14:textId="440F7A0B" w:rsidR="005703AC" w:rsidRPr="00D56A45" w:rsidRDefault="008F1EF4" w:rsidP="00612589">
      <w:pPr>
        <w:pStyle w:val="Heading2"/>
      </w:pPr>
      <w:bookmarkStart w:id="23" w:name="_Toc225778755"/>
      <w:r w:rsidRPr="00D56A45">
        <w:t>Wor</w:t>
      </w:r>
      <w:r w:rsidR="00E54678" w:rsidRPr="00D56A45">
        <w:t>k</w:t>
      </w:r>
      <w:r w:rsidRPr="00D56A45">
        <w:t xml:space="preserve">force </w:t>
      </w:r>
      <w:r w:rsidR="00E54678" w:rsidRPr="00D56A45">
        <w:t>k</w:t>
      </w:r>
      <w:r w:rsidRPr="00D56A45">
        <w:t>no</w:t>
      </w:r>
      <w:r w:rsidR="00E54678" w:rsidRPr="00D56A45">
        <w:t>wledge and practice</w:t>
      </w:r>
      <w:bookmarkEnd w:id="23"/>
    </w:p>
    <w:p w14:paraId="6E976BA6" w14:textId="488ACF3D" w:rsidR="00815344" w:rsidRPr="00D56A45" w:rsidRDefault="00815344" w:rsidP="00815344">
      <w:r w:rsidRPr="00D56A45">
        <w:t>The Working Group identified a lack of foundational knowledge and practice within the health and disability workforce as it relates to the wider health</w:t>
      </w:r>
      <w:r w:rsidR="00953A28" w:rsidRPr="00D56A45">
        <w:t xml:space="preserve"> care of people with disability</w:t>
      </w:r>
      <w:r w:rsidRPr="00D56A45">
        <w:t xml:space="preserve">. </w:t>
      </w:r>
      <w:r w:rsidR="002B66FF" w:rsidRPr="00D56A45">
        <w:t>Workforce</w:t>
      </w:r>
      <w:r w:rsidRPr="00D56A45">
        <w:t xml:space="preserve"> knowledge and skill gaps relate to </w:t>
      </w:r>
      <w:r w:rsidR="00BD5107" w:rsidRPr="00D56A45">
        <w:t>disability-</w:t>
      </w:r>
      <w:r w:rsidRPr="00D56A45">
        <w:t>functional support, disability</w:t>
      </w:r>
      <w:r w:rsidR="00872E1A" w:rsidRPr="00D56A45">
        <w:t>-</w:t>
      </w:r>
      <w:r w:rsidRPr="00D56A45">
        <w:t xml:space="preserve">specific health concerns, management of chronic health conditions in people with disability and the capacity of the disability system to accommodate health support. </w:t>
      </w:r>
    </w:p>
    <w:p w14:paraId="426F88D6" w14:textId="549EED10" w:rsidR="001020F8" w:rsidRPr="00F3094C" w:rsidRDefault="001020F8" w:rsidP="00F3094C">
      <w:pPr>
        <w:pStyle w:val="Boxtype"/>
        <w:rPr>
          <w:rStyle w:val="Strong"/>
        </w:rPr>
      </w:pPr>
      <w:r w:rsidRPr="00F3094C">
        <w:rPr>
          <w:rStyle w:val="Strong"/>
        </w:rPr>
        <w:t xml:space="preserve">This </w:t>
      </w:r>
      <w:r w:rsidR="009F2971" w:rsidRPr="00F3094C">
        <w:rPr>
          <w:rStyle w:val="Strong"/>
        </w:rPr>
        <w:t>issue</w:t>
      </w:r>
      <w:r w:rsidRPr="00F3094C">
        <w:rPr>
          <w:rStyle w:val="Strong"/>
        </w:rPr>
        <w:t xml:space="preserve"> corresponds directly with the following:</w:t>
      </w:r>
    </w:p>
    <w:p w14:paraId="3211BA82" w14:textId="397A3837" w:rsidR="00815344" w:rsidRPr="00B329E4" w:rsidRDefault="001020F8" w:rsidP="00F3094C">
      <w:pPr>
        <w:pStyle w:val="Boxtype"/>
      </w:pPr>
      <w:r w:rsidRPr="00F3094C">
        <w:t>Australia’</w:t>
      </w:r>
      <w:r w:rsidR="000218B6" w:rsidRPr="00F3094C">
        <w:t xml:space="preserve">s Disability </w:t>
      </w:r>
      <w:r w:rsidR="00597F26" w:rsidRPr="00F3094C">
        <w:t>Strategy</w:t>
      </w:r>
      <w:r w:rsidR="00597F26" w:rsidRPr="00D56A45">
        <w:t xml:space="preserve"> </w:t>
      </w:r>
      <w:r w:rsidR="000218B6" w:rsidRPr="00D56A45">
        <w:t xml:space="preserve">- </w:t>
      </w:r>
      <w:r w:rsidR="00815344" w:rsidRPr="00D56A45">
        <w:t>Health and Wellbeing Policy Priority 1</w:t>
      </w:r>
      <w:r w:rsidR="007B43B9" w:rsidRPr="00D56A45">
        <w:t xml:space="preserve"> to</w:t>
      </w:r>
      <w:r w:rsidR="00112CA9" w:rsidRPr="00D56A45">
        <w:t xml:space="preserve"> ensure</w:t>
      </w:r>
      <w:r w:rsidR="00815344" w:rsidRPr="00D56A45">
        <w:t xml:space="preserve"> all health service providers have the capabilities to meet the health needs of people with disability</w:t>
      </w:r>
      <w:r w:rsidR="00815344" w:rsidRPr="00D56A45">
        <w:rPr>
          <w:rStyle w:val="EndnoteReference"/>
        </w:rPr>
        <w:endnoteReference w:id="12"/>
      </w:r>
      <w:r w:rsidR="00815344" w:rsidRPr="00D56A45">
        <w:t>.</w:t>
      </w:r>
      <w:r w:rsidR="00815344" w:rsidRPr="00B329E4">
        <w:t xml:space="preserve"> </w:t>
      </w:r>
    </w:p>
    <w:p w14:paraId="4C3F4F7A" w14:textId="2154CDC7" w:rsidR="00395245" w:rsidRPr="00D56A45" w:rsidRDefault="00395245" w:rsidP="00612589">
      <w:pPr>
        <w:pStyle w:val="Heading3"/>
      </w:pPr>
      <w:r w:rsidRPr="00D56A45">
        <w:t xml:space="preserve">Health workforce </w:t>
      </w:r>
      <w:r w:rsidR="004C43F6" w:rsidRPr="00D56A45">
        <w:t>lack</w:t>
      </w:r>
      <w:r w:rsidR="00BF7ABA" w:rsidRPr="00D56A45">
        <w:t>s</w:t>
      </w:r>
      <w:r w:rsidR="004C43F6" w:rsidRPr="00D56A45">
        <w:t xml:space="preserve"> appropriate disability know</w:t>
      </w:r>
      <w:r w:rsidR="003663F4" w:rsidRPr="00D56A45">
        <w:t>ledge</w:t>
      </w:r>
    </w:p>
    <w:p w14:paraId="5291B19B" w14:textId="11932E19" w:rsidR="00FA29AA" w:rsidRPr="00D56A45" w:rsidRDefault="00FA29AA" w:rsidP="00395245">
      <w:r w:rsidRPr="00D56A45">
        <w:t xml:space="preserve">Witnesses to the DRC noted a systemic lack of training about the health of people with disability (and specifically cognitive disability) for health professionals in all health disciplines throughout their careers and across health services. </w:t>
      </w:r>
    </w:p>
    <w:p w14:paraId="4AB4C3A3" w14:textId="2631C989" w:rsidR="00395245" w:rsidRPr="00D56A45" w:rsidRDefault="00395245" w:rsidP="00395245">
      <w:r w:rsidRPr="00D56A45">
        <w:t xml:space="preserve">The Working Group identified the health workforce as having limited knowledge of disability </w:t>
      </w:r>
      <w:proofErr w:type="spellStart"/>
      <w:r w:rsidRPr="00D56A45">
        <w:t>health,</w:t>
      </w:r>
      <w:proofErr w:type="spellEnd"/>
      <w:r w:rsidRPr="00D56A45">
        <w:t xml:space="preserve"> particularly in relation to understanding intersecting lifespan health conditions and the settings and support systems that may be required by people with disability. This presents a significant barrier to health advocacy for people with disability</w:t>
      </w:r>
      <w:r w:rsidR="00522D78" w:rsidRPr="00D56A45">
        <w:t>. The</w:t>
      </w:r>
      <w:r w:rsidRPr="00D56A45">
        <w:t xml:space="preserve"> lack of disability-related knowledge and skills affects </w:t>
      </w:r>
      <w:r w:rsidR="00773124" w:rsidRPr="00D56A45">
        <w:t>health professionals</w:t>
      </w:r>
      <w:r w:rsidR="00B60577" w:rsidRPr="00D56A45">
        <w:t>’</w:t>
      </w:r>
      <w:r w:rsidRPr="00D56A45">
        <w:t xml:space="preserve"> ability to identify person-centred needs</w:t>
      </w:r>
      <w:r w:rsidR="00FD06AB" w:rsidRPr="00D56A45">
        <w:t>,</w:t>
      </w:r>
      <w:r w:rsidRPr="00D56A45">
        <w:t xml:space="preserve"> such as appropriate communication formats, settings adjustments, and required</w:t>
      </w:r>
      <w:r w:rsidR="00037B26" w:rsidRPr="00D56A45">
        <w:t xml:space="preserve"> disability-</w:t>
      </w:r>
      <w:r w:rsidRPr="00D56A45">
        <w:t xml:space="preserve">functional supports. This can negatively impact a person’s health outcomes and lifespan. </w:t>
      </w:r>
    </w:p>
    <w:p w14:paraId="13C21092" w14:textId="77777777" w:rsidR="00395245" w:rsidRPr="00D56A45" w:rsidRDefault="00395245" w:rsidP="00395245">
      <w:r w:rsidRPr="00D56A45">
        <w:t>Other health workforce knowledge gaps exist in relation to:</w:t>
      </w:r>
    </w:p>
    <w:p w14:paraId="1702680A" w14:textId="31BCAC49" w:rsidR="00395245" w:rsidRPr="00D56A45" w:rsidRDefault="00395245" w:rsidP="00395245">
      <w:pPr>
        <w:pStyle w:val="ListBullet"/>
      </w:pPr>
      <w:r w:rsidRPr="00D56A45">
        <w:t>how co-occurring health conditions impact their disability, or may not be in relation to their disability</w:t>
      </w:r>
      <w:r w:rsidR="0009589E" w:rsidRPr="00D56A45">
        <w:t xml:space="preserve"> (for example,</w:t>
      </w:r>
      <w:r w:rsidR="00C4486B" w:rsidRPr="00D56A45">
        <w:t xml:space="preserve"> the Working Group noted high prevalence of diagnostic overshadowing</w:t>
      </w:r>
      <w:r w:rsidR="0094566D" w:rsidRPr="00D56A45">
        <w:t xml:space="preserve"> by health professionals in their interactions with people with disability)</w:t>
      </w:r>
    </w:p>
    <w:p w14:paraId="4773B634" w14:textId="549A1A6E" w:rsidR="00C042A6" w:rsidRPr="00D56A45" w:rsidRDefault="00C042A6" w:rsidP="00395245">
      <w:pPr>
        <w:pStyle w:val="ListBullet"/>
      </w:pPr>
      <w:r w:rsidRPr="00D56A45">
        <w:t xml:space="preserve">incorrectly attributing </w:t>
      </w:r>
      <w:r w:rsidR="00C135B2" w:rsidRPr="00D56A45">
        <w:t>behaviour</w:t>
      </w:r>
      <w:r w:rsidRPr="00D56A45">
        <w:t xml:space="preserve"> exhibited by people with disability as a symptom of mental health conditions</w:t>
      </w:r>
    </w:p>
    <w:p w14:paraId="525E078C" w14:textId="77777777" w:rsidR="00395245" w:rsidRPr="00D56A45" w:rsidRDefault="00395245" w:rsidP="00395245">
      <w:pPr>
        <w:pStyle w:val="ListBullet"/>
      </w:pPr>
      <w:r w:rsidRPr="00D56A45">
        <w:t xml:space="preserve">disability-related day-to-day health needs </w:t>
      </w:r>
    </w:p>
    <w:p w14:paraId="7C545D5F" w14:textId="76641A89" w:rsidR="00395245" w:rsidRPr="00D56A45" w:rsidRDefault="00395245" w:rsidP="00395245">
      <w:pPr>
        <w:pStyle w:val="ListBullet"/>
      </w:pPr>
      <w:r w:rsidRPr="00D56A45">
        <w:t xml:space="preserve">the importance of preventive health care for people with disability </w:t>
      </w:r>
    </w:p>
    <w:p w14:paraId="4EDACB94" w14:textId="7C135CFD" w:rsidR="000E171F" w:rsidRPr="00D56A45" w:rsidRDefault="00CB1937" w:rsidP="00395245">
      <w:pPr>
        <w:pStyle w:val="ListBullet"/>
      </w:pPr>
      <w:r w:rsidRPr="00D56A45">
        <w:t xml:space="preserve">AAC </w:t>
      </w:r>
      <w:r w:rsidR="00433733" w:rsidRPr="00D56A45">
        <w:t>options</w:t>
      </w:r>
      <w:r w:rsidR="000E171F" w:rsidRPr="00D56A45">
        <w:t xml:space="preserve"> for people with disability</w:t>
      </w:r>
    </w:p>
    <w:p w14:paraId="7071798A" w14:textId="77777777" w:rsidR="00DC65ED" w:rsidRPr="00D56A45" w:rsidRDefault="00DC65ED" w:rsidP="00CF2FCB">
      <w:pPr>
        <w:pStyle w:val="ListBullet"/>
      </w:pPr>
      <w:r w:rsidRPr="00D56A45">
        <w:t>how to identify, design and implement reasonable adjustments for people with disability to access health care</w:t>
      </w:r>
    </w:p>
    <w:p w14:paraId="1A5C85E7" w14:textId="77777777" w:rsidR="007F2C8D" w:rsidRPr="00D56A45" w:rsidRDefault="007F2C8D" w:rsidP="007F2C8D">
      <w:pPr>
        <w:pStyle w:val="ListBullet"/>
        <w:numPr>
          <w:ilvl w:val="0"/>
          <w:numId w:val="0"/>
        </w:numPr>
        <w:ind w:left="527" w:hanging="357"/>
      </w:pPr>
    </w:p>
    <w:p w14:paraId="4C48FECF" w14:textId="5A0D483E" w:rsidR="00A3019B" w:rsidRPr="00F3094C" w:rsidRDefault="00A3019B" w:rsidP="00F3094C">
      <w:pPr>
        <w:pStyle w:val="Boxtype"/>
        <w:rPr>
          <w:rStyle w:val="Strong"/>
        </w:rPr>
      </w:pPr>
      <w:r w:rsidRPr="00F3094C">
        <w:rPr>
          <w:rStyle w:val="Strong"/>
        </w:rPr>
        <w:t>Example: Oral health services</w:t>
      </w:r>
    </w:p>
    <w:p w14:paraId="2978A4BA" w14:textId="77777777" w:rsidR="002712B9" w:rsidRPr="00D56A45" w:rsidRDefault="007F2C8D" w:rsidP="00F3094C">
      <w:pPr>
        <w:pStyle w:val="Boxtype"/>
      </w:pPr>
      <w:r w:rsidRPr="00D56A45">
        <w:t xml:space="preserve">A lack of health workforce knowledge can impact the health risks of people with disability in particular health services. For example, </w:t>
      </w:r>
      <w:r w:rsidR="00A3019B" w:rsidRPr="00D56A45">
        <w:t xml:space="preserve">the Working Group noted that </w:t>
      </w:r>
      <w:r w:rsidRPr="00D56A45">
        <w:t xml:space="preserve">oral health services face an underrepresentation of special </w:t>
      </w:r>
      <w:proofErr w:type="gramStart"/>
      <w:r w:rsidRPr="00D56A45">
        <w:t>needs</w:t>
      </w:r>
      <w:proofErr w:type="gramEnd"/>
      <w:r w:rsidRPr="00D56A45">
        <w:t xml:space="preserve"> dentistry </w:t>
      </w:r>
      <w:proofErr w:type="spellStart"/>
      <w:r w:rsidRPr="00D56A45">
        <w:t>specialisation</w:t>
      </w:r>
      <w:proofErr w:type="spellEnd"/>
      <w:r w:rsidR="00A3019B" w:rsidRPr="00D56A45">
        <w:t xml:space="preserve">, </w:t>
      </w:r>
      <w:r w:rsidR="00C135B2" w:rsidRPr="00D56A45">
        <w:t xml:space="preserve">and a lack of disability knowledge amongst generalist dentists. People with </w:t>
      </w:r>
      <w:proofErr w:type="gramStart"/>
      <w:r w:rsidR="00C135B2" w:rsidRPr="00D56A45">
        <w:t>disability</w:t>
      </w:r>
      <w:proofErr w:type="gramEnd"/>
      <w:r w:rsidR="00C135B2" w:rsidRPr="00D56A45">
        <w:t xml:space="preserve"> often require sedation for dental care, including for simple dental checkups or cleaning. </w:t>
      </w:r>
    </w:p>
    <w:p w14:paraId="68BBFDD4" w14:textId="3CBA4D75" w:rsidR="00A3019B" w:rsidRPr="00D56A45" w:rsidRDefault="00C135B2" w:rsidP="00F3094C">
      <w:pPr>
        <w:pStyle w:val="Boxtype"/>
      </w:pPr>
      <w:r w:rsidRPr="00D56A45">
        <w:t>This can lead</w:t>
      </w:r>
      <w:r w:rsidR="00A3019B" w:rsidRPr="00D56A45">
        <w:t xml:space="preserve"> to</w:t>
      </w:r>
      <w:r w:rsidR="002712B9" w:rsidRPr="00D56A45">
        <w:t xml:space="preserve"> l</w:t>
      </w:r>
      <w:r w:rsidR="00A3019B" w:rsidRPr="00D56A45">
        <w:t>ong waiting times for special needs dentistry services</w:t>
      </w:r>
      <w:r w:rsidR="002712B9" w:rsidRPr="00D56A45">
        <w:t>, and i</w:t>
      </w:r>
      <w:r w:rsidR="00A3019B" w:rsidRPr="00D56A45">
        <w:t xml:space="preserve">ncreased costs </w:t>
      </w:r>
      <w:proofErr w:type="gramStart"/>
      <w:r w:rsidR="00A3019B" w:rsidRPr="00D56A45">
        <w:t>to</w:t>
      </w:r>
      <w:proofErr w:type="gramEnd"/>
      <w:r w:rsidR="00A3019B" w:rsidRPr="00D56A45">
        <w:t xml:space="preserve"> people with disability for additional adjustments</w:t>
      </w:r>
      <w:r w:rsidR="002712B9" w:rsidRPr="00D56A45">
        <w:t>. There is also a h</w:t>
      </w:r>
      <w:r w:rsidR="00A3019B" w:rsidRPr="00D56A45">
        <w:t>igher risk of complication</w:t>
      </w:r>
      <w:r w:rsidR="002712B9" w:rsidRPr="00D56A45">
        <w:t>s</w:t>
      </w:r>
      <w:r w:rsidR="00A3019B" w:rsidRPr="00D56A45">
        <w:t xml:space="preserve"> from general </w:t>
      </w:r>
      <w:proofErr w:type="spellStart"/>
      <w:r w:rsidR="00A3019B" w:rsidRPr="00D56A45">
        <w:t>anaesthetic</w:t>
      </w:r>
      <w:proofErr w:type="spellEnd"/>
      <w:r w:rsidR="00A3019B" w:rsidRPr="00D56A45">
        <w:t xml:space="preserve"> among people with disability in mainstream oral health settings</w:t>
      </w:r>
      <w:r w:rsidR="002712B9" w:rsidRPr="00D56A45">
        <w:t xml:space="preserve">. </w:t>
      </w:r>
    </w:p>
    <w:p w14:paraId="56A8DB6D" w14:textId="3D60A81F" w:rsidR="00B14F10" w:rsidRPr="00D56A45" w:rsidRDefault="00B14F10" w:rsidP="00F3094C">
      <w:pPr>
        <w:pStyle w:val="Boxtype"/>
      </w:pPr>
      <w:r w:rsidRPr="00D56A45">
        <w:t>In addition, medical practitioners are not trained in oral health assessment, which can lead to a risk of overlooked oral health issues medical assessment</w:t>
      </w:r>
      <w:r w:rsidR="00736EB2" w:rsidRPr="00D56A45">
        <w:t xml:space="preserve"> and diagnoses</w:t>
      </w:r>
      <w:r w:rsidRPr="00D56A45">
        <w:t>.</w:t>
      </w:r>
    </w:p>
    <w:p w14:paraId="17A41FE7" w14:textId="523A68E7" w:rsidR="00A3019B" w:rsidRPr="00D56A45" w:rsidRDefault="002712B9" w:rsidP="00F3094C">
      <w:pPr>
        <w:pStyle w:val="Boxtype"/>
      </w:pPr>
      <w:r w:rsidRPr="00D56A45">
        <w:t>Lack of workforce knowledge and appropriate treatment options result in f</w:t>
      </w:r>
      <w:r w:rsidR="00A3019B" w:rsidRPr="00D56A45">
        <w:t>ewer people with disability receiving oral health care, which can lead to significant health complications (such as difficulty eating and communicating with others)</w:t>
      </w:r>
      <w:r w:rsidRPr="00D56A45">
        <w:t>.</w:t>
      </w:r>
    </w:p>
    <w:p w14:paraId="201EE6C3" w14:textId="77777777" w:rsidR="007F2C8D" w:rsidRPr="00D56A45" w:rsidRDefault="007F2C8D" w:rsidP="0038197D">
      <w:pPr>
        <w:pStyle w:val="ListBullet"/>
        <w:numPr>
          <w:ilvl w:val="0"/>
          <w:numId w:val="0"/>
        </w:numPr>
        <w:ind w:left="527" w:hanging="357"/>
      </w:pPr>
    </w:p>
    <w:p w14:paraId="71A56E55" w14:textId="0A120FC6" w:rsidR="00244D0D" w:rsidRPr="00D56A45" w:rsidRDefault="00244D0D" w:rsidP="00612589">
      <w:pPr>
        <w:pStyle w:val="Heading4"/>
      </w:pPr>
      <w:r w:rsidRPr="00D56A45">
        <w:t>Impact of knowledge gaps</w:t>
      </w:r>
    </w:p>
    <w:p w14:paraId="4B8F0BB5" w14:textId="1D6F686F" w:rsidR="00395245" w:rsidRPr="00D56A45" w:rsidRDefault="00395245" w:rsidP="00CF2FCB">
      <w:r w:rsidRPr="00D56A45">
        <w:t xml:space="preserve">A lack of consistent baseline knowledge across health services </w:t>
      </w:r>
      <w:r w:rsidR="000D36A7" w:rsidRPr="00D56A45">
        <w:t>can result</w:t>
      </w:r>
      <w:r w:rsidRPr="00D56A45">
        <w:t xml:space="preserve"> in people with disability </w:t>
      </w:r>
      <w:r w:rsidR="00067CFA" w:rsidRPr="00D56A45">
        <w:t xml:space="preserve">presenting </w:t>
      </w:r>
      <w:r w:rsidRPr="00D56A45">
        <w:t>to hospita</w:t>
      </w:r>
      <w:r w:rsidR="0049531C" w:rsidRPr="00D56A45">
        <w:t>ls more frequently due to a lack of available health care options.</w:t>
      </w:r>
      <w:r w:rsidRPr="00D56A45">
        <w:t xml:space="preserve"> </w:t>
      </w:r>
      <w:r w:rsidR="000400F5" w:rsidRPr="00D56A45">
        <w:t>The Working Group noted that r</w:t>
      </w:r>
      <w:r w:rsidR="00351CC3" w:rsidRPr="00D56A45">
        <w:t>e</w:t>
      </w:r>
      <w:r w:rsidR="000400F5" w:rsidRPr="00D56A45">
        <w:t>-</w:t>
      </w:r>
      <w:r w:rsidR="00351CC3" w:rsidRPr="00D56A45">
        <w:t>admissions</w:t>
      </w:r>
      <w:r w:rsidRPr="00D56A45">
        <w:t xml:space="preserve"> </w:t>
      </w:r>
      <w:r w:rsidR="000400F5" w:rsidRPr="00D56A45">
        <w:t>can often occur due to</w:t>
      </w:r>
      <w:r w:rsidRPr="00D56A45">
        <w:t xml:space="preserve"> ineffective assessment and diagnosis of health concerns. </w:t>
      </w:r>
      <w:r w:rsidR="00C52075" w:rsidRPr="00D56A45">
        <w:t>Some members of the Working Group shared anecdotal</w:t>
      </w:r>
      <w:r w:rsidR="006F3A1C" w:rsidRPr="00D56A45">
        <w:t xml:space="preserve"> reports from </w:t>
      </w:r>
      <w:r w:rsidRPr="00D56A45">
        <w:t xml:space="preserve">disability workers </w:t>
      </w:r>
      <w:r w:rsidR="00B20F2B" w:rsidRPr="00D56A45">
        <w:t xml:space="preserve">who are </w:t>
      </w:r>
      <w:r w:rsidRPr="00D56A45">
        <w:t xml:space="preserve">supporting people </w:t>
      </w:r>
      <w:r w:rsidR="00DC7B65" w:rsidRPr="00D56A45">
        <w:t>with</w:t>
      </w:r>
      <w:r w:rsidRPr="00D56A45">
        <w:t xml:space="preserve"> disability</w:t>
      </w:r>
      <w:r w:rsidR="00DC7B65" w:rsidRPr="00D56A45">
        <w:t>, who</w:t>
      </w:r>
      <w:r w:rsidR="00E97469" w:rsidRPr="00D56A45">
        <w:t>,</w:t>
      </w:r>
      <w:r w:rsidRPr="00D56A45">
        <w:t xml:space="preserve"> on discharge from hospital settings</w:t>
      </w:r>
      <w:r w:rsidR="00E97469" w:rsidRPr="00D56A45">
        <w:t>,</w:t>
      </w:r>
      <w:r w:rsidRPr="00D56A45">
        <w:t xml:space="preserve"> are returning home with:</w:t>
      </w:r>
    </w:p>
    <w:p w14:paraId="49C104E2" w14:textId="77777777" w:rsidR="00395245" w:rsidRPr="00D56A45" w:rsidRDefault="00395245" w:rsidP="00395245">
      <w:pPr>
        <w:pStyle w:val="ListBullet"/>
      </w:pPr>
      <w:r w:rsidRPr="00D56A45">
        <w:t xml:space="preserve">reduced mobility status </w:t>
      </w:r>
    </w:p>
    <w:p w14:paraId="0CE51BAF" w14:textId="77777777" w:rsidR="00395245" w:rsidRPr="00D56A45" w:rsidRDefault="00395245" w:rsidP="00395245">
      <w:pPr>
        <w:pStyle w:val="ListBullet"/>
      </w:pPr>
      <w:r w:rsidRPr="00D56A45">
        <w:t>severe constipation or loss of weight from lack of functional support for mealtime management or lack of understanding of the specific dietary needs</w:t>
      </w:r>
    </w:p>
    <w:p w14:paraId="4C63CA49" w14:textId="0DEB0FB0" w:rsidR="00395245" w:rsidRPr="00D56A45" w:rsidRDefault="00395245" w:rsidP="00395245">
      <w:pPr>
        <w:pStyle w:val="ListBullet"/>
      </w:pPr>
      <w:r w:rsidRPr="00D56A45">
        <w:t>pressure sores due to lack of appropriate knowledge or understanding of disability and mobility constraints</w:t>
      </w:r>
    </w:p>
    <w:p w14:paraId="0E20949B" w14:textId="4BBBA6F7" w:rsidR="000E22A8" w:rsidRPr="00D56A45" w:rsidRDefault="000E22A8" w:rsidP="00CF2FCB">
      <w:r w:rsidRPr="00D56A45">
        <w:t xml:space="preserve">Lived experience </w:t>
      </w:r>
      <w:r w:rsidR="009952F1" w:rsidRPr="00D56A45">
        <w:t xml:space="preserve">evidence </w:t>
      </w:r>
      <w:r w:rsidR="00395245" w:rsidRPr="00D56A45">
        <w:t xml:space="preserve">shared with the Working Group </w:t>
      </w:r>
      <w:r w:rsidR="00B64D72" w:rsidRPr="00D56A45">
        <w:t xml:space="preserve">indicated other consequences </w:t>
      </w:r>
      <w:r w:rsidR="004C43F6" w:rsidRPr="00D56A45">
        <w:t>caused by a</w:t>
      </w:r>
      <w:r w:rsidR="00573CB9" w:rsidRPr="00D56A45">
        <w:t xml:space="preserve"> lack of appropriate disability knowledge in the health workforce, including</w:t>
      </w:r>
      <w:r w:rsidRPr="00D56A45">
        <w:t>:</w:t>
      </w:r>
    </w:p>
    <w:p w14:paraId="64FE8019" w14:textId="79013AED" w:rsidR="000E22A8" w:rsidRPr="00D56A45" w:rsidRDefault="00395245" w:rsidP="000E22A8">
      <w:pPr>
        <w:pStyle w:val="ListBullet"/>
      </w:pPr>
      <w:r w:rsidRPr="00D56A45">
        <w:t xml:space="preserve">reports of </w:t>
      </w:r>
      <w:r w:rsidR="00573CB9" w:rsidRPr="00D56A45">
        <w:t xml:space="preserve">people with disability being </w:t>
      </w:r>
      <w:r w:rsidRPr="00D56A45">
        <w:t>discharge</w:t>
      </w:r>
      <w:r w:rsidR="00573CB9" w:rsidRPr="00D56A45">
        <w:t>d</w:t>
      </w:r>
      <w:r w:rsidRPr="00D56A45">
        <w:t xml:space="preserve"> from hospitals or emergency departments without thorough assessments</w:t>
      </w:r>
    </w:p>
    <w:p w14:paraId="015C712F" w14:textId="31F7F596" w:rsidR="000E22A8" w:rsidRPr="00D56A45" w:rsidRDefault="00395245" w:rsidP="000E22A8">
      <w:pPr>
        <w:pStyle w:val="ListBullet"/>
      </w:pPr>
      <w:r w:rsidRPr="00D56A45">
        <w:t xml:space="preserve">misdiagnosed </w:t>
      </w:r>
      <w:r w:rsidR="00FE0652" w:rsidRPr="00D56A45">
        <w:t xml:space="preserve">health </w:t>
      </w:r>
      <w:r w:rsidRPr="00D56A45">
        <w:t>needs</w:t>
      </w:r>
    </w:p>
    <w:p w14:paraId="6AF6CC0F" w14:textId="77777777" w:rsidR="00B64D72" w:rsidRPr="00D56A45" w:rsidRDefault="00395245" w:rsidP="000E22A8">
      <w:pPr>
        <w:pStyle w:val="ListBullet"/>
      </w:pPr>
      <w:r w:rsidRPr="00D56A45">
        <w:t>diagnostic overshadowing associated with disability</w:t>
      </w:r>
    </w:p>
    <w:p w14:paraId="640CA69B" w14:textId="201E8174" w:rsidR="00B64D72" w:rsidRPr="00D56A45" w:rsidRDefault="00B64D72" w:rsidP="00B64D72">
      <w:pPr>
        <w:pStyle w:val="ListBullet"/>
      </w:pPr>
      <w:r w:rsidRPr="00D56A45">
        <w:t>polypharmacy</w:t>
      </w:r>
      <w:r w:rsidR="00395245" w:rsidRPr="00D56A45">
        <w:t>.</w:t>
      </w:r>
    </w:p>
    <w:p w14:paraId="2B5437D3" w14:textId="42FFDB2A" w:rsidR="00395245" w:rsidRPr="00D56A45" w:rsidRDefault="00395245" w:rsidP="00A11551">
      <w:r w:rsidRPr="00D56A45">
        <w:t xml:space="preserve">These consequences are reported as occurring across </w:t>
      </w:r>
      <w:r w:rsidR="00E314DB" w:rsidRPr="00D56A45">
        <w:t xml:space="preserve">community and hospital </w:t>
      </w:r>
      <w:r w:rsidRPr="00D56A45">
        <w:t xml:space="preserve">health services. </w:t>
      </w:r>
      <w:r w:rsidR="00D0414E" w:rsidRPr="00D56A45">
        <w:t>Further r</w:t>
      </w:r>
      <w:r w:rsidR="00B24641" w:rsidRPr="00D56A45">
        <w:t>eports</w:t>
      </w:r>
      <w:r w:rsidR="00980B21" w:rsidRPr="00D56A45">
        <w:t xml:space="preserve"> </w:t>
      </w:r>
      <w:r w:rsidR="00D0414E" w:rsidRPr="00D56A45">
        <w:t xml:space="preserve">shared with the DRC </w:t>
      </w:r>
      <w:r w:rsidRPr="00D56A45">
        <w:t xml:space="preserve">highlight a need for improved knowledge and understanding of a person’s specific advocacy requirements and </w:t>
      </w:r>
      <w:r w:rsidR="00FA29AA" w:rsidRPr="00D56A45">
        <w:t>support</w:t>
      </w:r>
      <w:r w:rsidRPr="00D56A45">
        <w:t xml:space="preserve"> to address the barriers impacting health outcomes</w:t>
      </w:r>
      <w:r w:rsidRPr="00D56A45">
        <w:rPr>
          <w:rStyle w:val="EndnoteReference"/>
        </w:rPr>
        <w:endnoteReference w:id="13"/>
      </w:r>
      <w:r w:rsidRPr="00D56A45">
        <w:t xml:space="preserve">. </w:t>
      </w:r>
    </w:p>
    <w:p w14:paraId="61C7BA10" w14:textId="2B0F8C09" w:rsidR="00FF54E1" w:rsidRPr="00D56A45" w:rsidRDefault="00612A73" w:rsidP="00395245">
      <w:r w:rsidRPr="00D56A45">
        <w:t xml:space="preserve">The Working Group highlighted that inadequate health workforce training can also lead to continued use of restrictive practices due to insufficient </w:t>
      </w:r>
      <w:r w:rsidR="0008578D" w:rsidRPr="00D56A45">
        <w:t xml:space="preserve">communication or </w:t>
      </w:r>
      <w:r w:rsidRPr="00D56A45">
        <w:t xml:space="preserve">advocacy </w:t>
      </w:r>
      <w:r w:rsidR="0008578D" w:rsidRPr="00D56A45">
        <w:t xml:space="preserve">for </w:t>
      </w:r>
      <w:r w:rsidRPr="00D56A45">
        <w:t xml:space="preserve">the health needs </w:t>
      </w:r>
      <w:r w:rsidR="001D4E10" w:rsidRPr="00D56A45">
        <w:t xml:space="preserve">of people </w:t>
      </w:r>
      <w:r w:rsidRPr="00D56A45">
        <w:t xml:space="preserve">with disability. </w:t>
      </w:r>
      <w:r w:rsidR="00395245" w:rsidRPr="00D56A45">
        <w:t xml:space="preserve">Restrictive interventions are often used in health settings in lieu of consistent baseline workforce knowledge and practice in identifying person-centred </w:t>
      </w:r>
      <w:r w:rsidR="00965137" w:rsidRPr="00D56A45">
        <w:t xml:space="preserve">risk </w:t>
      </w:r>
      <w:r w:rsidR="00395245" w:rsidRPr="00D56A45">
        <w:t>mitigation strategies.</w:t>
      </w:r>
      <w:r w:rsidR="005B1E55" w:rsidRPr="00D56A45">
        <w:t xml:space="preserve"> </w:t>
      </w:r>
      <w:r w:rsidR="00395245" w:rsidRPr="00D56A45">
        <w:t xml:space="preserve">Restrictive practice intervention instead of preventative actions can lead to additional physical and psychological risks for people with disability who are nonverbal, who have intellectual, cognitive or neurological disability, or have developed PTSD from </w:t>
      </w:r>
      <w:r w:rsidR="00965137" w:rsidRPr="00D56A45">
        <w:t xml:space="preserve">previous </w:t>
      </w:r>
      <w:r w:rsidR="00395245" w:rsidRPr="00D56A45">
        <w:t>negative experiences in health settings.</w:t>
      </w:r>
      <w:r w:rsidR="005B1E55" w:rsidRPr="00D56A45">
        <w:t xml:space="preserve"> </w:t>
      </w:r>
    </w:p>
    <w:p w14:paraId="49E9E86C" w14:textId="77777777" w:rsidR="00395245" w:rsidRPr="00D56A45" w:rsidRDefault="00395245" w:rsidP="00612589">
      <w:pPr>
        <w:pStyle w:val="Sub-heading"/>
      </w:pPr>
      <w:r w:rsidRPr="00D56A45">
        <w:t>Health workforce knowledge gaps and real-world effects on health advocacy</w:t>
      </w:r>
    </w:p>
    <w:p w14:paraId="35E52314" w14:textId="6BDC6731" w:rsidR="00F8387E" w:rsidRPr="00D56A45" w:rsidRDefault="00395245" w:rsidP="00E42FC7">
      <w:r w:rsidRPr="00D56A45">
        <w:t xml:space="preserve">Anecdotal reports describe how people with disability are left isolated in hospital rooms or emergency areas for extended time periods without appropriate support or communication by staff. </w:t>
      </w:r>
      <w:r w:rsidR="00E97233" w:rsidRPr="00D56A45">
        <w:t>Some reasons for this might include:</w:t>
      </w:r>
    </w:p>
    <w:p w14:paraId="4E4FBAE1" w14:textId="0E7BF556" w:rsidR="00481E94" w:rsidRPr="00D56A45" w:rsidRDefault="00E97233" w:rsidP="00E42FC7">
      <w:pPr>
        <w:pStyle w:val="ListBullet"/>
      </w:pPr>
      <w:r w:rsidRPr="00D56A45">
        <w:t xml:space="preserve">staff </w:t>
      </w:r>
      <w:r w:rsidR="00395245" w:rsidRPr="00D56A45">
        <w:t>feeling inadequate in their ability to communicate with and make assessments with the individual</w:t>
      </w:r>
    </w:p>
    <w:p w14:paraId="5AE69B44" w14:textId="447FA355" w:rsidR="00481E94" w:rsidRPr="00D56A45" w:rsidRDefault="00395245" w:rsidP="00E42FC7">
      <w:pPr>
        <w:pStyle w:val="ListBullet"/>
      </w:pPr>
      <w:r w:rsidRPr="00D56A45">
        <w:t>not having consistent systems to access health history or information on appropriate adjustments or supports</w:t>
      </w:r>
    </w:p>
    <w:p w14:paraId="0B1135B6" w14:textId="6FA9CB78" w:rsidR="00481E94" w:rsidRPr="00D56A45" w:rsidRDefault="00395245" w:rsidP="00E42FC7">
      <w:pPr>
        <w:pStyle w:val="ListBullet"/>
      </w:pPr>
      <w:r w:rsidRPr="00D56A45">
        <w:t xml:space="preserve">the expectation from health workforce that disability support workers would be onsite for the support and advocacy needs where family or carers are not available or involved. </w:t>
      </w:r>
    </w:p>
    <w:p w14:paraId="52E9A15A" w14:textId="40CEE146" w:rsidR="00395245" w:rsidRPr="00D56A45" w:rsidRDefault="00395245" w:rsidP="00E42FC7">
      <w:r w:rsidRPr="00D56A45">
        <w:t xml:space="preserve">Instances where anxiety and distress resulted in behavioural protests, interventions included the use of security guards to intervene, the application of bed restraints and delivery of sedation. </w:t>
      </w:r>
      <w:r w:rsidR="00266A59" w:rsidRPr="00D56A45">
        <w:t>At times,</w:t>
      </w:r>
      <w:r w:rsidR="00C440C3" w:rsidRPr="00D56A45">
        <w:t xml:space="preserve"> this can result in a failure to provide diagnostic or treatment options at all.</w:t>
      </w:r>
    </w:p>
    <w:p w14:paraId="27AD9CC6" w14:textId="7FB6B13A" w:rsidR="00815344" w:rsidRPr="00D56A45" w:rsidRDefault="00815344" w:rsidP="00612589">
      <w:pPr>
        <w:pStyle w:val="Heading3"/>
      </w:pPr>
      <w:r w:rsidRPr="00D56A45">
        <w:t xml:space="preserve">Disability </w:t>
      </w:r>
      <w:r w:rsidR="00E546F3" w:rsidRPr="00D56A45">
        <w:t>w</w:t>
      </w:r>
      <w:r w:rsidRPr="00D56A45">
        <w:t>orkforce</w:t>
      </w:r>
      <w:r w:rsidR="007067D9" w:rsidRPr="00D56A45">
        <w:t xml:space="preserve"> </w:t>
      </w:r>
      <w:r w:rsidR="002B7C92" w:rsidRPr="00D56A45">
        <w:t>lacks appropriate</w:t>
      </w:r>
      <w:r w:rsidR="007067D9" w:rsidRPr="00D56A45">
        <w:t xml:space="preserve"> health literacy</w:t>
      </w:r>
    </w:p>
    <w:p w14:paraId="4A641931" w14:textId="0D393295" w:rsidR="00815344" w:rsidRPr="00D56A45" w:rsidRDefault="00815344" w:rsidP="00815344">
      <w:r w:rsidRPr="00D56A45">
        <w:t xml:space="preserve">The Working Group </w:t>
      </w:r>
      <w:r w:rsidR="000B1E2A" w:rsidRPr="00D56A45">
        <w:t xml:space="preserve">also </w:t>
      </w:r>
      <w:r w:rsidRPr="00D56A45">
        <w:t xml:space="preserve">noted that health knowledge gaps in the disability workforce present advocacy barriers to addressing the health needs of people with disability </w:t>
      </w:r>
      <w:r w:rsidR="0031439A" w:rsidRPr="00D56A45">
        <w:t>with</w:t>
      </w:r>
      <w:r w:rsidRPr="00D56A45">
        <w:t xml:space="preserve">in health settings. </w:t>
      </w:r>
    </w:p>
    <w:p w14:paraId="7D274EA7" w14:textId="476421F8" w:rsidR="00815344" w:rsidRPr="00D56A45" w:rsidRDefault="00815344" w:rsidP="00ED2C49">
      <w:r w:rsidRPr="00D56A45">
        <w:t>The disability workforce receives inconsistent training to equip them with the knowledge and skills to provide a baseline level of health literacy and health system navigation. The lack of adequate health training among disability workforce and support workers can lead to lack of confidence in advocating for the health needs of the people they are supporting within the health system. Additionally, health navigation knowledge gaps also impact the ability of the</w:t>
      </w:r>
      <w:r w:rsidR="00D3391D" w:rsidRPr="00D56A45">
        <w:t xml:space="preserve"> disability</w:t>
      </w:r>
      <w:r w:rsidRPr="00D56A45">
        <w:t xml:space="preserve"> workforce to advocate for and organise critical health appointments, such as regular GP appointments to monitor an acute or chronic health condition</w:t>
      </w:r>
      <w:r w:rsidR="007E64CA" w:rsidRPr="00D56A45">
        <w:t>s</w:t>
      </w:r>
      <w:r w:rsidRPr="00D56A45">
        <w:t xml:space="preserve">, annual health assessments, and preventative screening and tests. </w:t>
      </w:r>
      <w:r w:rsidR="00F04949" w:rsidRPr="00D56A45">
        <w:t xml:space="preserve">It is also important to understand the intersectionality of how disability support workers are learning and implementing their health literacy skills. </w:t>
      </w:r>
      <w:r w:rsidR="00546611" w:rsidRPr="00D56A45">
        <w:t>The Working Group noted a gap in cross-system collaboration between the health and disability workforce</w:t>
      </w:r>
      <w:r w:rsidR="00855DB9" w:rsidRPr="00D56A45">
        <w:t>s</w:t>
      </w:r>
      <w:r w:rsidR="00F04949" w:rsidRPr="00D56A45">
        <w:t xml:space="preserve">. This </w:t>
      </w:r>
      <w:proofErr w:type="gramStart"/>
      <w:r w:rsidR="00F04949" w:rsidRPr="00D56A45">
        <w:t>in itself poses</w:t>
      </w:r>
      <w:proofErr w:type="gramEnd"/>
      <w:r w:rsidR="00F04949" w:rsidRPr="00D56A45">
        <w:t xml:space="preserve"> a communication </w:t>
      </w:r>
      <w:proofErr w:type="gramStart"/>
      <w:r w:rsidR="00F04949" w:rsidRPr="00D56A45">
        <w:t>barrier, and</w:t>
      </w:r>
      <w:proofErr w:type="gramEnd"/>
      <w:r w:rsidR="00F04949" w:rsidRPr="00D56A45">
        <w:t xml:space="preserve"> </w:t>
      </w:r>
      <w:r w:rsidR="00546611" w:rsidRPr="00D56A45">
        <w:t>contributes to the complexities experienced by support workers in navigating the health system.</w:t>
      </w:r>
    </w:p>
    <w:p w14:paraId="365841D1" w14:textId="0BCA1C97" w:rsidR="0011160F" w:rsidRPr="00D56A45" w:rsidRDefault="00815344" w:rsidP="003773E0">
      <w:r w:rsidRPr="00D56A45">
        <w:t xml:space="preserve">The casual workforce was highlighted </w:t>
      </w:r>
      <w:r w:rsidR="003E69C7" w:rsidRPr="00D56A45">
        <w:t xml:space="preserve">by the Working Group </w:t>
      </w:r>
      <w:r w:rsidRPr="00D56A45">
        <w:t>as a particular concern, with reduced opportunities to access professional development or engage in discussion</w:t>
      </w:r>
      <w:r w:rsidR="00FF496E" w:rsidRPr="00D56A45">
        <w:t>s around</w:t>
      </w:r>
      <w:r w:rsidRPr="00D56A45">
        <w:t xml:space="preserve"> disability health needs with colleagues.</w:t>
      </w:r>
    </w:p>
    <w:p w14:paraId="3E8E682E" w14:textId="7A57D7FD" w:rsidR="00C54B5D" w:rsidRPr="00D56A45" w:rsidRDefault="00C54B5D" w:rsidP="00612589">
      <w:pPr>
        <w:pStyle w:val="Heading3"/>
      </w:pPr>
      <w:r w:rsidRPr="00D56A45">
        <w:t>Current opportunities and limitations</w:t>
      </w:r>
    </w:p>
    <w:p w14:paraId="0C93E6D1" w14:textId="77777777" w:rsidR="001C7B4B" w:rsidRPr="00D56A45" w:rsidRDefault="001C7B4B" w:rsidP="001C7B4B">
      <w:r w:rsidRPr="00D56A45">
        <w:t>The lack of disability awareness in health systems can cause an overall distrust among people with disability and their supporters in the ability of health professionals to listen to and act upon their health needs. This is compounded when disability support workers have low health literacy and the disconnect can further impede a person’s ability to advocate for their health needs and requirements.</w:t>
      </w:r>
    </w:p>
    <w:p w14:paraId="34529372" w14:textId="47521CD5" w:rsidR="00EE4F01" w:rsidRPr="00D56A45" w:rsidRDefault="00EE4F01" w:rsidP="00EE4F01">
      <w:r w:rsidRPr="00D56A45">
        <w:t>While many health disciplines have qualification frameworks</w:t>
      </w:r>
      <w:r w:rsidR="00CC3A2B" w:rsidRPr="00D56A45">
        <w:t xml:space="preserve"> and</w:t>
      </w:r>
      <w:r w:rsidRPr="00D56A45">
        <w:t xml:space="preserve"> professional accreditation requirements for course curricula, they are impacted by various constraints. </w:t>
      </w:r>
      <w:r w:rsidR="00CC3A2B" w:rsidRPr="00D56A45">
        <w:t>C</w:t>
      </w:r>
      <w:r w:rsidRPr="00D56A45">
        <w:t>onstraints impacting workforce understanding of disability health include</w:t>
      </w:r>
      <w:r w:rsidR="00CC3A2B" w:rsidRPr="00D56A45">
        <w:t>s</w:t>
      </w:r>
      <w:r w:rsidRPr="00D56A45">
        <w:t xml:space="preserve"> a lack of mandated education. </w:t>
      </w:r>
      <w:r w:rsidR="00DD5E6A" w:rsidRPr="00D56A45">
        <w:t>Specific</w:t>
      </w:r>
      <w:r w:rsidR="00C5462A" w:rsidRPr="00D56A45">
        <w:t xml:space="preserve"> d</w:t>
      </w:r>
      <w:r w:rsidRPr="00D56A45">
        <w:t xml:space="preserve">isability health training often depends on the interest of individual workers wanting to improve their understanding of the needs and requirements of people with disability. </w:t>
      </w:r>
    </w:p>
    <w:p w14:paraId="0C04AF4C" w14:textId="5B58538A" w:rsidR="004D5046" w:rsidRPr="00D56A45" w:rsidRDefault="004D5046" w:rsidP="004D5046">
      <w:r w:rsidRPr="00D56A45">
        <w:t xml:space="preserve">Current government initiatives and policies aimed at </w:t>
      </w:r>
      <w:r w:rsidR="0000175E" w:rsidRPr="00D56A45">
        <w:t xml:space="preserve">increasing </w:t>
      </w:r>
      <w:r w:rsidRPr="00D56A45">
        <w:t xml:space="preserve">workforce </w:t>
      </w:r>
      <w:r w:rsidR="000A61D5" w:rsidRPr="00D56A45">
        <w:t xml:space="preserve">disability </w:t>
      </w:r>
      <w:r w:rsidRPr="00D56A45">
        <w:t xml:space="preserve">knowledge and practice were identified as important steps towards facilitating the health advocacy of people with disability in health systems. However, the Working Group highlighted concerns </w:t>
      </w:r>
      <w:r w:rsidR="0041787F" w:rsidRPr="00D56A45">
        <w:t>that</w:t>
      </w:r>
      <w:r w:rsidRPr="00D56A45">
        <w:t xml:space="preserve"> the momentum to embed non-mandatory baseline knowledge is low. Evidence for this includes feedback from PHNs noting intellectual disability health training is a low priority compared to other continuing professional development programs, low awareness of the Comprehensive Health Assessment Program for people with intellectual disability (CHAP), and optional disability initiatives provided by the RACGP and the National Safety and Quality Health Standards.</w:t>
      </w:r>
      <w:r w:rsidRPr="00D56A45">
        <w:rPr>
          <w:rStyle w:val="EndnoteReference"/>
        </w:rPr>
        <w:endnoteReference w:id="14"/>
      </w:r>
    </w:p>
    <w:p w14:paraId="7A54B418" w14:textId="77777777" w:rsidR="004D5046" w:rsidRPr="00D56A45" w:rsidRDefault="004D5046" w:rsidP="004D5046">
      <w:r w:rsidRPr="00D56A45">
        <w:t>The Working Group acknowledges these education and training initiatives are a positive step towards improving access to quality and safe health services, but it does not reduce the current advocacy barriers experienced by people with disability and their supporters.</w:t>
      </w:r>
    </w:p>
    <w:p w14:paraId="03DFC59B" w14:textId="0DAC90A0" w:rsidR="00EE4F01" w:rsidRPr="00D56A45" w:rsidRDefault="00D53708" w:rsidP="00EE4F01">
      <w:r w:rsidRPr="00D56A45">
        <w:t xml:space="preserve">Improving health literacy and </w:t>
      </w:r>
      <w:r w:rsidR="004D5046" w:rsidRPr="00D56A45">
        <w:t xml:space="preserve">baseline health system navigation knowledge for disability workers </w:t>
      </w:r>
      <w:r w:rsidRPr="00D56A45">
        <w:t xml:space="preserve">is another opportunity to address some of the workforce barriers. </w:t>
      </w:r>
      <w:r w:rsidR="007625C6" w:rsidRPr="00D56A45">
        <w:t xml:space="preserve">Upskilling the disability workforce, particularly disability support workers, </w:t>
      </w:r>
      <w:r w:rsidR="008462F9" w:rsidRPr="00D56A45">
        <w:t>is one opportunity to</w:t>
      </w:r>
      <w:r w:rsidR="00E73DB4" w:rsidRPr="00D56A45">
        <w:t xml:space="preserve"> </w:t>
      </w:r>
      <w:r w:rsidR="00826151" w:rsidRPr="00D56A45">
        <w:t>improve health advocacy capability</w:t>
      </w:r>
      <w:r w:rsidR="008462F9" w:rsidRPr="00D56A45">
        <w:t xml:space="preserve">. This would, in turn, </w:t>
      </w:r>
      <w:r w:rsidR="00F230EB" w:rsidRPr="00D56A45">
        <w:t xml:space="preserve">improve </w:t>
      </w:r>
      <w:r w:rsidR="008462F9" w:rsidRPr="00D56A45">
        <w:t xml:space="preserve">confidence for both the person with disability and their support workers </w:t>
      </w:r>
      <w:r w:rsidR="004D5046" w:rsidRPr="00D56A45">
        <w:t xml:space="preserve">during the patient journey and </w:t>
      </w:r>
      <w:r w:rsidR="00F230EB" w:rsidRPr="00D56A45">
        <w:t xml:space="preserve">to </w:t>
      </w:r>
      <w:r w:rsidR="004D5046" w:rsidRPr="00D56A45">
        <w:t xml:space="preserve">advocate for their health and </w:t>
      </w:r>
      <w:r w:rsidR="008462F9" w:rsidRPr="00D56A45">
        <w:t>disability-</w:t>
      </w:r>
      <w:r w:rsidR="004D5046" w:rsidRPr="00D56A45">
        <w:t xml:space="preserve">functional </w:t>
      </w:r>
      <w:r w:rsidR="008462F9" w:rsidRPr="00D56A45">
        <w:t xml:space="preserve">support </w:t>
      </w:r>
      <w:r w:rsidR="004D5046" w:rsidRPr="00D56A45">
        <w:t xml:space="preserve">needs as required. </w:t>
      </w:r>
      <w:r w:rsidR="00D140E1" w:rsidRPr="00D56A45">
        <w:t>Upskilling of disability workers may</w:t>
      </w:r>
      <w:r w:rsidR="0010267C" w:rsidRPr="00D56A45">
        <w:t xml:space="preserve"> require changes to c</w:t>
      </w:r>
      <w:r w:rsidR="008420E3" w:rsidRPr="00D56A45">
        <w:t xml:space="preserve">urrent infrastructure and training programs </w:t>
      </w:r>
      <w:r w:rsidR="0010267C" w:rsidRPr="00D56A45">
        <w:t>to ensure disability workers have access to appropriate resources</w:t>
      </w:r>
      <w:r w:rsidR="00864373" w:rsidRPr="00D56A45">
        <w:t xml:space="preserve"> </w:t>
      </w:r>
      <w:r w:rsidR="006E6D5B" w:rsidRPr="00D56A45">
        <w:t>so</w:t>
      </w:r>
      <w:r w:rsidR="00864373" w:rsidRPr="00D56A45">
        <w:t xml:space="preserve"> that long-term improvements </w:t>
      </w:r>
      <w:r w:rsidR="006E6D5B" w:rsidRPr="00D56A45">
        <w:t xml:space="preserve">to baseline knowledge </w:t>
      </w:r>
      <w:r w:rsidR="00864373" w:rsidRPr="00D56A45">
        <w:t>can be achieved.</w:t>
      </w:r>
      <w:r w:rsidR="0010267C" w:rsidRPr="00D56A45">
        <w:t xml:space="preserve"> </w:t>
      </w:r>
    </w:p>
    <w:p w14:paraId="133F8D35" w14:textId="0CC83B05" w:rsidR="005703AC" w:rsidRPr="00D56A45" w:rsidRDefault="001D0F33" w:rsidP="00612589">
      <w:pPr>
        <w:pStyle w:val="Heading2"/>
      </w:pPr>
      <w:bookmarkStart w:id="24" w:name="_Toc225778756"/>
      <w:r w:rsidRPr="00D56A45">
        <w:t>System barriers to</w:t>
      </w:r>
      <w:r w:rsidR="005703AC" w:rsidRPr="00D56A45">
        <w:t xml:space="preserve"> communication</w:t>
      </w:r>
      <w:r w:rsidRPr="00D56A45">
        <w:t>, access and autonomy</w:t>
      </w:r>
      <w:bookmarkEnd w:id="24"/>
      <w:r w:rsidRPr="00D56A45">
        <w:t xml:space="preserve"> </w:t>
      </w:r>
    </w:p>
    <w:p w14:paraId="438983E4" w14:textId="3034F30A" w:rsidR="00222397" w:rsidRPr="00D56A45" w:rsidRDefault="00222397" w:rsidP="00B329E4">
      <w:r w:rsidRPr="00D56A45">
        <w:t>Health service environments and settings vary in relation to how they embed accessibility and inclusion for people with disability</w:t>
      </w:r>
      <w:r w:rsidR="002D64D1" w:rsidRPr="00D56A45">
        <w:t>. This variation</w:t>
      </w:r>
      <w:r w:rsidRPr="00D56A45">
        <w:t xml:space="preserve"> impacts how a person with disability can exercise autonomy to advocate for appropriate health support, information, diagnosis and treatment. </w:t>
      </w:r>
    </w:p>
    <w:p w14:paraId="2957CE95" w14:textId="3A0F4A57" w:rsidR="00FE3970" w:rsidRPr="00D56A45" w:rsidRDefault="005C4FEF" w:rsidP="005C4FEF">
      <w:r w:rsidRPr="00D56A45">
        <w:t xml:space="preserve">The Working Group identified </w:t>
      </w:r>
      <w:r w:rsidR="007D7344" w:rsidRPr="00D56A45">
        <w:t>several</w:t>
      </w:r>
      <w:r w:rsidRPr="00D56A45">
        <w:t xml:space="preserve"> barriers experienced by people with disability when accessing and interacting with primary health professionals and their services</w:t>
      </w:r>
      <w:r w:rsidR="00D53B19" w:rsidRPr="00D56A45">
        <w:t>, as exemplified in Appendix 1 and 2</w:t>
      </w:r>
      <w:r w:rsidR="005B0F5B" w:rsidRPr="00D56A45">
        <w:t xml:space="preserve"> of this report</w:t>
      </w:r>
      <w:r w:rsidR="00D53B19" w:rsidRPr="00D56A45">
        <w:t>.</w:t>
      </w:r>
    </w:p>
    <w:p w14:paraId="56AEE11A" w14:textId="26258339" w:rsidR="00D81D25" w:rsidRPr="007B7D66" w:rsidRDefault="00D81D25" w:rsidP="007B7D66">
      <w:pPr>
        <w:pStyle w:val="Boxtype"/>
        <w:rPr>
          <w:rStyle w:val="Strong"/>
        </w:rPr>
      </w:pPr>
      <w:r w:rsidRPr="007B7D66">
        <w:rPr>
          <w:rStyle w:val="Strong"/>
        </w:rPr>
        <w:t xml:space="preserve">This </w:t>
      </w:r>
      <w:r w:rsidR="00745C32" w:rsidRPr="007B7D66">
        <w:rPr>
          <w:rStyle w:val="Strong"/>
        </w:rPr>
        <w:t>issue</w:t>
      </w:r>
      <w:r w:rsidRPr="007B7D66">
        <w:rPr>
          <w:rStyle w:val="Strong"/>
        </w:rPr>
        <w:t xml:space="preserve"> corresponds directly with the following:</w:t>
      </w:r>
    </w:p>
    <w:p w14:paraId="3145D0F7" w14:textId="77777777" w:rsidR="00D81D25" w:rsidRPr="00D56A45" w:rsidRDefault="00D81D25" w:rsidP="007B7D66">
      <w:pPr>
        <w:pStyle w:val="Boxtype"/>
      </w:pPr>
      <w:r w:rsidRPr="007B7D66">
        <w:t>DRC recommendation 6.1</w:t>
      </w:r>
      <w:r w:rsidRPr="00D56A45">
        <w:t xml:space="preserve"> to establish a national plan to promote accessible information and communications </w:t>
      </w:r>
    </w:p>
    <w:p w14:paraId="5E6E65B3" w14:textId="77777777" w:rsidR="00D81D25" w:rsidRPr="00D56A45" w:rsidRDefault="00D81D25" w:rsidP="007B7D66">
      <w:pPr>
        <w:pStyle w:val="Boxtype"/>
      </w:pPr>
      <w:r w:rsidRPr="007B7D66">
        <w:t>DRC Recommendation 6.10</w:t>
      </w:r>
      <w:r w:rsidRPr="00D56A45">
        <w:t xml:space="preserve"> to ensure that people with </w:t>
      </w:r>
      <w:proofErr w:type="gramStart"/>
      <w:r w:rsidRPr="00D56A45">
        <w:t>disability</w:t>
      </w:r>
      <w:proofErr w:type="gramEnd"/>
      <w:r w:rsidRPr="00D56A45">
        <w:t xml:space="preserve"> are presumed to be able to make their own decisions </w:t>
      </w:r>
    </w:p>
    <w:p w14:paraId="1D4C1390" w14:textId="473BE793" w:rsidR="00D81D25" w:rsidRPr="00D56A45" w:rsidRDefault="00D81D25" w:rsidP="007B7D66">
      <w:pPr>
        <w:pStyle w:val="Boxtype"/>
      </w:pPr>
      <w:r w:rsidRPr="007B7D66">
        <w:t>DRC recommendation 6.14</w:t>
      </w:r>
      <w:r w:rsidRPr="00D56A45">
        <w:t xml:space="preserve"> to improve systemic advocacy to promote supported decision-making</w:t>
      </w:r>
      <w:r w:rsidRPr="00D56A45">
        <w:rPr>
          <w:rStyle w:val="EndnoteReference"/>
        </w:rPr>
        <w:endnoteReference w:id="15"/>
      </w:r>
    </w:p>
    <w:p w14:paraId="31317B5B" w14:textId="2B8BD2A5" w:rsidR="005C4FEF" w:rsidRPr="00D56A45" w:rsidRDefault="005C4FEF" w:rsidP="005C4FEF">
      <w:r w:rsidRPr="00D56A45">
        <w:t xml:space="preserve">A key system barrier identified by the Working Group is the difficulty in health systems to identify </w:t>
      </w:r>
      <w:r w:rsidR="007D7344" w:rsidRPr="00D56A45">
        <w:t>and record the health advocacy needs of people with disability</w:t>
      </w:r>
      <w:r w:rsidRPr="00D56A45">
        <w:t>. This</w:t>
      </w:r>
      <w:r w:rsidR="00DE4F0B" w:rsidRPr="00D56A45">
        <w:t xml:space="preserve"> record</w:t>
      </w:r>
      <w:r w:rsidR="00A30891" w:rsidRPr="00D56A45">
        <w:t>keeping barrier</w:t>
      </w:r>
      <w:r w:rsidRPr="00D56A45">
        <w:t xml:space="preserve"> hinders the ability of people with disability to access primary care services and can impact the quality and safety of the care provided</w:t>
      </w:r>
      <w:r w:rsidRPr="00D56A45">
        <w:rPr>
          <w:rStyle w:val="EndnoteReference"/>
        </w:rPr>
        <w:endnoteReference w:id="16"/>
      </w:r>
      <w:r w:rsidRPr="00D56A45">
        <w:t xml:space="preserve">.  </w:t>
      </w:r>
    </w:p>
    <w:p w14:paraId="52562E98" w14:textId="0827EF09" w:rsidR="005C4FEF" w:rsidRPr="00D56A45" w:rsidRDefault="00745C32" w:rsidP="005C4FEF">
      <w:r w:rsidRPr="00D56A45">
        <w:t>Lived experience feedback provided via the</w:t>
      </w:r>
      <w:r w:rsidR="005C4FEF" w:rsidRPr="00D56A45">
        <w:t xml:space="preserve"> Working Group reported:</w:t>
      </w:r>
    </w:p>
    <w:p w14:paraId="4F466392" w14:textId="2B9ADA10" w:rsidR="005C4FEF" w:rsidRPr="00D56A45" w:rsidRDefault="00980B21" w:rsidP="005C4FEF">
      <w:pPr>
        <w:pStyle w:val="ListBullet"/>
      </w:pPr>
      <w:r w:rsidRPr="00D56A45">
        <w:t>l</w:t>
      </w:r>
      <w:r w:rsidR="005C4FEF" w:rsidRPr="00D56A45">
        <w:t xml:space="preserve">ack of assessment to identify a person’s health and disability support needs, preventing early access to health services due to ineffective and/or unnecessary health assessments, misdiagnosis and diagnostic overshadowing. </w:t>
      </w:r>
    </w:p>
    <w:p w14:paraId="5A66B686" w14:textId="14929715" w:rsidR="005C4FEF" w:rsidRPr="00D56A45" w:rsidRDefault="00980B21" w:rsidP="005C4FEF">
      <w:pPr>
        <w:pStyle w:val="ListBullet"/>
      </w:pPr>
      <w:r w:rsidRPr="00D56A45">
        <w:t>d</w:t>
      </w:r>
      <w:r w:rsidR="005C4FEF" w:rsidRPr="00D56A45">
        <w:t>elays in early intervention, screening and diagnostic procedures (such as identification of late-stage cancers)</w:t>
      </w:r>
    </w:p>
    <w:p w14:paraId="31750E65" w14:textId="5A3F466F" w:rsidR="005C4FEF" w:rsidRPr="00D56A45" w:rsidRDefault="00980B21" w:rsidP="005C4FEF">
      <w:pPr>
        <w:pStyle w:val="ListBullet"/>
      </w:pPr>
      <w:r w:rsidRPr="00D56A45">
        <w:t>d</w:t>
      </w:r>
      <w:r w:rsidR="005C4FEF" w:rsidRPr="00D56A45">
        <w:t xml:space="preserve">elays in access to appointments were reported as impacting treatment for emerging or existing health needs, leading to further health deterioration. </w:t>
      </w:r>
    </w:p>
    <w:p w14:paraId="0D30A958" w14:textId="416C8E46" w:rsidR="005C4FEF" w:rsidRPr="00D56A45" w:rsidRDefault="005C4FEF" w:rsidP="00A11551">
      <w:r w:rsidRPr="00D56A45">
        <w:t xml:space="preserve">Delays in assessment also </w:t>
      </w:r>
      <w:r w:rsidR="00840DFB" w:rsidRPr="00D56A45">
        <w:t>impacted</w:t>
      </w:r>
      <w:r w:rsidRPr="00D56A45">
        <w:t xml:space="preserve"> an individual’s ability to provide adequate information for NDIS funding decisions for residential and in-home supports</w:t>
      </w:r>
      <w:r w:rsidR="006C5280" w:rsidRPr="00D56A45">
        <w:t>.</w:t>
      </w:r>
      <w:r w:rsidR="002C7565" w:rsidRPr="00D56A45">
        <w:t xml:space="preserve"> This delay</w:t>
      </w:r>
      <w:r w:rsidRPr="00D56A45">
        <w:t xml:space="preserve"> </w:t>
      </w:r>
      <w:r w:rsidR="00980B21" w:rsidRPr="00D56A45">
        <w:t>can result in</w:t>
      </w:r>
      <w:r w:rsidRPr="00D56A45">
        <w:t xml:space="preserve"> some people </w:t>
      </w:r>
      <w:r w:rsidR="00980B21" w:rsidRPr="00D56A45">
        <w:t>exiting</w:t>
      </w:r>
      <w:r w:rsidRPr="00D56A45">
        <w:t xml:space="preserve"> </w:t>
      </w:r>
      <w:r w:rsidR="00DE0E44" w:rsidRPr="00D56A45">
        <w:t xml:space="preserve">the </w:t>
      </w:r>
      <w:r w:rsidRPr="00D56A45">
        <w:t>service due to lack of funding while waiting for plan reviews</w:t>
      </w:r>
      <w:r w:rsidR="00FA1398" w:rsidRPr="00D56A45">
        <w:t>, increasing hosp</w:t>
      </w:r>
      <w:r w:rsidR="00657973" w:rsidRPr="00D56A45">
        <w:t>ital admissions as a</w:t>
      </w:r>
      <w:r w:rsidR="00BF0302" w:rsidRPr="00D56A45">
        <w:t xml:space="preserve"> last resort to receive the care options they need.</w:t>
      </w:r>
      <w:r w:rsidRPr="00D56A45">
        <w:t xml:space="preserve"> </w:t>
      </w:r>
    </w:p>
    <w:p w14:paraId="1EDD45C0" w14:textId="49C403AA" w:rsidR="005C4FEF" w:rsidRPr="00D56A45" w:rsidRDefault="00FE3970" w:rsidP="00B329E4">
      <w:r w:rsidRPr="00D56A45">
        <w:t>Additionally, c</w:t>
      </w:r>
      <w:r w:rsidR="00983B2C" w:rsidRPr="00D56A45">
        <w:t xml:space="preserve">linical information systems </w:t>
      </w:r>
      <w:r w:rsidR="005C4FEF" w:rsidRPr="00D56A45">
        <w:t xml:space="preserve">vary across health services, with limited and inconsistent identification of people with disability. Inconsistent data across health systems impacts how individual advocacy needs, supports and health history are captured. This impacts how information is shared between health services and professionals, and how this information is communicated with a person’s family, carers or support workers.  </w:t>
      </w:r>
    </w:p>
    <w:p w14:paraId="29C993BE" w14:textId="716544A8" w:rsidR="005C4FEF" w:rsidRPr="00D56A45" w:rsidRDefault="005C4FEF" w:rsidP="005C4FEF">
      <w:r w:rsidRPr="00D56A45">
        <w:t xml:space="preserve">Other barriers to health autonomy and access </w:t>
      </w:r>
      <w:r w:rsidR="00F04949" w:rsidRPr="00D56A45">
        <w:t xml:space="preserve">identified across health systems by the </w:t>
      </w:r>
      <w:r w:rsidRPr="00D56A45">
        <w:t>Working Group</w:t>
      </w:r>
      <w:r w:rsidR="00B60577" w:rsidRPr="00D56A45">
        <w:t xml:space="preserve"> </w:t>
      </w:r>
      <w:r w:rsidRPr="00D56A45">
        <w:t>include:​</w:t>
      </w:r>
    </w:p>
    <w:p w14:paraId="3535B452" w14:textId="11914293" w:rsidR="005C4FEF" w:rsidRPr="00D56A45" w:rsidRDefault="00883049" w:rsidP="00A11551">
      <w:pPr>
        <w:pStyle w:val="ListBullet"/>
      </w:pPr>
      <w:r w:rsidRPr="00D56A45">
        <w:t>limited availability of</w:t>
      </w:r>
      <w:r w:rsidR="005C4FEF" w:rsidRPr="00D56A45">
        <w:t xml:space="preserve"> </w:t>
      </w:r>
      <w:r w:rsidR="007A771E" w:rsidRPr="00D56A45">
        <w:t>cost-effective</w:t>
      </w:r>
      <w:r w:rsidR="005C4FEF" w:rsidRPr="00D56A45">
        <w:t xml:space="preserve"> services </w:t>
      </w:r>
      <w:r w:rsidRPr="00D56A45">
        <w:t xml:space="preserve">for </w:t>
      </w:r>
      <w:r w:rsidR="005C4FEF" w:rsidRPr="00D56A45">
        <w:t>people with disability</w:t>
      </w:r>
      <w:r w:rsidR="0075324C" w:rsidRPr="00D56A45">
        <w:t xml:space="preserve">, including general practice billing models, and expensive oral </w:t>
      </w:r>
      <w:proofErr w:type="spellStart"/>
      <w:r w:rsidR="0075324C" w:rsidRPr="00D56A45">
        <w:t>health,</w:t>
      </w:r>
      <w:proofErr w:type="spellEnd"/>
      <w:r w:rsidR="0075324C" w:rsidRPr="00D56A45">
        <w:t xml:space="preserve"> allied </w:t>
      </w:r>
      <w:proofErr w:type="spellStart"/>
      <w:r w:rsidR="0075324C" w:rsidRPr="00D56A45">
        <w:t>health</w:t>
      </w:r>
      <w:r w:rsidR="00C65C2E" w:rsidRPr="00D56A45">
        <w:t>,</w:t>
      </w:r>
      <w:proofErr w:type="spellEnd"/>
      <w:r w:rsidR="0075324C" w:rsidRPr="00D56A45">
        <w:t xml:space="preserve"> psychology, psychiatry and other specialist assessment costs</w:t>
      </w:r>
      <w:r w:rsidR="00B9302C" w:rsidRPr="00D56A45">
        <w:t>.</w:t>
      </w:r>
    </w:p>
    <w:p w14:paraId="0EC9F018" w14:textId="75DEEB05" w:rsidR="00A6263C" w:rsidRPr="00D56A45" w:rsidRDefault="00A6263C" w:rsidP="00A6263C">
      <w:pPr>
        <w:pStyle w:val="ListBullet"/>
      </w:pPr>
      <w:r w:rsidRPr="00D56A45">
        <w:t xml:space="preserve">short appointment times </w:t>
      </w:r>
      <w:r w:rsidR="00ED453B" w:rsidRPr="00D56A45">
        <w:t>under the</w:t>
      </w:r>
      <w:r w:rsidRPr="00D56A45">
        <w:t xml:space="preserve"> Medicare Benefit Scheme</w:t>
      </w:r>
      <w:r w:rsidR="00CA227B" w:rsidRPr="00D56A45">
        <w:t xml:space="preserve"> </w:t>
      </w:r>
      <w:r w:rsidR="00442A08" w:rsidRPr="00D56A45">
        <w:t>are not suitable</w:t>
      </w:r>
      <w:r w:rsidR="0078065A" w:rsidRPr="00D56A45">
        <w:t xml:space="preserve"> for people with disability</w:t>
      </w:r>
      <w:r w:rsidRPr="00D56A45">
        <w:t>, leading to health advocacy barriers when health needs are misdiagnosed, unrecognised or overlooked</w:t>
      </w:r>
      <w:r w:rsidR="00B9302C" w:rsidRPr="00D56A45">
        <w:t>.</w:t>
      </w:r>
    </w:p>
    <w:p w14:paraId="68536E86" w14:textId="3D6E5FA4" w:rsidR="005C4FEF" w:rsidRPr="00D56A45" w:rsidRDefault="005C4FEF" w:rsidP="00A11551">
      <w:pPr>
        <w:pStyle w:val="ListBullet"/>
      </w:pPr>
      <w:r w:rsidRPr="00D56A45">
        <w:t>limited access</w:t>
      </w:r>
      <w:r w:rsidR="004237E9" w:rsidRPr="00D56A45">
        <w:t xml:space="preserve"> to</w:t>
      </w:r>
      <w:r w:rsidRPr="00D56A45">
        <w:t xml:space="preserve"> Hospital in the Home (HITH)</w:t>
      </w:r>
      <w:r w:rsidR="0016184E" w:rsidRPr="00D56A45">
        <w:t xml:space="preserve"> care</w:t>
      </w:r>
      <w:r w:rsidR="00454351" w:rsidRPr="00D56A45">
        <w:t xml:space="preserve"> to reduce unnecessary hospital visits</w:t>
      </w:r>
      <w:r w:rsidR="006C450D" w:rsidRPr="00D56A45">
        <w:t xml:space="preserve"> and allow people with disability to have procedures done at home</w:t>
      </w:r>
      <w:r w:rsidR="00454351" w:rsidRPr="00D56A45">
        <w:t>, as highlighted during the COVID-19 pandemic</w:t>
      </w:r>
      <w:r w:rsidR="006C450D" w:rsidRPr="00D56A45">
        <w:t>. For example, this could include treatments such as chemotherapy or iron infusions.</w:t>
      </w:r>
      <w:r w:rsidR="00454351" w:rsidRPr="00D56A45">
        <w:t xml:space="preserve"> </w:t>
      </w:r>
    </w:p>
    <w:p w14:paraId="63C4087C" w14:textId="58419A2F" w:rsidR="005C4FEF" w:rsidRPr="00D56A45" w:rsidRDefault="005C4FEF" w:rsidP="00A11551">
      <w:pPr>
        <w:pStyle w:val="ListBullet"/>
      </w:pPr>
      <w:r w:rsidRPr="00D56A45">
        <w:t xml:space="preserve">telehealth options </w:t>
      </w:r>
      <w:r w:rsidR="00222397" w:rsidRPr="00D56A45">
        <w:t>are not</w:t>
      </w:r>
      <w:r w:rsidRPr="00D56A45">
        <w:t xml:space="preserve"> always appropriate to achieve the same effectiveness of a face-to-face assessment or to address all acute care needs​ for people with disability</w:t>
      </w:r>
      <w:r w:rsidR="00473F87" w:rsidRPr="00D56A45">
        <w:t>.</w:t>
      </w:r>
    </w:p>
    <w:p w14:paraId="728655E9" w14:textId="267417F9" w:rsidR="005C4FEF" w:rsidRPr="00D56A45" w:rsidRDefault="005C4FEF" w:rsidP="00A11551">
      <w:pPr>
        <w:pStyle w:val="ListBullet"/>
      </w:pPr>
      <w:r w:rsidRPr="00D56A45">
        <w:t>limited access to specialist disability health services support models such as Centre for Developmental Disability and Health Victoria</w:t>
      </w:r>
      <w:r w:rsidR="00B9302C" w:rsidRPr="00D56A45">
        <w:t>.</w:t>
      </w:r>
    </w:p>
    <w:p w14:paraId="183DFB9A" w14:textId="19646AA0" w:rsidR="005C4FEF" w:rsidRPr="00D56A45" w:rsidRDefault="005C4FEF" w:rsidP="000162AC">
      <w:pPr>
        <w:pStyle w:val="ListBullet"/>
      </w:pPr>
      <w:r w:rsidRPr="00D56A45">
        <w:t>long waiting times for disability specific services e.g. psychiatrists, specialist disability health services with rural regional and remote locations increasing risk of delays.</w:t>
      </w:r>
    </w:p>
    <w:p w14:paraId="6DFFF6CC" w14:textId="77777777" w:rsidR="001C783B" w:rsidRPr="00D56A45" w:rsidRDefault="001C783B" w:rsidP="001C783B">
      <w:r w:rsidRPr="00D56A45">
        <w:t xml:space="preserve">These access and autonomy barriers lead to a lack of ability to communicate for needs and health concerns is continuing to be reported resulting in: </w:t>
      </w:r>
    </w:p>
    <w:p w14:paraId="0FABEF91" w14:textId="77777777" w:rsidR="001C783B" w:rsidRPr="00D56A45" w:rsidRDefault="001C783B" w:rsidP="007B7D66">
      <w:pPr>
        <w:pStyle w:val="ListBullet"/>
      </w:pPr>
      <w:r w:rsidRPr="00D56A45">
        <w:t>delays in admission or emergency assessment processes</w:t>
      </w:r>
    </w:p>
    <w:p w14:paraId="5212401A" w14:textId="77777777" w:rsidR="001C783B" w:rsidRPr="00D56A45" w:rsidRDefault="001C783B" w:rsidP="007B7D66">
      <w:pPr>
        <w:pStyle w:val="ListBullet"/>
      </w:pPr>
      <w:r w:rsidRPr="00D56A45">
        <w:t>poor meal and health management support delivering during admissions</w:t>
      </w:r>
    </w:p>
    <w:p w14:paraId="213208A7" w14:textId="77777777" w:rsidR="001C783B" w:rsidRPr="00D56A45" w:rsidRDefault="001C783B" w:rsidP="007B7D66">
      <w:pPr>
        <w:pStyle w:val="ListBullet"/>
      </w:pPr>
      <w:r w:rsidRPr="00D56A45">
        <w:t>mobility deterioration, wound and pressure complexities</w:t>
      </w:r>
    </w:p>
    <w:p w14:paraId="1782B507" w14:textId="77777777" w:rsidR="001C783B" w:rsidRPr="00D56A45" w:rsidRDefault="001C783B" w:rsidP="007B7D66">
      <w:pPr>
        <w:pStyle w:val="ListBullet"/>
      </w:pPr>
      <w:r w:rsidRPr="00D56A45">
        <w:t>discharges delays or inappropriate discharges leading to subsequent avoidable readmissions and use of emergency transport.</w:t>
      </w:r>
    </w:p>
    <w:p w14:paraId="28752845" w14:textId="4DC1C3A6" w:rsidR="005C4FEF" w:rsidRPr="007B7D66" w:rsidRDefault="00FE3970" w:rsidP="007B7D66">
      <w:pPr>
        <w:pStyle w:val="Heading4"/>
      </w:pPr>
      <w:r w:rsidRPr="007B7D66">
        <w:t>A note on physical access</w:t>
      </w:r>
    </w:p>
    <w:p w14:paraId="31969E9B" w14:textId="2898CB75" w:rsidR="005C4FEF" w:rsidRPr="00D56A45" w:rsidRDefault="005C4FEF" w:rsidP="005C4FEF">
      <w:r w:rsidRPr="00D56A45">
        <w:t xml:space="preserve">Health service settings have improved over time with increasing awareness of the needs of people from diverse population groups, including people with disability. However, many health care centres </w:t>
      </w:r>
      <w:proofErr w:type="gramStart"/>
      <w:r w:rsidR="00B73DCC" w:rsidRPr="00D56A45">
        <w:t>are located in</w:t>
      </w:r>
      <w:proofErr w:type="gramEnd"/>
      <w:r w:rsidR="00B73DCC" w:rsidRPr="00D56A45">
        <w:t xml:space="preserve"> </w:t>
      </w:r>
      <w:r w:rsidRPr="00D56A45">
        <w:t>older buildings or small private service settings</w:t>
      </w:r>
      <w:r w:rsidR="000B0DDD" w:rsidRPr="00D56A45">
        <w:t xml:space="preserve"> which are not physically accessible</w:t>
      </w:r>
      <w:r w:rsidR="0028160B" w:rsidRPr="00D56A45">
        <w:t>.</w:t>
      </w:r>
      <w:r w:rsidRPr="00D56A45">
        <w:t xml:space="preserve"> Other </w:t>
      </w:r>
      <w:r w:rsidR="008A55EE" w:rsidRPr="00D56A45">
        <w:t xml:space="preserve">access </w:t>
      </w:r>
      <w:r w:rsidRPr="00D56A45">
        <w:t>barriers include inappropriate hoists (if available at all)</w:t>
      </w:r>
      <w:r w:rsidR="000B0DDD" w:rsidRPr="00D56A45">
        <w:t xml:space="preserve">, </w:t>
      </w:r>
      <w:r w:rsidRPr="00D56A45">
        <w:t xml:space="preserve">examination couches that cannot be height adjusted, </w:t>
      </w:r>
      <w:r w:rsidR="000B0DDD" w:rsidRPr="00D56A45">
        <w:t xml:space="preserve">and </w:t>
      </w:r>
      <w:r w:rsidRPr="00D56A45">
        <w:t xml:space="preserve">inaccessible information </w:t>
      </w:r>
      <w:r w:rsidR="000B0DDD" w:rsidRPr="00D56A45">
        <w:t xml:space="preserve">materials that use </w:t>
      </w:r>
      <w:r w:rsidRPr="00D56A45">
        <w:t xml:space="preserve">complex health terms. Support and availability of AAC devices and resources </w:t>
      </w:r>
      <w:r w:rsidR="002A2919" w:rsidRPr="00D56A45">
        <w:t>can</w:t>
      </w:r>
      <w:r w:rsidRPr="00D56A45">
        <w:t xml:space="preserve"> be limited and </w:t>
      </w:r>
      <w:r w:rsidR="008A0F79" w:rsidRPr="00D56A45">
        <w:t>often relies</w:t>
      </w:r>
      <w:r w:rsidRPr="00D56A45">
        <w:t xml:space="preserve"> on the </w:t>
      </w:r>
      <w:r w:rsidR="008A0F79" w:rsidRPr="00D56A45">
        <w:t xml:space="preserve">individual </w:t>
      </w:r>
      <w:r w:rsidRPr="00D56A45">
        <w:t xml:space="preserve">having the </w:t>
      </w:r>
      <w:r w:rsidR="00294E32" w:rsidRPr="00D56A45">
        <w:t xml:space="preserve">required </w:t>
      </w:r>
      <w:r w:rsidRPr="00D56A45">
        <w:t xml:space="preserve">skills or bringing their equipment with them. </w:t>
      </w:r>
    </w:p>
    <w:p w14:paraId="7A4F7B58" w14:textId="77777777" w:rsidR="005C4FEF" w:rsidRPr="00D56A45" w:rsidRDefault="005C4FEF" w:rsidP="005C4FEF">
      <w:r w:rsidRPr="00D56A45">
        <w:t>Other environmental and health setting barriers include:</w:t>
      </w:r>
    </w:p>
    <w:p w14:paraId="563BD368" w14:textId="77777777" w:rsidR="005C4FEF" w:rsidRPr="007B7D66" w:rsidRDefault="005C4FEF" w:rsidP="007B7D66">
      <w:pPr>
        <w:pStyle w:val="ListBullet"/>
      </w:pPr>
      <w:r w:rsidRPr="00D56A45">
        <w:t>inco</w:t>
      </w:r>
      <w:r w:rsidRPr="007B7D66">
        <w:t xml:space="preserve">nsistency of implementation and understanding of the breadth of accessibility needs, requirements and how to identify these for people attending services  </w:t>
      </w:r>
    </w:p>
    <w:p w14:paraId="502A211C" w14:textId="77777777" w:rsidR="005C4FEF" w:rsidRPr="007B7D66" w:rsidRDefault="005C4FEF" w:rsidP="007B7D66">
      <w:pPr>
        <w:pStyle w:val="ListBullet"/>
      </w:pPr>
      <w:r w:rsidRPr="007B7D66">
        <w:t xml:space="preserve">high sensory overload environments and complex navigation in facilities that are inaccessible for people with low health literacy. </w:t>
      </w:r>
    </w:p>
    <w:p w14:paraId="23B69B69" w14:textId="451ADEB3" w:rsidR="005C4FEF" w:rsidRPr="00D56A45" w:rsidRDefault="005C4FEF" w:rsidP="007B7D66">
      <w:pPr>
        <w:pStyle w:val="ListBullet"/>
      </w:pPr>
      <w:r w:rsidRPr="007B7D66">
        <w:t xml:space="preserve">limited access to home-based appointments </w:t>
      </w:r>
      <w:r w:rsidR="00D60E78" w:rsidRPr="007B7D66">
        <w:t xml:space="preserve">where </w:t>
      </w:r>
      <w:r w:rsidR="00FF2D8E" w:rsidRPr="007B7D66">
        <w:t xml:space="preserve">primary care </w:t>
      </w:r>
      <w:r w:rsidRPr="007B7D66">
        <w:t xml:space="preserve">services </w:t>
      </w:r>
      <w:r w:rsidR="00D60E78" w:rsidRPr="007B7D66">
        <w:t xml:space="preserve">can be provided in a safe environment </w:t>
      </w:r>
      <w:r w:rsidR="005348D7" w:rsidRPr="007B7D66">
        <w:t>using home-based physical support</w:t>
      </w:r>
      <w:r w:rsidR="001A2A15" w:rsidRPr="007B7D66">
        <w:t>s and equipment</w:t>
      </w:r>
      <w:r w:rsidR="005348D7" w:rsidRPr="007B7D66">
        <w:t xml:space="preserve"> </w:t>
      </w:r>
      <w:r w:rsidRPr="007B7D66">
        <w:t>e.g. vaccination</w:t>
      </w:r>
      <w:r w:rsidR="00D60E78" w:rsidRPr="00D56A45">
        <w:t>s</w:t>
      </w:r>
      <w:r w:rsidRPr="00D56A45">
        <w:t xml:space="preserve">. </w:t>
      </w:r>
    </w:p>
    <w:p w14:paraId="6517E331" w14:textId="5DD84891" w:rsidR="00482D6C" w:rsidRPr="00D56A45" w:rsidRDefault="0050570C" w:rsidP="00612589">
      <w:pPr>
        <w:pStyle w:val="Heading3"/>
      </w:pPr>
      <w:r w:rsidRPr="00D56A45">
        <w:t>Current opportunities and limitations</w:t>
      </w:r>
    </w:p>
    <w:p w14:paraId="4BAF4EB4" w14:textId="5507D8B1" w:rsidR="00482D6C" w:rsidRPr="00D56A45" w:rsidRDefault="00482D6C" w:rsidP="00E222FC">
      <w:r w:rsidRPr="00D56A45">
        <w:t xml:space="preserve">The Working Group identified that, to mitigate the risks within the health system, increased advocacy in relation to health literacy and service navigation is critical </w:t>
      </w:r>
      <w:r w:rsidR="007745BA" w:rsidRPr="00D56A45">
        <w:t>to support the needs of people with disability.</w:t>
      </w:r>
      <w:r w:rsidRPr="00D56A45">
        <w:t xml:space="preserve"> People with complex communication, health and disability needs were noted to benefit greatly from increased health advocacy. Government allocations of funding for initiatives such as the National Roadmap for Improving the Health of People with Intellectual Disability</w:t>
      </w:r>
      <w:r w:rsidRPr="00D56A45">
        <w:rPr>
          <w:rStyle w:val="EndnoteReference"/>
        </w:rPr>
        <w:endnoteReference w:id="17"/>
      </w:r>
      <w:r w:rsidRPr="00D56A45">
        <w:t xml:space="preserve"> and the National Roadmap to Improve the Health and Mental Health of Autistic People</w:t>
      </w:r>
      <w:r w:rsidRPr="00D56A45">
        <w:rPr>
          <w:rStyle w:val="EndnoteReference"/>
        </w:rPr>
        <w:endnoteReference w:id="18"/>
      </w:r>
      <w:r w:rsidRPr="00D56A45">
        <w:t xml:space="preserve"> provide welcome opportunities to improve health advocacy for people with disability.</w:t>
      </w:r>
    </w:p>
    <w:p w14:paraId="0A1B45FA" w14:textId="2910DB4A" w:rsidR="00482D6C" w:rsidRPr="00D56A45" w:rsidRDefault="00E94377" w:rsidP="0038197D">
      <w:r w:rsidRPr="00D56A45">
        <w:t>Overall, these system barriers have previously been identified in reports and papers, including DRC public hearing report on health care for people with intellectual disability</w:t>
      </w:r>
      <w:r w:rsidRPr="00D56A45">
        <w:rPr>
          <w:rStyle w:val="EndnoteReference"/>
        </w:rPr>
        <w:endnoteReference w:id="19"/>
      </w:r>
      <w:r w:rsidR="00BB3F30" w:rsidRPr="00D56A45">
        <w:t>.</w:t>
      </w:r>
      <w:r w:rsidRPr="00D56A45">
        <w:t xml:space="preserve"> </w:t>
      </w:r>
      <w:proofErr w:type="spellStart"/>
      <w:r w:rsidRPr="00D56A45">
        <w:t>Microboards</w:t>
      </w:r>
      <w:proofErr w:type="spellEnd"/>
      <w:r w:rsidRPr="00D56A45">
        <w:t xml:space="preserve"> Australia also published a report on how health services can deliver better health outcomes for people with intellectual disability</w:t>
      </w:r>
      <w:r w:rsidRPr="00D56A45">
        <w:rPr>
          <w:rStyle w:val="EndnoteReference"/>
        </w:rPr>
        <w:endnoteReference w:id="20"/>
      </w:r>
      <w:r w:rsidR="00BB3F30" w:rsidRPr="00D56A45">
        <w:t>,</w:t>
      </w:r>
      <w:r w:rsidRPr="00D56A45">
        <w:t xml:space="preserve"> and in 2018 Latrobe University produced a report on improving inclusivity for people with an intellectual disability in mainstream services</w:t>
      </w:r>
      <w:r w:rsidRPr="00D56A45">
        <w:rPr>
          <w:rStyle w:val="EndnoteReference"/>
        </w:rPr>
        <w:endnoteReference w:id="21"/>
      </w:r>
      <w:r w:rsidR="00BB3F30" w:rsidRPr="00D56A45">
        <w:t>.</w:t>
      </w:r>
      <w:r w:rsidRPr="00D56A45">
        <w:t xml:space="preserve"> While these report findings address the needs of people with intellectual disability, these considerations can also impact other disability population groups. </w:t>
      </w:r>
      <w:r w:rsidR="003F1D54" w:rsidRPr="00D56A45">
        <w:br w:type="page"/>
      </w:r>
    </w:p>
    <w:p w14:paraId="614A80D2" w14:textId="569C9E60" w:rsidR="00482D6C" w:rsidRPr="00D56A45" w:rsidRDefault="00482D6C" w:rsidP="00612589">
      <w:pPr>
        <w:pStyle w:val="Heading1"/>
      </w:pPr>
      <w:bookmarkStart w:id="25" w:name="_Toc225778757"/>
      <w:r w:rsidRPr="00D56A45">
        <w:t>Next Steps for Consideration</w:t>
      </w:r>
      <w:bookmarkEnd w:id="25"/>
    </w:p>
    <w:p w14:paraId="3CFAB6D8" w14:textId="05AD8F8F" w:rsidR="00482D6C" w:rsidRPr="00D56A45" w:rsidRDefault="00482D6C" w:rsidP="00495643">
      <w:r w:rsidRPr="00D56A45">
        <w:t>The Working Group recommends the following key steps to promote action across DHSCC member organisations.</w:t>
      </w:r>
    </w:p>
    <w:p w14:paraId="7D6082B1" w14:textId="023AC6D1" w:rsidR="00482D6C" w:rsidRPr="00D56A45" w:rsidRDefault="00482D6C" w:rsidP="00612589">
      <w:pPr>
        <w:pStyle w:val="Heading2"/>
      </w:pPr>
      <w:bookmarkStart w:id="26" w:name="_Toc225778758"/>
      <w:r w:rsidRPr="00D56A45">
        <w:t xml:space="preserve">Immediate action to provide clarity around </w:t>
      </w:r>
      <w:r w:rsidR="00A50A48" w:rsidRPr="00D56A45">
        <w:t xml:space="preserve">NDIS-funded disability </w:t>
      </w:r>
      <w:r w:rsidRPr="00D56A45">
        <w:t>support workers in hospitals</w:t>
      </w:r>
      <w:bookmarkEnd w:id="26"/>
    </w:p>
    <w:p w14:paraId="1AD9B764" w14:textId="39E0AEB0" w:rsidR="00482D6C" w:rsidRPr="00D56A45" w:rsidRDefault="00482D6C" w:rsidP="008B362E">
      <w:r w:rsidRPr="00D56A45">
        <w:t xml:space="preserve">Immediate action is required to </w:t>
      </w:r>
      <w:r w:rsidR="0045387C" w:rsidRPr="00D56A45">
        <w:t>allow</w:t>
      </w:r>
      <w:r w:rsidR="000B5D34" w:rsidRPr="00D56A45">
        <w:t xml:space="preserve"> people with disability to have access to</w:t>
      </w:r>
      <w:r w:rsidR="006C7FF6" w:rsidRPr="00D56A45">
        <w:t xml:space="preserve"> </w:t>
      </w:r>
      <w:r w:rsidRPr="00D56A45">
        <w:t xml:space="preserve">NDIS-funded support workers </w:t>
      </w:r>
      <w:r w:rsidR="0021542F" w:rsidRPr="00D56A45">
        <w:t xml:space="preserve">and/or concurrent </w:t>
      </w:r>
      <w:r w:rsidR="002B43BE" w:rsidRPr="00D56A45">
        <w:t xml:space="preserve">disability-functional </w:t>
      </w:r>
      <w:r w:rsidR="0021542F" w:rsidRPr="00D56A45">
        <w:t xml:space="preserve">supports while in hospitals as part of their NDIS plan. </w:t>
      </w:r>
      <w:r w:rsidR="002F0A02" w:rsidRPr="00D56A45">
        <w:t>This will allow people with disability to have their health care needs met by hospital staff, while continuing to have their disability-functional support needs met by a known disability support worker when in hospital</w:t>
      </w:r>
      <w:r w:rsidR="00EF1B08" w:rsidRPr="00D56A45">
        <w:t>.</w:t>
      </w:r>
    </w:p>
    <w:p w14:paraId="6E9C4C02" w14:textId="7B9A72C5" w:rsidR="00482D6C" w:rsidRPr="00D56A45" w:rsidRDefault="00482D6C" w:rsidP="008B362E">
      <w:r w:rsidRPr="00D56A45">
        <w:rPr>
          <w:b/>
          <w:bCs/>
        </w:rPr>
        <w:t xml:space="preserve">Clear </w:t>
      </w:r>
      <w:r w:rsidR="00EC6806" w:rsidRPr="00D56A45">
        <w:rPr>
          <w:b/>
          <w:bCs/>
        </w:rPr>
        <w:t xml:space="preserve">responsibilities, </w:t>
      </w:r>
      <w:r w:rsidRPr="00D56A45">
        <w:rPr>
          <w:b/>
          <w:bCs/>
        </w:rPr>
        <w:t xml:space="preserve">enduring </w:t>
      </w:r>
      <w:r w:rsidR="00EC6806" w:rsidRPr="00D56A45">
        <w:rPr>
          <w:b/>
          <w:bCs/>
        </w:rPr>
        <w:t xml:space="preserve">funding </w:t>
      </w:r>
      <w:r w:rsidRPr="00D56A45">
        <w:rPr>
          <w:b/>
          <w:bCs/>
        </w:rPr>
        <w:t xml:space="preserve">rules </w:t>
      </w:r>
      <w:r w:rsidR="006C7FF6" w:rsidRPr="00D56A45">
        <w:rPr>
          <w:b/>
          <w:bCs/>
        </w:rPr>
        <w:t>and guidance</w:t>
      </w:r>
      <w:r w:rsidR="006C7FF6" w:rsidRPr="00D56A45">
        <w:t xml:space="preserve"> </w:t>
      </w:r>
      <w:r w:rsidRPr="00D56A45">
        <w:t xml:space="preserve">are needed to </w:t>
      </w:r>
      <w:r w:rsidR="003B4E96" w:rsidRPr="00D56A45">
        <w:t xml:space="preserve">clarify </w:t>
      </w:r>
      <w:r w:rsidR="00CB739B" w:rsidRPr="00D56A45">
        <w:t xml:space="preserve">funding arrangements between hospitals and NDIS, </w:t>
      </w:r>
      <w:r w:rsidR="00B36087" w:rsidRPr="00D56A45">
        <w:t xml:space="preserve">and </w:t>
      </w:r>
      <w:r w:rsidRPr="00D56A45">
        <w:t xml:space="preserve">ensure </w:t>
      </w:r>
      <w:r w:rsidR="0035011B" w:rsidRPr="00D56A45">
        <w:t>appropriate management of thi</w:t>
      </w:r>
      <w:r w:rsidR="00FC2783" w:rsidRPr="00D56A45">
        <w:t xml:space="preserve">s </w:t>
      </w:r>
      <w:r w:rsidR="00D515C9" w:rsidRPr="00D56A45">
        <w:t>arrangement</w:t>
      </w:r>
      <w:r w:rsidR="00FC2783" w:rsidRPr="00D56A45">
        <w:t xml:space="preserve">, such as </w:t>
      </w:r>
      <w:r w:rsidR="00D515C9" w:rsidRPr="00D56A45">
        <w:t xml:space="preserve">specifying </w:t>
      </w:r>
      <w:r w:rsidR="004E5822" w:rsidRPr="00D56A45">
        <w:t xml:space="preserve">criteria </w:t>
      </w:r>
      <w:r w:rsidR="007A4016" w:rsidRPr="00D56A45">
        <w:t xml:space="preserve">for </w:t>
      </w:r>
      <w:r w:rsidR="002F0A02" w:rsidRPr="00D56A45">
        <w:t xml:space="preserve">having </w:t>
      </w:r>
      <w:r w:rsidR="007A4016" w:rsidRPr="00D56A45">
        <w:t>complex needs</w:t>
      </w:r>
      <w:r w:rsidR="00AD4380" w:rsidRPr="00D56A45">
        <w:t>,</w:t>
      </w:r>
      <w:r w:rsidR="00C239EF" w:rsidRPr="00D56A45">
        <w:t xml:space="preserve"> </w:t>
      </w:r>
      <w:r w:rsidR="007B5023" w:rsidRPr="00D56A45">
        <w:t xml:space="preserve">and </w:t>
      </w:r>
      <w:r w:rsidR="00462AC6" w:rsidRPr="00D56A45">
        <w:t xml:space="preserve">specifying the level of support </w:t>
      </w:r>
      <w:r w:rsidR="007B5023" w:rsidRPr="00D56A45">
        <w:t>required</w:t>
      </w:r>
      <w:r w:rsidRPr="00D56A45">
        <w:t>. This will help to prevent people with disability experiencing worse health outcomes when admitted to hospital</w:t>
      </w:r>
      <w:r w:rsidR="009C1CF4" w:rsidRPr="00D56A45">
        <w:t xml:space="preserve"> where high risk health advocacy needs exist</w:t>
      </w:r>
      <w:r w:rsidRPr="00D56A45">
        <w:t>. Increased transparency is required around the process of ensuring these needs are met in hospital would help decision-makers better understand system advocacy barriers.</w:t>
      </w:r>
    </w:p>
    <w:p w14:paraId="7F0DD30F" w14:textId="77777777" w:rsidR="00482D6C" w:rsidRPr="00D56A45" w:rsidRDefault="00482D6C" w:rsidP="00612589">
      <w:pPr>
        <w:pStyle w:val="Heading3"/>
      </w:pPr>
      <w:bookmarkStart w:id="27" w:name="_Toc201750887"/>
      <w:bookmarkStart w:id="28" w:name="_Toc201758882"/>
      <w:r w:rsidRPr="00D56A45">
        <w:t>Opportunities:</w:t>
      </w:r>
      <w:bookmarkEnd w:id="27"/>
      <w:bookmarkEnd w:id="28"/>
    </w:p>
    <w:p w14:paraId="2DF69320" w14:textId="6F31F1CA" w:rsidR="00482D6C" w:rsidRPr="00D56A45" w:rsidRDefault="00423F30" w:rsidP="00352318">
      <w:r w:rsidRPr="00D56A45">
        <w:t xml:space="preserve">The </w:t>
      </w:r>
      <w:r w:rsidR="00482D6C" w:rsidRPr="00D56A45">
        <w:t xml:space="preserve">NDIS Rules are currently being negotiated between state, territory and Commonwealth governments. This provides an opportunity for consideration of the impact and resourcing costs on state and territory hospital services regarding </w:t>
      </w:r>
      <w:r w:rsidR="000E1275" w:rsidRPr="00D56A45">
        <w:t>disability-</w:t>
      </w:r>
      <w:r w:rsidR="00E66A13" w:rsidRPr="00D56A45">
        <w:t xml:space="preserve">functional </w:t>
      </w:r>
      <w:r w:rsidR="00482D6C" w:rsidRPr="00D56A45">
        <w:t xml:space="preserve">support needs a person with complex disability requires when admitted to hospital.  </w:t>
      </w:r>
    </w:p>
    <w:p w14:paraId="67770651" w14:textId="77777777" w:rsidR="00482D6C" w:rsidRPr="00D56A45" w:rsidRDefault="00482D6C" w:rsidP="00612589">
      <w:pPr>
        <w:pStyle w:val="Heading3"/>
      </w:pPr>
      <w:bookmarkStart w:id="29" w:name="_Toc201750888"/>
      <w:bookmarkStart w:id="30" w:name="_Toc201758883"/>
      <w:r w:rsidRPr="00D56A45">
        <w:t>DHSCC member influence and consideration:</w:t>
      </w:r>
      <w:bookmarkEnd w:id="29"/>
      <w:bookmarkEnd w:id="30"/>
      <w:r w:rsidRPr="00D56A45">
        <w:t xml:space="preserve"> </w:t>
      </w:r>
    </w:p>
    <w:p w14:paraId="5F3404D2" w14:textId="620C694C" w:rsidR="0018620F" w:rsidRPr="00D56A45" w:rsidRDefault="0018620F" w:rsidP="00352318">
      <w:r w:rsidRPr="00D56A45">
        <w:rPr>
          <w:b/>
          <w:bCs/>
        </w:rPr>
        <w:t xml:space="preserve">NDIA </w:t>
      </w:r>
      <w:r w:rsidR="00DD26B4" w:rsidRPr="00D56A45">
        <w:rPr>
          <w:b/>
          <w:bCs/>
        </w:rPr>
        <w:t xml:space="preserve">and </w:t>
      </w:r>
      <w:r w:rsidR="00EA1FA8" w:rsidRPr="00D56A45">
        <w:rPr>
          <w:b/>
          <w:bCs/>
        </w:rPr>
        <w:t>s</w:t>
      </w:r>
      <w:r w:rsidR="00DD26B4" w:rsidRPr="00D56A45">
        <w:rPr>
          <w:b/>
          <w:bCs/>
        </w:rPr>
        <w:t xml:space="preserve">tates and </w:t>
      </w:r>
      <w:r w:rsidR="00EA1FA8" w:rsidRPr="00D56A45">
        <w:rPr>
          <w:b/>
          <w:bCs/>
        </w:rPr>
        <w:t>t</w:t>
      </w:r>
      <w:r w:rsidR="00DD26B4" w:rsidRPr="00D56A45">
        <w:rPr>
          <w:b/>
          <w:bCs/>
        </w:rPr>
        <w:t xml:space="preserve">erritories </w:t>
      </w:r>
      <w:r w:rsidR="00267F7B" w:rsidRPr="00D56A45">
        <w:t>to consider</w:t>
      </w:r>
      <w:r w:rsidR="00B55D0E" w:rsidRPr="00D56A45">
        <w:t xml:space="preserve"> </w:t>
      </w:r>
      <w:r w:rsidR="00D57F78" w:rsidRPr="00D56A45">
        <w:t>how best to enable</w:t>
      </w:r>
      <w:r w:rsidR="00B55D0E" w:rsidRPr="00D56A45">
        <w:t xml:space="preserve"> concurrent supports for people with disability while in hospital </w:t>
      </w:r>
      <w:r w:rsidR="00777DB2" w:rsidRPr="00D56A45">
        <w:t xml:space="preserve">to align with </w:t>
      </w:r>
      <w:r w:rsidR="001053B6" w:rsidRPr="00D56A45">
        <w:t xml:space="preserve">an individual’s </w:t>
      </w:r>
      <w:r w:rsidR="00B55D0E" w:rsidRPr="00D56A45">
        <w:t>NDIS plan</w:t>
      </w:r>
      <w:r w:rsidR="0067270D" w:rsidRPr="00D56A45">
        <w:t>. This may include consideration of</w:t>
      </w:r>
      <w:r w:rsidR="00B55D0E" w:rsidRPr="00D56A45">
        <w:t xml:space="preserve"> the following conditions:</w:t>
      </w:r>
    </w:p>
    <w:p w14:paraId="7D9FE6F0" w14:textId="77777777" w:rsidR="005311E8" w:rsidRPr="00D56A45" w:rsidRDefault="005311E8" w:rsidP="007B7D66">
      <w:pPr>
        <w:pStyle w:val="ListBullet"/>
      </w:pPr>
      <w:r w:rsidRPr="00D56A45">
        <w:t>The person meets the criteria for having complex needs, such as:</w:t>
      </w:r>
    </w:p>
    <w:p w14:paraId="7A6B85E9" w14:textId="77777777" w:rsidR="005311E8" w:rsidRPr="00ED2C49" w:rsidRDefault="005311E8" w:rsidP="007B7D66">
      <w:pPr>
        <w:pStyle w:val="ListBullet2"/>
      </w:pPr>
      <w:r w:rsidRPr="00ED2C49">
        <w:t>High physical support needs and/or</w:t>
      </w:r>
    </w:p>
    <w:p w14:paraId="09FD3E40" w14:textId="77777777" w:rsidR="005311E8" w:rsidRPr="00ED2C49" w:rsidRDefault="005311E8" w:rsidP="007B7D66">
      <w:pPr>
        <w:pStyle w:val="ListBullet2"/>
      </w:pPr>
      <w:r w:rsidRPr="00ED2C49">
        <w:t>Complex communication needs and/or</w:t>
      </w:r>
    </w:p>
    <w:p w14:paraId="5349C171" w14:textId="77777777" w:rsidR="005311E8" w:rsidRPr="00ED2C49" w:rsidRDefault="005311E8" w:rsidP="007B7D66">
      <w:pPr>
        <w:pStyle w:val="ListBullet2"/>
      </w:pPr>
      <w:r w:rsidRPr="00ED2C49">
        <w:t>Behaviours of concern</w:t>
      </w:r>
    </w:p>
    <w:p w14:paraId="5B646091" w14:textId="63EC9676" w:rsidR="00B55D0E" w:rsidRPr="00D56A45" w:rsidRDefault="005311E8" w:rsidP="007B7D66">
      <w:pPr>
        <w:pStyle w:val="ListBullet"/>
      </w:pPr>
      <w:r w:rsidRPr="00D56A45">
        <w:t>The approval is for continuation of support at the level they receive in their plan, rather than additional support hours.</w:t>
      </w:r>
    </w:p>
    <w:p w14:paraId="528A56A1" w14:textId="4B7DAEB7" w:rsidR="005311E8" w:rsidRPr="00D56A45" w:rsidRDefault="005311E8" w:rsidP="007B7D66">
      <w:r w:rsidRPr="00D56A45">
        <w:t xml:space="preserve">(Note: a mechanism is required to request additional support hours if there has been a change </w:t>
      </w:r>
      <w:r w:rsidR="002061D4" w:rsidRPr="00D56A45">
        <w:t xml:space="preserve">in </w:t>
      </w:r>
      <w:r w:rsidR="00F53A86" w:rsidRPr="00D56A45">
        <w:t>disability-related support needs)</w:t>
      </w:r>
    </w:p>
    <w:p w14:paraId="0F715AC1" w14:textId="086305C6" w:rsidR="00E62BDE" w:rsidRPr="00D56A45" w:rsidRDefault="00482D6C" w:rsidP="00352318">
      <w:r w:rsidRPr="00D56A45">
        <w:rPr>
          <w:b/>
          <w:bCs/>
        </w:rPr>
        <w:t xml:space="preserve">NDIA </w:t>
      </w:r>
      <w:r w:rsidR="00E7521A" w:rsidRPr="00D56A45">
        <w:t>to consider</w:t>
      </w:r>
      <w:r w:rsidR="00185B52" w:rsidRPr="00D56A45">
        <w:t xml:space="preserve"> </w:t>
      </w:r>
      <w:r w:rsidRPr="00D56A45">
        <w:t>principles and process</w:t>
      </w:r>
      <w:r w:rsidR="009B09D4" w:rsidRPr="00D56A45">
        <w:t xml:space="preserve">es </w:t>
      </w:r>
      <w:r w:rsidRPr="00D56A45">
        <w:t xml:space="preserve">for identifying </w:t>
      </w:r>
      <w:r w:rsidR="00E62BDE" w:rsidRPr="00D56A45">
        <w:t>how identified APTOS</w:t>
      </w:r>
      <w:r w:rsidR="00E62BDE" w:rsidRPr="00D56A45">
        <w:rPr>
          <w:rStyle w:val="EndnoteReference"/>
        </w:rPr>
        <w:endnoteReference w:id="22"/>
      </w:r>
      <w:r w:rsidR="00185B52" w:rsidRPr="00D56A45">
        <w:t xml:space="preserve"> </w:t>
      </w:r>
      <w:r w:rsidR="00E62BDE" w:rsidRPr="00D56A45">
        <w:t xml:space="preserve">rules related to </w:t>
      </w:r>
      <w:r w:rsidR="00E81989" w:rsidRPr="00D56A45">
        <w:t>disability-functional</w:t>
      </w:r>
      <w:r w:rsidR="00E62BDE" w:rsidRPr="00D56A45">
        <w:t xml:space="preserve"> support responsibilities can be applied </w:t>
      </w:r>
      <w:r w:rsidR="009B09D4" w:rsidRPr="00D56A45">
        <w:t>to</w:t>
      </w:r>
      <w:r w:rsidRPr="00D56A45">
        <w:t xml:space="preserve"> groups identified at </w:t>
      </w:r>
      <w:r w:rsidR="00010326" w:rsidRPr="00D56A45">
        <w:t>as having complex needs</w:t>
      </w:r>
      <w:r w:rsidR="00503BE9" w:rsidRPr="00D56A45">
        <w:t>.</w:t>
      </w:r>
    </w:p>
    <w:p w14:paraId="5C3A4D81" w14:textId="5EE9389F" w:rsidR="00482D6C" w:rsidRPr="00D56A45" w:rsidRDefault="00E62BDE" w:rsidP="00352318">
      <w:r w:rsidRPr="00D56A45">
        <w:rPr>
          <w:b/>
          <w:bCs/>
        </w:rPr>
        <w:t>NDIA</w:t>
      </w:r>
      <w:r w:rsidRPr="00D56A45">
        <w:t xml:space="preserve"> </w:t>
      </w:r>
      <w:r w:rsidR="00C73706" w:rsidRPr="00D56A45">
        <w:t xml:space="preserve">to discuss </w:t>
      </w:r>
      <w:r w:rsidR="002A37A2" w:rsidRPr="00D56A45">
        <w:t xml:space="preserve">shared responsibility with mainstream health services </w:t>
      </w:r>
      <w:r w:rsidR="00354E20" w:rsidRPr="00D56A45">
        <w:t xml:space="preserve">to </w:t>
      </w:r>
      <w:r w:rsidR="00741EBC" w:rsidRPr="00D56A45">
        <w:t xml:space="preserve">provide </w:t>
      </w:r>
      <w:r w:rsidR="002A37A2" w:rsidRPr="00D56A45">
        <w:t>health support</w:t>
      </w:r>
      <w:r w:rsidR="00D41A49" w:rsidRPr="00D56A45">
        <w:t xml:space="preserve">s in disability </w:t>
      </w:r>
      <w:r w:rsidR="00741EBC" w:rsidRPr="00D56A45">
        <w:t xml:space="preserve">settings for </w:t>
      </w:r>
      <w:r w:rsidR="00D35342" w:rsidRPr="00D56A45">
        <w:t>high-risk patients with clinical health needs.</w:t>
      </w:r>
    </w:p>
    <w:p w14:paraId="71383335" w14:textId="59E120BF" w:rsidR="00E62BDE" w:rsidRPr="00D56A45" w:rsidRDefault="00482D6C" w:rsidP="00E62BDE">
      <w:r w:rsidRPr="00D56A45">
        <w:rPr>
          <w:b/>
          <w:bCs/>
        </w:rPr>
        <w:t>State and territory health government</w:t>
      </w:r>
      <w:r w:rsidRPr="00D56A45">
        <w:t xml:space="preserve"> </w:t>
      </w:r>
      <w:r w:rsidR="00654E58" w:rsidRPr="00D56A45">
        <w:t>to consider</w:t>
      </w:r>
      <w:r w:rsidRPr="00D56A45">
        <w:t xml:space="preserve"> hospital resourcing and </w:t>
      </w:r>
      <w:r w:rsidR="00BB4A93" w:rsidRPr="00D56A45">
        <w:t xml:space="preserve">cost-benefit of delivering </w:t>
      </w:r>
      <w:r w:rsidR="00E62BDE" w:rsidRPr="00D56A45">
        <w:t xml:space="preserve">health support services within disability settings </w:t>
      </w:r>
      <w:r w:rsidR="00BB4A93" w:rsidRPr="00D56A45">
        <w:t xml:space="preserve">for </w:t>
      </w:r>
      <w:r w:rsidR="00D35342" w:rsidRPr="00D56A45">
        <w:t>high-risk patients with clinical health needs.</w:t>
      </w:r>
    </w:p>
    <w:p w14:paraId="504C5B53" w14:textId="70619BCD" w:rsidR="00482D6C" w:rsidRPr="00D56A45" w:rsidRDefault="00482D6C" w:rsidP="00612589">
      <w:pPr>
        <w:pStyle w:val="Heading2"/>
      </w:pPr>
      <w:bookmarkStart w:id="31" w:name="_Toc225778759"/>
      <w:r w:rsidRPr="00D56A45">
        <w:t xml:space="preserve">Long-term solutions to improve </w:t>
      </w:r>
      <w:r w:rsidR="004C2AD8" w:rsidRPr="00D56A45">
        <w:t xml:space="preserve">health </w:t>
      </w:r>
      <w:r w:rsidRPr="00D56A45">
        <w:t>advocacy support for people with disability</w:t>
      </w:r>
      <w:bookmarkEnd w:id="31"/>
    </w:p>
    <w:p w14:paraId="0B78B42C" w14:textId="5B97B49C" w:rsidR="00590C3C" w:rsidRPr="00D56A45" w:rsidRDefault="00590C3C" w:rsidP="00612589">
      <w:pPr>
        <w:pStyle w:val="Heading3"/>
      </w:pPr>
      <w:r w:rsidRPr="00D56A45">
        <w:t>Accessible health information and improved health literacy</w:t>
      </w:r>
    </w:p>
    <w:p w14:paraId="5C286C7C" w14:textId="09D9A7F8" w:rsidR="00482D6C" w:rsidRPr="00D56A45" w:rsidRDefault="002016EE" w:rsidP="00352318">
      <w:r w:rsidRPr="00D56A45">
        <w:t>Health i</w:t>
      </w:r>
      <w:r w:rsidR="00482D6C" w:rsidRPr="00D56A45">
        <w:t xml:space="preserve">nformation </w:t>
      </w:r>
      <w:r w:rsidR="00165804" w:rsidRPr="00D56A45">
        <w:t xml:space="preserve">across all health settings </w:t>
      </w:r>
      <w:r w:rsidRPr="00D56A45">
        <w:t>should</w:t>
      </w:r>
      <w:r w:rsidR="00482D6C" w:rsidRPr="00D56A45">
        <w:t xml:space="preserve"> be provided in accessible and appropriate format</w:t>
      </w:r>
      <w:r w:rsidR="00165804" w:rsidRPr="00D56A45">
        <w:t>s</w:t>
      </w:r>
      <w:r w:rsidR="00482D6C" w:rsidRPr="00D56A45">
        <w:t xml:space="preserve"> to support a person with disability</w:t>
      </w:r>
      <w:r w:rsidR="00230AF0" w:rsidRPr="00D56A45">
        <w:t>.</w:t>
      </w:r>
      <w:r w:rsidR="00FA511B" w:rsidRPr="00D56A45">
        <w:t xml:space="preserve"> </w:t>
      </w:r>
      <w:r w:rsidR="00412AB5" w:rsidRPr="00D56A45">
        <w:t>There is opportunity</w:t>
      </w:r>
      <w:r w:rsidR="00482D6C" w:rsidRPr="00D56A45">
        <w:t xml:space="preserve"> to increase </w:t>
      </w:r>
      <w:r w:rsidR="000F275E" w:rsidRPr="00D56A45">
        <w:t>health literacy</w:t>
      </w:r>
      <w:r w:rsidR="00DC783F" w:rsidRPr="00D56A45">
        <w:t>,</w:t>
      </w:r>
      <w:r w:rsidR="000F275E" w:rsidRPr="00D56A45">
        <w:t xml:space="preserve"> including</w:t>
      </w:r>
      <w:r w:rsidR="00482D6C" w:rsidRPr="00D56A45">
        <w:t xml:space="preserve"> how to actively participate in management of treatment and recovery.</w:t>
      </w:r>
      <w:r w:rsidR="00B6369A" w:rsidRPr="00D56A45">
        <w:t xml:space="preserve"> </w:t>
      </w:r>
      <w:r w:rsidR="009E1DCF" w:rsidRPr="00D56A45">
        <w:t>Seek</w:t>
      </w:r>
      <w:r w:rsidR="00B6369A" w:rsidRPr="00D56A45">
        <w:t xml:space="preserve"> to improve health literacy for individuals with disability</w:t>
      </w:r>
      <w:r w:rsidR="009E1DCF" w:rsidRPr="00D56A45">
        <w:t xml:space="preserve"> where possible</w:t>
      </w:r>
      <w:r w:rsidR="00B6369A" w:rsidRPr="00D56A45">
        <w:t>, and for their s</w:t>
      </w:r>
      <w:r w:rsidR="00D32C15" w:rsidRPr="00D56A45">
        <w:t xml:space="preserve">upport workers and </w:t>
      </w:r>
      <w:r w:rsidR="009E1DCF" w:rsidRPr="00D56A45">
        <w:t>advocates</w:t>
      </w:r>
      <w:r w:rsidR="002553AD" w:rsidRPr="00D56A45">
        <w:t>.</w:t>
      </w:r>
    </w:p>
    <w:p w14:paraId="45535B67" w14:textId="77777777" w:rsidR="00D0343B" w:rsidRPr="00D56A45" w:rsidRDefault="009516A7" w:rsidP="00D0343B">
      <w:bookmarkStart w:id="32" w:name="_Toc201750890"/>
      <w:bookmarkStart w:id="33" w:name="_Toc201758885"/>
      <w:r w:rsidRPr="00D56A45">
        <w:t xml:space="preserve">There is a need for ongoing capability-building for individuals, their families, supporters and disability organisations to create individual and systemised health advocacy models for people with disability. </w:t>
      </w:r>
    </w:p>
    <w:p w14:paraId="66D6DE9A" w14:textId="66DCF296" w:rsidR="00482D6C" w:rsidRPr="00D56A45" w:rsidRDefault="00482D6C" w:rsidP="00612589">
      <w:pPr>
        <w:pStyle w:val="Heading3"/>
      </w:pPr>
      <w:r w:rsidRPr="00D56A45">
        <w:t>Opportunities:</w:t>
      </w:r>
      <w:bookmarkEnd w:id="32"/>
      <w:bookmarkEnd w:id="33"/>
    </w:p>
    <w:p w14:paraId="5DDFA630" w14:textId="07283DD9" w:rsidR="009D17CC" w:rsidRPr="00D56A45" w:rsidRDefault="00482D6C" w:rsidP="009D17CC">
      <w:r w:rsidRPr="00D56A45">
        <w:t xml:space="preserve">Advocacy organisations such as CID, Inclusion Australia, Cerebral Palsy Alliance, Summer Foundation, Autism Australia and </w:t>
      </w:r>
      <w:proofErr w:type="spellStart"/>
      <w:r w:rsidRPr="00D56A45">
        <w:t>Microboards</w:t>
      </w:r>
      <w:proofErr w:type="spellEnd"/>
      <w:r w:rsidRPr="00D56A45">
        <w:t xml:space="preserve"> Australia</w:t>
      </w:r>
      <w:r w:rsidR="00B57AA5" w:rsidRPr="00D56A45">
        <w:t xml:space="preserve"> to share and promote good</w:t>
      </w:r>
      <w:r w:rsidRPr="00D56A45">
        <w:t xml:space="preserve"> examples of existing or previous health </w:t>
      </w:r>
      <w:r w:rsidR="00B07351" w:rsidRPr="00D56A45">
        <w:t xml:space="preserve">literacy </w:t>
      </w:r>
      <w:r w:rsidRPr="00D56A45">
        <w:t>activities</w:t>
      </w:r>
      <w:r w:rsidR="00B66003" w:rsidRPr="00D56A45">
        <w:t>,</w:t>
      </w:r>
      <w:r w:rsidR="00D92D8A" w:rsidRPr="00D56A45">
        <w:t xml:space="preserve"> accessible health information</w:t>
      </w:r>
      <w:r w:rsidR="00B66003" w:rsidRPr="00D56A45">
        <w:t>, and activities to increase individual capacity for health advocacy</w:t>
      </w:r>
      <w:r w:rsidRPr="00D56A45">
        <w:t xml:space="preserve">. </w:t>
      </w:r>
    </w:p>
    <w:p w14:paraId="0C8EE613" w14:textId="61DEEA9D" w:rsidR="00E03742" w:rsidRPr="00D56A45" w:rsidRDefault="00E03742" w:rsidP="009D17CC">
      <w:r w:rsidRPr="00D56A45">
        <w:t>Under the National Disability Advocacy Program, the government funds disability advocacy providers to deliver advocacy support across Australia. The program provides ‘people with disability with access to effective disability advocacy that promotes, protects and ensures their full and equal enjoyment of all human rights enabling community participation’.</w:t>
      </w:r>
      <w:r w:rsidRPr="00D56A45">
        <w:rPr>
          <w:rStyle w:val="EndnoteReference"/>
        </w:rPr>
        <w:endnoteReference w:id="23"/>
      </w:r>
    </w:p>
    <w:p w14:paraId="2F21994F" w14:textId="4A01AFB7" w:rsidR="00482D6C" w:rsidRPr="00D56A45" w:rsidRDefault="00F04949" w:rsidP="00352318">
      <w:r w:rsidRPr="00D56A45">
        <w:t>Funded campaigns can help to target specific audiences and improve health literacy, access to health information and enable people with disability to advocate for their health needs. “It’s Doctor Time” is one example of a campaign targeted to people with intellectual disability</w:t>
      </w:r>
      <w:r w:rsidR="00482D6C" w:rsidRPr="00D56A45">
        <w:rPr>
          <w:rStyle w:val="EndnoteReference"/>
        </w:rPr>
        <w:endnoteReference w:id="24"/>
      </w:r>
      <w:r w:rsidR="00482D6C" w:rsidRPr="00D56A45">
        <w:t xml:space="preserve">. If we are to sustain and develop health advocacy skills, then programs require ongoing funding </w:t>
      </w:r>
      <w:r w:rsidR="00A2529A" w:rsidRPr="00D56A45">
        <w:t xml:space="preserve">and sustainability </w:t>
      </w:r>
      <w:r w:rsidR="00482D6C" w:rsidRPr="00D56A45">
        <w:t>to increase their impact across systems and individuals. There is a need to identify what is working and provide funding to continue their impact.</w:t>
      </w:r>
    </w:p>
    <w:p w14:paraId="51113FE5" w14:textId="77777777" w:rsidR="00482D6C" w:rsidRPr="00D56A45" w:rsidRDefault="00482D6C" w:rsidP="00612589">
      <w:pPr>
        <w:pStyle w:val="Heading3"/>
      </w:pPr>
      <w:bookmarkStart w:id="34" w:name="_Toc201750891"/>
      <w:bookmarkStart w:id="35" w:name="_Toc201758886"/>
      <w:r w:rsidRPr="00D56A45">
        <w:t>DHSCC member influence and consideration:</w:t>
      </w:r>
      <w:bookmarkEnd w:id="34"/>
      <w:bookmarkEnd w:id="35"/>
      <w:r w:rsidRPr="00D56A45">
        <w:t xml:space="preserve"> </w:t>
      </w:r>
    </w:p>
    <w:p w14:paraId="1DCD1693" w14:textId="00A1C6F9" w:rsidR="00482D6C" w:rsidRPr="00D56A45" w:rsidRDefault="00482D6C" w:rsidP="00352318">
      <w:r w:rsidRPr="00D56A45">
        <w:rPr>
          <w:b/>
          <w:bCs/>
        </w:rPr>
        <w:t>NDIS Commission</w:t>
      </w:r>
      <w:r w:rsidRPr="00D56A45">
        <w:t xml:space="preserve"> - to </w:t>
      </w:r>
      <w:r w:rsidR="00241596" w:rsidRPr="00D56A45">
        <w:t>support</w:t>
      </w:r>
      <w:r w:rsidRPr="00D56A45">
        <w:t xml:space="preserve"> access to program</w:t>
      </w:r>
      <w:r w:rsidR="007A1751" w:rsidRPr="00D56A45">
        <w:t>s</w:t>
      </w:r>
      <w:r w:rsidRPr="00D56A45">
        <w:t xml:space="preserve"> via links on commission website and supporting government advocacy for these to be available at no costs to </w:t>
      </w:r>
      <w:r w:rsidR="00C9059D" w:rsidRPr="00D56A45">
        <w:t>cohorts</w:t>
      </w:r>
      <w:r w:rsidRPr="00D56A45">
        <w:t xml:space="preserve"> identified at highest risk. </w:t>
      </w:r>
    </w:p>
    <w:p w14:paraId="5A83A0B0" w14:textId="595AF96D" w:rsidR="00482D6C" w:rsidRPr="00D56A45" w:rsidRDefault="00482D6C" w:rsidP="00352318">
      <w:r w:rsidRPr="00D56A45">
        <w:rPr>
          <w:b/>
          <w:bCs/>
        </w:rPr>
        <w:t xml:space="preserve">State and territory government consideration </w:t>
      </w:r>
      <w:r w:rsidRPr="00D56A45">
        <w:t xml:space="preserve">of </w:t>
      </w:r>
      <w:r w:rsidR="00966608" w:rsidRPr="00D56A45">
        <w:t xml:space="preserve">the </w:t>
      </w:r>
      <w:r w:rsidRPr="00D56A45">
        <w:t>cost benefit of</w:t>
      </w:r>
      <w:r w:rsidR="000D7028" w:rsidRPr="00D56A45">
        <w:t xml:space="preserve"> </w:t>
      </w:r>
      <w:r w:rsidR="00C72FCA" w:rsidRPr="00D56A45">
        <w:t xml:space="preserve">(1) </w:t>
      </w:r>
      <w:r w:rsidR="00966608" w:rsidRPr="00D56A45">
        <w:t>undertaking a scoping review of</w:t>
      </w:r>
      <w:r w:rsidR="00700711" w:rsidRPr="00D56A45">
        <w:t xml:space="preserve"> nation-wide</w:t>
      </w:r>
      <w:r w:rsidR="00966608" w:rsidRPr="00D56A45">
        <w:t xml:space="preserve"> </w:t>
      </w:r>
      <w:r w:rsidR="005839A0" w:rsidRPr="00D56A45">
        <w:t>capability-</w:t>
      </w:r>
      <w:r w:rsidR="00966608" w:rsidRPr="00D56A45">
        <w:t>building initiatives and</w:t>
      </w:r>
      <w:r w:rsidR="00C72FCA" w:rsidRPr="00D56A45">
        <w:t xml:space="preserve"> (2)</w:t>
      </w:r>
      <w:r w:rsidR="00966608" w:rsidRPr="00D56A45">
        <w:t xml:space="preserve"> </w:t>
      </w:r>
      <w:r w:rsidR="000D7028" w:rsidRPr="00D56A45">
        <w:t>funding</w:t>
      </w:r>
      <w:r w:rsidRPr="00D56A45">
        <w:t xml:space="preserve"> disability advocacy programs targeting improved health literacy and navigation.</w:t>
      </w:r>
    </w:p>
    <w:p w14:paraId="769ABAF0" w14:textId="77777777" w:rsidR="00482D6C" w:rsidRPr="00D56A45" w:rsidRDefault="00482D6C" w:rsidP="00612589">
      <w:pPr>
        <w:pStyle w:val="Heading2"/>
      </w:pPr>
      <w:bookmarkStart w:id="36" w:name="_Toc225778760"/>
      <w:r w:rsidRPr="00D56A45">
        <w:t>Where individuals cannot advocate for themselves, promote and develop external advocacy solutions</w:t>
      </w:r>
      <w:bookmarkEnd w:id="36"/>
    </w:p>
    <w:p w14:paraId="290279A8" w14:textId="097ACDC3" w:rsidR="00482D6C" w:rsidRPr="00D56A45" w:rsidRDefault="00482D6C" w:rsidP="00352318">
      <w:r w:rsidRPr="00D56A45">
        <w:t xml:space="preserve">Family and carers are not always available, equipped or interested in being involved in the health advocacy of a person with disability. This includes people with ageing or deceased parents or siblings, deceased partners, </w:t>
      </w:r>
      <w:r w:rsidR="0052632F" w:rsidRPr="00D56A45">
        <w:t xml:space="preserve">people whose parents have intellectual or learning disabilities, </w:t>
      </w:r>
      <w:r w:rsidRPr="00D56A45">
        <w:t xml:space="preserve">or people who are estranged from family. Other examples include people who have families or networks who work or are burnt out from their caring role. The person with disability may have also been relinquished to the care of disability support providers at some point in their life. </w:t>
      </w:r>
      <w:r w:rsidR="00ED356E" w:rsidRPr="00D56A45">
        <w:t xml:space="preserve">Even parents who do have </w:t>
      </w:r>
      <w:r w:rsidR="008B2637" w:rsidRPr="00D56A45">
        <w:t xml:space="preserve">capability </w:t>
      </w:r>
      <w:r w:rsidR="00ED356E" w:rsidRPr="00D56A45">
        <w:t xml:space="preserve">to advocate for their family members report frequent failure to do so when navigating complex health systems. </w:t>
      </w:r>
      <w:r w:rsidRPr="00D56A45">
        <w:t xml:space="preserve">Health advocacy services are required for individuals and families in these circumstances.  External advocacy organisations do exist and can be accessed by people with disability and their families, but there is a lack of awareness of their availability and </w:t>
      </w:r>
      <w:r w:rsidR="008B2637" w:rsidRPr="00D56A45">
        <w:t xml:space="preserve">capability </w:t>
      </w:r>
      <w:r w:rsidRPr="00D56A45">
        <w:t>can be limited, especially with the loss of some</w:t>
      </w:r>
      <w:r w:rsidR="00BF6112" w:rsidRPr="00D56A45">
        <w:t xml:space="preserve"> </w:t>
      </w:r>
      <w:r w:rsidRPr="00D56A45">
        <w:t xml:space="preserve">advocacy services as the sector transitioned to the NDIS. </w:t>
      </w:r>
      <w:r w:rsidR="0019056F" w:rsidRPr="00D56A45">
        <w:t xml:space="preserve">Additionally, many advocacy services do not have the </w:t>
      </w:r>
      <w:r w:rsidR="008B2637" w:rsidRPr="00D56A45">
        <w:t xml:space="preserve">capability </w:t>
      </w:r>
      <w:r w:rsidR="0019056F" w:rsidRPr="00D56A45">
        <w:t>or training to meet th</w:t>
      </w:r>
      <w:r w:rsidR="00A2351C" w:rsidRPr="00D56A45">
        <w:t>e health-specific advocacy needs of people with disability.</w:t>
      </w:r>
    </w:p>
    <w:p w14:paraId="7A7814DE" w14:textId="77777777" w:rsidR="00482D6C" w:rsidRPr="00D56A45" w:rsidRDefault="00482D6C" w:rsidP="00612589">
      <w:pPr>
        <w:pStyle w:val="Heading3"/>
      </w:pPr>
      <w:bookmarkStart w:id="37" w:name="_Toc201750893"/>
      <w:bookmarkStart w:id="38" w:name="_Toc201758888"/>
      <w:r w:rsidRPr="00D56A45">
        <w:t>Opportunities:</w:t>
      </w:r>
      <w:bookmarkEnd w:id="37"/>
      <w:bookmarkEnd w:id="38"/>
    </w:p>
    <w:p w14:paraId="472EC3F0" w14:textId="244F7219" w:rsidR="00482D6C" w:rsidRPr="00D56A45" w:rsidRDefault="00482D6C" w:rsidP="00A11551">
      <w:r w:rsidRPr="00D56A45">
        <w:t>There is a critical issue with the current model of disability support in hospitals. To address this, a review of the current models of disability liaison is required within each state and territory health system. Much like the Aboriginal and Torres Strait Islander Liaisons model, something similar needs to be embedded within hospital services. This recognises there are specific needs in this population group that requires people with the knowledge, skills and attitudes to facilitate their health advocacy and resultant health</w:t>
      </w:r>
      <w:r w:rsidR="006E7050" w:rsidRPr="00D56A45">
        <w:t xml:space="preserve"> </w:t>
      </w:r>
      <w:r w:rsidRPr="00D56A45">
        <w:t>care</w:t>
      </w:r>
      <w:r w:rsidR="00360173" w:rsidRPr="00D56A45">
        <w:t xml:space="preserve"> and requires a consistent embedded approach across all states and territories.</w:t>
      </w:r>
      <w:r w:rsidRPr="00D56A45">
        <w:t xml:space="preserve"> </w:t>
      </w:r>
    </w:p>
    <w:p w14:paraId="6BC04355" w14:textId="77777777" w:rsidR="00482D6C" w:rsidRPr="00D56A45" w:rsidRDefault="00482D6C" w:rsidP="00612589">
      <w:pPr>
        <w:pStyle w:val="Heading3"/>
      </w:pPr>
      <w:bookmarkStart w:id="39" w:name="_Toc201750894"/>
      <w:bookmarkStart w:id="40" w:name="_Toc201758889"/>
      <w:r w:rsidRPr="00D56A45">
        <w:t>DHSCC member influence and consideration:</w:t>
      </w:r>
      <w:bookmarkEnd w:id="39"/>
      <w:bookmarkEnd w:id="40"/>
      <w:r w:rsidRPr="00D56A45">
        <w:t xml:space="preserve"> </w:t>
      </w:r>
    </w:p>
    <w:p w14:paraId="49E40638" w14:textId="473465FD" w:rsidR="00482D6C" w:rsidRPr="00D56A45" w:rsidRDefault="00482D6C" w:rsidP="00352318">
      <w:r w:rsidRPr="00D56A45">
        <w:rPr>
          <w:b/>
          <w:bCs/>
        </w:rPr>
        <w:t>NDIA</w:t>
      </w:r>
      <w:r w:rsidRPr="00D56A45">
        <w:t xml:space="preserve"> to </w:t>
      </w:r>
      <w:r w:rsidR="00850ABD" w:rsidRPr="00D56A45">
        <w:t>consider</w:t>
      </w:r>
      <w:r w:rsidRPr="00D56A45">
        <w:t xml:space="preserve"> processes for improved linkages with most at risk people admitted to hospital </w:t>
      </w:r>
      <w:r w:rsidR="00360173" w:rsidRPr="00D56A45">
        <w:t>including multiple identification pathways</w:t>
      </w:r>
      <w:r w:rsidR="00850ABD" w:rsidRPr="00D56A45">
        <w:t>.</w:t>
      </w:r>
      <w:r w:rsidR="00360173" w:rsidRPr="00D56A45">
        <w:t xml:space="preserve"> </w:t>
      </w:r>
    </w:p>
    <w:p w14:paraId="27C09F3D" w14:textId="5DD19EC0" w:rsidR="00482D6C" w:rsidRPr="00D56A45" w:rsidRDefault="00482D6C" w:rsidP="00352318">
      <w:r w:rsidRPr="00D56A45">
        <w:rPr>
          <w:b/>
          <w:bCs/>
        </w:rPr>
        <w:t>State and territory government health services</w:t>
      </w:r>
      <w:r w:rsidRPr="00D56A45">
        <w:t xml:space="preserve"> to consider hospital resourcing and cost benefits related to the hospital liaison officer or navigator roles that specialis</w:t>
      </w:r>
      <w:r w:rsidR="00D17F94" w:rsidRPr="00D56A45">
        <w:t xml:space="preserve">e </w:t>
      </w:r>
      <w:r w:rsidRPr="00D56A45">
        <w:t>in disability advocacy and support for most at risk population groups.</w:t>
      </w:r>
    </w:p>
    <w:p w14:paraId="59779B79" w14:textId="77777777" w:rsidR="00482D6C" w:rsidRPr="00D56A45" w:rsidRDefault="00482D6C" w:rsidP="00612589">
      <w:pPr>
        <w:pStyle w:val="Heading2"/>
      </w:pPr>
      <w:bookmarkStart w:id="41" w:name="_Toc225778761"/>
      <w:r w:rsidRPr="00D56A45">
        <w:t>Increase capacity in the health system to better understand the health needs of people with disability</w:t>
      </w:r>
      <w:bookmarkEnd w:id="41"/>
    </w:p>
    <w:p w14:paraId="5C944D6B" w14:textId="3DBECFE1" w:rsidR="00482D6C" w:rsidRPr="00D56A45" w:rsidRDefault="00163C99" w:rsidP="00003066">
      <w:r w:rsidRPr="00D56A45">
        <w:t>Strategies</w:t>
      </w:r>
      <w:r w:rsidR="00566637" w:rsidRPr="00D56A45">
        <w:t xml:space="preserve"> to increase </w:t>
      </w:r>
      <w:r w:rsidR="00566CB8" w:rsidRPr="00D56A45">
        <w:t xml:space="preserve">the capacity of the health system to address the needs of people with disability </w:t>
      </w:r>
      <w:r w:rsidRPr="00D56A45">
        <w:t xml:space="preserve">include </w:t>
      </w:r>
      <w:r w:rsidR="00457953" w:rsidRPr="00D56A45">
        <w:t>w</w:t>
      </w:r>
      <w:r w:rsidR="00482D6C" w:rsidRPr="00D56A45">
        <w:t>orkforce training, accessible communication</w:t>
      </w:r>
      <w:r w:rsidR="00457953" w:rsidRPr="00D56A45">
        <w:t xml:space="preserve"> and improving the health and disability sector’s </w:t>
      </w:r>
      <w:r w:rsidR="00482D6C" w:rsidRPr="00D56A45">
        <w:t>understanding of the role of support workers</w:t>
      </w:r>
      <w:r w:rsidR="006656EF" w:rsidRPr="00D56A45">
        <w:t>. I</w:t>
      </w:r>
      <w:r w:rsidR="00482D6C" w:rsidRPr="00D56A45">
        <w:t>mproved communication of individual support needs across health settings</w:t>
      </w:r>
      <w:r w:rsidR="00CF28A7" w:rsidRPr="00D56A45">
        <w:t>,</w:t>
      </w:r>
      <w:r w:rsidR="00543015" w:rsidRPr="00D56A45">
        <w:t xml:space="preserve"> </w:t>
      </w:r>
      <w:r w:rsidR="00482D6C" w:rsidRPr="00D56A45">
        <w:t xml:space="preserve">greater access to </w:t>
      </w:r>
      <w:r w:rsidR="00E124F1" w:rsidRPr="00D56A45">
        <w:t>home-based health</w:t>
      </w:r>
      <w:r w:rsidR="00482D6C" w:rsidRPr="00D56A45">
        <w:t xml:space="preserve"> services </w:t>
      </w:r>
      <w:r w:rsidR="00CF28A7" w:rsidRPr="00D56A45">
        <w:t xml:space="preserve">and access to communication partners while in hospital </w:t>
      </w:r>
      <w:r w:rsidR="006E6838" w:rsidRPr="00D56A45">
        <w:t xml:space="preserve">would also </w:t>
      </w:r>
      <w:r w:rsidR="00003FB9" w:rsidRPr="00D56A45">
        <w:t>help to reduce system barriers for people with disability.</w:t>
      </w:r>
    </w:p>
    <w:p w14:paraId="1CAA34D2" w14:textId="41777280" w:rsidR="00440304" w:rsidRPr="00D56A45" w:rsidRDefault="00367368" w:rsidP="00440304">
      <w:r w:rsidRPr="00D56A45">
        <w:t>Understanding how to care for people with disability is essential for workers in both the health and disability sectors. When this knowledge is</w:t>
      </w:r>
      <w:r w:rsidR="00440304" w:rsidRPr="00D56A45">
        <w:t xml:space="preserve"> </w:t>
      </w:r>
      <w:r w:rsidRPr="00D56A45">
        <w:t>built into everyday practice, it helps people with disability to speak up for their health needs—either on their own or with support.</w:t>
      </w:r>
      <w:r w:rsidR="000C0C0E" w:rsidRPr="00D56A45">
        <w:t xml:space="preserve"> Embedding a baseline knowledge </w:t>
      </w:r>
      <w:r w:rsidR="00914DD9" w:rsidRPr="00D56A45">
        <w:t xml:space="preserve">amongst the health and disability workforce will </w:t>
      </w:r>
      <w:r w:rsidR="0000378E" w:rsidRPr="00D56A45">
        <w:t>be fundamental to overcome health literacy barriers.</w:t>
      </w:r>
      <w:r w:rsidR="00914DD9" w:rsidRPr="00D56A45">
        <w:t xml:space="preserve"> </w:t>
      </w:r>
    </w:p>
    <w:p w14:paraId="26FAE529" w14:textId="77777777" w:rsidR="00482D6C" w:rsidRPr="00D56A45" w:rsidRDefault="00482D6C" w:rsidP="00612589">
      <w:pPr>
        <w:pStyle w:val="Heading3"/>
      </w:pPr>
      <w:bookmarkStart w:id="42" w:name="_Toc201750896"/>
      <w:bookmarkStart w:id="43" w:name="_Toc201758891"/>
      <w:r w:rsidRPr="00D56A45">
        <w:t>Opportunities:</w:t>
      </w:r>
      <w:bookmarkEnd w:id="42"/>
      <w:bookmarkEnd w:id="43"/>
    </w:p>
    <w:p w14:paraId="5D1E619D" w14:textId="3582F88F" w:rsidR="005E69D4" w:rsidRPr="00D56A45" w:rsidRDefault="00482D6C" w:rsidP="005E69D4">
      <w:r w:rsidRPr="00D56A45">
        <w:t xml:space="preserve">The Working Group recommends that </w:t>
      </w:r>
      <w:r w:rsidR="00106723" w:rsidRPr="00D56A45">
        <w:t xml:space="preserve">all </w:t>
      </w:r>
      <w:r w:rsidR="00796574" w:rsidRPr="00D56A45">
        <w:t xml:space="preserve">areas of </w:t>
      </w:r>
      <w:r w:rsidRPr="00D56A45">
        <w:t>the health workforce consider</w:t>
      </w:r>
      <w:r w:rsidR="00796574" w:rsidRPr="00D56A45">
        <w:t xml:space="preserve"> improving</w:t>
      </w:r>
      <w:r w:rsidRPr="00D56A45">
        <w:t xml:space="preserve"> baseline </w:t>
      </w:r>
      <w:r w:rsidR="00BD2A7E" w:rsidRPr="00D56A45">
        <w:t xml:space="preserve">disability health </w:t>
      </w:r>
      <w:r w:rsidRPr="00D56A45">
        <w:t>knowledge</w:t>
      </w:r>
      <w:r w:rsidR="00BD2A7E" w:rsidRPr="00D56A45">
        <w:t>.</w:t>
      </w:r>
      <w:r w:rsidRPr="00D56A45">
        <w:t xml:space="preserve"> </w:t>
      </w:r>
      <w:r w:rsidR="00BD2A7E" w:rsidRPr="00D56A45">
        <w:t>D</w:t>
      </w:r>
      <w:r w:rsidRPr="00D56A45">
        <w:t xml:space="preserve">isability health capability improvement </w:t>
      </w:r>
      <w:r w:rsidR="00DD0B75" w:rsidRPr="00D56A45">
        <w:t xml:space="preserve">should </w:t>
      </w:r>
      <w:r w:rsidRPr="00D56A45">
        <w:t>be included in professional standards for accreditation. These initiatives must be recognised as a cost benefit to the health system and based on the Intellectual Disability Health Capability Framework</w:t>
      </w:r>
      <w:r w:rsidRPr="00D56A45">
        <w:rPr>
          <w:rStyle w:val="EndnoteReference"/>
        </w:rPr>
        <w:endnoteReference w:id="25"/>
      </w:r>
      <w:r w:rsidR="005E69D4" w:rsidRPr="00D56A45">
        <w:t xml:space="preserve"> </w:t>
      </w:r>
      <w:r w:rsidR="00CF6CBA" w:rsidRPr="00D56A45">
        <w:t>.</w:t>
      </w:r>
    </w:p>
    <w:p w14:paraId="71C66B2E" w14:textId="77777777" w:rsidR="00D4134D" w:rsidRPr="00D56A45" w:rsidRDefault="00D4134D" w:rsidP="00D4134D">
      <w:r w:rsidRPr="00D56A45">
        <w:t xml:space="preserve">Better integration of health information across systems is needed so that information follows an individual across health systems. </w:t>
      </w:r>
    </w:p>
    <w:p w14:paraId="32E9D376" w14:textId="173183DA" w:rsidR="00FF5030" w:rsidRPr="00D56A45" w:rsidRDefault="00003066" w:rsidP="00B329E4">
      <w:r w:rsidRPr="00D56A45">
        <w:t xml:space="preserve">This opportunity can explore current policies, standards and activities </w:t>
      </w:r>
      <w:r w:rsidR="006A687B" w:rsidRPr="00D56A45">
        <w:t>and how they can</w:t>
      </w:r>
      <w:r w:rsidR="003C6DEE" w:rsidRPr="00D56A45">
        <w:t xml:space="preserve"> </w:t>
      </w:r>
      <w:r w:rsidR="00EC53BF" w:rsidRPr="00D56A45">
        <w:t>increas</w:t>
      </w:r>
      <w:r w:rsidR="00E8206E" w:rsidRPr="00D56A45">
        <w:t>e</w:t>
      </w:r>
      <w:r w:rsidR="00EC53BF" w:rsidRPr="00D56A45">
        <w:t xml:space="preserve"> </w:t>
      </w:r>
      <w:r w:rsidR="00053D1E" w:rsidRPr="00D56A45">
        <w:t>capacity of information systems</w:t>
      </w:r>
      <w:r w:rsidR="006A687B" w:rsidRPr="00D56A45">
        <w:t>,</w:t>
      </w:r>
      <w:r w:rsidRPr="00D56A45">
        <w:t xml:space="preserve"> such as My Health Record uptake</w:t>
      </w:r>
      <w:r w:rsidR="00CF6CBA" w:rsidRPr="00D56A45">
        <w:t>.</w:t>
      </w:r>
    </w:p>
    <w:p w14:paraId="500970A6" w14:textId="068A8FF8" w:rsidR="00003066" w:rsidRPr="00D56A45" w:rsidRDefault="005E69D4" w:rsidP="00B329E4">
      <w:r w:rsidRPr="00D56A45">
        <w:t>Greater understanding is needed to explore how My Health Record</w:t>
      </w:r>
      <w:r w:rsidR="00003066" w:rsidRPr="00D56A45">
        <w:t xml:space="preserve"> </w:t>
      </w:r>
      <w:r w:rsidRPr="00D56A45">
        <w:t xml:space="preserve">can </w:t>
      </w:r>
      <w:r w:rsidR="00003066" w:rsidRPr="00D56A45">
        <w:t>support the person with disability and the health workforce to understand their history and existing health management needs to inform discussion of emerging conditions, planning and early intervention</w:t>
      </w:r>
      <w:r w:rsidRPr="00D56A45">
        <w:t>.</w:t>
      </w:r>
    </w:p>
    <w:p w14:paraId="0E711331" w14:textId="77777777" w:rsidR="00003066" w:rsidRPr="00D56A45" w:rsidRDefault="00003066" w:rsidP="00612589">
      <w:pPr>
        <w:pStyle w:val="Heading3"/>
      </w:pPr>
      <w:bookmarkStart w:id="44" w:name="_Toc201750897"/>
      <w:bookmarkStart w:id="45" w:name="_Toc201758892"/>
      <w:r w:rsidRPr="00D56A45">
        <w:t>DHSCC member influence and consideration:</w:t>
      </w:r>
      <w:bookmarkEnd w:id="44"/>
      <w:bookmarkEnd w:id="45"/>
      <w:r w:rsidRPr="00D56A45">
        <w:t xml:space="preserve"> </w:t>
      </w:r>
    </w:p>
    <w:p w14:paraId="22F9FE91" w14:textId="70233676" w:rsidR="00003066" w:rsidRPr="00D56A45" w:rsidRDefault="005E69D4" w:rsidP="00003066">
      <w:r w:rsidRPr="00D56A45">
        <w:rPr>
          <w:b/>
          <w:bCs/>
        </w:rPr>
        <w:t>DHDA</w:t>
      </w:r>
      <w:r w:rsidRPr="00D56A45">
        <w:t xml:space="preserve"> to</w:t>
      </w:r>
      <w:r w:rsidR="00003066" w:rsidRPr="00D56A45">
        <w:t xml:space="preserve"> review M</w:t>
      </w:r>
      <w:r w:rsidRPr="00D56A45">
        <w:t>y H</w:t>
      </w:r>
      <w:r w:rsidR="00003066" w:rsidRPr="00D56A45">
        <w:t xml:space="preserve">ealth </w:t>
      </w:r>
      <w:r w:rsidRPr="00D56A45">
        <w:t>R</w:t>
      </w:r>
      <w:r w:rsidR="00003066" w:rsidRPr="00D56A45">
        <w:t>ecord use</w:t>
      </w:r>
      <w:r w:rsidR="00745AB4" w:rsidRPr="00D56A45">
        <w:t xml:space="preserve"> and its capacity to capture the health and support needs of people with disability</w:t>
      </w:r>
      <w:r w:rsidR="007B7784" w:rsidRPr="00D56A45">
        <w:t>.</w:t>
      </w:r>
    </w:p>
    <w:p w14:paraId="6BA7CA41" w14:textId="22CDC89D" w:rsidR="00003066" w:rsidRPr="00D56A45" w:rsidRDefault="005E69D4" w:rsidP="00003066">
      <w:r w:rsidRPr="00D56A45">
        <w:rPr>
          <w:b/>
          <w:bCs/>
        </w:rPr>
        <w:t xml:space="preserve">DHDA, </w:t>
      </w:r>
      <w:r w:rsidR="00003066" w:rsidRPr="00D56A45">
        <w:rPr>
          <w:b/>
          <w:bCs/>
        </w:rPr>
        <w:t>NSQ</w:t>
      </w:r>
      <w:r w:rsidR="004B1447" w:rsidRPr="00D56A45">
        <w:rPr>
          <w:b/>
          <w:bCs/>
        </w:rPr>
        <w:t>H</w:t>
      </w:r>
      <w:r w:rsidR="00003066" w:rsidRPr="00D56A45">
        <w:rPr>
          <w:b/>
          <w:bCs/>
        </w:rPr>
        <w:t>SS</w:t>
      </w:r>
      <w:r w:rsidRPr="00D56A45">
        <w:rPr>
          <w:b/>
          <w:bCs/>
        </w:rPr>
        <w:t>,</w:t>
      </w:r>
      <w:r w:rsidR="00003066" w:rsidRPr="00D56A45">
        <w:rPr>
          <w:b/>
          <w:bCs/>
        </w:rPr>
        <w:t xml:space="preserve"> RACGP and other health professional bodies</w:t>
      </w:r>
      <w:r w:rsidR="00003066" w:rsidRPr="00D56A45">
        <w:t xml:space="preserve"> to review standards and requirements for disability baseline knowledge as part of workforce/service standards</w:t>
      </w:r>
      <w:r w:rsidR="007B7784" w:rsidRPr="00D56A45">
        <w:t>.</w:t>
      </w:r>
    </w:p>
    <w:p w14:paraId="30872D4C" w14:textId="7C4DDF86" w:rsidR="00C92F0D" w:rsidRPr="00D56A45" w:rsidRDefault="00C92F0D" w:rsidP="00FF31C3">
      <w:r w:rsidRPr="00D56A45">
        <w:br w:type="page"/>
      </w:r>
    </w:p>
    <w:p w14:paraId="0E708A8A" w14:textId="6575094A" w:rsidR="00C92F0D" w:rsidRPr="00D56A45" w:rsidRDefault="00C92F0D" w:rsidP="00612589">
      <w:pPr>
        <w:pStyle w:val="Heading1"/>
      </w:pPr>
      <w:bookmarkStart w:id="46" w:name="_Toc225778762"/>
      <w:r w:rsidRPr="00D56A45">
        <w:t xml:space="preserve">Appendix </w:t>
      </w:r>
      <w:r w:rsidR="00256E85" w:rsidRPr="00D56A45">
        <w:t>1</w:t>
      </w:r>
      <w:r w:rsidR="0018198F">
        <w:t>. Standards and rules</w:t>
      </w:r>
      <w:bookmarkEnd w:id="46"/>
    </w:p>
    <w:p w14:paraId="1D1E3C0F" w14:textId="5C526C1E" w:rsidR="00C92F0D" w:rsidRPr="00D56A45" w:rsidRDefault="00791492" w:rsidP="0018198F">
      <w:r w:rsidRPr="00D56A45">
        <w:t>S</w:t>
      </w:r>
      <w:r w:rsidR="00C92F0D" w:rsidRPr="00D56A45">
        <w:t xml:space="preserve">tandards </w:t>
      </w:r>
      <w:r w:rsidRPr="00D56A45">
        <w:t>and rules</w:t>
      </w:r>
      <w:r w:rsidR="00C92F0D" w:rsidRPr="00D56A45">
        <w:t xml:space="preserve"> that are either mandated or recommended across the health system</w:t>
      </w:r>
      <w:r w:rsidRPr="00D56A45">
        <w:t xml:space="preserve"> interfacing with disability health advocacy needs, barriers and opportunities</w:t>
      </w:r>
      <w:r w:rsidR="006B461C" w:rsidRPr="00D56A45">
        <w:t>.</w:t>
      </w:r>
    </w:p>
    <w:tbl>
      <w:tblPr>
        <w:tblStyle w:val="TableGrid"/>
        <w:tblW w:w="0" w:type="auto"/>
        <w:tblInd w:w="-431" w:type="dxa"/>
        <w:tblLook w:val="04A0" w:firstRow="1" w:lastRow="0" w:firstColumn="1" w:lastColumn="0" w:noHBand="0" w:noVBand="1"/>
      </w:tblPr>
      <w:tblGrid>
        <w:gridCol w:w="2265"/>
        <w:gridCol w:w="2398"/>
        <w:gridCol w:w="1967"/>
        <w:gridCol w:w="2861"/>
      </w:tblGrid>
      <w:tr w:rsidR="00C92F0D" w:rsidRPr="00D56A45" w14:paraId="75709790" w14:textId="77777777" w:rsidTr="0018198F">
        <w:trPr>
          <w:tblHeader/>
        </w:trPr>
        <w:tc>
          <w:tcPr>
            <w:tcW w:w="0" w:type="auto"/>
            <w:shd w:val="clear" w:color="auto" w:fill="1F497D" w:themeFill="text2"/>
          </w:tcPr>
          <w:p w14:paraId="7D8A0B0F" w14:textId="77777777" w:rsidR="00C92F0D" w:rsidRPr="0018198F" w:rsidRDefault="00C92F0D" w:rsidP="0018198F">
            <w:pPr>
              <w:pStyle w:val="TableHeaderWhite"/>
            </w:pPr>
            <w:r w:rsidRPr="0018198F">
              <w:t>Standard/Rules</w:t>
            </w:r>
          </w:p>
        </w:tc>
        <w:tc>
          <w:tcPr>
            <w:tcW w:w="0" w:type="auto"/>
            <w:shd w:val="clear" w:color="auto" w:fill="1F497D" w:themeFill="text2"/>
          </w:tcPr>
          <w:p w14:paraId="33D73EF4" w14:textId="77777777" w:rsidR="00C92F0D" w:rsidRPr="0018198F" w:rsidRDefault="00C92F0D" w:rsidP="0018198F">
            <w:pPr>
              <w:pStyle w:val="TableHeaderWhite"/>
            </w:pPr>
            <w:r w:rsidRPr="0018198F">
              <w:t xml:space="preserve">Who it applies to </w:t>
            </w:r>
          </w:p>
        </w:tc>
        <w:tc>
          <w:tcPr>
            <w:tcW w:w="0" w:type="auto"/>
            <w:shd w:val="clear" w:color="auto" w:fill="1F497D" w:themeFill="text2"/>
          </w:tcPr>
          <w:p w14:paraId="6396DDE5" w14:textId="77777777" w:rsidR="00C92F0D" w:rsidRPr="0018198F" w:rsidRDefault="00C92F0D" w:rsidP="0018198F">
            <w:pPr>
              <w:pStyle w:val="TableHeaderWhite"/>
            </w:pPr>
            <w:r w:rsidRPr="0018198F">
              <w:t xml:space="preserve">Mandated or recommended </w:t>
            </w:r>
          </w:p>
        </w:tc>
        <w:tc>
          <w:tcPr>
            <w:tcW w:w="0" w:type="auto"/>
            <w:shd w:val="clear" w:color="auto" w:fill="1F497D" w:themeFill="text2"/>
          </w:tcPr>
          <w:p w14:paraId="2DCB906E" w14:textId="0C854CCA" w:rsidR="00C92F0D" w:rsidRPr="0018198F" w:rsidRDefault="00C92F0D" w:rsidP="0018198F">
            <w:pPr>
              <w:pStyle w:val="TableHeaderWhite"/>
            </w:pPr>
            <w:r w:rsidRPr="0018198F">
              <w:t>Notes</w:t>
            </w:r>
          </w:p>
        </w:tc>
      </w:tr>
      <w:tr w:rsidR="00C92F0D" w:rsidRPr="00D56A45" w14:paraId="28635DFC" w14:textId="77777777" w:rsidTr="0018198F">
        <w:tc>
          <w:tcPr>
            <w:tcW w:w="0" w:type="auto"/>
          </w:tcPr>
          <w:p w14:paraId="7B7353B7" w14:textId="77777777" w:rsidR="00C92F0D" w:rsidRPr="00D56A45" w:rsidRDefault="00C92F0D" w:rsidP="005821E1">
            <w:r w:rsidRPr="00D56A45">
              <w:t>UN Convention on Rights of Persons with Disabilities (UNCRPD) Article 25.</w:t>
            </w:r>
          </w:p>
        </w:tc>
        <w:tc>
          <w:tcPr>
            <w:tcW w:w="0" w:type="auto"/>
          </w:tcPr>
          <w:p w14:paraId="125F7C9C" w14:textId="77777777" w:rsidR="00C92F0D" w:rsidRPr="00D56A45" w:rsidRDefault="00C92F0D" w:rsidP="005821E1">
            <w:r w:rsidRPr="00D56A45">
              <w:t xml:space="preserve">Australian Government ratified </w:t>
            </w:r>
          </w:p>
        </w:tc>
        <w:tc>
          <w:tcPr>
            <w:tcW w:w="0" w:type="auto"/>
          </w:tcPr>
          <w:p w14:paraId="40C42DD3" w14:textId="1F52CAAA" w:rsidR="00C92F0D" w:rsidRPr="00D56A45" w:rsidRDefault="00C92F0D" w:rsidP="0018198F">
            <w:r w:rsidRPr="00D56A45">
              <w:t>Principle</w:t>
            </w:r>
            <w:r w:rsidR="0018198F">
              <w:t xml:space="preserve"> </w:t>
            </w:r>
            <w:r w:rsidRPr="00D56A45">
              <w:t>Reporting evidence not listed on UN Committee list March 2025.</w:t>
            </w:r>
          </w:p>
        </w:tc>
        <w:tc>
          <w:tcPr>
            <w:tcW w:w="0" w:type="auto"/>
          </w:tcPr>
          <w:p w14:paraId="411EC19B" w14:textId="77777777" w:rsidR="00C92F0D" w:rsidRPr="00D56A45" w:rsidRDefault="00C92F0D" w:rsidP="005821E1">
            <w:r w:rsidRPr="00D56A45">
              <w:t xml:space="preserve">A UN committee meets regularly to review matters associated with countries who are signatories to the convention. </w:t>
            </w:r>
          </w:p>
          <w:p w14:paraId="53F63BDD" w14:textId="3669A7E0" w:rsidR="00C92F0D" w:rsidRPr="00D56A45" w:rsidRDefault="00C92F0D" w:rsidP="005821E1">
            <w:r w:rsidRPr="00D56A45">
              <w:t>Australia provide</w:t>
            </w:r>
            <w:r w:rsidR="00360173" w:rsidRPr="00D56A45">
              <w:t>s reports and representation</w:t>
            </w:r>
            <w:r w:rsidRPr="00D56A45">
              <w:t xml:space="preserve"> to </w:t>
            </w:r>
            <w:r w:rsidR="00360173" w:rsidRPr="00D56A45">
              <w:t xml:space="preserve">the </w:t>
            </w:r>
            <w:r w:rsidRPr="00D56A45">
              <w:t>committee</w:t>
            </w:r>
          </w:p>
        </w:tc>
      </w:tr>
      <w:tr w:rsidR="00C92F0D" w:rsidRPr="00D56A45" w14:paraId="7827CAC8" w14:textId="77777777" w:rsidTr="0018198F">
        <w:tc>
          <w:tcPr>
            <w:tcW w:w="0" w:type="auto"/>
          </w:tcPr>
          <w:p w14:paraId="07195814" w14:textId="77777777" w:rsidR="00C92F0D" w:rsidRPr="00D56A45" w:rsidRDefault="00C92F0D" w:rsidP="005821E1">
            <w:r w:rsidRPr="00D56A45">
              <w:t>National Safety and Quality Health Service (NSQHS) Standards updated in May 2021.</w:t>
            </w:r>
          </w:p>
        </w:tc>
        <w:tc>
          <w:tcPr>
            <w:tcW w:w="0" w:type="auto"/>
          </w:tcPr>
          <w:p w14:paraId="7254AE56" w14:textId="77777777" w:rsidR="00C92F0D" w:rsidRPr="00D56A45" w:rsidRDefault="00C92F0D" w:rsidP="005821E1">
            <w:r w:rsidRPr="00D56A45">
              <w:t>Health services</w:t>
            </w:r>
          </w:p>
        </w:tc>
        <w:tc>
          <w:tcPr>
            <w:tcW w:w="0" w:type="auto"/>
          </w:tcPr>
          <w:p w14:paraId="35B1067D" w14:textId="77777777" w:rsidR="00C92F0D" w:rsidRPr="00D56A45" w:rsidRDefault="00C92F0D" w:rsidP="005821E1">
            <w:r w:rsidRPr="00D56A45">
              <w:t xml:space="preserve">Mandated </w:t>
            </w:r>
          </w:p>
        </w:tc>
        <w:tc>
          <w:tcPr>
            <w:tcW w:w="0" w:type="auto"/>
          </w:tcPr>
          <w:p w14:paraId="6352BCF4" w14:textId="77777777" w:rsidR="00C92F0D" w:rsidRPr="00D56A45" w:rsidRDefault="00C92F0D" w:rsidP="005821E1">
            <w:r w:rsidRPr="00D56A45">
              <w:t>– Health service - A service unit involves a group of clinicians and others working in a systematic way to deliver health care to patients. It can be in any location or setting, including pharmacies, clinics, outpatient facilities, hospitals, patients’ homes, community settings, practices and clinicians’ rooms</w:t>
            </w:r>
          </w:p>
        </w:tc>
      </w:tr>
      <w:tr w:rsidR="00C92F0D" w:rsidRPr="00D56A45" w14:paraId="2E495CBA" w14:textId="77777777" w:rsidTr="0018198F">
        <w:tc>
          <w:tcPr>
            <w:tcW w:w="0" w:type="auto"/>
          </w:tcPr>
          <w:p w14:paraId="299B5B4F" w14:textId="77777777" w:rsidR="00C92F0D" w:rsidRPr="00D56A45" w:rsidRDefault="00C92F0D" w:rsidP="005821E1">
            <w:r w:rsidRPr="00D56A45">
              <w:t>NSQHS User guide for health care of people with an intellectual disability</w:t>
            </w:r>
          </w:p>
        </w:tc>
        <w:tc>
          <w:tcPr>
            <w:tcW w:w="0" w:type="auto"/>
          </w:tcPr>
          <w:p w14:paraId="480ABAE4" w14:textId="77777777" w:rsidR="00C92F0D" w:rsidRPr="00D56A45" w:rsidRDefault="00C92F0D" w:rsidP="005821E1">
            <w:r w:rsidRPr="00D56A45">
              <w:t xml:space="preserve">Health services  </w:t>
            </w:r>
          </w:p>
        </w:tc>
        <w:tc>
          <w:tcPr>
            <w:tcW w:w="0" w:type="auto"/>
          </w:tcPr>
          <w:p w14:paraId="5EB0AAD2" w14:textId="77777777" w:rsidR="00C92F0D" w:rsidRPr="00D56A45" w:rsidRDefault="00C92F0D" w:rsidP="005821E1">
            <w:r w:rsidRPr="00D56A45">
              <w:t xml:space="preserve">Recommended </w:t>
            </w:r>
          </w:p>
        </w:tc>
        <w:tc>
          <w:tcPr>
            <w:tcW w:w="0" w:type="auto"/>
          </w:tcPr>
          <w:p w14:paraId="3A962D01" w14:textId="77777777" w:rsidR="00C92F0D" w:rsidRPr="00D56A45" w:rsidRDefault="00C92F0D" w:rsidP="005821E1">
            <w:r w:rsidRPr="00D56A45">
              <w:t xml:space="preserve">Refer above </w:t>
            </w:r>
          </w:p>
        </w:tc>
      </w:tr>
      <w:tr w:rsidR="00C92F0D" w:rsidRPr="00D56A45" w14:paraId="34E402C0" w14:textId="77777777" w:rsidTr="0018198F">
        <w:tc>
          <w:tcPr>
            <w:tcW w:w="0" w:type="auto"/>
          </w:tcPr>
          <w:p w14:paraId="4F770B7C" w14:textId="77777777" w:rsidR="00C92F0D" w:rsidRPr="00D56A45" w:rsidRDefault="00C92F0D" w:rsidP="005821E1">
            <w:r w:rsidRPr="00D56A45">
              <w:t>RACGP Standards for GP Practice Accreditation</w:t>
            </w:r>
          </w:p>
        </w:tc>
        <w:tc>
          <w:tcPr>
            <w:tcW w:w="0" w:type="auto"/>
          </w:tcPr>
          <w:p w14:paraId="25006B91" w14:textId="77777777" w:rsidR="00C92F0D" w:rsidRPr="00D56A45" w:rsidRDefault="00C92F0D" w:rsidP="005821E1">
            <w:r w:rsidRPr="00D56A45">
              <w:t xml:space="preserve">RACGP accredited General Practice </w:t>
            </w:r>
          </w:p>
        </w:tc>
        <w:tc>
          <w:tcPr>
            <w:tcW w:w="0" w:type="auto"/>
          </w:tcPr>
          <w:p w14:paraId="1C2B5326" w14:textId="77777777" w:rsidR="00C92F0D" w:rsidRPr="00D56A45" w:rsidRDefault="00C92F0D" w:rsidP="005821E1">
            <w:r w:rsidRPr="00D56A45">
              <w:t xml:space="preserve">Mandated </w:t>
            </w:r>
          </w:p>
        </w:tc>
        <w:tc>
          <w:tcPr>
            <w:tcW w:w="0" w:type="auto"/>
          </w:tcPr>
          <w:p w14:paraId="4521987E" w14:textId="77777777" w:rsidR="00C92F0D" w:rsidRPr="00D56A45" w:rsidRDefault="00C92F0D" w:rsidP="005821E1"/>
        </w:tc>
      </w:tr>
      <w:tr w:rsidR="00C92F0D" w:rsidRPr="00D56A45" w14:paraId="4DB85432" w14:textId="77777777" w:rsidTr="0018198F">
        <w:tc>
          <w:tcPr>
            <w:tcW w:w="0" w:type="auto"/>
          </w:tcPr>
          <w:p w14:paraId="2A4A4596" w14:textId="77777777" w:rsidR="00C92F0D" w:rsidRPr="00D56A45" w:rsidRDefault="00C92F0D" w:rsidP="005821E1">
            <w:r w:rsidRPr="00D56A45">
              <w:t>RACGP Disability modules and resources</w:t>
            </w:r>
          </w:p>
        </w:tc>
        <w:tc>
          <w:tcPr>
            <w:tcW w:w="0" w:type="auto"/>
          </w:tcPr>
          <w:p w14:paraId="7E5C4A0E" w14:textId="77777777" w:rsidR="00C92F0D" w:rsidRPr="00D56A45" w:rsidRDefault="00C92F0D" w:rsidP="005821E1">
            <w:r w:rsidRPr="00D56A45">
              <w:t xml:space="preserve">RACGP accredited General Practice </w:t>
            </w:r>
          </w:p>
        </w:tc>
        <w:tc>
          <w:tcPr>
            <w:tcW w:w="0" w:type="auto"/>
          </w:tcPr>
          <w:p w14:paraId="3591EEA0" w14:textId="77777777" w:rsidR="00C92F0D" w:rsidRPr="00D56A45" w:rsidRDefault="00C92F0D" w:rsidP="005821E1">
            <w:r w:rsidRPr="00D56A45">
              <w:t>Recommended</w:t>
            </w:r>
          </w:p>
        </w:tc>
        <w:tc>
          <w:tcPr>
            <w:tcW w:w="0" w:type="auto"/>
          </w:tcPr>
          <w:p w14:paraId="3A7C4D90" w14:textId="77777777" w:rsidR="00C92F0D" w:rsidRPr="00D56A45" w:rsidRDefault="00C92F0D" w:rsidP="005821E1"/>
        </w:tc>
      </w:tr>
      <w:tr w:rsidR="00C92F0D" w:rsidRPr="00D56A45" w14:paraId="3345F8C9" w14:textId="77777777" w:rsidTr="0018198F">
        <w:tc>
          <w:tcPr>
            <w:tcW w:w="0" w:type="auto"/>
          </w:tcPr>
          <w:p w14:paraId="3382D58F" w14:textId="77777777" w:rsidR="00C92F0D" w:rsidRPr="00D56A45" w:rsidRDefault="00C92F0D" w:rsidP="005821E1">
            <w:r w:rsidRPr="00D56A45">
              <w:t>National Disability Insurance Scheme (Getting the NDIS Back on Track No. 1) (NDIS Supports) Transitional Rules 2024</w:t>
            </w:r>
          </w:p>
        </w:tc>
        <w:tc>
          <w:tcPr>
            <w:tcW w:w="0" w:type="auto"/>
          </w:tcPr>
          <w:p w14:paraId="3D47AF28" w14:textId="77777777" w:rsidR="00C92F0D" w:rsidRPr="00D56A45" w:rsidRDefault="00C92F0D" w:rsidP="005821E1">
            <w:r w:rsidRPr="00D56A45">
              <w:t xml:space="preserve">All NDIS Providers </w:t>
            </w:r>
          </w:p>
        </w:tc>
        <w:tc>
          <w:tcPr>
            <w:tcW w:w="0" w:type="auto"/>
          </w:tcPr>
          <w:p w14:paraId="02177411" w14:textId="77777777" w:rsidR="00C92F0D" w:rsidRPr="00D56A45" w:rsidRDefault="00C92F0D" w:rsidP="005821E1">
            <w:r w:rsidRPr="00D56A45">
              <w:t xml:space="preserve">Mandated </w:t>
            </w:r>
          </w:p>
        </w:tc>
        <w:tc>
          <w:tcPr>
            <w:tcW w:w="0" w:type="auto"/>
          </w:tcPr>
          <w:p w14:paraId="58CC5E2E" w14:textId="77777777" w:rsidR="00C92F0D" w:rsidRPr="00D56A45" w:rsidRDefault="00C92F0D" w:rsidP="005821E1"/>
        </w:tc>
      </w:tr>
      <w:tr w:rsidR="00C92F0D" w:rsidRPr="00D56A45" w14:paraId="60FAE1D1" w14:textId="77777777" w:rsidTr="0018198F">
        <w:tc>
          <w:tcPr>
            <w:tcW w:w="0" w:type="auto"/>
          </w:tcPr>
          <w:p w14:paraId="1E65FAFB" w14:textId="77777777" w:rsidR="00C92F0D" w:rsidRPr="00D56A45" w:rsidRDefault="00C92F0D" w:rsidP="005821E1">
            <w:r w:rsidRPr="00D56A45">
              <w:t>NDIS Quality and Safeguards Commission Practice Standards</w:t>
            </w:r>
          </w:p>
        </w:tc>
        <w:tc>
          <w:tcPr>
            <w:tcW w:w="0" w:type="auto"/>
          </w:tcPr>
          <w:p w14:paraId="495A3F5B" w14:textId="77777777" w:rsidR="00C92F0D" w:rsidRPr="00D56A45" w:rsidRDefault="00C92F0D" w:rsidP="005821E1">
            <w:r w:rsidRPr="00D56A45">
              <w:t xml:space="preserve">All NDIS registered providers </w:t>
            </w:r>
          </w:p>
          <w:p w14:paraId="1D9FF4B1" w14:textId="77777777" w:rsidR="00C92F0D" w:rsidRPr="00D56A45" w:rsidRDefault="00C92F0D" w:rsidP="005821E1">
            <w:r w:rsidRPr="00D56A45">
              <w:t xml:space="preserve">Un-registered providers </w:t>
            </w:r>
          </w:p>
        </w:tc>
        <w:tc>
          <w:tcPr>
            <w:tcW w:w="0" w:type="auto"/>
          </w:tcPr>
          <w:p w14:paraId="401E40A1" w14:textId="463598F9" w:rsidR="00C92F0D" w:rsidRPr="00D56A45" w:rsidRDefault="00C92F0D" w:rsidP="0018198F">
            <w:r w:rsidRPr="00D56A45">
              <w:t xml:space="preserve">Mandated Some mandated and some recommended  </w:t>
            </w:r>
          </w:p>
        </w:tc>
        <w:tc>
          <w:tcPr>
            <w:tcW w:w="0" w:type="auto"/>
          </w:tcPr>
          <w:p w14:paraId="63A235E8" w14:textId="77777777" w:rsidR="00C92F0D" w:rsidRPr="00D56A45" w:rsidRDefault="00C92F0D" w:rsidP="005821E1"/>
        </w:tc>
      </w:tr>
      <w:tr w:rsidR="00C92F0D" w:rsidRPr="00D56A45" w14:paraId="4E135D2E" w14:textId="77777777" w:rsidTr="0018198F">
        <w:trPr>
          <w:trHeight w:val="4164"/>
        </w:trPr>
        <w:tc>
          <w:tcPr>
            <w:tcW w:w="0" w:type="auto"/>
          </w:tcPr>
          <w:p w14:paraId="13B5F548" w14:textId="77777777" w:rsidR="00C92F0D" w:rsidRPr="00D56A45" w:rsidRDefault="00C92F0D" w:rsidP="005821E1">
            <w:r w:rsidRPr="00D56A45">
              <w:t>NDIS Quality and Safeguards Commission Practice Standards HISSD's</w:t>
            </w:r>
          </w:p>
        </w:tc>
        <w:tc>
          <w:tcPr>
            <w:tcW w:w="0" w:type="auto"/>
          </w:tcPr>
          <w:p w14:paraId="06E8394B" w14:textId="113A71A9" w:rsidR="00C92F0D" w:rsidRPr="00D56A45" w:rsidRDefault="00C92F0D" w:rsidP="0018198F">
            <w:r w:rsidRPr="00D56A45">
              <w:t>All NDIS registered providers identified for audit under e NDIS Practice Standards, Supplementary Module 1: High Intensity Daily Personal Activities (HIDPA</w:t>
            </w:r>
          </w:p>
        </w:tc>
        <w:tc>
          <w:tcPr>
            <w:tcW w:w="0" w:type="auto"/>
          </w:tcPr>
          <w:p w14:paraId="15EAB157" w14:textId="77777777" w:rsidR="00C92F0D" w:rsidRPr="00D56A45" w:rsidRDefault="00C92F0D" w:rsidP="005821E1">
            <w:r w:rsidRPr="00D56A45">
              <w:t xml:space="preserve">Mandated </w:t>
            </w:r>
          </w:p>
        </w:tc>
        <w:tc>
          <w:tcPr>
            <w:tcW w:w="0" w:type="auto"/>
          </w:tcPr>
          <w:p w14:paraId="67A207D5" w14:textId="77777777" w:rsidR="00C92F0D" w:rsidRPr="00D56A45" w:rsidRDefault="00C92F0D" w:rsidP="005821E1"/>
        </w:tc>
      </w:tr>
      <w:tr w:rsidR="004B1447" w:rsidRPr="00D56A45" w14:paraId="768E2BB9" w14:textId="77777777" w:rsidTr="0018198F">
        <w:trPr>
          <w:trHeight w:val="1966"/>
        </w:trPr>
        <w:tc>
          <w:tcPr>
            <w:tcW w:w="0" w:type="auto"/>
          </w:tcPr>
          <w:p w14:paraId="2E8BDF31" w14:textId="6307A15D" w:rsidR="004B1447" w:rsidRPr="00D56A45" w:rsidRDefault="004B1447" w:rsidP="005821E1">
            <w:r w:rsidRPr="00D56A45">
              <w:t>Applied Principles and Tables of Support</w:t>
            </w:r>
            <w:r w:rsidR="00791492" w:rsidRPr="00D56A45">
              <w:t xml:space="preserve"> (APTOS)</w:t>
            </w:r>
            <w:r w:rsidRPr="00D56A45">
              <w:t xml:space="preserve"> to determine responsibilities of NDIS and other funded systems</w:t>
            </w:r>
          </w:p>
        </w:tc>
        <w:tc>
          <w:tcPr>
            <w:tcW w:w="0" w:type="auto"/>
          </w:tcPr>
          <w:p w14:paraId="46FE37F0" w14:textId="68538812" w:rsidR="004B1447" w:rsidRPr="00D56A45" w:rsidRDefault="004B1447" w:rsidP="005821E1">
            <w:r w:rsidRPr="00D56A45">
              <w:t xml:space="preserve">Commonwealth, State and Territory Governments sign the agreement related to APTOS </w:t>
            </w:r>
          </w:p>
        </w:tc>
        <w:tc>
          <w:tcPr>
            <w:tcW w:w="0" w:type="auto"/>
          </w:tcPr>
          <w:p w14:paraId="21B4C390" w14:textId="1340F483" w:rsidR="004B1447" w:rsidRPr="00D56A45" w:rsidRDefault="004B1447" w:rsidP="005821E1">
            <w:r w:rsidRPr="00D56A45">
              <w:t xml:space="preserve">Mandated -with new APTOS pending </w:t>
            </w:r>
          </w:p>
        </w:tc>
        <w:tc>
          <w:tcPr>
            <w:tcW w:w="0" w:type="auto"/>
          </w:tcPr>
          <w:p w14:paraId="2EBF28D4" w14:textId="7F1A33CB" w:rsidR="004B1447" w:rsidRPr="00D56A45" w:rsidRDefault="004B1447" w:rsidP="005821E1">
            <w:r w:rsidRPr="00D56A45">
              <w:t xml:space="preserve">Rules identify scope of responsibilities /funding sources   </w:t>
            </w:r>
          </w:p>
        </w:tc>
      </w:tr>
    </w:tbl>
    <w:p w14:paraId="2BFD1A73" w14:textId="77777777" w:rsidR="00040D33" w:rsidRPr="00D56A45" w:rsidRDefault="00040D33" w:rsidP="00ED2C49">
      <w:pPr>
        <w:sectPr w:rsidR="00040D33" w:rsidRPr="00D56A45" w:rsidSect="00A11551">
          <w:endnotePr>
            <w:numFmt w:val="decimal"/>
          </w:endnotePr>
          <w:pgSz w:w="11906" w:h="16838"/>
          <w:pgMar w:top="1418" w:right="1418" w:bottom="993" w:left="1418" w:header="851" w:footer="567" w:gutter="0"/>
          <w:cols w:space="708"/>
          <w:docGrid w:linePitch="360"/>
        </w:sectPr>
      </w:pPr>
    </w:p>
    <w:p w14:paraId="714D037A" w14:textId="25C794F0" w:rsidR="00BB6F41" w:rsidRPr="00D56A45" w:rsidRDefault="00040D33" w:rsidP="0018198F">
      <w:pPr>
        <w:pStyle w:val="Heading1"/>
      </w:pPr>
      <w:bookmarkStart w:id="47" w:name="_Toc225778763"/>
      <w:r w:rsidRPr="00D56A45">
        <w:t xml:space="preserve">Appendix </w:t>
      </w:r>
      <w:r w:rsidR="00256E85" w:rsidRPr="00D56A45">
        <w:t>2</w:t>
      </w:r>
      <w:r w:rsidR="0018198F">
        <w:t xml:space="preserve">. </w:t>
      </w:r>
      <w:r w:rsidR="00BB6F41" w:rsidRPr="00D56A45">
        <w:t>Primary health map</w:t>
      </w:r>
      <w:bookmarkEnd w:id="47"/>
    </w:p>
    <w:p w14:paraId="15DC4EB2" w14:textId="72ABEB54" w:rsidR="00B53894" w:rsidRDefault="00BB6F41" w:rsidP="00B53894">
      <w:r w:rsidRPr="0018198F">
        <w:drawing>
          <wp:inline distT="0" distB="0" distL="0" distR="0" wp14:anchorId="27976C88" wp14:editId="32333CB0">
            <wp:extent cx="7552707" cy="5196316"/>
            <wp:effectExtent l="0" t="0" r="0" b="4445"/>
            <wp:docPr id="11407018" name="Picture 1" descr="Appendix 2. Primary health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7018" name="Picture 1" descr="Appendix 2. Primary health map"/>
                    <pic:cNvPicPr/>
                  </pic:nvPicPr>
                  <pic:blipFill>
                    <a:blip r:embed="rId16"/>
                    <a:stretch>
                      <a:fillRect/>
                    </a:stretch>
                  </pic:blipFill>
                  <pic:spPr>
                    <a:xfrm>
                      <a:off x="0" y="0"/>
                      <a:ext cx="7597192" cy="5226922"/>
                    </a:xfrm>
                    <a:prstGeom prst="rect">
                      <a:avLst/>
                    </a:prstGeom>
                  </pic:spPr>
                </pic:pic>
              </a:graphicData>
            </a:graphic>
          </wp:inline>
        </w:drawing>
      </w:r>
    </w:p>
    <w:p w14:paraId="328B5DBA" w14:textId="77777777" w:rsidR="00B53894" w:rsidRPr="00D56A45" w:rsidRDefault="00B53894" w:rsidP="0018198F">
      <w:pPr>
        <w:sectPr w:rsidR="00B53894" w:rsidRPr="00D56A45" w:rsidSect="00BB6F41">
          <w:headerReference w:type="even" r:id="rId17"/>
          <w:headerReference w:type="default" r:id="rId18"/>
          <w:footerReference w:type="even" r:id="rId19"/>
          <w:footerReference w:type="default" r:id="rId20"/>
          <w:headerReference w:type="first" r:id="rId21"/>
          <w:footerReference w:type="first" r:id="rId22"/>
          <w:pgSz w:w="16838" w:h="11906" w:orient="landscape"/>
          <w:pgMar w:top="1418" w:right="1418" w:bottom="1418" w:left="992" w:header="851" w:footer="567" w:gutter="0"/>
          <w:cols w:space="708"/>
          <w:titlePg/>
          <w:docGrid w:linePitch="360"/>
        </w:sectPr>
      </w:pPr>
    </w:p>
    <w:p w14:paraId="59917D8F" w14:textId="12E9AFB4" w:rsidR="00615A34" w:rsidRPr="00D56A45" w:rsidRDefault="00615A34" w:rsidP="0018198F">
      <w:pPr>
        <w:pStyle w:val="Heading1"/>
      </w:pPr>
      <w:bookmarkStart w:id="48" w:name="_Toc225778764"/>
      <w:r w:rsidRPr="00D56A45">
        <w:t xml:space="preserve">Appendix </w:t>
      </w:r>
      <w:r w:rsidR="00256E85" w:rsidRPr="00D56A45">
        <w:t>3</w:t>
      </w:r>
      <w:r w:rsidR="0018198F">
        <w:t xml:space="preserve">. </w:t>
      </w:r>
      <w:r w:rsidR="00BB6F41" w:rsidRPr="00D56A45">
        <w:t>Hospital Journey</w:t>
      </w:r>
      <w:bookmarkEnd w:id="48"/>
    </w:p>
    <w:p w14:paraId="1EFE67AA" w14:textId="1E994AD0" w:rsidR="00BB6F41" w:rsidRPr="00D56A45" w:rsidRDefault="00BB6F41" w:rsidP="0018198F">
      <w:r w:rsidRPr="00D56A45">
        <w:rPr>
          <w:noProof/>
        </w:rPr>
        <w:drawing>
          <wp:inline distT="0" distB="0" distL="0" distR="0" wp14:anchorId="79D7BF50" wp14:editId="64D35147">
            <wp:extent cx="7808336" cy="4476750"/>
            <wp:effectExtent l="0" t="0" r="2540" b="0"/>
            <wp:docPr id="1168077997" name="Picture 1" descr="A diagram of the hospital journey for a person with dis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469957" name="Picture 1" descr="A diagram of the hospital journey for a person with disability."/>
                    <pic:cNvPicPr/>
                  </pic:nvPicPr>
                  <pic:blipFill>
                    <a:blip r:embed="rId23"/>
                    <a:stretch>
                      <a:fillRect/>
                    </a:stretch>
                  </pic:blipFill>
                  <pic:spPr>
                    <a:xfrm>
                      <a:off x="0" y="0"/>
                      <a:ext cx="7835658" cy="4492415"/>
                    </a:xfrm>
                    <a:prstGeom prst="rect">
                      <a:avLst/>
                    </a:prstGeom>
                  </pic:spPr>
                </pic:pic>
              </a:graphicData>
            </a:graphic>
          </wp:inline>
        </w:drawing>
      </w:r>
    </w:p>
    <w:p w14:paraId="53B4A3A2" w14:textId="05BFEDFC" w:rsidR="00040D33" w:rsidRPr="00D56A45" w:rsidRDefault="00040D33" w:rsidP="00C8443D">
      <w:pPr>
        <w:jc w:val="center"/>
        <w:sectPr w:rsidR="00040D33" w:rsidRPr="00D56A45" w:rsidSect="00615A34">
          <w:headerReference w:type="even" r:id="rId24"/>
          <w:headerReference w:type="default" r:id="rId25"/>
          <w:footerReference w:type="even" r:id="rId26"/>
          <w:footerReference w:type="default" r:id="rId27"/>
          <w:headerReference w:type="first" r:id="rId28"/>
          <w:footerReference w:type="first" r:id="rId29"/>
          <w:pgSz w:w="16838" w:h="11906" w:orient="landscape"/>
          <w:pgMar w:top="1418" w:right="1418" w:bottom="1418" w:left="992" w:header="851" w:footer="567" w:gutter="0"/>
          <w:cols w:space="708"/>
          <w:titlePg/>
          <w:docGrid w:linePitch="360"/>
        </w:sectPr>
      </w:pPr>
    </w:p>
    <w:p w14:paraId="7A2D114B" w14:textId="4FF722C2" w:rsidR="00C92F0D" w:rsidRPr="00C92F0D" w:rsidRDefault="00482D6C" w:rsidP="00612589">
      <w:pPr>
        <w:pStyle w:val="Heading1"/>
      </w:pPr>
      <w:bookmarkStart w:id="49" w:name="_Toc225778765"/>
      <w:r w:rsidRPr="00D56A45">
        <w:t>References</w:t>
      </w:r>
      <w:bookmarkEnd w:id="49"/>
    </w:p>
    <w:sectPr w:rsidR="00C92F0D" w:rsidRPr="00C92F0D" w:rsidSect="00E51BA2">
      <w:pgSz w:w="11906" w:h="16838"/>
      <w:pgMar w:top="1418" w:right="1418" w:bottom="993" w:left="1418"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0D4DE" w14:textId="77777777" w:rsidR="0088187F" w:rsidRPr="00D56A45" w:rsidRDefault="0088187F">
      <w:r w:rsidRPr="00D56A45">
        <w:separator/>
      </w:r>
    </w:p>
  </w:endnote>
  <w:endnote w:type="continuationSeparator" w:id="0">
    <w:p w14:paraId="5E31807C" w14:textId="77777777" w:rsidR="0088187F" w:rsidRPr="00D56A45" w:rsidRDefault="0088187F" w:rsidP="006B56BB">
      <w:r w:rsidRPr="00D56A45">
        <w:continuationSeparator/>
      </w:r>
    </w:p>
    <w:p w14:paraId="2C1B0272" w14:textId="77777777" w:rsidR="0088187F" w:rsidRPr="00D56A45" w:rsidRDefault="0088187F"/>
    <w:p w14:paraId="23398A62" w14:textId="77777777" w:rsidR="0088187F" w:rsidRPr="00D56A45" w:rsidRDefault="0088187F"/>
  </w:endnote>
  <w:endnote w:type="continuationNotice" w:id="1">
    <w:p w14:paraId="233C02F5" w14:textId="77777777" w:rsidR="0088187F" w:rsidRPr="00D56A45" w:rsidRDefault="0088187F"/>
    <w:p w14:paraId="504A3E67" w14:textId="77777777" w:rsidR="0088187F" w:rsidRPr="00D56A45" w:rsidRDefault="0088187F"/>
  </w:endnote>
  <w:endnote w:id="2">
    <w:p w14:paraId="3D2D7779" w14:textId="77777777" w:rsidR="00F25FFC" w:rsidRPr="00D56A45" w:rsidRDefault="00F25FFC" w:rsidP="00F25FFC">
      <w:pPr>
        <w:pStyle w:val="EndnoteText"/>
      </w:pPr>
      <w:r w:rsidRPr="00D56A45">
        <w:rPr>
          <w:rStyle w:val="EndnoteReference"/>
        </w:rPr>
        <w:endnoteRef/>
      </w:r>
      <w:r w:rsidRPr="00D56A45">
        <w:t xml:space="preserve"> </w:t>
      </w:r>
      <w:hyperlink r:id="rId1" w:history="1">
        <w:r w:rsidRPr="00D56A45">
          <w:rPr>
            <w:rStyle w:val="Hyperlink"/>
          </w:rPr>
          <w:t>Constitution of the World Health Organization</w:t>
        </w:r>
      </w:hyperlink>
    </w:p>
  </w:endnote>
  <w:endnote w:id="3">
    <w:p w14:paraId="552161D8" w14:textId="77777777" w:rsidR="005575E4" w:rsidRPr="00D56A45" w:rsidRDefault="005575E4" w:rsidP="005575E4">
      <w:pPr>
        <w:pStyle w:val="EndnoteText"/>
      </w:pPr>
      <w:r w:rsidRPr="00D56A45">
        <w:rPr>
          <w:rStyle w:val="EndnoteReference"/>
        </w:rPr>
        <w:endnoteRef/>
      </w:r>
      <w:r w:rsidRPr="00D56A45">
        <w:t xml:space="preserve"> United Nations Convention on the Rights of Persons with Disabilities, Article 25 – Health, </w:t>
      </w:r>
      <w:hyperlink r:id="rId2" w:history="1">
        <w:r w:rsidRPr="00D56A45">
          <w:rPr>
            <w:rStyle w:val="Hyperlink"/>
          </w:rPr>
          <w:t>https://social.desa.un.org/issues/disability/crpd/article-25-health</w:t>
        </w:r>
      </w:hyperlink>
      <w:r w:rsidRPr="00D56A45">
        <w:t xml:space="preserve"> </w:t>
      </w:r>
    </w:p>
  </w:endnote>
  <w:endnote w:id="4">
    <w:p w14:paraId="24403191" w14:textId="77777777" w:rsidR="008E4EA9" w:rsidRPr="00D56A45" w:rsidRDefault="008E4EA9" w:rsidP="008E4EA9">
      <w:pPr>
        <w:pStyle w:val="EndnoteText"/>
      </w:pPr>
      <w:r w:rsidRPr="00D56A45">
        <w:rPr>
          <w:rStyle w:val="EndnoteReference"/>
        </w:rPr>
        <w:endnoteRef/>
      </w:r>
      <w:r w:rsidRPr="00D56A45">
        <w:t xml:space="preserve"> DRC </w:t>
      </w:r>
      <w:hyperlink r:id="rId3" w:history="1">
        <w:r w:rsidRPr="00D56A45">
          <w:rPr>
            <w:rStyle w:val="Hyperlink"/>
          </w:rPr>
          <w:t>Report on Public hearing 4 – Health care and services for people with cognitive disability</w:t>
        </w:r>
      </w:hyperlink>
      <w:r w:rsidRPr="00D56A45">
        <w:t>, pp41, 55</w:t>
      </w:r>
    </w:p>
  </w:endnote>
  <w:endnote w:id="5">
    <w:p w14:paraId="4DBA5C58" w14:textId="77777777" w:rsidR="008E4EA9" w:rsidRPr="00D56A45" w:rsidRDefault="008E4EA9" w:rsidP="008E4EA9">
      <w:pPr>
        <w:pStyle w:val="EndnoteText"/>
      </w:pPr>
      <w:r w:rsidRPr="00D56A45">
        <w:rPr>
          <w:rStyle w:val="EndnoteReference"/>
        </w:rPr>
        <w:endnoteRef/>
      </w:r>
      <w:r w:rsidRPr="00D56A45">
        <w:t xml:space="preserve"> Kavanagh, A. &amp; Badji, S. (2024). System changes to enable optimal health outcomes for people with disability. Melbourne: Centre of Research Excellence in Disability and Health. </w:t>
      </w:r>
      <w:hyperlink r:id="rId4" w:history="1">
        <w:r w:rsidRPr="00D56A45">
          <w:rPr>
            <w:rStyle w:val="Hyperlink"/>
          </w:rPr>
          <w:t>https://doi.org/10.26188/24171750 pp7,8</w:t>
        </w:r>
      </w:hyperlink>
      <w:r w:rsidRPr="00D56A45">
        <w:t xml:space="preserve">,15 </w:t>
      </w:r>
    </w:p>
  </w:endnote>
  <w:endnote w:id="6">
    <w:p w14:paraId="297CD568" w14:textId="1058E051" w:rsidR="00D91794" w:rsidRPr="00D56A45" w:rsidRDefault="00646444" w:rsidP="00D91794">
      <w:pPr>
        <w:pStyle w:val="EndnoteText"/>
        <w:rPr>
          <w:b/>
          <w:bCs/>
        </w:rPr>
      </w:pPr>
      <w:r w:rsidRPr="00D56A45">
        <w:rPr>
          <w:rStyle w:val="EndnoteReference"/>
        </w:rPr>
        <w:endnoteRef/>
      </w:r>
      <w:r w:rsidRPr="00D56A45">
        <w:t xml:space="preserve"> </w:t>
      </w:r>
      <w:r w:rsidR="009711C7" w:rsidRPr="00D56A45">
        <w:t xml:space="preserve">  </w:t>
      </w:r>
      <w:r w:rsidR="00D91794" w:rsidRPr="00D56A45">
        <w:t>Australian Institute for Health and Welfare (AIHW), People with disability in Australia</w:t>
      </w:r>
      <w:r w:rsidR="00573087" w:rsidRPr="00D56A45">
        <w:t>,</w:t>
      </w:r>
      <w:r w:rsidR="00276A3C" w:rsidRPr="00D56A45">
        <w:t xml:space="preserve"> 2024,</w:t>
      </w:r>
    </w:p>
    <w:p w14:paraId="28309BEE" w14:textId="7D8933A7" w:rsidR="00646444" w:rsidRPr="00D56A45" w:rsidRDefault="00276A3C">
      <w:pPr>
        <w:pStyle w:val="EndnoteText"/>
      </w:pPr>
      <w:hyperlink r:id="rId5" w:anchor="Difficulties" w:history="1">
        <w:r w:rsidRPr="00D56A45">
          <w:rPr>
            <w:rStyle w:val="Hyperlink"/>
          </w:rPr>
          <w:t>https://www.aihw.gov.au/reports/disability/people-with-disability-in-australia/contents/health/access-to-health-services#Difficulties</w:t>
        </w:r>
      </w:hyperlink>
      <w:r w:rsidRPr="00D56A45">
        <w:t xml:space="preserve"> </w:t>
      </w:r>
    </w:p>
  </w:endnote>
  <w:endnote w:id="7">
    <w:p w14:paraId="2A53FCF5" w14:textId="6010A07D" w:rsidR="00482D6C" w:rsidRPr="00D56A45" w:rsidRDefault="00482D6C">
      <w:pPr>
        <w:pStyle w:val="EndnoteText"/>
      </w:pPr>
      <w:r w:rsidRPr="00D56A45">
        <w:rPr>
          <w:rStyle w:val="EndnoteReference"/>
        </w:rPr>
        <w:endnoteRef/>
      </w:r>
      <w:r w:rsidRPr="00D56A45">
        <w:t xml:space="preserve"> Final Report, Royal Commission into Violence, Abuse, Neglect and Exploitation of People with Disability, Volume 6, page 351.</w:t>
      </w:r>
    </w:p>
  </w:endnote>
  <w:endnote w:id="8">
    <w:p w14:paraId="2CD34521" w14:textId="77777777" w:rsidR="001854EA" w:rsidRPr="00D56A45" w:rsidRDefault="001854EA" w:rsidP="001854EA">
      <w:pPr>
        <w:pStyle w:val="EndnoteText"/>
      </w:pPr>
      <w:r w:rsidRPr="00D56A45">
        <w:rPr>
          <w:rStyle w:val="EndnoteReference"/>
        </w:rPr>
        <w:endnoteRef/>
      </w:r>
      <w:r w:rsidRPr="00D56A45">
        <w:t xml:space="preserve"> NDIS Review: Final Report, page 66, </w:t>
      </w:r>
      <w:hyperlink r:id="rId6" w:history="1">
        <w:r w:rsidRPr="00D56A45">
          <w:rPr>
            <w:rStyle w:val="Hyperlink"/>
          </w:rPr>
          <w:t>https://www.ndisreview.gov.au/resources/reports/working-together-deliver-ndis/</w:t>
        </w:r>
      </w:hyperlink>
      <w:r w:rsidRPr="00D56A45">
        <w:t xml:space="preserve"> </w:t>
      </w:r>
    </w:p>
  </w:endnote>
  <w:endnote w:id="9">
    <w:p w14:paraId="63FAD31D" w14:textId="2DAC5E03" w:rsidR="00354938" w:rsidRPr="00D56A45" w:rsidRDefault="00354938" w:rsidP="004E6A59">
      <w:pPr>
        <w:pStyle w:val="EndnoteText"/>
      </w:pPr>
      <w:r w:rsidRPr="00D56A45">
        <w:rPr>
          <w:rStyle w:val="EndnoteReference"/>
        </w:rPr>
        <w:endnoteRef/>
      </w:r>
      <w:r w:rsidRPr="00D56A45">
        <w:t xml:space="preserve"> </w:t>
      </w:r>
      <w:r w:rsidR="004E6A59" w:rsidRPr="00D56A45">
        <w:t>National Disability Insurance Scheme (Getting the NDIS Back on Track No. 1) (NDIS Supports) Transitional Rules 2024, Schedule 1, pp 1</w:t>
      </w:r>
      <w:r w:rsidR="002D670B" w:rsidRPr="00D56A45">
        <w:t>3.</w:t>
      </w:r>
    </w:p>
  </w:endnote>
  <w:endnote w:id="10">
    <w:p w14:paraId="09B8A341" w14:textId="77777777" w:rsidR="00A05759" w:rsidRPr="00D56A45" w:rsidRDefault="00A05759" w:rsidP="00A05759">
      <w:pPr>
        <w:pStyle w:val="EndnoteText"/>
      </w:pPr>
      <w:r w:rsidRPr="00D56A45">
        <w:rPr>
          <w:rStyle w:val="EndnoteReference"/>
        </w:rPr>
        <w:endnoteRef/>
      </w:r>
      <w:r w:rsidRPr="00D56A45">
        <w:t xml:space="preserve"> NDIS Review: Final Report, page  35, </w:t>
      </w:r>
      <w:hyperlink r:id="rId7" w:history="1">
        <w:r w:rsidRPr="00D56A45">
          <w:rPr>
            <w:rStyle w:val="Hyperlink"/>
          </w:rPr>
          <w:t>https://www.ndisreview.gov.au/resources/reports/working-together-deliver-ndis/</w:t>
        </w:r>
      </w:hyperlink>
    </w:p>
  </w:endnote>
  <w:endnote w:id="11">
    <w:p w14:paraId="1899D893" w14:textId="77777777" w:rsidR="00A9475F" w:rsidRPr="00D56A45" w:rsidRDefault="00A9475F" w:rsidP="00A9475F">
      <w:pPr>
        <w:pStyle w:val="EndnoteText"/>
      </w:pPr>
      <w:r w:rsidRPr="00D56A45">
        <w:rPr>
          <w:rStyle w:val="EndnoteReference"/>
        </w:rPr>
        <w:endnoteRef/>
      </w:r>
      <w:r w:rsidRPr="00D56A45">
        <w:t xml:space="preserve"> </w:t>
      </w:r>
      <w:hyperlink r:id="rId8" w:history="1">
        <w:r w:rsidRPr="00D56A45">
          <w:rPr>
            <w:rStyle w:val="Hyperlink"/>
          </w:rPr>
          <w:t>Intellectual Disability Health Capability Framework</w:t>
        </w:r>
      </w:hyperlink>
      <w:r w:rsidRPr="00D56A45">
        <w:t xml:space="preserve"> pp. 21-25</w:t>
      </w:r>
    </w:p>
  </w:endnote>
  <w:endnote w:id="12">
    <w:p w14:paraId="7B0418D3" w14:textId="77777777" w:rsidR="00815344" w:rsidRPr="00D56A45" w:rsidRDefault="00815344" w:rsidP="00815344">
      <w:pPr>
        <w:pStyle w:val="EndnoteText"/>
      </w:pPr>
      <w:r w:rsidRPr="00D56A45">
        <w:rPr>
          <w:rStyle w:val="EndnoteReference"/>
        </w:rPr>
        <w:endnoteRef/>
      </w:r>
      <w:r w:rsidRPr="00D56A45">
        <w:t xml:space="preserve"> Australia’s Disability Strategy 2021-2031, page 36, </w:t>
      </w:r>
      <w:hyperlink r:id="rId9" w:history="1">
        <w:r w:rsidRPr="00D56A45">
          <w:rPr>
            <w:rStyle w:val="Hyperlink"/>
          </w:rPr>
          <w:t>https://www.disabilitygateway.gov.au/document/11081</w:t>
        </w:r>
      </w:hyperlink>
      <w:r w:rsidRPr="00D56A45">
        <w:t xml:space="preserve"> </w:t>
      </w:r>
    </w:p>
  </w:endnote>
  <w:endnote w:id="13">
    <w:p w14:paraId="0658C373" w14:textId="77777777" w:rsidR="00395245" w:rsidRPr="00D56A45" w:rsidRDefault="00395245" w:rsidP="00395245">
      <w:pPr>
        <w:pStyle w:val="EndnoteText"/>
      </w:pPr>
      <w:r w:rsidRPr="00D56A45">
        <w:rPr>
          <w:rStyle w:val="EndnoteReference"/>
        </w:rPr>
        <w:endnoteRef/>
      </w:r>
      <w:r w:rsidRPr="00D56A45">
        <w:t xml:space="preserve"> DRC Report on Public hearing 4 – Health care and services for people with cognitive disability, pp104 – 109, 115-123.</w:t>
      </w:r>
    </w:p>
  </w:endnote>
  <w:endnote w:id="14">
    <w:p w14:paraId="59A0F83A" w14:textId="77777777" w:rsidR="004D5046" w:rsidRPr="00D56A45" w:rsidRDefault="004D5046" w:rsidP="004D5046">
      <w:pPr>
        <w:pStyle w:val="EndnoteText"/>
      </w:pPr>
      <w:r w:rsidRPr="00D56A45">
        <w:rPr>
          <w:rStyle w:val="EndnoteReference"/>
        </w:rPr>
        <w:endnoteRef/>
      </w:r>
      <w:r w:rsidRPr="00D56A45">
        <w:t xml:space="preserve"> </w:t>
      </w:r>
      <w:hyperlink r:id="rId10" w:history="1">
        <w:r w:rsidRPr="00D56A45">
          <w:rPr>
            <w:rStyle w:val="Hyperlink"/>
          </w:rPr>
          <w:t>SPIDAH Project | Western Victoria Primary Health Network</w:t>
        </w:r>
      </w:hyperlink>
      <w:r w:rsidRPr="00D56A45">
        <w:t xml:space="preserve"> Final report pp23 </w:t>
      </w:r>
    </w:p>
  </w:endnote>
  <w:endnote w:id="15">
    <w:p w14:paraId="19D92B27" w14:textId="77777777" w:rsidR="00D81D25" w:rsidRPr="00D56A45" w:rsidRDefault="00D81D25" w:rsidP="00D81D25">
      <w:pPr>
        <w:pStyle w:val="EndnoteText"/>
      </w:pPr>
      <w:r w:rsidRPr="00D56A45">
        <w:rPr>
          <w:rStyle w:val="EndnoteReference"/>
        </w:rPr>
        <w:endnoteRef/>
      </w:r>
      <w:r w:rsidRPr="00D56A45">
        <w:t xml:space="preserve"> Disability Royal Commission: Final Report – Volume 6, Enabling Autonomy and Access, </w:t>
      </w:r>
      <w:hyperlink r:id="rId11" w:history="1">
        <w:r w:rsidRPr="00D56A45">
          <w:rPr>
            <w:rStyle w:val="Hyperlink"/>
          </w:rPr>
          <w:t>https://disability.royalcommission.gov.au/publications/final-report-volume-6-enabling-autonomy-and-access</w:t>
        </w:r>
      </w:hyperlink>
      <w:r w:rsidRPr="00D56A45">
        <w:t xml:space="preserve"> </w:t>
      </w:r>
    </w:p>
  </w:endnote>
  <w:endnote w:id="16">
    <w:p w14:paraId="55EF01E2" w14:textId="77777777" w:rsidR="005C4FEF" w:rsidRPr="00D56A45" w:rsidRDefault="005C4FEF" w:rsidP="005C4FEF">
      <w:pPr>
        <w:pStyle w:val="EndnoteText"/>
      </w:pPr>
      <w:r w:rsidRPr="00D56A45">
        <w:rPr>
          <w:rStyle w:val="EndnoteReference"/>
        </w:rPr>
        <w:endnoteRef/>
      </w:r>
      <w:r w:rsidRPr="00D56A45">
        <w:t xml:space="preserve"> </w:t>
      </w:r>
      <w:hyperlink r:id="rId12" w:history="1">
        <w:r w:rsidRPr="00D56A45">
          <w:rPr>
            <w:rStyle w:val="Hyperlink"/>
          </w:rPr>
          <w:t>https://www.aihw.gov.au/reports/disability/people-with-disability-in-australia/contents/health/access-to-health-services</w:t>
        </w:r>
      </w:hyperlink>
      <w:r w:rsidRPr="00D56A45">
        <w:t xml:space="preserve"> </w:t>
      </w:r>
    </w:p>
  </w:endnote>
  <w:endnote w:id="17">
    <w:p w14:paraId="733CF7FF" w14:textId="5CF71253" w:rsidR="00482D6C" w:rsidRPr="00D56A45" w:rsidRDefault="00482D6C">
      <w:pPr>
        <w:pStyle w:val="EndnoteText"/>
      </w:pPr>
      <w:r w:rsidRPr="00D56A45">
        <w:rPr>
          <w:rStyle w:val="EndnoteReference"/>
        </w:rPr>
        <w:endnoteRef/>
      </w:r>
      <w:r w:rsidRPr="00D56A45">
        <w:t xml:space="preserve"> </w:t>
      </w:r>
      <w:hyperlink r:id="rId13" w:history="1">
        <w:r w:rsidRPr="00D56A45">
          <w:rPr>
            <w:rStyle w:val="Hyperlink"/>
          </w:rPr>
          <w:t>National Roadmap for Improving the Health of People with Intellectual Disability | Australian Government Department of Health and Aged Care</w:t>
        </w:r>
      </w:hyperlink>
      <w:r w:rsidRPr="00D56A45">
        <w:t>, pp 4-7, 9-11.</w:t>
      </w:r>
    </w:p>
  </w:endnote>
  <w:endnote w:id="18">
    <w:p w14:paraId="7FF28228" w14:textId="3ECBBF09" w:rsidR="00482D6C" w:rsidRPr="00D56A45" w:rsidRDefault="00482D6C">
      <w:pPr>
        <w:pStyle w:val="EndnoteText"/>
      </w:pPr>
      <w:r w:rsidRPr="00D56A45">
        <w:rPr>
          <w:rStyle w:val="EndnoteReference"/>
        </w:rPr>
        <w:endnoteRef/>
      </w:r>
      <w:r w:rsidRPr="00D56A45">
        <w:t xml:space="preserve"> </w:t>
      </w:r>
      <w:hyperlink r:id="rId14" w:history="1">
        <w:r w:rsidRPr="00D56A45">
          <w:rPr>
            <w:rStyle w:val="Hyperlink"/>
          </w:rPr>
          <w:t>National Roadmap to Improve the Health and Mental Health of Autistic People 2025–2035 | Australian Government Department of Health and Aged Care</w:t>
        </w:r>
      </w:hyperlink>
      <w:r w:rsidRPr="00D56A45">
        <w:t>, pp12,19,23</w:t>
      </w:r>
    </w:p>
  </w:endnote>
  <w:endnote w:id="19">
    <w:p w14:paraId="29C4B8FB" w14:textId="77777777" w:rsidR="00E94377" w:rsidRPr="00D56A45" w:rsidRDefault="00E94377" w:rsidP="00E94377">
      <w:pPr>
        <w:pStyle w:val="EndnoteText"/>
      </w:pPr>
      <w:r w:rsidRPr="00D56A45">
        <w:rPr>
          <w:rStyle w:val="EndnoteReference"/>
        </w:rPr>
        <w:endnoteRef/>
      </w:r>
      <w:r w:rsidRPr="00D56A45">
        <w:t xml:space="preserve"> Final Report, Royal Commission into Violence, Abuse, Neglect and Exploitation of People with Disability, Executive Summary, page 77.</w:t>
      </w:r>
    </w:p>
  </w:endnote>
  <w:endnote w:id="20">
    <w:p w14:paraId="7AF94833" w14:textId="77777777" w:rsidR="00E94377" w:rsidRPr="00D56A45" w:rsidRDefault="00E94377" w:rsidP="00E94377">
      <w:pPr>
        <w:pStyle w:val="EndnoteText"/>
      </w:pPr>
      <w:r w:rsidRPr="00D56A45">
        <w:rPr>
          <w:rStyle w:val="EndnoteReference"/>
        </w:rPr>
        <w:endnoteRef/>
      </w:r>
      <w:r w:rsidRPr="00D56A45">
        <w:t xml:space="preserve"> </w:t>
      </w:r>
      <w:hyperlink r:id="rId15" w:history="1">
        <w:r w:rsidRPr="00D56A45">
          <w:rPr>
            <w:rStyle w:val="Hyperlink"/>
          </w:rPr>
          <w:t xml:space="preserve">Medical and Health Access Planning - </w:t>
        </w:r>
        <w:proofErr w:type="spellStart"/>
        <w:r w:rsidRPr="00D56A45">
          <w:rPr>
            <w:rStyle w:val="Hyperlink"/>
          </w:rPr>
          <w:t>Microboards</w:t>
        </w:r>
        <w:proofErr w:type="spellEnd"/>
        <w:r w:rsidRPr="00D56A45">
          <w:rPr>
            <w:rStyle w:val="Hyperlink"/>
          </w:rPr>
          <w:t xml:space="preserve"> Australia</w:t>
        </w:r>
      </w:hyperlink>
      <w:r w:rsidRPr="00D56A45">
        <w:t xml:space="preserve"> pp 37-39, 48</w:t>
      </w:r>
    </w:p>
  </w:endnote>
  <w:endnote w:id="21">
    <w:p w14:paraId="4853D69F" w14:textId="77777777" w:rsidR="00E94377" w:rsidRPr="00D56A45" w:rsidRDefault="00E94377" w:rsidP="00E94377">
      <w:pPr>
        <w:pStyle w:val="EndnoteText"/>
      </w:pPr>
      <w:r w:rsidRPr="00D56A45">
        <w:rPr>
          <w:rStyle w:val="EndnoteReference"/>
        </w:rPr>
        <w:endnoteRef/>
      </w:r>
      <w:r w:rsidRPr="00D56A45">
        <w:t xml:space="preserve"> Enabling Mainstream Systems to Be More Inclusive and Responsive to People with Disabilities: Hospital Encounters of Adults with Cognitive </w:t>
      </w:r>
      <w:proofErr w:type="gramStart"/>
      <w:r w:rsidRPr="00D56A45">
        <w:t>Disabilities,pp</w:t>
      </w:r>
      <w:proofErr w:type="gramEnd"/>
      <w:r w:rsidRPr="00D56A45">
        <w:t xml:space="preserve">7, 64, 80-81, 85 </w:t>
      </w:r>
    </w:p>
  </w:endnote>
  <w:endnote w:id="22">
    <w:p w14:paraId="68C05BC0" w14:textId="08BBEF77" w:rsidR="00E62BDE" w:rsidRPr="00D56A45" w:rsidRDefault="00E62BDE">
      <w:pPr>
        <w:pStyle w:val="EndnoteText"/>
      </w:pPr>
      <w:r w:rsidRPr="00D56A45">
        <w:rPr>
          <w:rStyle w:val="EndnoteReference"/>
        </w:rPr>
        <w:endnoteRef/>
      </w:r>
      <w:r w:rsidRPr="00D56A45">
        <w:t xml:space="preserve"> </w:t>
      </w:r>
      <w:hyperlink r:id="rId16" w:history="1">
        <w:r w:rsidRPr="00D56A45">
          <w:rPr>
            <w:rStyle w:val="Hyperlink"/>
          </w:rPr>
          <w:t>The Applied Principles and Tables of Support to Determine the Responsibilities of the NDIS and other Service Systems | Department of Social Services</w:t>
        </w:r>
      </w:hyperlink>
    </w:p>
  </w:endnote>
  <w:endnote w:id="23">
    <w:p w14:paraId="3FDB61E7" w14:textId="7668359D" w:rsidR="00E03742" w:rsidRPr="00D56A45" w:rsidRDefault="00E03742">
      <w:pPr>
        <w:pStyle w:val="EndnoteText"/>
      </w:pPr>
      <w:r w:rsidRPr="00D56A45">
        <w:rPr>
          <w:rStyle w:val="EndnoteReference"/>
        </w:rPr>
        <w:endnoteRef/>
      </w:r>
      <w:r w:rsidRPr="00D56A45">
        <w:t xml:space="preserve"> </w:t>
      </w:r>
      <w:r w:rsidR="00DE0D05" w:rsidRPr="00D56A45">
        <w:t xml:space="preserve">Submissions of Counsel Assisting the Royal Commission following </w:t>
      </w:r>
      <w:proofErr w:type="gramStart"/>
      <w:r w:rsidR="00DE0D05" w:rsidRPr="00D56A45">
        <w:t>Public</w:t>
      </w:r>
      <w:proofErr w:type="gramEnd"/>
      <w:r w:rsidR="00DE0D05" w:rsidRPr="00D56A45">
        <w:t xml:space="preserve"> hearing 30, 25 January 2023, p 90 [241]; Transcript, John O’Donnell, Public hearing 30, 23 November 2022, P-283 [23–40].</w:t>
      </w:r>
    </w:p>
  </w:endnote>
  <w:endnote w:id="24">
    <w:p w14:paraId="4F716F53" w14:textId="0422DA1D" w:rsidR="00482D6C" w:rsidRPr="00D56A45" w:rsidRDefault="00482D6C">
      <w:pPr>
        <w:pStyle w:val="EndnoteText"/>
      </w:pPr>
      <w:r w:rsidRPr="00D56A45">
        <w:rPr>
          <w:rStyle w:val="EndnoteReference"/>
        </w:rPr>
        <w:endnoteRef/>
      </w:r>
      <w:r w:rsidRPr="00D56A45">
        <w:t xml:space="preserve"> </w:t>
      </w:r>
      <w:hyperlink r:id="rId17" w:history="1">
        <w:r w:rsidRPr="00D56A45">
          <w:rPr>
            <w:rStyle w:val="Hyperlink"/>
          </w:rPr>
          <w:t>It’s Doctor Time! for people with intellectual disability – Inclusion Australia</w:t>
        </w:r>
      </w:hyperlink>
    </w:p>
  </w:endnote>
  <w:endnote w:id="25">
    <w:p w14:paraId="532EF325" w14:textId="2217BFC5" w:rsidR="00482D6C" w:rsidRPr="00D56A45" w:rsidRDefault="00482D6C">
      <w:pPr>
        <w:pStyle w:val="EndnoteText"/>
      </w:pPr>
      <w:r w:rsidRPr="00D56A45">
        <w:rPr>
          <w:rStyle w:val="EndnoteReference"/>
        </w:rPr>
        <w:endnoteRef/>
      </w:r>
      <w:r w:rsidRPr="00D56A45">
        <w:t xml:space="preserve"> </w:t>
      </w:r>
      <w:hyperlink r:id="rId18" w:history="1">
        <w:r w:rsidRPr="00D56A45">
          <w:rPr>
            <w:rStyle w:val="Hyperlink"/>
          </w:rPr>
          <w:t>Intellectual Disability Health Capability Framework | Australian Government Department of Health and Aged Care</w:t>
        </w:r>
      </w:hyperlink>
    </w:p>
    <w:p w14:paraId="36E72112" w14:textId="15B0F445" w:rsidR="00DB0B41" w:rsidRPr="00D56A45" w:rsidRDefault="00DB0B41">
      <w:pPr>
        <w:pStyle w:val="EndnoteText"/>
      </w:pPr>
    </w:p>
    <w:p w14:paraId="522A9BDB" w14:textId="34E259D8" w:rsidR="00DB0B41" w:rsidRPr="00D56A45" w:rsidRDefault="00DB0B41">
      <w:pPr>
        <w:pStyle w:val="EndnoteText"/>
      </w:pPr>
    </w:p>
    <w:p w14:paraId="4774DC41" w14:textId="7AC1D1F1" w:rsidR="00DB0B41" w:rsidRPr="00D56A45" w:rsidRDefault="00DB0B41">
      <w:pPr>
        <w:pStyle w:val="EndnoteText"/>
      </w:pPr>
    </w:p>
    <w:p w14:paraId="33316358" w14:textId="77777777" w:rsidR="007B7784" w:rsidRPr="00D56A45" w:rsidRDefault="007B7784">
      <w:pPr>
        <w:pStyle w:val="EndnoteText"/>
      </w:pPr>
    </w:p>
    <w:p w14:paraId="5453A833" w14:textId="77777777" w:rsidR="007B7784" w:rsidRPr="00D56A45" w:rsidRDefault="007B7784">
      <w:pPr>
        <w:pStyle w:val="EndnoteText"/>
      </w:pPr>
    </w:p>
    <w:p w14:paraId="31705265" w14:textId="77777777" w:rsidR="00CB1E32" w:rsidRPr="00D56A45" w:rsidRDefault="00CB1E32">
      <w:pPr>
        <w:pStyle w:val="EndnoteText"/>
      </w:pPr>
    </w:p>
    <w:p w14:paraId="577BDB26" w14:textId="77777777" w:rsidR="006C5280" w:rsidRDefault="006C528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8862" w14:textId="336AD7E5" w:rsidR="00450FFA" w:rsidRPr="00D56A45" w:rsidRDefault="00471BF4" w:rsidP="00A11551">
    <w:pPr>
      <w:pStyle w:val="Footer"/>
      <w:pBdr>
        <w:top w:val="single" w:sz="4" w:space="1" w:color="17365D" w:themeColor="text2" w:themeShade="BF"/>
      </w:pBdr>
      <w:tabs>
        <w:tab w:val="clear" w:pos="4513"/>
      </w:tabs>
    </w:pPr>
    <w:r w:rsidRPr="00D56A45">
      <w:rPr>
        <w:color w:val="358189"/>
      </w:rPr>
      <w:t>Disability and Health Sector Consultation Committee</w:t>
    </w:r>
    <w:r w:rsidR="00110CAE" w:rsidRPr="00D56A45">
      <w:rPr>
        <w:color w:val="358189"/>
      </w:rPr>
      <w:t xml:space="preserve"> </w:t>
    </w:r>
    <w:r w:rsidR="00110CAE" w:rsidRPr="00D56A45">
      <w:rPr>
        <w:color w:val="3F4A75"/>
      </w:rPr>
      <w:t xml:space="preserve">– Report on </w:t>
    </w:r>
    <w:r w:rsidRPr="00D56A45">
      <w:rPr>
        <w:color w:val="3F4A75"/>
      </w:rPr>
      <w:t xml:space="preserve">barriers and issues in </w:t>
    </w:r>
    <w:r w:rsidR="00831027" w:rsidRPr="00D56A45">
      <w:rPr>
        <w:color w:val="3F4A75"/>
      </w:rPr>
      <w:t xml:space="preserve">health </w:t>
    </w:r>
    <w:r w:rsidRPr="00D56A45">
      <w:rPr>
        <w:color w:val="3F4A75"/>
      </w:rPr>
      <w:t>for people with a disability</w:t>
    </w:r>
    <w:sdt>
      <w:sdtPr>
        <w:id w:val="-1702395296"/>
        <w:docPartObj>
          <w:docPartGallery w:val="Page Numbers (Bottom of Page)"/>
          <w:docPartUnique/>
        </w:docPartObj>
      </w:sdtPr>
      <w:sdtContent>
        <w:r w:rsidR="00450FFA" w:rsidRPr="00D56A45">
          <w:tab/>
        </w:r>
        <w:r w:rsidR="00450FFA" w:rsidRPr="00D56A45">
          <w:fldChar w:fldCharType="begin"/>
        </w:r>
        <w:r w:rsidR="00450FFA" w:rsidRPr="00D56A45">
          <w:instrText xml:space="preserve"> PAGE   \* MERGEFORMAT </w:instrText>
        </w:r>
        <w:r w:rsidR="00450FFA" w:rsidRPr="00D56A45">
          <w:fldChar w:fldCharType="separate"/>
        </w:r>
        <w:r w:rsidR="00450FFA" w:rsidRPr="00D56A45">
          <w:t>1</w:t>
        </w:r>
        <w:r w:rsidR="00450FFA" w:rsidRPr="00D56A45">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CFB6" w14:textId="79B25012" w:rsidR="00450FFA" w:rsidRPr="00D56A45" w:rsidRDefault="00450FFA" w:rsidP="00753F14">
    <w:pPr>
      <w:pStyle w:val="Footer"/>
      <w:tabs>
        <w:tab w:val="clear" w:pos="4513"/>
      </w:tabs>
    </w:pPr>
    <w:r w:rsidRPr="00D56A45">
      <w:tab/>
    </w:r>
    <w:r w:rsidRPr="00D56A45">
      <w:fldChar w:fldCharType="begin"/>
    </w:r>
    <w:r w:rsidRPr="00D56A45">
      <w:instrText xml:space="preserve"> PAGE   \* MERGEFORMAT </w:instrText>
    </w:r>
    <w:r w:rsidRPr="00D56A45">
      <w:fldChar w:fldCharType="separate"/>
    </w:r>
    <w:r w:rsidRPr="00D56A45">
      <w:t>1</w:t>
    </w:r>
    <w:r w:rsidRPr="00D56A4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09EB" w14:textId="77777777" w:rsidR="007C231F" w:rsidRPr="00D56A45" w:rsidRDefault="007C23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1EB2C" w14:textId="77777777" w:rsidR="007C231F" w:rsidRPr="00D56A45" w:rsidRDefault="007C23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950EF" w14:textId="77777777" w:rsidR="007C231F" w:rsidRPr="00D56A45" w:rsidRDefault="007C231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CD1FE" w14:textId="77777777" w:rsidR="007C231F" w:rsidRPr="00D56A45" w:rsidRDefault="007C231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F237" w14:textId="77777777" w:rsidR="007C231F" w:rsidRPr="00D56A45" w:rsidRDefault="007C231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9B493" w14:textId="77777777" w:rsidR="007C231F" w:rsidRPr="00D56A45" w:rsidRDefault="007C2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CC7CC" w14:textId="77777777" w:rsidR="0088187F" w:rsidRPr="00D56A45" w:rsidRDefault="0088187F" w:rsidP="006B56BB">
      <w:r w:rsidRPr="00D56A45">
        <w:separator/>
      </w:r>
    </w:p>
    <w:p w14:paraId="1BD9A21F" w14:textId="77777777" w:rsidR="0088187F" w:rsidRPr="00D56A45" w:rsidRDefault="0088187F"/>
  </w:footnote>
  <w:footnote w:type="continuationSeparator" w:id="0">
    <w:p w14:paraId="6DAC9B0F" w14:textId="77777777" w:rsidR="0088187F" w:rsidRPr="00D56A45" w:rsidRDefault="0088187F" w:rsidP="006B56BB">
      <w:r w:rsidRPr="00D56A45">
        <w:continuationSeparator/>
      </w:r>
    </w:p>
    <w:p w14:paraId="11C58DFB" w14:textId="77777777" w:rsidR="0088187F" w:rsidRPr="00D56A45" w:rsidRDefault="0088187F"/>
    <w:p w14:paraId="62E48FA7" w14:textId="77777777" w:rsidR="0088187F" w:rsidRPr="00D56A45" w:rsidRDefault="0088187F"/>
  </w:footnote>
  <w:footnote w:type="continuationNotice" w:id="1">
    <w:p w14:paraId="2CFE7ED2" w14:textId="77777777" w:rsidR="0088187F" w:rsidRPr="00D56A45" w:rsidRDefault="0088187F"/>
    <w:p w14:paraId="3A540433" w14:textId="77777777" w:rsidR="0088187F" w:rsidRPr="00D56A45" w:rsidRDefault="008818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CAB02" w14:textId="77777777" w:rsidR="00C01959" w:rsidRPr="00D56A45" w:rsidRDefault="00C01959" w:rsidP="00C01959">
    <w:pPr>
      <w:pStyle w:val="Header"/>
      <w:rPr>
        <w:b/>
        <w:bCs/>
        <w:color w:val="358189"/>
        <w:lang w:eastAsia="en-AU"/>
      </w:rPr>
    </w:pPr>
    <w:r w:rsidRPr="00D56A45">
      <w:rPr>
        <w:b/>
        <w:bCs/>
        <w:color w:val="358189"/>
        <w:lang w:eastAsia="en-AU"/>
      </w:rPr>
      <w:t>Disability and Health Sector Consultation Committee (DHSCC)</w:t>
    </w:r>
  </w:p>
  <w:p w14:paraId="2FA3EDD1" w14:textId="5BB76AE2" w:rsidR="00450FFA" w:rsidRPr="00B17BAC" w:rsidRDefault="00C01959" w:rsidP="00B17BAC">
    <w:pPr>
      <w:pStyle w:val="Header"/>
    </w:pPr>
    <w:r w:rsidRPr="00D56A45">
      <w:rPr>
        <w:lang w:eastAsia="en-AU"/>
      </w:rPr>
      <w:t>Long Term Health Advocacy Working Group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23C8" w14:textId="77777777" w:rsidR="007C231F" w:rsidRPr="00D56A45" w:rsidRDefault="007C23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45CA" w14:textId="77777777" w:rsidR="007C231F" w:rsidRPr="00D56A45" w:rsidRDefault="007C23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AE3E" w14:textId="77777777" w:rsidR="00BB6F41" w:rsidRPr="00B53894" w:rsidRDefault="00BB6F41" w:rsidP="00B5389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544F" w14:textId="216F73A7" w:rsidR="007C231F" w:rsidRPr="00D56A45" w:rsidRDefault="007C23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0ECC" w14:textId="77777777" w:rsidR="007C231F" w:rsidRPr="00D56A45" w:rsidRDefault="007C231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34D3" w14:textId="563ACBDB" w:rsidR="00C8443D" w:rsidRPr="00B53894" w:rsidRDefault="00C8443D" w:rsidP="00B538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C03C5C2C"/>
    <w:lvl w:ilvl="0">
      <w:start w:val="1"/>
      <w:numFmt w:val="lowerLetter"/>
      <w:pStyle w:val="ListNumber4"/>
      <w:lvlText w:val="%1)"/>
      <w:lvlJc w:val="left"/>
      <w:pPr>
        <w:ind w:left="1209" w:hanging="360"/>
      </w:pPr>
    </w:lvl>
  </w:abstractNum>
  <w:abstractNum w:abstractNumId="1" w15:restartNumberingAfterBreak="0">
    <w:nsid w:val="FFFFFF81"/>
    <w:multiLevelType w:val="singleLevel"/>
    <w:tmpl w:val="47D4DD1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57A5CC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8"/>
    <w:multiLevelType w:val="singleLevel"/>
    <w:tmpl w:val="16C25BCA"/>
    <w:lvl w:ilvl="0">
      <w:start w:val="1"/>
      <w:numFmt w:val="decimal"/>
      <w:pStyle w:val="ListNumber"/>
      <w:lvlText w:val="%1."/>
      <w:lvlJc w:val="left"/>
      <w:pPr>
        <w:tabs>
          <w:tab w:val="num" w:pos="360"/>
        </w:tabs>
        <w:ind w:left="360" w:hanging="360"/>
      </w:pPr>
    </w:lvl>
  </w:abstractNum>
  <w:abstractNum w:abstractNumId="4" w15:restartNumberingAfterBreak="0">
    <w:nsid w:val="03311526"/>
    <w:multiLevelType w:val="hybridMultilevel"/>
    <w:tmpl w:val="02AAA27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6407E36"/>
    <w:multiLevelType w:val="hybridMultilevel"/>
    <w:tmpl w:val="D35052C2"/>
    <w:lvl w:ilvl="0" w:tplc="0C09000F">
      <w:start w:val="1"/>
      <w:numFmt w:val="decimal"/>
      <w:lvlText w:val="%1."/>
      <w:lvlJc w:val="left"/>
      <w:pPr>
        <w:ind w:left="780" w:hanging="360"/>
      </w:pPr>
      <w:rPr>
        <w:rFonts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07EC2446"/>
    <w:multiLevelType w:val="hybridMultilevel"/>
    <w:tmpl w:val="992CA1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092A2EBC"/>
    <w:multiLevelType w:val="hybridMultilevel"/>
    <w:tmpl w:val="92A407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9F07E6C"/>
    <w:multiLevelType w:val="hybridMultilevel"/>
    <w:tmpl w:val="637887A6"/>
    <w:lvl w:ilvl="0" w:tplc="74DCAA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E519D4"/>
    <w:multiLevelType w:val="hybridMultilevel"/>
    <w:tmpl w:val="B3C65872"/>
    <w:lvl w:ilvl="0" w:tplc="0C090001">
      <w:start w:val="1"/>
      <w:numFmt w:val="bullet"/>
      <w:lvlText w:val=""/>
      <w:lvlJc w:val="left"/>
      <w:pPr>
        <w:ind w:left="720" w:hanging="360"/>
      </w:pPr>
      <w:rPr>
        <w:rFonts w:ascii="Symbol" w:hAnsi="Symbol" w:hint="default"/>
      </w:rPr>
    </w:lvl>
    <w:lvl w:ilvl="1" w:tplc="899A3E6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7918F97E"/>
    <w:lvl w:ilvl="0" w:tplc="1428B0C4">
      <w:start w:val="1"/>
      <w:numFmt w:val="bullet"/>
      <w:pStyle w:val="ListBullet"/>
      <w:lvlText w:val=""/>
      <w:lvlJc w:val="left"/>
      <w:pPr>
        <w:ind w:left="190" w:hanging="360"/>
      </w:pPr>
      <w:rPr>
        <w:rFonts w:ascii="Symbol" w:hAnsi="Symbol" w:hint="default"/>
        <w:color w:val="000000" w:themeColor="text1"/>
      </w:rPr>
    </w:lvl>
    <w:lvl w:ilvl="1" w:tplc="0C090003">
      <w:start w:val="1"/>
      <w:numFmt w:val="bullet"/>
      <w:lvlText w:val="o"/>
      <w:lvlJc w:val="left"/>
      <w:pPr>
        <w:ind w:left="1270" w:hanging="360"/>
      </w:pPr>
      <w:rPr>
        <w:rFonts w:ascii="Courier New" w:hAnsi="Courier New" w:cs="Courier New" w:hint="default"/>
      </w:rPr>
    </w:lvl>
    <w:lvl w:ilvl="2" w:tplc="0C090005" w:tentative="1">
      <w:start w:val="1"/>
      <w:numFmt w:val="bullet"/>
      <w:lvlText w:val=""/>
      <w:lvlJc w:val="left"/>
      <w:pPr>
        <w:ind w:left="1990" w:hanging="360"/>
      </w:pPr>
      <w:rPr>
        <w:rFonts w:ascii="Wingdings" w:hAnsi="Wingdings" w:hint="default"/>
      </w:rPr>
    </w:lvl>
    <w:lvl w:ilvl="3" w:tplc="0C090001" w:tentative="1">
      <w:start w:val="1"/>
      <w:numFmt w:val="bullet"/>
      <w:lvlText w:val=""/>
      <w:lvlJc w:val="left"/>
      <w:pPr>
        <w:ind w:left="2710" w:hanging="360"/>
      </w:pPr>
      <w:rPr>
        <w:rFonts w:ascii="Symbol" w:hAnsi="Symbol" w:hint="default"/>
      </w:rPr>
    </w:lvl>
    <w:lvl w:ilvl="4" w:tplc="0C090003" w:tentative="1">
      <w:start w:val="1"/>
      <w:numFmt w:val="bullet"/>
      <w:lvlText w:val="o"/>
      <w:lvlJc w:val="left"/>
      <w:pPr>
        <w:ind w:left="3430" w:hanging="360"/>
      </w:pPr>
      <w:rPr>
        <w:rFonts w:ascii="Courier New" w:hAnsi="Courier New" w:cs="Courier New" w:hint="default"/>
      </w:rPr>
    </w:lvl>
    <w:lvl w:ilvl="5" w:tplc="0C090005" w:tentative="1">
      <w:start w:val="1"/>
      <w:numFmt w:val="bullet"/>
      <w:lvlText w:val=""/>
      <w:lvlJc w:val="left"/>
      <w:pPr>
        <w:ind w:left="4150" w:hanging="360"/>
      </w:pPr>
      <w:rPr>
        <w:rFonts w:ascii="Wingdings" w:hAnsi="Wingdings" w:hint="default"/>
      </w:rPr>
    </w:lvl>
    <w:lvl w:ilvl="6" w:tplc="0C090001" w:tentative="1">
      <w:start w:val="1"/>
      <w:numFmt w:val="bullet"/>
      <w:lvlText w:val=""/>
      <w:lvlJc w:val="left"/>
      <w:pPr>
        <w:ind w:left="4870" w:hanging="360"/>
      </w:pPr>
      <w:rPr>
        <w:rFonts w:ascii="Symbol" w:hAnsi="Symbol" w:hint="default"/>
      </w:rPr>
    </w:lvl>
    <w:lvl w:ilvl="7" w:tplc="0C090003" w:tentative="1">
      <w:start w:val="1"/>
      <w:numFmt w:val="bullet"/>
      <w:lvlText w:val="o"/>
      <w:lvlJc w:val="left"/>
      <w:pPr>
        <w:ind w:left="5590" w:hanging="360"/>
      </w:pPr>
      <w:rPr>
        <w:rFonts w:ascii="Courier New" w:hAnsi="Courier New" w:cs="Courier New" w:hint="default"/>
      </w:rPr>
    </w:lvl>
    <w:lvl w:ilvl="8" w:tplc="0C090005" w:tentative="1">
      <w:start w:val="1"/>
      <w:numFmt w:val="bullet"/>
      <w:lvlText w:val=""/>
      <w:lvlJc w:val="left"/>
      <w:pPr>
        <w:ind w:left="6310" w:hanging="360"/>
      </w:pPr>
      <w:rPr>
        <w:rFonts w:ascii="Wingdings" w:hAnsi="Wingdings" w:hint="default"/>
      </w:rPr>
    </w:lvl>
  </w:abstractNum>
  <w:abstractNum w:abstractNumId="11" w15:restartNumberingAfterBreak="0">
    <w:nsid w:val="1BE13B11"/>
    <w:multiLevelType w:val="hybridMultilevel"/>
    <w:tmpl w:val="92765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023065"/>
    <w:multiLevelType w:val="hybridMultilevel"/>
    <w:tmpl w:val="954A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830FD0"/>
    <w:multiLevelType w:val="hybridMultilevel"/>
    <w:tmpl w:val="BD7CDCB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E1B1656"/>
    <w:multiLevelType w:val="hybridMultilevel"/>
    <w:tmpl w:val="7B7A8BD4"/>
    <w:lvl w:ilvl="0" w:tplc="DDD23FB2">
      <w:start w:val="2"/>
      <w:numFmt w:val="bullet"/>
      <w:pStyle w:val="ListBullet3"/>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0955CF"/>
    <w:multiLevelType w:val="hybridMultilevel"/>
    <w:tmpl w:val="5BB6E83C"/>
    <w:lvl w:ilvl="0" w:tplc="C8FCE8E0">
      <w:start w:val="1"/>
      <w:numFmt w:val="bullet"/>
      <w:lvlText w:val=""/>
      <w:lvlJc w:val="left"/>
      <w:pPr>
        <w:ind w:left="720" w:hanging="360"/>
      </w:pPr>
      <w:rPr>
        <w:rFonts w:ascii="Symbol" w:hAnsi="Symbol"/>
      </w:rPr>
    </w:lvl>
    <w:lvl w:ilvl="1" w:tplc="5B6801A8">
      <w:start w:val="1"/>
      <w:numFmt w:val="bullet"/>
      <w:lvlText w:val=""/>
      <w:lvlJc w:val="left"/>
      <w:pPr>
        <w:ind w:left="720" w:hanging="360"/>
      </w:pPr>
      <w:rPr>
        <w:rFonts w:ascii="Symbol" w:hAnsi="Symbol"/>
      </w:rPr>
    </w:lvl>
    <w:lvl w:ilvl="2" w:tplc="06880BA8">
      <w:start w:val="1"/>
      <w:numFmt w:val="bullet"/>
      <w:lvlText w:val=""/>
      <w:lvlJc w:val="left"/>
      <w:pPr>
        <w:ind w:left="720" w:hanging="360"/>
      </w:pPr>
      <w:rPr>
        <w:rFonts w:ascii="Symbol" w:hAnsi="Symbol"/>
      </w:rPr>
    </w:lvl>
    <w:lvl w:ilvl="3" w:tplc="990E5436">
      <w:start w:val="1"/>
      <w:numFmt w:val="bullet"/>
      <w:lvlText w:val=""/>
      <w:lvlJc w:val="left"/>
      <w:pPr>
        <w:ind w:left="720" w:hanging="360"/>
      </w:pPr>
      <w:rPr>
        <w:rFonts w:ascii="Symbol" w:hAnsi="Symbol"/>
      </w:rPr>
    </w:lvl>
    <w:lvl w:ilvl="4" w:tplc="1A1852D4">
      <w:start w:val="1"/>
      <w:numFmt w:val="bullet"/>
      <w:lvlText w:val=""/>
      <w:lvlJc w:val="left"/>
      <w:pPr>
        <w:ind w:left="720" w:hanging="360"/>
      </w:pPr>
      <w:rPr>
        <w:rFonts w:ascii="Symbol" w:hAnsi="Symbol"/>
      </w:rPr>
    </w:lvl>
    <w:lvl w:ilvl="5" w:tplc="E8907D86">
      <w:start w:val="1"/>
      <w:numFmt w:val="bullet"/>
      <w:lvlText w:val=""/>
      <w:lvlJc w:val="left"/>
      <w:pPr>
        <w:ind w:left="720" w:hanging="360"/>
      </w:pPr>
      <w:rPr>
        <w:rFonts w:ascii="Symbol" w:hAnsi="Symbol"/>
      </w:rPr>
    </w:lvl>
    <w:lvl w:ilvl="6" w:tplc="FF8AE820">
      <w:start w:val="1"/>
      <w:numFmt w:val="bullet"/>
      <w:lvlText w:val=""/>
      <w:lvlJc w:val="left"/>
      <w:pPr>
        <w:ind w:left="720" w:hanging="360"/>
      </w:pPr>
      <w:rPr>
        <w:rFonts w:ascii="Symbol" w:hAnsi="Symbol"/>
      </w:rPr>
    </w:lvl>
    <w:lvl w:ilvl="7" w:tplc="CCA46BD8">
      <w:start w:val="1"/>
      <w:numFmt w:val="bullet"/>
      <w:lvlText w:val=""/>
      <w:lvlJc w:val="left"/>
      <w:pPr>
        <w:ind w:left="720" w:hanging="360"/>
      </w:pPr>
      <w:rPr>
        <w:rFonts w:ascii="Symbol" w:hAnsi="Symbol"/>
      </w:rPr>
    </w:lvl>
    <w:lvl w:ilvl="8" w:tplc="C74C6806">
      <w:start w:val="1"/>
      <w:numFmt w:val="bullet"/>
      <w:lvlText w:val=""/>
      <w:lvlJc w:val="left"/>
      <w:pPr>
        <w:ind w:left="720" w:hanging="360"/>
      </w:pPr>
      <w:rPr>
        <w:rFonts w:ascii="Symbol" w:hAnsi="Symbol"/>
      </w:rPr>
    </w:lvl>
  </w:abstractNum>
  <w:abstractNum w:abstractNumId="16" w15:restartNumberingAfterBreak="0">
    <w:nsid w:val="28853D4B"/>
    <w:multiLevelType w:val="hybridMultilevel"/>
    <w:tmpl w:val="D098D61E"/>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FB5F21"/>
    <w:multiLevelType w:val="hybridMultilevel"/>
    <w:tmpl w:val="676878F4"/>
    <w:lvl w:ilvl="0" w:tplc="B80E8F9E">
      <w:start w:val="1"/>
      <w:numFmt w:val="bullet"/>
      <w:lvlText w:val=""/>
      <w:lvlJc w:val="left"/>
      <w:pPr>
        <w:ind w:left="720" w:hanging="360"/>
      </w:pPr>
      <w:rPr>
        <w:rFonts w:ascii="Symbol" w:hAnsi="Symbol"/>
      </w:rPr>
    </w:lvl>
    <w:lvl w:ilvl="1" w:tplc="14A8ADAA">
      <w:start w:val="1"/>
      <w:numFmt w:val="bullet"/>
      <w:lvlText w:val=""/>
      <w:lvlJc w:val="left"/>
      <w:pPr>
        <w:ind w:left="720" w:hanging="360"/>
      </w:pPr>
      <w:rPr>
        <w:rFonts w:ascii="Symbol" w:hAnsi="Symbol"/>
      </w:rPr>
    </w:lvl>
    <w:lvl w:ilvl="2" w:tplc="EE48E198">
      <w:start w:val="1"/>
      <w:numFmt w:val="bullet"/>
      <w:lvlText w:val=""/>
      <w:lvlJc w:val="left"/>
      <w:pPr>
        <w:ind w:left="720" w:hanging="360"/>
      </w:pPr>
      <w:rPr>
        <w:rFonts w:ascii="Symbol" w:hAnsi="Symbol"/>
      </w:rPr>
    </w:lvl>
    <w:lvl w:ilvl="3" w:tplc="035C2B44">
      <w:start w:val="1"/>
      <w:numFmt w:val="bullet"/>
      <w:lvlText w:val=""/>
      <w:lvlJc w:val="left"/>
      <w:pPr>
        <w:ind w:left="720" w:hanging="360"/>
      </w:pPr>
      <w:rPr>
        <w:rFonts w:ascii="Symbol" w:hAnsi="Symbol"/>
      </w:rPr>
    </w:lvl>
    <w:lvl w:ilvl="4" w:tplc="579A3228">
      <w:start w:val="1"/>
      <w:numFmt w:val="bullet"/>
      <w:lvlText w:val=""/>
      <w:lvlJc w:val="left"/>
      <w:pPr>
        <w:ind w:left="720" w:hanging="360"/>
      </w:pPr>
      <w:rPr>
        <w:rFonts w:ascii="Symbol" w:hAnsi="Symbol"/>
      </w:rPr>
    </w:lvl>
    <w:lvl w:ilvl="5" w:tplc="B88C6086">
      <w:start w:val="1"/>
      <w:numFmt w:val="bullet"/>
      <w:lvlText w:val=""/>
      <w:lvlJc w:val="left"/>
      <w:pPr>
        <w:ind w:left="720" w:hanging="360"/>
      </w:pPr>
      <w:rPr>
        <w:rFonts w:ascii="Symbol" w:hAnsi="Symbol"/>
      </w:rPr>
    </w:lvl>
    <w:lvl w:ilvl="6" w:tplc="4A7605DA">
      <w:start w:val="1"/>
      <w:numFmt w:val="bullet"/>
      <w:lvlText w:val=""/>
      <w:lvlJc w:val="left"/>
      <w:pPr>
        <w:ind w:left="720" w:hanging="360"/>
      </w:pPr>
      <w:rPr>
        <w:rFonts w:ascii="Symbol" w:hAnsi="Symbol"/>
      </w:rPr>
    </w:lvl>
    <w:lvl w:ilvl="7" w:tplc="C854D120">
      <w:start w:val="1"/>
      <w:numFmt w:val="bullet"/>
      <w:lvlText w:val=""/>
      <w:lvlJc w:val="left"/>
      <w:pPr>
        <w:ind w:left="720" w:hanging="360"/>
      </w:pPr>
      <w:rPr>
        <w:rFonts w:ascii="Symbol" w:hAnsi="Symbol"/>
      </w:rPr>
    </w:lvl>
    <w:lvl w:ilvl="8" w:tplc="398643A4">
      <w:start w:val="1"/>
      <w:numFmt w:val="bullet"/>
      <w:lvlText w:val=""/>
      <w:lvlJc w:val="left"/>
      <w:pPr>
        <w:ind w:left="720" w:hanging="360"/>
      </w:pPr>
      <w:rPr>
        <w:rFonts w:ascii="Symbol" w:hAnsi="Symbol"/>
      </w:rPr>
    </w:lvl>
  </w:abstractNum>
  <w:abstractNum w:abstractNumId="18" w15:restartNumberingAfterBreak="0">
    <w:nsid w:val="296540F7"/>
    <w:multiLevelType w:val="multilevel"/>
    <w:tmpl w:val="3004707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A00C14"/>
    <w:multiLevelType w:val="hybridMultilevel"/>
    <w:tmpl w:val="120CBF10"/>
    <w:lvl w:ilvl="0" w:tplc="467C67A6">
      <w:start w:val="1"/>
      <w:numFmt w:val="bullet"/>
      <w:lvlText w:val=""/>
      <w:lvlJc w:val="left"/>
      <w:pPr>
        <w:ind w:left="1020" w:hanging="360"/>
      </w:pPr>
      <w:rPr>
        <w:rFonts w:ascii="Symbol" w:hAnsi="Symbol"/>
      </w:rPr>
    </w:lvl>
    <w:lvl w:ilvl="1" w:tplc="B8ECAE2E">
      <w:start w:val="1"/>
      <w:numFmt w:val="bullet"/>
      <w:lvlText w:val=""/>
      <w:lvlJc w:val="left"/>
      <w:pPr>
        <w:ind w:left="1020" w:hanging="360"/>
      </w:pPr>
      <w:rPr>
        <w:rFonts w:ascii="Symbol" w:hAnsi="Symbol"/>
      </w:rPr>
    </w:lvl>
    <w:lvl w:ilvl="2" w:tplc="9982A268">
      <w:start w:val="1"/>
      <w:numFmt w:val="bullet"/>
      <w:lvlText w:val=""/>
      <w:lvlJc w:val="left"/>
      <w:pPr>
        <w:ind w:left="1020" w:hanging="360"/>
      </w:pPr>
      <w:rPr>
        <w:rFonts w:ascii="Symbol" w:hAnsi="Symbol"/>
      </w:rPr>
    </w:lvl>
    <w:lvl w:ilvl="3" w:tplc="D8221536">
      <w:start w:val="1"/>
      <w:numFmt w:val="bullet"/>
      <w:lvlText w:val=""/>
      <w:lvlJc w:val="left"/>
      <w:pPr>
        <w:ind w:left="1020" w:hanging="360"/>
      </w:pPr>
      <w:rPr>
        <w:rFonts w:ascii="Symbol" w:hAnsi="Symbol"/>
      </w:rPr>
    </w:lvl>
    <w:lvl w:ilvl="4" w:tplc="1440553A">
      <w:start w:val="1"/>
      <w:numFmt w:val="bullet"/>
      <w:lvlText w:val=""/>
      <w:lvlJc w:val="left"/>
      <w:pPr>
        <w:ind w:left="1020" w:hanging="360"/>
      </w:pPr>
      <w:rPr>
        <w:rFonts w:ascii="Symbol" w:hAnsi="Symbol"/>
      </w:rPr>
    </w:lvl>
    <w:lvl w:ilvl="5" w:tplc="E732F314">
      <w:start w:val="1"/>
      <w:numFmt w:val="bullet"/>
      <w:lvlText w:val=""/>
      <w:lvlJc w:val="left"/>
      <w:pPr>
        <w:ind w:left="1020" w:hanging="360"/>
      </w:pPr>
      <w:rPr>
        <w:rFonts w:ascii="Symbol" w:hAnsi="Symbol"/>
      </w:rPr>
    </w:lvl>
    <w:lvl w:ilvl="6" w:tplc="F3443A9A">
      <w:start w:val="1"/>
      <w:numFmt w:val="bullet"/>
      <w:lvlText w:val=""/>
      <w:lvlJc w:val="left"/>
      <w:pPr>
        <w:ind w:left="1020" w:hanging="360"/>
      </w:pPr>
      <w:rPr>
        <w:rFonts w:ascii="Symbol" w:hAnsi="Symbol"/>
      </w:rPr>
    </w:lvl>
    <w:lvl w:ilvl="7" w:tplc="AA88A326">
      <w:start w:val="1"/>
      <w:numFmt w:val="bullet"/>
      <w:lvlText w:val=""/>
      <w:lvlJc w:val="left"/>
      <w:pPr>
        <w:ind w:left="1020" w:hanging="360"/>
      </w:pPr>
      <w:rPr>
        <w:rFonts w:ascii="Symbol" w:hAnsi="Symbol"/>
      </w:rPr>
    </w:lvl>
    <w:lvl w:ilvl="8" w:tplc="73DAD5F2">
      <w:start w:val="1"/>
      <w:numFmt w:val="bullet"/>
      <w:lvlText w:val=""/>
      <w:lvlJc w:val="left"/>
      <w:pPr>
        <w:ind w:left="1020" w:hanging="360"/>
      </w:pPr>
      <w:rPr>
        <w:rFonts w:ascii="Symbol" w:hAnsi="Symbol"/>
      </w:rPr>
    </w:lvl>
  </w:abstractNum>
  <w:abstractNum w:abstractNumId="20" w15:restartNumberingAfterBreak="0">
    <w:nsid w:val="2A06727D"/>
    <w:multiLevelType w:val="hybridMultilevel"/>
    <w:tmpl w:val="CBB0A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B510D8F"/>
    <w:multiLevelType w:val="hybridMultilevel"/>
    <w:tmpl w:val="B7326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BCC6E53"/>
    <w:multiLevelType w:val="hybridMultilevel"/>
    <w:tmpl w:val="55C01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D571BE2"/>
    <w:multiLevelType w:val="hybridMultilevel"/>
    <w:tmpl w:val="EC9E1536"/>
    <w:lvl w:ilvl="0" w:tplc="39D63E32">
      <w:start w:val="1"/>
      <w:numFmt w:val="bullet"/>
      <w:lvlText w:val=""/>
      <w:lvlJc w:val="left"/>
      <w:pPr>
        <w:ind w:left="720" w:hanging="360"/>
      </w:pPr>
      <w:rPr>
        <w:rFonts w:ascii="Symbol" w:hAnsi="Symbol"/>
      </w:rPr>
    </w:lvl>
    <w:lvl w:ilvl="1" w:tplc="6FCA2190">
      <w:start w:val="1"/>
      <w:numFmt w:val="bullet"/>
      <w:lvlText w:val=""/>
      <w:lvlJc w:val="left"/>
      <w:pPr>
        <w:ind w:left="720" w:hanging="360"/>
      </w:pPr>
      <w:rPr>
        <w:rFonts w:ascii="Symbol" w:hAnsi="Symbol"/>
      </w:rPr>
    </w:lvl>
    <w:lvl w:ilvl="2" w:tplc="FD1CC7D8">
      <w:start w:val="1"/>
      <w:numFmt w:val="bullet"/>
      <w:lvlText w:val=""/>
      <w:lvlJc w:val="left"/>
      <w:pPr>
        <w:ind w:left="720" w:hanging="360"/>
      </w:pPr>
      <w:rPr>
        <w:rFonts w:ascii="Symbol" w:hAnsi="Symbol"/>
      </w:rPr>
    </w:lvl>
    <w:lvl w:ilvl="3" w:tplc="606EB16A">
      <w:start w:val="1"/>
      <w:numFmt w:val="bullet"/>
      <w:lvlText w:val=""/>
      <w:lvlJc w:val="left"/>
      <w:pPr>
        <w:ind w:left="720" w:hanging="360"/>
      </w:pPr>
      <w:rPr>
        <w:rFonts w:ascii="Symbol" w:hAnsi="Symbol"/>
      </w:rPr>
    </w:lvl>
    <w:lvl w:ilvl="4" w:tplc="CC76746A">
      <w:start w:val="1"/>
      <w:numFmt w:val="bullet"/>
      <w:lvlText w:val=""/>
      <w:lvlJc w:val="left"/>
      <w:pPr>
        <w:ind w:left="720" w:hanging="360"/>
      </w:pPr>
      <w:rPr>
        <w:rFonts w:ascii="Symbol" w:hAnsi="Symbol"/>
      </w:rPr>
    </w:lvl>
    <w:lvl w:ilvl="5" w:tplc="8C32E99C">
      <w:start w:val="1"/>
      <w:numFmt w:val="bullet"/>
      <w:lvlText w:val=""/>
      <w:lvlJc w:val="left"/>
      <w:pPr>
        <w:ind w:left="720" w:hanging="360"/>
      </w:pPr>
      <w:rPr>
        <w:rFonts w:ascii="Symbol" w:hAnsi="Symbol"/>
      </w:rPr>
    </w:lvl>
    <w:lvl w:ilvl="6" w:tplc="A64E7654">
      <w:start w:val="1"/>
      <w:numFmt w:val="bullet"/>
      <w:lvlText w:val=""/>
      <w:lvlJc w:val="left"/>
      <w:pPr>
        <w:ind w:left="720" w:hanging="360"/>
      </w:pPr>
      <w:rPr>
        <w:rFonts w:ascii="Symbol" w:hAnsi="Symbol"/>
      </w:rPr>
    </w:lvl>
    <w:lvl w:ilvl="7" w:tplc="E0FCADAC">
      <w:start w:val="1"/>
      <w:numFmt w:val="bullet"/>
      <w:lvlText w:val=""/>
      <w:lvlJc w:val="left"/>
      <w:pPr>
        <w:ind w:left="720" w:hanging="360"/>
      </w:pPr>
      <w:rPr>
        <w:rFonts w:ascii="Symbol" w:hAnsi="Symbol"/>
      </w:rPr>
    </w:lvl>
    <w:lvl w:ilvl="8" w:tplc="1A58FD68">
      <w:start w:val="1"/>
      <w:numFmt w:val="bullet"/>
      <w:lvlText w:val=""/>
      <w:lvlJc w:val="left"/>
      <w:pPr>
        <w:ind w:left="720" w:hanging="360"/>
      </w:pPr>
      <w:rPr>
        <w:rFonts w:ascii="Symbol" w:hAnsi="Symbol"/>
      </w:rPr>
    </w:lvl>
  </w:abstractNum>
  <w:abstractNum w:abstractNumId="24" w15:restartNumberingAfterBreak="0">
    <w:nsid w:val="2F03D7AA"/>
    <w:multiLevelType w:val="hybridMultilevel"/>
    <w:tmpl w:val="5B1CBB00"/>
    <w:lvl w:ilvl="0" w:tplc="627471DC">
      <w:start w:val="1"/>
      <w:numFmt w:val="bullet"/>
      <w:lvlText w:val=""/>
      <w:lvlJc w:val="left"/>
      <w:pPr>
        <w:ind w:left="720" w:hanging="360"/>
      </w:pPr>
      <w:rPr>
        <w:rFonts w:ascii="Symbol" w:hAnsi="Symbol" w:hint="default"/>
      </w:rPr>
    </w:lvl>
    <w:lvl w:ilvl="1" w:tplc="7994C63C">
      <w:start w:val="1"/>
      <w:numFmt w:val="bullet"/>
      <w:lvlText w:val="o"/>
      <w:lvlJc w:val="left"/>
      <w:pPr>
        <w:ind w:left="1440" w:hanging="360"/>
      </w:pPr>
      <w:rPr>
        <w:rFonts w:ascii="Courier New" w:hAnsi="Courier New" w:hint="default"/>
      </w:rPr>
    </w:lvl>
    <w:lvl w:ilvl="2" w:tplc="A6D83BD8">
      <w:start w:val="1"/>
      <w:numFmt w:val="bullet"/>
      <w:lvlText w:val=""/>
      <w:lvlJc w:val="left"/>
      <w:pPr>
        <w:ind w:left="2160" w:hanging="360"/>
      </w:pPr>
      <w:rPr>
        <w:rFonts w:ascii="Wingdings" w:hAnsi="Wingdings" w:hint="default"/>
      </w:rPr>
    </w:lvl>
    <w:lvl w:ilvl="3" w:tplc="3A985666">
      <w:start w:val="1"/>
      <w:numFmt w:val="bullet"/>
      <w:lvlText w:val=""/>
      <w:lvlJc w:val="left"/>
      <w:pPr>
        <w:ind w:left="2880" w:hanging="360"/>
      </w:pPr>
      <w:rPr>
        <w:rFonts w:ascii="Symbol" w:hAnsi="Symbol" w:hint="default"/>
      </w:rPr>
    </w:lvl>
    <w:lvl w:ilvl="4" w:tplc="06564FE0">
      <w:start w:val="1"/>
      <w:numFmt w:val="bullet"/>
      <w:lvlText w:val="o"/>
      <w:lvlJc w:val="left"/>
      <w:pPr>
        <w:ind w:left="3600" w:hanging="360"/>
      </w:pPr>
      <w:rPr>
        <w:rFonts w:ascii="Courier New" w:hAnsi="Courier New" w:hint="default"/>
      </w:rPr>
    </w:lvl>
    <w:lvl w:ilvl="5" w:tplc="BF582B04">
      <w:start w:val="1"/>
      <w:numFmt w:val="bullet"/>
      <w:lvlText w:val=""/>
      <w:lvlJc w:val="left"/>
      <w:pPr>
        <w:ind w:left="4320" w:hanging="360"/>
      </w:pPr>
      <w:rPr>
        <w:rFonts w:ascii="Wingdings" w:hAnsi="Wingdings" w:hint="default"/>
      </w:rPr>
    </w:lvl>
    <w:lvl w:ilvl="6" w:tplc="930A855A">
      <w:start w:val="1"/>
      <w:numFmt w:val="bullet"/>
      <w:lvlText w:val=""/>
      <w:lvlJc w:val="left"/>
      <w:pPr>
        <w:ind w:left="5040" w:hanging="360"/>
      </w:pPr>
      <w:rPr>
        <w:rFonts w:ascii="Symbol" w:hAnsi="Symbol" w:hint="default"/>
      </w:rPr>
    </w:lvl>
    <w:lvl w:ilvl="7" w:tplc="6C3A5014">
      <w:start w:val="1"/>
      <w:numFmt w:val="bullet"/>
      <w:lvlText w:val="o"/>
      <w:lvlJc w:val="left"/>
      <w:pPr>
        <w:ind w:left="5760" w:hanging="360"/>
      </w:pPr>
      <w:rPr>
        <w:rFonts w:ascii="Courier New" w:hAnsi="Courier New" w:hint="default"/>
      </w:rPr>
    </w:lvl>
    <w:lvl w:ilvl="8" w:tplc="69AC5374">
      <w:start w:val="1"/>
      <w:numFmt w:val="bullet"/>
      <w:lvlText w:val=""/>
      <w:lvlJc w:val="left"/>
      <w:pPr>
        <w:ind w:left="6480" w:hanging="360"/>
      </w:pPr>
      <w:rPr>
        <w:rFonts w:ascii="Wingdings" w:hAnsi="Wingdings" w:hint="default"/>
      </w:rPr>
    </w:lvl>
  </w:abstractNum>
  <w:abstractNum w:abstractNumId="25" w15:restartNumberingAfterBreak="0">
    <w:nsid w:val="2F522959"/>
    <w:multiLevelType w:val="hybridMultilevel"/>
    <w:tmpl w:val="E9AE42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4CD50FD"/>
    <w:multiLevelType w:val="hybridMultilevel"/>
    <w:tmpl w:val="76BA5AE6"/>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15:restartNumberingAfterBreak="0">
    <w:nsid w:val="376A2698"/>
    <w:multiLevelType w:val="hybridMultilevel"/>
    <w:tmpl w:val="640447EC"/>
    <w:lvl w:ilvl="0" w:tplc="BC06C8CE">
      <w:start w:val="1"/>
      <w:numFmt w:val="decimal"/>
      <w:pStyle w:val="TableNListnumbered"/>
      <w:lvlText w:val="%1."/>
      <w:lvlJc w:val="left"/>
      <w:pPr>
        <w:ind w:left="720" w:hanging="360"/>
      </w:pPr>
      <w:rPr>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9D1413D"/>
    <w:multiLevelType w:val="multilevel"/>
    <w:tmpl w:val="E14812AE"/>
    <w:lvl w:ilvl="0">
      <w:start w:val="1"/>
      <w:numFmt w:val="bullet"/>
      <w:pStyle w:val="TableNBullet"/>
      <w:lvlText w:val=""/>
      <w:lvlJc w:val="left"/>
      <w:pPr>
        <w:ind w:left="227" w:hanging="227"/>
      </w:pPr>
      <w:rPr>
        <w:rFonts w:ascii="Symbol" w:hAnsi="Symbol" w:hint="default"/>
        <w:color w:val="auto"/>
        <w:position w:val="4"/>
        <w:sz w:val="16"/>
      </w:rPr>
    </w:lvl>
    <w:lvl w:ilvl="1">
      <w:start w:val="1"/>
      <w:numFmt w:val="bullet"/>
      <w:lvlText w:val=""/>
      <w:lvlJc w:val="left"/>
      <w:pPr>
        <w:ind w:left="567" w:hanging="283"/>
      </w:pPr>
      <w:rPr>
        <w:rFonts w:ascii="Symbol" w:hAnsi="Symbol" w:hint="default"/>
        <w:color w:val="auto"/>
        <w:position w:val="4"/>
        <w:sz w:val="16"/>
      </w:rPr>
    </w:lvl>
    <w:lvl w:ilvl="2">
      <w:start w:val="1"/>
      <w:numFmt w:val="bullet"/>
      <w:lvlText w:val=""/>
      <w:lvlJc w:val="left"/>
      <w:pPr>
        <w:ind w:left="794" w:hanging="227"/>
      </w:pPr>
      <w:rPr>
        <w:rFonts w:ascii="Symbol" w:hAnsi="Symbol" w:hint="default"/>
        <w:color w:val="auto"/>
        <w:position w:val="4"/>
        <w:sz w:val="16"/>
      </w:rPr>
    </w:lvl>
    <w:lvl w:ilvl="3">
      <w:start w:val="1"/>
      <w:numFmt w:val="bullet"/>
      <w:lvlText w:val=""/>
      <w:lvlJc w:val="left"/>
      <w:pPr>
        <w:ind w:left="680" w:hanging="170"/>
      </w:pPr>
      <w:rPr>
        <w:rFonts w:ascii="Wingdings 2" w:hAnsi="Wingdings 2" w:hint="default"/>
        <w:color w:val="404040" w:themeColor="text1" w:themeTint="BF"/>
        <w:position w:val="4"/>
        <w:sz w:val="10"/>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9" w15:restartNumberingAfterBreak="0">
    <w:nsid w:val="3BF43C28"/>
    <w:multiLevelType w:val="hybridMultilevel"/>
    <w:tmpl w:val="F55099CC"/>
    <w:lvl w:ilvl="0" w:tplc="D3E0DBCE">
      <w:start w:val="2"/>
      <w:numFmt w:val="bullet"/>
      <w:lvlText w:val="-"/>
      <w:lvlJc w:val="left"/>
      <w:pPr>
        <w:ind w:left="947" w:hanging="360"/>
      </w:pPr>
      <w:rPr>
        <w:rFonts w:ascii="Arial" w:eastAsia="Times New Roman" w:hAnsi="Arial" w:cs="Aria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0" w15:restartNumberingAfterBreak="0">
    <w:nsid w:val="3DBF1747"/>
    <w:multiLevelType w:val="hybridMultilevel"/>
    <w:tmpl w:val="45AE9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ED362FC"/>
    <w:multiLevelType w:val="hybridMultilevel"/>
    <w:tmpl w:val="9AC4CBD2"/>
    <w:lvl w:ilvl="0" w:tplc="556CA962">
      <w:numFmt w:val="bullet"/>
      <w:lvlText w:val="-"/>
      <w:lvlJc w:val="left"/>
      <w:pPr>
        <w:ind w:left="587" w:hanging="360"/>
      </w:pPr>
      <w:rPr>
        <w:rFonts w:ascii="Arial" w:eastAsia="Times New Roman" w:hAnsi="Arial" w:cs="Aria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32" w15:restartNumberingAfterBreak="0">
    <w:nsid w:val="3EDE0EDD"/>
    <w:multiLevelType w:val="multilevel"/>
    <w:tmpl w:val="EE64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59650F2"/>
    <w:multiLevelType w:val="hybridMultilevel"/>
    <w:tmpl w:val="3B6E7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72A5B6A"/>
    <w:multiLevelType w:val="hybridMultilevel"/>
    <w:tmpl w:val="3E883BCE"/>
    <w:lvl w:ilvl="0" w:tplc="57B29BB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4AF725C5"/>
    <w:multiLevelType w:val="hybridMultilevel"/>
    <w:tmpl w:val="4C98D1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4DBF6F68"/>
    <w:multiLevelType w:val="multilevel"/>
    <w:tmpl w:val="512A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435470B"/>
    <w:multiLevelType w:val="hybridMultilevel"/>
    <w:tmpl w:val="5EB227A0"/>
    <w:lvl w:ilvl="0" w:tplc="B01CAD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7523E02"/>
    <w:multiLevelType w:val="hybridMultilevel"/>
    <w:tmpl w:val="4DDE9B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AA64F00"/>
    <w:multiLevelType w:val="hybridMultilevel"/>
    <w:tmpl w:val="F3EA15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5B410E26"/>
    <w:multiLevelType w:val="hybridMultilevel"/>
    <w:tmpl w:val="80442C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0F3249D"/>
    <w:multiLevelType w:val="hybridMultilevel"/>
    <w:tmpl w:val="C4462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2A808CC"/>
    <w:multiLevelType w:val="hybridMultilevel"/>
    <w:tmpl w:val="81343B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5A962EF"/>
    <w:multiLevelType w:val="hybridMultilevel"/>
    <w:tmpl w:val="92A0B1B8"/>
    <w:lvl w:ilvl="0" w:tplc="601A294A">
      <w:start w:val="1"/>
      <w:numFmt w:val="bullet"/>
      <w:lvlText w:val=""/>
      <w:lvlJc w:val="left"/>
      <w:pPr>
        <w:ind w:left="1020" w:hanging="360"/>
      </w:pPr>
      <w:rPr>
        <w:rFonts w:ascii="Symbol" w:hAnsi="Symbol"/>
      </w:rPr>
    </w:lvl>
    <w:lvl w:ilvl="1" w:tplc="703897F2">
      <w:start w:val="1"/>
      <w:numFmt w:val="bullet"/>
      <w:lvlText w:val=""/>
      <w:lvlJc w:val="left"/>
      <w:pPr>
        <w:ind w:left="1020" w:hanging="360"/>
      </w:pPr>
      <w:rPr>
        <w:rFonts w:ascii="Symbol" w:hAnsi="Symbol"/>
      </w:rPr>
    </w:lvl>
    <w:lvl w:ilvl="2" w:tplc="8BEC4CB0">
      <w:start w:val="1"/>
      <w:numFmt w:val="bullet"/>
      <w:lvlText w:val=""/>
      <w:lvlJc w:val="left"/>
      <w:pPr>
        <w:ind w:left="1020" w:hanging="360"/>
      </w:pPr>
      <w:rPr>
        <w:rFonts w:ascii="Symbol" w:hAnsi="Symbol"/>
      </w:rPr>
    </w:lvl>
    <w:lvl w:ilvl="3" w:tplc="766A496A">
      <w:start w:val="1"/>
      <w:numFmt w:val="bullet"/>
      <w:lvlText w:val=""/>
      <w:lvlJc w:val="left"/>
      <w:pPr>
        <w:ind w:left="1020" w:hanging="360"/>
      </w:pPr>
      <w:rPr>
        <w:rFonts w:ascii="Symbol" w:hAnsi="Symbol"/>
      </w:rPr>
    </w:lvl>
    <w:lvl w:ilvl="4" w:tplc="C134A34C">
      <w:start w:val="1"/>
      <w:numFmt w:val="bullet"/>
      <w:lvlText w:val=""/>
      <w:lvlJc w:val="left"/>
      <w:pPr>
        <w:ind w:left="1020" w:hanging="360"/>
      </w:pPr>
      <w:rPr>
        <w:rFonts w:ascii="Symbol" w:hAnsi="Symbol"/>
      </w:rPr>
    </w:lvl>
    <w:lvl w:ilvl="5" w:tplc="389C4480">
      <w:start w:val="1"/>
      <w:numFmt w:val="bullet"/>
      <w:lvlText w:val=""/>
      <w:lvlJc w:val="left"/>
      <w:pPr>
        <w:ind w:left="1020" w:hanging="360"/>
      </w:pPr>
      <w:rPr>
        <w:rFonts w:ascii="Symbol" w:hAnsi="Symbol"/>
      </w:rPr>
    </w:lvl>
    <w:lvl w:ilvl="6" w:tplc="55CAB3EA">
      <w:start w:val="1"/>
      <w:numFmt w:val="bullet"/>
      <w:lvlText w:val=""/>
      <w:lvlJc w:val="left"/>
      <w:pPr>
        <w:ind w:left="1020" w:hanging="360"/>
      </w:pPr>
      <w:rPr>
        <w:rFonts w:ascii="Symbol" w:hAnsi="Symbol"/>
      </w:rPr>
    </w:lvl>
    <w:lvl w:ilvl="7" w:tplc="C32627BA">
      <w:start w:val="1"/>
      <w:numFmt w:val="bullet"/>
      <w:lvlText w:val=""/>
      <w:lvlJc w:val="left"/>
      <w:pPr>
        <w:ind w:left="1020" w:hanging="360"/>
      </w:pPr>
      <w:rPr>
        <w:rFonts w:ascii="Symbol" w:hAnsi="Symbol"/>
      </w:rPr>
    </w:lvl>
    <w:lvl w:ilvl="8" w:tplc="79BE0F84">
      <w:start w:val="1"/>
      <w:numFmt w:val="bullet"/>
      <w:lvlText w:val=""/>
      <w:lvlJc w:val="left"/>
      <w:pPr>
        <w:ind w:left="1020" w:hanging="360"/>
      </w:pPr>
      <w:rPr>
        <w:rFonts w:ascii="Symbol" w:hAnsi="Symbol"/>
      </w:rPr>
    </w:lvl>
  </w:abstractNum>
  <w:abstractNum w:abstractNumId="45" w15:restartNumberingAfterBreak="0">
    <w:nsid w:val="67C532F9"/>
    <w:multiLevelType w:val="hybridMultilevel"/>
    <w:tmpl w:val="5DE6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CF8287E"/>
    <w:multiLevelType w:val="hybridMultilevel"/>
    <w:tmpl w:val="C1DC9418"/>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E550927"/>
    <w:multiLevelType w:val="hybridMultilevel"/>
    <w:tmpl w:val="260038FE"/>
    <w:lvl w:ilvl="0" w:tplc="B2E6B0DC">
      <w:start w:val="1"/>
      <w:numFmt w:val="decimal"/>
      <w:lvlText w:val="%1."/>
      <w:lvlJc w:val="left"/>
      <w:pPr>
        <w:ind w:left="360" w:hanging="360"/>
      </w:pPr>
      <w:rPr>
        <w:rFonts w:ascii="Arial" w:hAnsi="Arial" w:hint="default"/>
        <w:b/>
        <w:bCs/>
        <w:i w:val="0"/>
        <w:iCs w:val="0"/>
        <w:caps w:val="0"/>
        <w:smallCaps w:val="0"/>
        <w:strike w:val="0"/>
        <w:dstrike w:val="0"/>
        <w:outline w:val="0"/>
        <w:shadow w:val="0"/>
        <w:emboss w:val="0"/>
        <w:imprint w:val="0"/>
        <w:color w:val="auto"/>
        <w:spacing w:val="0"/>
        <w:w w:val="100"/>
        <w:kern w:val="0"/>
        <w:position w:val="0"/>
        <w:sz w:val="22"/>
        <w:u w:val="none"/>
        <w:effect w:val="none"/>
        <w:bdr w:val="none" w:sz="0" w:space="0" w:color="auto"/>
        <w:shd w:val="clear" w:color="auto" w:fill="auto"/>
        <w:vertAlign w:val="baseline"/>
        <w:em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6FEE42DB"/>
    <w:multiLevelType w:val="hybridMultilevel"/>
    <w:tmpl w:val="079416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9" w15:restartNumberingAfterBreak="0">
    <w:nsid w:val="74010B59"/>
    <w:multiLevelType w:val="multilevel"/>
    <w:tmpl w:val="2E3AF1EC"/>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8F77CCB"/>
    <w:multiLevelType w:val="hybridMultilevel"/>
    <w:tmpl w:val="5DF62D22"/>
    <w:lvl w:ilvl="0" w:tplc="D3DE6B8E">
      <w:start w:val="2"/>
      <w:numFmt w:val="bullet"/>
      <w:pStyle w:val="Boxtypelist"/>
      <w:lvlText w:val=""/>
      <w:lvlJc w:val="left"/>
      <w:pPr>
        <w:ind w:left="587" w:hanging="360"/>
      </w:pPr>
      <w:rPr>
        <w:rFonts w:ascii="Wingdings 2" w:eastAsia="Times New Roman" w:hAnsi="Wingdings 2" w:cs="Aria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51" w15:restartNumberingAfterBreak="0">
    <w:nsid w:val="794D4421"/>
    <w:multiLevelType w:val="hybridMultilevel"/>
    <w:tmpl w:val="E778A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C161D1A"/>
    <w:multiLevelType w:val="hybridMultilevel"/>
    <w:tmpl w:val="36B641F6"/>
    <w:lvl w:ilvl="0" w:tplc="D3E0DBCE">
      <w:start w:val="2"/>
      <w:numFmt w:val="bullet"/>
      <w:lvlText w:val="-"/>
      <w:lvlJc w:val="left"/>
      <w:pPr>
        <w:ind w:left="947" w:hanging="360"/>
      </w:pPr>
      <w:rPr>
        <w:rFonts w:ascii="Arial" w:eastAsia="Times New Roman" w:hAnsi="Arial" w:cs="Aria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3" w15:restartNumberingAfterBreak="0">
    <w:nsid w:val="7C471065"/>
    <w:multiLevelType w:val="hybridMultilevel"/>
    <w:tmpl w:val="C59ECA5E"/>
    <w:lvl w:ilvl="0" w:tplc="26A4DA0A">
      <w:start w:val="1"/>
      <w:numFmt w:val="decimal"/>
      <w:lvlText w:val="%1."/>
      <w:lvlJc w:val="left"/>
      <w:pPr>
        <w:ind w:left="720" w:hanging="360"/>
      </w:pPr>
      <w:rPr>
        <w:rFonts w:ascii="Arial" w:eastAsia="Times New Roman" w:hAnsi="Arial" w:cs="Times New Roman"/>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CC72D1A"/>
    <w:multiLevelType w:val="multilevel"/>
    <w:tmpl w:val="19B6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E391716"/>
    <w:multiLevelType w:val="hybridMultilevel"/>
    <w:tmpl w:val="0FF0ED08"/>
    <w:lvl w:ilvl="0" w:tplc="5CD6DB1C">
      <w:start w:val="1"/>
      <w:numFmt w:val="bullet"/>
      <w:pStyle w:val="ListBullet2"/>
      <w:lvlText w:val="o"/>
      <w:lvlJc w:val="left"/>
      <w:pPr>
        <w:ind w:left="64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6" w15:restartNumberingAfterBreak="0">
    <w:nsid w:val="7F844343"/>
    <w:multiLevelType w:val="hybridMultilevel"/>
    <w:tmpl w:val="47AAD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F8C7F8F"/>
    <w:multiLevelType w:val="hybridMultilevel"/>
    <w:tmpl w:val="06BE02A6"/>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48706372">
    <w:abstractNumId w:val="37"/>
  </w:num>
  <w:num w:numId="2" w16cid:durableId="1984852037">
    <w:abstractNumId w:val="55"/>
  </w:num>
  <w:num w:numId="3" w16cid:durableId="547643648">
    <w:abstractNumId w:val="10"/>
  </w:num>
  <w:num w:numId="4" w16cid:durableId="1745907263">
    <w:abstractNumId w:val="26"/>
  </w:num>
  <w:num w:numId="5" w16cid:durableId="2052025561">
    <w:abstractNumId w:val="46"/>
  </w:num>
  <w:num w:numId="6" w16cid:durableId="926965509">
    <w:abstractNumId w:val="4"/>
  </w:num>
  <w:num w:numId="7" w16cid:durableId="854004931">
    <w:abstractNumId w:val="38"/>
  </w:num>
  <w:num w:numId="8" w16cid:durableId="360980789">
    <w:abstractNumId w:val="28"/>
  </w:num>
  <w:num w:numId="9" w16cid:durableId="2003658490">
    <w:abstractNumId w:val="27"/>
  </w:num>
  <w:num w:numId="10" w16cid:durableId="1838228782">
    <w:abstractNumId w:val="30"/>
  </w:num>
  <w:num w:numId="11" w16cid:durableId="1912882444">
    <w:abstractNumId w:val="51"/>
  </w:num>
  <w:num w:numId="12" w16cid:durableId="52583446">
    <w:abstractNumId w:val="12"/>
  </w:num>
  <w:num w:numId="13" w16cid:durableId="69039378">
    <w:abstractNumId w:val="20"/>
  </w:num>
  <w:num w:numId="14" w16cid:durableId="1334453087">
    <w:abstractNumId w:val="11"/>
  </w:num>
  <w:num w:numId="15" w16cid:durableId="768543623">
    <w:abstractNumId w:val="42"/>
  </w:num>
  <w:num w:numId="16" w16cid:durableId="487791463">
    <w:abstractNumId w:val="22"/>
  </w:num>
  <w:num w:numId="17" w16cid:durableId="1614707692">
    <w:abstractNumId w:val="5"/>
  </w:num>
  <w:num w:numId="18" w16cid:durableId="456603856">
    <w:abstractNumId w:val="56"/>
  </w:num>
  <w:num w:numId="19" w16cid:durableId="548297517">
    <w:abstractNumId w:val="33"/>
  </w:num>
  <w:num w:numId="20" w16cid:durableId="464205852">
    <w:abstractNumId w:val="25"/>
  </w:num>
  <w:num w:numId="21" w16cid:durableId="174655594">
    <w:abstractNumId w:val="6"/>
  </w:num>
  <w:num w:numId="22" w16cid:durableId="519703703">
    <w:abstractNumId w:val="57"/>
  </w:num>
  <w:num w:numId="23" w16cid:durableId="567688147">
    <w:abstractNumId w:val="17"/>
  </w:num>
  <w:num w:numId="24" w16cid:durableId="202063752">
    <w:abstractNumId w:val="38"/>
  </w:num>
  <w:num w:numId="25" w16cid:durableId="1094202869">
    <w:abstractNumId w:val="38"/>
  </w:num>
  <w:num w:numId="26" w16cid:durableId="502549646">
    <w:abstractNumId w:val="38"/>
  </w:num>
  <w:num w:numId="27" w16cid:durableId="2114007789">
    <w:abstractNumId w:val="38"/>
  </w:num>
  <w:num w:numId="28" w16cid:durableId="2088457334">
    <w:abstractNumId w:val="38"/>
  </w:num>
  <w:num w:numId="29" w16cid:durableId="1270774742">
    <w:abstractNumId w:val="38"/>
  </w:num>
  <w:num w:numId="30" w16cid:durableId="48308489">
    <w:abstractNumId w:val="38"/>
  </w:num>
  <w:num w:numId="31" w16cid:durableId="1303392228">
    <w:abstractNumId w:val="38"/>
  </w:num>
  <w:num w:numId="32" w16cid:durableId="1553729919">
    <w:abstractNumId w:val="38"/>
  </w:num>
  <w:num w:numId="33" w16cid:durableId="675308972">
    <w:abstractNumId w:val="38"/>
  </w:num>
  <w:num w:numId="34" w16cid:durableId="998382297">
    <w:abstractNumId w:val="38"/>
  </w:num>
  <w:num w:numId="35" w16cid:durableId="457140971">
    <w:abstractNumId w:val="24"/>
  </w:num>
  <w:num w:numId="36" w16cid:durableId="90012624">
    <w:abstractNumId w:val="49"/>
  </w:num>
  <w:num w:numId="37" w16cid:durableId="434519599">
    <w:abstractNumId w:val="18"/>
  </w:num>
  <w:num w:numId="38" w16cid:durableId="660306790">
    <w:abstractNumId w:val="47"/>
  </w:num>
  <w:num w:numId="39" w16cid:durableId="1566796419">
    <w:abstractNumId w:val="13"/>
  </w:num>
  <w:num w:numId="40" w16cid:durableId="32272870">
    <w:abstractNumId w:val="32"/>
  </w:num>
  <w:num w:numId="41" w16cid:durableId="1800604864">
    <w:abstractNumId w:val="54"/>
  </w:num>
  <w:num w:numId="42" w16cid:durableId="1916430516">
    <w:abstractNumId w:val="45"/>
  </w:num>
  <w:num w:numId="43" w16cid:durableId="456071734">
    <w:abstractNumId w:val="7"/>
  </w:num>
  <w:num w:numId="44" w16cid:durableId="1706172807">
    <w:abstractNumId w:val="43"/>
  </w:num>
  <w:num w:numId="45" w16cid:durableId="1258174110">
    <w:abstractNumId w:val="31"/>
  </w:num>
  <w:num w:numId="46" w16cid:durableId="198858695">
    <w:abstractNumId w:val="23"/>
  </w:num>
  <w:num w:numId="47" w16cid:durableId="1061756815">
    <w:abstractNumId w:val="44"/>
  </w:num>
  <w:num w:numId="48" w16cid:durableId="598953835">
    <w:abstractNumId w:val="15"/>
  </w:num>
  <w:num w:numId="49" w16cid:durableId="390466353">
    <w:abstractNumId w:val="19"/>
  </w:num>
  <w:num w:numId="50" w16cid:durableId="264657041">
    <w:abstractNumId w:val="14"/>
  </w:num>
  <w:num w:numId="51" w16cid:durableId="1863325014">
    <w:abstractNumId w:val="34"/>
  </w:num>
  <w:num w:numId="52" w16cid:durableId="2113629297">
    <w:abstractNumId w:val="52"/>
  </w:num>
  <w:num w:numId="53" w16cid:durableId="2100591972">
    <w:abstractNumId w:val="29"/>
  </w:num>
  <w:num w:numId="54" w16cid:durableId="1206714584">
    <w:abstractNumId w:val="3"/>
  </w:num>
  <w:num w:numId="55" w16cid:durableId="1632126025">
    <w:abstractNumId w:val="48"/>
  </w:num>
  <w:num w:numId="56" w16cid:durableId="990064101">
    <w:abstractNumId w:val="40"/>
  </w:num>
  <w:num w:numId="57" w16cid:durableId="448361408">
    <w:abstractNumId w:val="35"/>
  </w:num>
  <w:num w:numId="58" w16cid:durableId="1554923344">
    <w:abstractNumId w:val="21"/>
  </w:num>
  <w:num w:numId="59" w16cid:durableId="1870603249">
    <w:abstractNumId w:val="9"/>
  </w:num>
  <w:num w:numId="60" w16cid:durableId="65424658">
    <w:abstractNumId w:val="38"/>
  </w:num>
  <w:num w:numId="61" w16cid:durableId="1809007884">
    <w:abstractNumId w:val="39"/>
  </w:num>
  <w:num w:numId="62" w16cid:durableId="1425610187">
    <w:abstractNumId w:val="41"/>
  </w:num>
  <w:num w:numId="63" w16cid:durableId="960109982">
    <w:abstractNumId w:val="16"/>
  </w:num>
  <w:num w:numId="64" w16cid:durableId="1365136481">
    <w:abstractNumId w:val="53"/>
  </w:num>
  <w:num w:numId="65" w16cid:durableId="329672966">
    <w:abstractNumId w:val="36"/>
  </w:num>
  <w:num w:numId="66" w16cid:durableId="139925042">
    <w:abstractNumId w:val="8"/>
  </w:num>
  <w:num w:numId="67" w16cid:durableId="1997605345">
    <w:abstractNumId w:val="50"/>
  </w:num>
  <w:num w:numId="68" w16cid:durableId="1586454464">
    <w:abstractNumId w:val="2"/>
  </w:num>
  <w:num w:numId="69" w16cid:durableId="1434550031">
    <w:abstractNumId w:val="1"/>
  </w:num>
  <w:num w:numId="70" w16cid:durableId="1016928672">
    <w:abstractNumId w:val="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EA0"/>
    <w:rsid w:val="00000127"/>
    <w:rsid w:val="00000665"/>
    <w:rsid w:val="00000912"/>
    <w:rsid w:val="0000175E"/>
    <w:rsid w:val="00001A91"/>
    <w:rsid w:val="00003066"/>
    <w:rsid w:val="00003592"/>
    <w:rsid w:val="00003743"/>
    <w:rsid w:val="0000378E"/>
    <w:rsid w:val="000039DE"/>
    <w:rsid w:val="00003E6C"/>
    <w:rsid w:val="00003FB9"/>
    <w:rsid w:val="00004103"/>
    <w:rsid w:val="000047B4"/>
    <w:rsid w:val="00004AF3"/>
    <w:rsid w:val="00004D04"/>
    <w:rsid w:val="00005712"/>
    <w:rsid w:val="000058DD"/>
    <w:rsid w:val="000069F6"/>
    <w:rsid w:val="00006D75"/>
    <w:rsid w:val="0000739D"/>
    <w:rsid w:val="0000753E"/>
    <w:rsid w:val="00007FD8"/>
    <w:rsid w:val="00010326"/>
    <w:rsid w:val="00010B41"/>
    <w:rsid w:val="00010D2F"/>
    <w:rsid w:val="000117F8"/>
    <w:rsid w:val="00011D21"/>
    <w:rsid w:val="00011D8A"/>
    <w:rsid w:val="00012CB1"/>
    <w:rsid w:val="00012CBC"/>
    <w:rsid w:val="00013747"/>
    <w:rsid w:val="000138FA"/>
    <w:rsid w:val="00013FB3"/>
    <w:rsid w:val="0001460F"/>
    <w:rsid w:val="00014C56"/>
    <w:rsid w:val="00014C7B"/>
    <w:rsid w:val="00014E5A"/>
    <w:rsid w:val="000156D2"/>
    <w:rsid w:val="000162AC"/>
    <w:rsid w:val="000162E1"/>
    <w:rsid w:val="00016911"/>
    <w:rsid w:val="00016B70"/>
    <w:rsid w:val="00017A73"/>
    <w:rsid w:val="00017FD8"/>
    <w:rsid w:val="000206F4"/>
    <w:rsid w:val="00020D4D"/>
    <w:rsid w:val="00020E4F"/>
    <w:rsid w:val="00020F3D"/>
    <w:rsid w:val="000217CD"/>
    <w:rsid w:val="000218B6"/>
    <w:rsid w:val="00022558"/>
    <w:rsid w:val="00022629"/>
    <w:rsid w:val="00022D25"/>
    <w:rsid w:val="00024469"/>
    <w:rsid w:val="000244E6"/>
    <w:rsid w:val="00025C99"/>
    <w:rsid w:val="00026139"/>
    <w:rsid w:val="0002712D"/>
    <w:rsid w:val="00027601"/>
    <w:rsid w:val="0003057D"/>
    <w:rsid w:val="000312E6"/>
    <w:rsid w:val="0003182F"/>
    <w:rsid w:val="000318D0"/>
    <w:rsid w:val="000325F3"/>
    <w:rsid w:val="00033321"/>
    <w:rsid w:val="000333B9"/>
    <w:rsid w:val="000338E5"/>
    <w:rsid w:val="00033ECC"/>
    <w:rsid w:val="0003422F"/>
    <w:rsid w:val="000346F7"/>
    <w:rsid w:val="000357DC"/>
    <w:rsid w:val="00035DFF"/>
    <w:rsid w:val="000365FE"/>
    <w:rsid w:val="00036761"/>
    <w:rsid w:val="0003745D"/>
    <w:rsid w:val="00037B26"/>
    <w:rsid w:val="000400F5"/>
    <w:rsid w:val="00040480"/>
    <w:rsid w:val="00040658"/>
    <w:rsid w:val="0004068A"/>
    <w:rsid w:val="00040A31"/>
    <w:rsid w:val="00040ABF"/>
    <w:rsid w:val="00040D33"/>
    <w:rsid w:val="00041772"/>
    <w:rsid w:val="00041BB1"/>
    <w:rsid w:val="00041FA0"/>
    <w:rsid w:val="00042918"/>
    <w:rsid w:val="0004298E"/>
    <w:rsid w:val="00042B73"/>
    <w:rsid w:val="00042CD7"/>
    <w:rsid w:val="000435A0"/>
    <w:rsid w:val="0004403B"/>
    <w:rsid w:val="00044965"/>
    <w:rsid w:val="0004499A"/>
    <w:rsid w:val="000450A9"/>
    <w:rsid w:val="00045347"/>
    <w:rsid w:val="00045EED"/>
    <w:rsid w:val="000462FC"/>
    <w:rsid w:val="00046FF0"/>
    <w:rsid w:val="00047D6C"/>
    <w:rsid w:val="00047F07"/>
    <w:rsid w:val="00050176"/>
    <w:rsid w:val="000506C7"/>
    <w:rsid w:val="00050737"/>
    <w:rsid w:val="000513A5"/>
    <w:rsid w:val="000520CE"/>
    <w:rsid w:val="00053391"/>
    <w:rsid w:val="00053674"/>
    <w:rsid w:val="00053B60"/>
    <w:rsid w:val="00053D1E"/>
    <w:rsid w:val="00053FAB"/>
    <w:rsid w:val="000551F9"/>
    <w:rsid w:val="0005533D"/>
    <w:rsid w:val="000554DE"/>
    <w:rsid w:val="00056301"/>
    <w:rsid w:val="00056B47"/>
    <w:rsid w:val="00056EFC"/>
    <w:rsid w:val="0005720D"/>
    <w:rsid w:val="00057A17"/>
    <w:rsid w:val="00060551"/>
    <w:rsid w:val="000608DE"/>
    <w:rsid w:val="00061435"/>
    <w:rsid w:val="000620AF"/>
    <w:rsid w:val="00062DE4"/>
    <w:rsid w:val="00063747"/>
    <w:rsid w:val="00063A31"/>
    <w:rsid w:val="00064443"/>
    <w:rsid w:val="000649F4"/>
    <w:rsid w:val="00064CFC"/>
    <w:rsid w:val="000652A5"/>
    <w:rsid w:val="000656C2"/>
    <w:rsid w:val="0006578E"/>
    <w:rsid w:val="000657A3"/>
    <w:rsid w:val="00065A41"/>
    <w:rsid w:val="0006634E"/>
    <w:rsid w:val="00066567"/>
    <w:rsid w:val="0006678F"/>
    <w:rsid w:val="00067456"/>
    <w:rsid w:val="00067C52"/>
    <w:rsid w:val="00067CFA"/>
    <w:rsid w:val="00067D6A"/>
    <w:rsid w:val="00070280"/>
    <w:rsid w:val="0007071A"/>
    <w:rsid w:val="000708A7"/>
    <w:rsid w:val="00070956"/>
    <w:rsid w:val="00071239"/>
    <w:rsid w:val="000712FD"/>
    <w:rsid w:val="00071506"/>
    <w:rsid w:val="0007154F"/>
    <w:rsid w:val="000717BB"/>
    <w:rsid w:val="00072470"/>
    <w:rsid w:val="00073A9F"/>
    <w:rsid w:val="00073BBC"/>
    <w:rsid w:val="00073E21"/>
    <w:rsid w:val="00073FC8"/>
    <w:rsid w:val="000746F5"/>
    <w:rsid w:val="00074BEF"/>
    <w:rsid w:val="000754EB"/>
    <w:rsid w:val="0007551A"/>
    <w:rsid w:val="00075732"/>
    <w:rsid w:val="00075788"/>
    <w:rsid w:val="00075827"/>
    <w:rsid w:val="00077587"/>
    <w:rsid w:val="00077A69"/>
    <w:rsid w:val="000810A6"/>
    <w:rsid w:val="000810CD"/>
    <w:rsid w:val="000811C0"/>
    <w:rsid w:val="00081AB1"/>
    <w:rsid w:val="00081DBE"/>
    <w:rsid w:val="000830A5"/>
    <w:rsid w:val="000839AC"/>
    <w:rsid w:val="00084991"/>
    <w:rsid w:val="00085339"/>
    <w:rsid w:val="00085469"/>
    <w:rsid w:val="0008578D"/>
    <w:rsid w:val="00085D78"/>
    <w:rsid w:val="000863F4"/>
    <w:rsid w:val="00087B35"/>
    <w:rsid w:val="00087FE2"/>
    <w:rsid w:val="00090316"/>
    <w:rsid w:val="00090515"/>
    <w:rsid w:val="00091C54"/>
    <w:rsid w:val="00092215"/>
    <w:rsid w:val="0009260B"/>
    <w:rsid w:val="00092861"/>
    <w:rsid w:val="00092B1A"/>
    <w:rsid w:val="00093981"/>
    <w:rsid w:val="000941F8"/>
    <w:rsid w:val="000942ED"/>
    <w:rsid w:val="000944CC"/>
    <w:rsid w:val="00094CEE"/>
    <w:rsid w:val="0009589E"/>
    <w:rsid w:val="000958D3"/>
    <w:rsid w:val="00095E14"/>
    <w:rsid w:val="000968BF"/>
    <w:rsid w:val="00096A2E"/>
    <w:rsid w:val="00096D86"/>
    <w:rsid w:val="00096ED8"/>
    <w:rsid w:val="00097043"/>
    <w:rsid w:val="000975FA"/>
    <w:rsid w:val="0009775F"/>
    <w:rsid w:val="000A0557"/>
    <w:rsid w:val="000A06AE"/>
    <w:rsid w:val="000A0A50"/>
    <w:rsid w:val="000A1444"/>
    <w:rsid w:val="000A1BDC"/>
    <w:rsid w:val="000A1DB7"/>
    <w:rsid w:val="000A3BBB"/>
    <w:rsid w:val="000A4327"/>
    <w:rsid w:val="000A49FB"/>
    <w:rsid w:val="000A4CBD"/>
    <w:rsid w:val="000A4F55"/>
    <w:rsid w:val="000A51DF"/>
    <w:rsid w:val="000A5B4B"/>
    <w:rsid w:val="000A5FEF"/>
    <w:rsid w:val="000A61D5"/>
    <w:rsid w:val="000A7726"/>
    <w:rsid w:val="000A7881"/>
    <w:rsid w:val="000B01E9"/>
    <w:rsid w:val="000B067A"/>
    <w:rsid w:val="000B080D"/>
    <w:rsid w:val="000B0DDD"/>
    <w:rsid w:val="000B1426"/>
    <w:rsid w:val="000B14BC"/>
    <w:rsid w:val="000B1540"/>
    <w:rsid w:val="000B1B6D"/>
    <w:rsid w:val="000B1CC0"/>
    <w:rsid w:val="000B1D38"/>
    <w:rsid w:val="000B1E2A"/>
    <w:rsid w:val="000B1E53"/>
    <w:rsid w:val="000B33FD"/>
    <w:rsid w:val="000B4382"/>
    <w:rsid w:val="000B45C3"/>
    <w:rsid w:val="000B4A01"/>
    <w:rsid w:val="000B4A8D"/>
    <w:rsid w:val="000B4ABA"/>
    <w:rsid w:val="000B5246"/>
    <w:rsid w:val="000B567B"/>
    <w:rsid w:val="000B5939"/>
    <w:rsid w:val="000B5D34"/>
    <w:rsid w:val="000B6062"/>
    <w:rsid w:val="000B62B4"/>
    <w:rsid w:val="000B6316"/>
    <w:rsid w:val="000B696D"/>
    <w:rsid w:val="000B7771"/>
    <w:rsid w:val="000C01D7"/>
    <w:rsid w:val="000C0C0E"/>
    <w:rsid w:val="000C1A14"/>
    <w:rsid w:val="000C1B2B"/>
    <w:rsid w:val="000C243A"/>
    <w:rsid w:val="000C2497"/>
    <w:rsid w:val="000C277F"/>
    <w:rsid w:val="000C2F69"/>
    <w:rsid w:val="000C4B16"/>
    <w:rsid w:val="000C50C3"/>
    <w:rsid w:val="000C5E14"/>
    <w:rsid w:val="000C63B6"/>
    <w:rsid w:val="000C65A9"/>
    <w:rsid w:val="000D00A3"/>
    <w:rsid w:val="000D0BD0"/>
    <w:rsid w:val="000D0EBE"/>
    <w:rsid w:val="000D21F6"/>
    <w:rsid w:val="000D2A14"/>
    <w:rsid w:val="000D313E"/>
    <w:rsid w:val="000D36A7"/>
    <w:rsid w:val="000D3841"/>
    <w:rsid w:val="000D3B82"/>
    <w:rsid w:val="000D3CB7"/>
    <w:rsid w:val="000D44FF"/>
    <w:rsid w:val="000D4500"/>
    <w:rsid w:val="000D459F"/>
    <w:rsid w:val="000D471A"/>
    <w:rsid w:val="000D516E"/>
    <w:rsid w:val="000D5FEE"/>
    <w:rsid w:val="000D6A6D"/>
    <w:rsid w:val="000D6D24"/>
    <w:rsid w:val="000D6FA7"/>
    <w:rsid w:val="000D7011"/>
    <w:rsid w:val="000D7028"/>
    <w:rsid w:val="000D74FD"/>
    <w:rsid w:val="000D7AEA"/>
    <w:rsid w:val="000D7BFF"/>
    <w:rsid w:val="000E013F"/>
    <w:rsid w:val="000E1275"/>
    <w:rsid w:val="000E171F"/>
    <w:rsid w:val="000E22A8"/>
    <w:rsid w:val="000E2C66"/>
    <w:rsid w:val="000E3F37"/>
    <w:rsid w:val="000E4B31"/>
    <w:rsid w:val="000E550F"/>
    <w:rsid w:val="000E75FB"/>
    <w:rsid w:val="000E7726"/>
    <w:rsid w:val="000E7AFF"/>
    <w:rsid w:val="000F0382"/>
    <w:rsid w:val="000F09B1"/>
    <w:rsid w:val="000F0D36"/>
    <w:rsid w:val="000F123C"/>
    <w:rsid w:val="000F1433"/>
    <w:rsid w:val="000F145B"/>
    <w:rsid w:val="000F165C"/>
    <w:rsid w:val="000F1827"/>
    <w:rsid w:val="000F275E"/>
    <w:rsid w:val="000F2931"/>
    <w:rsid w:val="000F2FED"/>
    <w:rsid w:val="000F3903"/>
    <w:rsid w:val="000F3F1F"/>
    <w:rsid w:val="000F40E1"/>
    <w:rsid w:val="000F4AD3"/>
    <w:rsid w:val="000F5E32"/>
    <w:rsid w:val="000F682E"/>
    <w:rsid w:val="000F6A15"/>
    <w:rsid w:val="000F6C13"/>
    <w:rsid w:val="000F7580"/>
    <w:rsid w:val="001002D9"/>
    <w:rsid w:val="00100596"/>
    <w:rsid w:val="00100B41"/>
    <w:rsid w:val="00101780"/>
    <w:rsid w:val="0010197B"/>
    <w:rsid w:val="00101A18"/>
    <w:rsid w:val="00101EFD"/>
    <w:rsid w:val="001020F8"/>
    <w:rsid w:val="0010233F"/>
    <w:rsid w:val="00102372"/>
    <w:rsid w:val="00102642"/>
    <w:rsid w:val="0010267C"/>
    <w:rsid w:val="00103FCB"/>
    <w:rsid w:val="0010509A"/>
    <w:rsid w:val="001053B6"/>
    <w:rsid w:val="00105873"/>
    <w:rsid w:val="0010616D"/>
    <w:rsid w:val="00106723"/>
    <w:rsid w:val="00106D6C"/>
    <w:rsid w:val="00107ED9"/>
    <w:rsid w:val="00110478"/>
    <w:rsid w:val="00110A4C"/>
    <w:rsid w:val="00110BB3"/>
    <w:rsid w:val="00110CAE"/>
    <w:rsid w:val="00110E5D"/>
    <w:rsid w:val="00110E8E"/>
    <w:rsid w:val="0011160F"/>
    <w:rsid w:val="0011166A"/>
    <w:rsid w:val="00112326"/>
    <w:rsid w:val="00112BCC"/>
    <w:rsid w:val="00112CA9"/>
    <w:rsid w:val="001136E3"/>
    <w:rsid w:val="00113D2F"/>
    <w:rsid w:val="00113D80"/>
    <w:rsid w:val="0011460C"/>
    <w:rsid w:val="001154DE"/>
    <w:rsid w:val="00115682"/>
    <w:rsid w:val="00116824"/>
    <w:rsid w:val="00116FC0"/>
    <w:rsid w:val="0011711B"/>
    <w:rsid w:val="00117446"/>
    <w:rsid w:val="00117F8A"/>
    <w:rsid w:val="001202FB"/>
    <w:rsid w:val="0012048C"/>
    <w:rsid w:val="00120F06"/>
    <w:rsid w:val="0012121A"/>
    <w:rsid w:val="00121B9B"/>
    <w:rsid w:val="00121C8F"/>
    <w:rsid w:val="00121E5C"/>
    <w:rsid w:val="00121F9E"/>
    <w:rsid w:val="0012245C"/>
    <w:rsid w:val="00122ADC"/>
    <w:rsid w:val="0012324D"/>
    <w:rsid w:val="00123B98"/>
    <w:rsid w:val="00123E6C"/>
    <w:rsid w:val="0012466C"/>
    <w:rsid w:val="00126651"/>
    <w:rsid w:val="0012674B"/>
    <w:rsid w:val="0012678D"/>
    <w:rsid w:val="001277B0"/>
    <w:rsid w:val="0013063E"/>
    <w:rsid w:val="001307F7"/>
    <w:rsid w:val="00130A2B"/>
    <w:rsid w:val="00130F59"/>
    <w:rsid w:val="0013123A"/>
    <w:rsid w:val="0013242E"/>
    <w:rsid w:val="00132FE1"/>
    <w:rsid w:val="00133EC0"/>
    <w:rsid w:val="00134117"/>
    <w:rsid w:val="00135F29"/>
    <w:rsid w:val="00136A65"/>
    <w:rsid w:val="00137309"/>
    <w:rsid w:val="001402CC"/>
    <w:rsid w:val="0014176A"/>
    <w:rsid w:val="00141CE5"/>
    <w:rsid w:val="00143AB5"/>
    <w:rsid w:val="00144908"/>
    <w:rsid w:val="00145E61"/>
    <w:rsid w:val="0014638C"/>
    <w:rsid w:val="00146B24"/>
    <w:rsid w:val="00150937"/>
    <w:rsid w:val="0015168D"/>
    <w:rsid w:val="0015206D"/>
    <w:rsid w:val="001520DC"/>
    <w:rsid w:val="001522ED"/>
    <w:rsid w:val="00152498"/>
    <w:rsid w:val="00152D07"/>
    <w:rsid w:val="00154B53"/>
    <w:rsid w:val="00155A9B"/>
    <w:rsid w:val="001571C7"/>
    <w:rsid w:val="00157700"/>
    <w:rsid w:val="001604B3"/>
    <w:rsid w:val="0016053C"/>
    <w:rsid w:val="00161094"/>
    <w:rsid w:val="0016184E"/>
    <w:rsid w:val="00162306"/>
    <w:rsid w:val="0016241D"/>
    <w:rsid w:val="00162A13"/>
    <w:rsid w:val="00162C9F"/>
    <w:rsid w:val="00163AD6"/>
    <w:rsid w:val="00163C99"/>
    <w:rsid w:val="00164B31"/>
    <w:rsid w:val="00164FCE"/>
    <w:rsid w:val="00165804"/>
    <w:rsid w:val="00165932"/>
    <w:rsid w:val="00166038"/>
    <w:rsid w:val="00166266"/>
    <w:rsid w:val="00167644"/>
    <w:rsid w:val="001679FD"/>
    <w:rsid w:val="00167AAB"/>
    <w:rsid w:val="00167C0A"/>
    <w:rsid w:val="001702A3"/>
    <w:rsid w:val="00170BCE"/>
    <w:rsid w:val="00171009"/>
    <w:rsid w:val="00171857"/>
    <w:rsid w:val="001722B5"/>
    <w:rsid w:val="001723B3"/>
    <w:rsid w:val="00172BD4"/>
    <w:rsid w:val="001735EC"/>
    <w:rsid w:val="0017371B"/>
    <w:rsid w:val="00173902"/>
    <w:rsid w:val="00175234"/>
    <w:rsid w:val="001762B1"/>
    <w:rsid w:val="0017658C"/>
    <w:rsid w:val="0017665C"/>
    <w:rsid w:val="00176D1D"/>
    <w:rsid w:val="00177AD2"/>
    <w:rsid w:val="00177D58"/>
    <w:rsid w:val="00177F1D"/>
    <w:rsid w:val="00180636"/>
    <w:rsid w:val="001813CF"/>
    <w:rsid w:val="001815A8"/>
    <w:rsid w:val="0018198F"/>
    <w:rsid w:val="00181B85"/>
    <w:rsid w:val="00182E13"/>
    <w:rsid w:val="00182FF3"/>
    <w:rsid w:val="001840FA"/>
    <w:rsid w:val="00184AB9"/>
    <w:rsid w:val="00184B4D"/>
    <w:rsid w:val="001854EA"/>
    <w:rsid w:val="00185B52"/>
    <w:rsid w:val="0018620F"/>
    <w:rsid w:val="0018658D"/>
    <w:rsid w:val="001870F2"/>
    <w:rsid w:val="00187295"/>
    <w:rsid w:val="00187F51"/>
    <w:rsid w:val="00190079"/>
    <w:rsid w:val="001903F4"/>
    <w:rsid w:val="0019046D"/>
    <w:rsid w:val="0019056F"/>
    <w:rsid w:val="00191235"/>
    <w:rsid w:val="00191532"/>
    <w:rsid w:val="00191592"/>
    <w:rsid w:val="00191B68"/>
    <w:rsid w:val="0019464A"/>
    <w:rsid w:val="001949EB"/>
    <w:rsid w:val="001955FB"/>
    <w:rsid w:val="001956D8"/>
    <w:rsid w:val="00195887"/>
    <w:rsid w:val="0019622E"/>
    <w:rsid w:val="001964D0"/>
    <w:rsid w:val="001966A7"/>
    <w:rsid w:val="001967B9"/>
    <w:rsid w:val="00196EC9"/>
    <w:rsid w:val="00197BD3"/>
    <w:rsid w:val="001A02EF"/>
    <w:rsid w:val="001A09DF"/>
    <w:rsid w:val="001A128F"/>
    <w:rsid w:val="001A1E04"/>
    <w:rsid w:val="001A1EF3"/>
    <w:rsid w:val="001A26F9"/>
    <w:rsid w:val="001A2A15"/>
    <w:rsid w:val="001A2D15"/>
    <w:rsid w:val="001A4627"/>
    <w:rsid w:val="001A4979"/>
    <w:rsid w:val="001A5396"/>
    <w:rsid w:val="001A5B8C"/>
    <w:rsid w:val="001A5F21"/>
    <w:rsid w:val="001A5F2D"/>
    <w:rsid w:val="001A6175"/>
    <w:rsid w:val="001A69A3"/>
    <w:rsid w:val="001A7067"/>
    <w:rsid w:val="001A721C"/>
    <w:rsid w:val="001A7788"/>
    <w:rsid w:val="001A79E7"/>
    <w:rsid w:val="001A7DC2"/>
    <w:rsid w:val="001B08BB"/>
    <w:rsid w:val="001B0EDD"/>
    <w:rsid w:val="001B0F2D"/>
    <w:rsid w:val="001B1058"/>
    <w:rsid w:val="001B15D3"/>
    <w:rsid w:val="001B1FDB"/>
    <w:rsid w:val="001B2CCA"/>
    <w:rsid w:val="001B3443"/>
    <w:rsid w:val="001B349F"/>
    <w:rsid w:val="001B3D3F"/>
    <w:rsid w:val="001B4115"/>
    <w:rsid w:val="001B4246"/>
    <w:rsid w:val="001B4529"/>
    <w:rsid w:val="001B4665"/>
    <w:rsid w:val="001B47C1"/>
    <w:rsid w:val="001B4DEE"/>
    <w:rsid w:val="001B4FED"/>
    <w:rsid w:val="001B6FB9"/>
    <w:rsid w:val="001B75BD"/>
    <w:rsid w:val="001C02AF"/>
    <w:rsid w:val="001C0326"/>
    <w:rsid w:val="001C0519"/>
    <w:rsid w:val="001C0CA2"/>
    <w:rsid w:val="001C0D52"/>
    <w:rsid w:val="001C0D9F"/>
    <w:rsid w:val="001C0E6E"/>
    <w:rsid w:val="001C132C"/>
    <w:rsid w:val="001C1393"/>
    <w:rsid w:val="001C18CD"/>
    <w:rsid w:val="001C192F"/>
    <w:rsid w:val="001C1A26"/>
    <w:rsid w:val="001C1DDA"/>
    <w:rsid w:val="001C2085"/>
    <w:rsid w:val="001C248E"/>
    <w:rsid w:val="001C2500"/>
    <w:rsid w:val="001C25E6"/>
    <w:rsid w:val="001C2BBD"/>
    <w:rsid w:val="001C33B8"/>
    <w:rsid w:val="001C3C42"/>
    <w:rsid w:val="001C4380"/>
    <w:rsid w:val="001C4685"/>
    <w:rsid w:val="001C4E98"/>
    <w:rsid w:val="001C509C"/>
    <w:rsid w:val="001C54A6"/>
    <w:rsid w:val="001C5670"/>
    <w:rsid w:val="001C5C63"/>
    <w:rsid w:val="001C5C67"/>
    <w:rsid w:val="001C63E2"/>
    <w:rsid w:val="001C680A"/>
    <w:rsid w:val="001C6E77"/>
    <w:rsid w:val="001C783B"/>
    <w:rsid w:val="001C7B4B"/>
    <w:rsid w:val="001D038B"/>
    <w:rsid w:val="001D0656"/>
    <w:rsid w:val="001D07D2"/>
    <w:rsid w:val="001D081E"/>
    <w:rsid w:val="001D0F33"/>
    <w:rsid w:val="001D14FA"/>
    <w:rsid w:val="001D2055"/>
    <w:rsid w:val="001D2573"/>
    <w:rsid w:val="001D2A27"/>
    <w:rsid w:val="001D380E"/>
    <w:rsid w:val="001D3AB0"/>
    <w:rsid w:val="001D4551"/>
    <w:rsid w:val="001D4B26"/>
    <w:rsid w:val="001D4DAC"/>
    <w:rsid w:val="001D4E10"/>
    <w:rsid w:val="001D5BBF"/>
    <w:rsid w:val="001D5FC0"/>
    <w:rsid w:val="001D6052"/>
    <w:rsid w:val="001D65EE"/>
    <w:rsid w:val="001D7869"/>
    <w:rsid w:val="001E1DB6"/>
    <w:rsid w:val="001E21C9"/>
    <w:rsid w:val="001E42B4"/>
    <w:rsid w:val="001E4D99"/>
    <w:rsid w:val="001E59B4"/>
    <w:rsid w:val="001E6521"/>
    <w:rsid w:val="001E6840"/>
    <w:rsid w:val="001E687E"/>
    <w:rsid w:val="001E69FF"/>
    <w:rsid w:val="001E72EF"/>
    <w:rsid w:val="001E7B92"/>
    <w:rsid w:val="001E7C3D"/>
    <w:rsid w:val="001F0376"/>
    <w:rsid w:val="001F0590"/>
    <w:rsid w:val="001F07F8"/>
    <w:rsid w:val="001F09CE"/>
    <w:rsid w:val="001F0CD4"/>
    <w:rsid w:val="001F1D8A"/>
    <w:rsid w:val="001F2277"/>
    <w:rsid w:val="001F28A5"/>
    <w:rsid w:val="001F2B8D"/>
    <w:rsid w:val="001F2C71"/>
    <w:rsid w:val="001F2E90"/>
    <w:rsid w:val="001F3A1C"/>
    <w:rsid w:val="001F3E99"/>
    <w:rsid w:val="001F4308"/>
    <w:rsid w:val="001F4558"/>
    <w:rsid w:val="001F59DC"/>
    <w:rsid w:val="001F6212"/>
    <w:rsid w:val="001F679F"/>
    <w:rsid w:val="001F712E"/>
    <w:rsid w:val="001F79A7"/>
    <w:rsid w:val="002001B0"/>
    <w:rsid w:val="002006D9"/>
    <w:rsid w:val="00200A9E"/>
    <w:rsid w:val="00200F70"/>
    <w:rsid w:val="0020136F"/>
    <w:rsid w:val="002016EE"/>
    <w:rsid w:val="002026CD"/>
    <w:rsid w:val="002026CE"/>
    <w:rsid w:val="00202C73"/>
    <w:rsid w:val="002033FC"/>
    <w:rsid w:val="0020346A"/>
    <w:rsid w:val="00203F39"/>
    <w:rsid w:val="00204379"/>
    <w:rsid w:val="002044BB"/>
    <w:rsid w:val="002049A0"/>
    <w:rsid w:val="00205703"/>
    <w:rsid w:val="002061D4"/>
    <w:rsid w:val="00206796"/>
    <w:rsid w:val="00206B6D"/>
    <w:rsid w:val="00210B09"/>
    <w:rsid w:val="00210B1D"/>
    <w:rsid w:val="00210C9E"/>
    <w:rsid w:val="0021106D"/>
    <w:rsid w:val="002113ED"/>
    <w:rsid w:val="00211840"/>
    <w:rsid w:val="00212A86"/>
    <w:rsid w:val="00212F1A"/>
    <w:rsid w:val="00213575"/>
    <w:rsid w:val="002144C1"/>
    <w:rsid w:val="002148AF"/>
    <w:rsid w:val="0021542F"/>
    <w:rsid w:val="002163B0"/>
    <w:rsid w:val="00216E8E"/>
    <w:rsid w:val="002176CC"/>
    <w:rsid w:val="00217FDF"/>
    <w:rsid w:val="00220894"/>
    <w:rsid w:val="00220E5F"/>
    <w:rsid w:val="002212B5"/>
    <w:rsid w:val="002213C2"/>
    <w:rsid w:val="0022185F"/>
    <w:rsid w:val="00221EAA"/>
    <w:rsid w:val="00222133"/>
    <w:rsid w:val="00222397"/>
    <w:rsid w:val="00222DF0"/>
    <w:rsid w:val="00223CED"/>
    <w:rsid w:val="00224D15"/>
    <w:rsid w:val="00225212"/>
    <w:rsid w:val="00225CCD"/>
    <w:rsid w:val="00226301"/>
    <w:rsid w:val="00226361"/>
    <w:rsid w:val="002263C6"/>
    <w:rsid w:val="00226668"/>
    <w:rsid w:val="00226E59"/>
    <w:rsid w:val="00227A7E"/>
    <w:rsid w:val="00230376"/>
    <w:rsid w:val="00230AF0"/>
    <w:rsid w:val="00231349"/>
    <w:rsid w:val="0023229A"/>
    <w:rsid w:val="0023298B"/>
    <w:rsid w:val="00232A1C"/>
    <w:rsid w:val="00233809"/>
    <w:rsid w:val="00233979"/>
    <w:rsid w:val="00233B76"/>
    <w:rsid w:val="00235236"/>
    <w:rsid w:val="00235305"/>
    <w:rsid w:val="002353B7"/>
    <w:rsid w:val="0023551D"/>
    <w:rsid w:val="002357F0"/>
    <w:rsid w:val="00235908"/>
    <w:rsid w:val="00235A64"/>
    <w:rsid w:val="002371CE"/>
    <w:rsid w:val="0023761D"/>
    <w:rsid w:val="00237641"/>
    <w:rsid w:val="00240046"/>
    <w:rsid w:val="0024006A"/>
    <w:rsid w:val="00240C3A"/>
    <w:rsid w:val="002410B5"/>
    <w:rsid w:val="00241596"/>
    <w:rsid w:val="00241756"/>
    <w:rsid w:val="0024243F"/>
    <w:rsid w:val="00242638"/>
    <w:rsid w:val="00243229"/>
    <w:rsid w:val="00243245"/>
    <w:rsid w:val="00243396"/>
    <w:rsid w:val="00243611"/>
    <w:rsid w:val="00243CCF"/>
    <w:rsid w:val="00243EB9"/>
    <w:rsid w:val="00244D0D"/>
    <w:rsid w:val="002454E4"/>
    <w:rsid w:val="0024797F"/>
    <w:rsid w:val="00247E5D"/>
    <w:rsid w:val="00247FAF"/>
    <w:rsid w:val="0025119E"/>
    <w:rsid w:val="00251269"/>
    <w:rsid w:val="00252201"/>
    <w:rsid w:val="00252343"/>
    <w:rsid w:val="00252DD6"/>
    <w:rsid w:val="00253091"/>
    <w:rsid w:val="0025332E"/>
    <w:rsid w:val="002535C0"/>
    <w:rsid w:val="002538DA"/>
    <w:rsid w:val="00253FB0"/>
    <w:rsid w:val="00254626"/>
    <w:rsid w:val="002547BD"/>
    <w:rsid w:val="002547E0"/>
    <w:rsid w:val="002553AD"/>
    <w:rsid w:val="00255B1C"/>
    <w:rsid w:val="00256E85"/>
    <w:rsid w:val="002579FE"/>
    <w:rsid w:val="00257C2F"/>
    <w:rsid w:val="00257C78"/>
    <w:rsid w:val="00257C91"/>
    <w:rsid w:val="00257F6A"/>
    <w:rsid w:val="002601BE"/>
    <w:rsid w:val="002601CC"/>
    <w:rsid w:val="0026134A"/>
    <w:rsid w:val="00261A57"/>
    <w:rsid w:val="00261BB5"/>
    <w:rsid w:val="00261DD7"/>
    <w:rsid w:val="0026311C"/>
    <w:rsid w:val="002635B3"/>
    <w:rsid w:val="00264391"/>
    <w:rsid w:val="002646F7"/>
    <w:rsid w:val="002647E7"/>
    <w:rsid w:val="00264831"/>
    <w:rsid w:val="002648D1"/>
    <w:rsid w:val="00264B2D"/>
    <w:rsid w:val="00264D5D"/>
    <w:rsid w:val="00264E40"/>
    <w:rsid w:val="002661FB"/>
    <w:rsid w:val="0026668C"/>
    <w:rsid w:val="00266A59"/>
    <w:rsid w:val="00266AC1"/>
    <w:rsid w:val="00266DAD"/>
    <w:rsid w:val="00267D67"/>
    <w:rsid w:val="00267F7B"/>
    <w:rsid w:val="00270FEC"/>
    <w:rsid w:val="002712B9"/>
    <w:rsid w:val="0027178C"/>
    <w:rsid w:val="002719FA"/>
    <w:rsid w:val="002723D4"/>
    <w:rsid w:val="00272483"/>
    <w:rsid w:val="00272668"/>
    <w:rsid w:val="00272FEA"/>
    <w:rsid w:val="002732A1"/>
    <w:rsid w:val="0027330B"/>
    <w:rsid w:val="00273892"/>
    <w:rsid w:val="00273A43"/>
    <w:rsid w:val="00273C2D"/>
    <w:rsid w:val="00274550"/>
    <w:rsid w:val="00274775"/>
    <w:rsid w:val="002749B3"/>
    <w:rsid w:val="00274F8C"/>
    <w:rsid w:val="00275FF7"/>
    <w:rsid w:val="00276A3C"/>
    <w:rsid w:val="00276FA6"/>
    <w:rsid w:val="00277230"/>
    <w:rsid w:val="002778B5"/>
    <w:rsid w:val="002779C3"/>
    <w:rsid w:val="00277F9E"/>
    <w:rsid w:val="002803AD"/>
    <w:rsid w:val="00280B55"/>
    <w:rsid w:val="00280F4C"/>
    <w:rsid w:val="0028149E"/>
    <w:rsid w:val="0028160B"/>
    <w:rsid w:val="00282052"/>
    <w:rsid w:val="002821B7"/>
    <w:rsid w:val="002826D1"/>
    <w:rsid w:val="00282FE0"/>
    <w:rsid w:val="00283875"/>
    <w:rsid w:val="00283B8E"/>
    <w:rsid w:val="00284C2C"/>
    <w:rsid w:val="00284F9A"/>
    <w:rsid w:val="0028519E"/>
    <w:rsid w:val="00285364"/>
    <w:rsid w:val="002856A5"/>
    <w:rsid w:val="00285CAB"/>
    <w:rsid w:val="0028660A"/>
    <w:rsid w:val="002866C9"/>
    <w:rsid w:val="00286E20"/>
    <w:rsid w:val="002871E5"/>
    <w:rsid w:val="002872ED"/>
    <w:rsid w:val="002877CD"/>
    <w:rsid w:val="002877D6"/>
    <w:rsid w:val="00287D20"/>
    <w:rsid w:val="00290185"/>
    <w:rsid w:val="002902BB"/>
    <w:rsid w:val="002902ED"/>
    <w:rsid w:val="002905C2"/>
    <w:rsid w:val="00290947"/>
    <w:rsid w:val="00291CEC"/>
    <w:rsid w:val="00291D8F"/>
    <w:rsid w:val="0029250B"/>
    <w:rsid w:val="00292712"/>
    <w:rsid w:val="00292FEF"/>
    <w:rsid w:val="00293F86"/>
    <w:rsid w:val="00294E32"/>
    <w:rsid w:val="002951F3"/>
    <w:rsid w:val="00295AF2"/>
    <w:rsid w:val="00295B10"/>
    <w:rsid w:val="00295C91"/>
    <w:rsid w:val="00296A5F"/>
    <w:rsid w:val="00297005"/>
    <w:rsid w:val="00297151"/>
    <w:rsid w:val="002A009C"/>
    <w:rsid w:val="002A0169"/>
    <w:rsid w:val="002A16E4"/>
    <w:rsid w:val="002A1986"/>
    <w:rsid w:val="002A19E9"/>
    <w:rsid w:val="002A1E77"/>
    <w:rsid w:val="002A1FB3"/>
    <w:rsid w:val="002A200B"/>
    <w:rsid w:val="002A23C8"/>
    <w:rsid w:val="002A2919"/>
    <w:rsid w:val="002A33C5"/>
    <w:rsid w:val="002A36FF"/>
    <w:rsid w:val="002A37A2"/>
    <w:rsid w:val="002A4062"/>
    <w:rsid w:val="002A4A79"/>
    <w:rsid w:val="002A4D8B"/>
    <w:rsid w:val="002A53BE"/>
    <w:rsid w:val="002A6CB0"/>
    <w:rsid w:val="002A6FF0"/>
    <w:rsid w:val="002A7F7A"/>
    <w:rsid w:val="002B104F"/>
    <w:rsid w:val="002B1566"/>
    <w:rsid w:val="002B185E"/>
    <w:rsid w:val="002B1F53"/>
    <w:rsid w:val="002B2079"/>
    <w:rsid w:val="002B20E6"/>
    <w:rsid w:val="002B28ED"/>
    <w:rsid w:val="002B337C"/>
    <w:rsid w:val="002B375D"/>
    <w:rsid w:val="002B42A3"/>
    <w:rsid w:val="002B42E8"/>
    <w:rsid w:val="002B43BE"/>
    <w:rsid w:val="002B66FF"/>
    <w:rsid w:val="002B67E5"/>
    <w:rsid w:val="002B6CC7"/>
    <w:rsid w:val="002B7C92"/>
    <w:rsid w:val="002C0CDD"/>
    <w:rsid w:val="002C26F4"/>
    <w:rsid w:val="002C289E"/>
    <w:rsid w:val="002C301A"/>
    <w:rsid w:val="002C38C4"/>
    <w:rsid w:val="002C3D23"/>
    <w:rsid w:val="002C4EF0"/>
    <w:rsid w:val="002C5031"/>
    <w:rsid w:val="002C5330"/>
    <w:rsid w:val="002C5B7B"/>
    <w:rsid w:val="002C5E19"/>
    <w:rsid w:val="002C62DE"/>
    <w:rsid w:val="002C68E0"/>
    <w:rsid w:val="002C68EC"/>
    <w:rsid w:val="002C6CFC"/>
    <w:rsid w:val="002C7565"/>
    <w:rsid w:val="002C7770"/>
    <w:rsid w:val="002C7C51"/>
    <w:rsid w:val="002C7CDF"/>
    <w:rsid w:val="002D05D0"/>
    <w:rsid w:val="002D0AF2"/>
    <w:rsid w:val="002D0DAC"/>
    <w:rsid w:val="002D1077"/>
    <w:rsid w:val="002D12AF"/>
    <w:rsid w:val="002D1359"/>
    <w:rsid w:val="002D179F"/>
    <w:rsid w:val="002D2A3E"/>
    <w:rsid w:val="002D2C9A"/>
    <w:rsid w:val="002D3310"/>
    <w:rsid w:val="002D335B"/>
    <w:rsid w:val="002D36F3"/>
    <w:rsid w:val="002D3A97"/>
    <w:rsid w:val="002D4209"/>
    <w:rsid w:val="002D4671"/>
    <w:rsid w:val="002D5289"/>
    <w:rsid w:val="002D57B5"/>
    <w:rsid w:val="002D5F97"/>
    <w:rsid w:val="002D64D1"/>
    <w:rsid w:val="002D670B"/>
    <w:rsid w:val="002D6840"/>
    <w:rsid w:val="002D748F"/>
    <w:rsid w:val="002D74DD"/>
    <w:rsid w:val="002D7B17"/>
    <w:rsid w:val="002E09CB"/>
    <w:rsid w:val="002E1A1D"/>
    <w:rsid w:val="002E1DA3"/>
    <w:rsid w:val="002E2DEB"/>
    <w:rsid w:val="002E3BF0"/>
    <w:rsid w:val="002E4081"/>
    <w:rsid w:val="002E56C2"/>
    <w:rsid w:val="002E57C8"/>
    <w:rsid w:val="002E5B78"/>
    <w:rsid w:val="002E665B"/>
    <w:rsid w:val="002E6F98"/>
    <w:rsid w:val="002E71F4"/>
    <w:rsid w:val="002E7288"/>
    <w:rsid w:val="002F001D"/>
    <w:rsid w:val="002F0033"/>
    <w:rsid w:val="002F03CA"/>
    <w:rsid w:val="002F0491"/>
    <w:rsid w:val="002F0A02"/>
    <w:rsid w:val="002F104A"/>
    <w:rsid w:val="002F1446"/>
    <w:rsid w:val="002F2071"/>
    <w:rsid w:val="002F2200"/>
    <w:rsid w:val="002F3AE3"/>
    <w:rsid w:val="002F518A"/>
    <w:rsid w:val="002F56CE"/>
    <w:rsid w:val="002F575B"/>
    <w:rsid w:val="002F58C2"/>
    <w:rsid w:val="002F5FAA"/>
    <w:rsid w:val="002F6771"/>
    <w:rsid w:val="002F6E2A"/>
    <w:rsid w:val="002F744C"/>
    <w:rsid w:val="002F76F5"/>
    <w:rsid w:val="00300793"/>
    <w:rsid w:val="00300DCB"/>
    <w:rsid w:val="00301753"/>
    <w:rsid w:val="00302573"/>
    <w:rsid w:val="00302C19"/>
    <w:rsid w:val="00303FF1"/>
    <w:rsid w:val="00304210"/>
    <w:rsid w:val="0030464B"/>
    <w:rsid w:val="003046A9"/>
    <w:rsid w:val="003053E8"/>
    <w:rsid w:val="00305D17"/>
    <w:rsid w:val="003065E7"/>
    <w:rsid w:val="00306B46"/>
    <w:rsid w:val="00306B73"/>
    <w:rsid w:val="0030786C"/>
    <w:rsid w:val="00307E05"/>
    <w:rsid w:val="00310314"/>
    <w:rsid w:val="0031202A"/>
    <w:rsid w:val="003125E6"/>
    <w:rsid w:val="0031284E"/>
    <w:rsid w:val="00313575"/>
    <w:rsid w:val="00313873"/>
    <w:rsid w:val="0031439A"/>
    <w:rsid w:val="00314902"/>
    <w:rsid w:val="00314FB1"/>
    <w:rsid w:val="00314FCE"/>
    <w:rsid w:val="00315A6D"/>
    <w:rsid w:val="00315E1C"/>
    <w:rsid w:val="00316279"/>
    <w:rsid w:val="00316294"/>
    <w:rsid w:val="00316CB1"/>
    <w:rsid w:val="00316D31"/>
    <w:rsid w:val="003173E9"/>
    <w:rsid w:val="0031757D"/>
    <w:rsid w:val="003201B3"/>
    <w:rsid w:val="00320578"/>
    <w:rsid w:val="00320EFE"/>
    <w:rsid w:val="00321062"/>
    <w:rsid w:val="00321521"/>
    <w:rsid w:val="0032159E"/>
    <w:rsid w:val="003215CC"/>
    <w:rsid w:val="00321927"/>
    <w:rsid w:val="00322457"/>
    <w:rsid w:val="003233DE"/>
    <w:rsid w:val="00324206"/>
    <w:rsid w:val="0032466B"/>
    <w:rsid w:val="00324C0B"/>
    <w:rsid w:val="00324F1C"/>
    <w:rsid w:val="00325389"/>
    <w:rsid w:val="00325F96"/>
    <w:rsid w:val="003267B4"/>
    <w:rsid w:val="0032697C"/>
    <w:rsid w:val="00326CAC"/>
    <w:rsid w:val="0032776E"/>
    <w:rsid w:val="00327871"/>
    <w:rsid w:val="00327C1C"/>
    <w:rsid w:val="00327DDC"/>
    <w:rsid w:val="00330BEB"/>
    <w:rsid w:val="00330FA8"/>
    <w:rsid w:val="003314FB"/>
    <w:rsid w:val="003319B9"/>
    <w:rsid w:val="003324D7"/>
    <w:rsid w:val="003330EB"/>
    <w:rsid w:val="003342EA"/>
    <w:rsid w:val="00334C00"/>
    <w:rsid w:val="00334E9C"/>
    <w:rsid w:val="00334FF4"/>
    <w:rsid w:val="00335096"/>
    <w:rsid w:val="00335689"/>
    <w:rsid w:val="00337E65"/>
    <w:rsid w:val="00340205"/>
    <w:rsid w:val="00340823"/>
    <w:rsid w:val="003415FD"/>
    <w:rsid w:val="00341839"/>
    <w:rsid w:val="00341B6F"/>
    <w:rsid w:val="00341D90"/>
    <w:rsid w:val="00341DB7"/>
    <w:rsid w:val="00342688"/>
    <w:rsid w:val="003429F0"/>
    <w:rsid w:val="003439A3"/>
    <w:rsid w:val="003445FA"/>
    <w:rsid w:val="003448D0"/>
    <w:rsid w:val="00344D7B"/>
    <w:rsid w:val="00345A82"/>
    <w:rsid w:val="00346EDA"/>
    <w:rsid w:val="00347399"/>
    <w:rsid w:val="0035011B"/>
    <w:rsid w:val="0035097A"/>
    <w:rsid w:val="00351CC3"/>
    <w:rsid w:val="00352318"/>
    <w:rsid w:val="003534A0"/>
    <w:rsid w:val="003540A4"/>
    <w:rsid w:val="003542A8"/>
    <w:rsid w:val="00354938"/>
    <w:rsid w:val="00354E20"/>
    <w:rsid w:val="00355428"/>
    <w:rsid w:val="00355731"/>
    <w:rsid w:val="00355BB1"/>
    <w:rsid w:val="00356091"/>
    <w:rsid w:val="003571DB"/>
    <w:rsid w:val="00357BCC"/>
    <w:rsid w:val="00357C39"/>
    <w:rsid w:val="00360173"/>
    <w:rsid w:val="00360E4E"/>
    <w:rsid w:val="003613B5"/>
    <w:rsid w:val="0036170F"/>
    <w:rsid w:val="00361EC2"/>
    <w:rsid w:val="0036436E"/>
    <w:rsid w:val="00364EA8"/>
    <w:rsid w:val="00365656"/>
    <w:rsid w:val="00365DEF"/>
    <w:rsid w:val="00366163"/>
    <w:rsid w:val="003663F4"/>
    <w:rsid w:val="00366432"/>
    <w:rsid w:val="00367368"/>
    <w:rsid w:val="00367D29"/>
    <w:rsid w:val="003703F5"/>
    <w:rsid w:val="00370AAA"/>
    <w:rsid w:val="00370E61"/>
    <w:rsid w:val="003712D3"/>
    <w:rsid w:val="003724E8"/>
    <w:rsid w:val="00372CC9"/>
    <w:rsid w:val="0037374E"/>
    <w:rsid w:val="00373CEA"/>
    <w:rsid w:val="00374333"/>
    <w:rsid w:val="003745A1"/>
    <w:rsid w:val="00375561"/>
    <w:rsid w:val="0037592F"/>
    <w:rsid w:val="00375BBC"/>
    <w:rsid w:val="00375F77"/>
    <w:rsid w:val="00376DA9"/>
    <w:rsid w:val="003771FA"/>
    <w:rsid w:val="003773E0"/>
    <w:rsid w:val="00377F79"/>
    <w:rsid w:val="00380EC7"/>
    <w:rsid w:val="00380F00"/>
    <w:rsid w:val="003810FB"/>
    <w:rsid w:val="003814C8"/>
    <w:rsid w:val="0038197D"/>
    <w:rsid w:val="00381BBE"/>
    <w:rsid w:val="00382903"/>
    <w:rsid w:val="00382ED3"/>
    <w:rsid w:val="003833E9"/>
    <w:rsid w:val="0038362E"/>
    <w:rsid w:val="00383DC1"/>
    <w:rsid w:val="003846FF"/>
    <w:rsid w:val="00384799"/>
    <w:rsid w:val="00384942"/>
    <w:rsid w:val="00384B27"/>
    <w:rsid w:val="00384D6A"/>
    <w:rsid w:val="003851D2"/>
    <w:rsid w:val="003857D4"/>
    <w:rsid w:val="00385AD4"/>
    <w:rsid w:val="00386A60"/>
    <w:rsid w:val="003871E0"/>
    <w:rsid w:val="0038738A"/>
    <w:rsid w:val="003878D4"/>
    <w:rsid w:val="00387924"/>
    <w:rsid w:val="00390159"/>
    <w:rsid w:val="00391751"/>
    <w:rsid w:val="003926D3"/>
    <w:rsid w:val="00392F91"/>
    <w:rsid w:val="0039384D"/>
    <w:rsid w:val="00395245"/>
    <w:rsid w:val="00395C23"/>
    <w:rsid w:val="0039615B"/>
    <w:rsid w:val="003961E7"/>
    <w:rsid w:val="00397023"/>
    <w:rsid w:val="00397687"/>
    <w:rsid w:val="00397892"/>
    <w:rsid w:val="003A090D"/>
    <w:rsid w:val="003A0C63"/>
    <w:rsid w:val="003A1182"/>
    <w:rsid w:val="003A195A"/>
    <w:rsid w:val="003A1B11"/>
    <w:rsid w:val="003A27CC"/>
    <w:rsid w:val="003A2D1A"/>
    <w:rsid w:val="003A2E4F"/>
    <w:rsid w:val="003A3204"/>
    <w:rsid w:val="003A34A6"/>
    <w:rsid w:val="003A34C0"/>
    <w:rsid w:val="003A4128"/>
    <w:rsid w:val="003A4438"/>
    <w:rsid w:val="003A4B6A"/>
    <w:rsid w:val="003A4E28"/>
    <w:rsid w:val="003A5013"/>
    <w:rsid w:val="003A5078"/>
    <w:rsid w:val="003A5EA6"/>
    <w:rsid w:val="003A62D7"/>
    <w:rsid w:val="003A62DD"/>
    <w:rsid w:val="003A63A1"/>
    <w:rsid w:val="003A6BED"/>
    <w:rsid w:val="003A775A"/>
    <w:rsid w:val="003A7B9F"/>
    <w:rsid w:val="003A7C6E"/>
    <w:rsid w:val="003A7FB4"/>
    <w:rsid w:val="003B0542"/>
    <w:rsid w:val="003B0F61"/>
    <w:rsid w:val="003B0F6B"/>
    <w:rsid w:val="003B147F"/>
    <w:rsid w:val="003B197E"/>
    <w:rsid w:val="003B1E66"/>
    <w:rsid w:val="003B213A"/>
    <w:rsid w:val="003B2A3E"/>
    <w:rsid w:val="003B2E33"/>
    <w:rsid w:val="003B3DD3"/>
    <w:rsid w:val="003B3FC5"/>
    <w:rsid w:val="003B43AD"/>
    <w:rsid w:val="003B46B2"/>
    <w:rsid w:val="003B4DA7"/>
    <w:rsid w:val="003B4E96"/>
    <w:rsid w:val="003B55DB"/>
    <w:rsid w:val="003B5A1C"/>
    <w:rsid w:val="003B5FC7"/>
    <w:rsid w:val="003B7085"/>
    <w:rsid w:val="003B7361"/>
    <w:rsid w:val="003B7ED0"/>
    <w:rsid w:val="003C062A"/>
    <w:rsid w:val="003C0B35"/>
    <w:rsid w:val="003C0FEC"/>
    <w:rsid w:val="003C12C1"/>
    <w:rsid w:val="003C2A91"/>
    <w:rsid w:val="003C2AC8"/>
    <w:rsid w:val="003C2DC5"/>
    <w:rsid w:val="003C330B"/>
    <w:rsid w:val="003C3BA8"/>
    <w:rsid w:val="003C3BDE"/>
    <w:rsid w:val="003C4DFE"/>
    <w:rsid w:val="003C54CF"/>
    <w:rsid w:val="003C5A99"/>
    <w:rsid w:val="003C5EAC"/>
    <w:rsid w:val="003C630E"/>
    <w:rsid w:val="003C6DEE"/>
    <w:rsid w:val="003C6F7F"/>
    <w:rsid w:val="003C6FDC"/>
    <w:rsid w:val="003C75C7"/>
    <w:rsid w:val="003D033A"/>
    <w:rsid w:val="003D0891"/>
    <w:rsid w:val="003D0E66"/>
    <w:rsid w:val="003D17F9"/>
    <w:rsid w:val="003D2D88"/>
    <w:rsid w:val="003D38EC"/>
    <w:rsid w:val="003D4137"/>
    <w:rsid w:val="003D41EA"/>
    <w:rsid w:val="003D4850"/>
    <w:rsid w:val="003D4C33"/>
    <w:rsid w:val="003D535A"/>
    <w:rsid w:val="003D54A4"/>
    <w:rsid w:val="003D5A62"/>
    <w:rsid w:val="003D66B1"/>
    <w:rsid w:val="003D7365"/>
    <w:rsid w:val="003E0406"/>
    <w:rsid w:val="003E05DB"/>
    <w:rsid w:val="003E05E4"/>
    <w:rsid w:val="003E0DC1"/>
    <w:rsid w:val="003E110C"/>
    <w:rsid w:val="003E1396"/>
    <w:rsid w:val="003E1680"/>
    <w:rsid w:val="003E2AB1"/>
    <w:rsid w:val="003E305C"/>
    <w:rsid w:val="003E35D1"/>
    <w:rsid w:val="003E37FD"/>
    <w:rsid w:val="003E406A"/>
    <w:rsid w:val="003E48A3"/>
    <w:rsid w:val="003E5265"/>
    <w:rsid w:val="003E541F"/>
    <w:rsid w:val="003E56F3"/>
    <w:rsid w:val="003E68B9"/>
    <w:rsid w:val="003E69C7"/>
    <w:rsid w:val="003E78EE"/>
    <w:rsid w:val="003E7A95"/>
    <w:rsid w:val="003E7C02"/>
    <w:rsid w:val="003F0955"/>
    <w:rsid w:val="003F0EA2"/>
    <w:rsid w:val="003F0EDD"/>
    <w:rsid w:val="003F1196"/>
    <w:rsid w:val="003F1D54"/>
    <w:rsid w:val="003F2393"/>
    <w:rsid w:val="003F29AE"/>
    <w:rsid w:val="003F2C24"/>
    <w:rsid w:val="003F2CA9"/>
    <w:rsid w:val="003F3929"/>
    <w:rsid w:val="003F3DA3"/>
    <w:rsid w:val="003F4209"/>
    <w:rsid w:val="003F5005"/>
    <w:rsid w:val="003F56DD"/>
    <w:rsid w:val="003F5F4D"/>
    <w:rsid w:val="003F646F"/>
    <w:rsid w:val="003F69D1"/>
    <w:rsid w:val="003F69FD"/>
    <w:rsid w:val="003F6CF9"/>
    <w:rsid w:val="003F796C"/>
    <w:rsid w:val="003F7996"/>
    <w:rsid w:val="00400F00"/>
    <w:rsid w:val="00400FCF"/>
    <w:rsid w:val="00401137"/>
    <w:rsid w:val="004018AB"/>
    <w:rsid w:val="004027E8"/>
    <w:rsid w:val="00402AA7"/>
    <w:rsid w:val="00403103"/>
    <w:rsid w:val="00404F8B"/>
    <w:rsid w:val="00405256"/>
    <w:rsid w:val="00406DE5"/>
    <w:rsid w:val="004075E9"/>
    <w:rsid w:val="004077C6"/>
    <w:rsid w:val="00407A14"/>
    <w:rsid w:val="00407C95"/>
    <w:rsid w:val="00410031"/>
    <w:rsid w:val="00411609"/>
    <w:rsid w:val="004120A1"/>
    <w:rsid w:val="004123F0"/>
    <w:rsid w:val="00412AB5"/>
    <w:rsid w:val="0041308C"/>
    <w:rsid w:val="004130D1"/>
    <w:rsid w:val="0041317E"/>
    <w:rsid w:val="0041376B"/>
    <w:rsid w:val="00413E64"/>
    <w:rsid w:val="00414851"/>
    <w:rsid w:val="00414EFE"/>
    <w:rsid w:val="00415C81"/>
    <w:rsid w:val="00415D42"/>
    <w:rsid w:val="00416528"/>
    <w:rsid w:val="0041787F"/>
    <w:rsid w:val="00417A6F"/>
    <w:rsid w:val="00417BA2"/>
    <w:rsid w:val="00420249"/>
    <w:rsid w:val="00421437"/>
    <w:rsid w:val="00421464"/>
    <w:rsid w:val="004237E9"/>
    <w:rsid w:val="00423F30"/>
    <w:rsid w:val="0042439F"/>
    <w:rsid w:val="004246B6"/>
    <w:rsid w:val="00424BD4"/>
    <w:rsid w:val="00425573"/>
    <w:rsid w:val="00425747"/>
    <w:rsid w:val="00426386"/>
    <w:rsid w:val="004265F5"/>
    <w:rsid w:val="00426A00"/>
    <w:rsid w:val="004274F4"/>
    <w:rsid w:val="00430013"/>
    <w:rsid w:val="0043056A"/>
    <w:rsid w:val="00430B97"/>
    <w:rsid w:val="00430DC2"/>
    <w:rsid w:val="00431A7C"/>
    <w:rsid w:val="00432378"/>
    <w:rsid w:val="00433733"/>
    <w:rsid w:val="00433A21"/>
    <w:rsid w:val="00433AC7"/>
    <w:rsid w:val="00434239"/>
    <w:rsid w:val="00435A31"/>
    <w:rsid w:val="00435A84"/>
    <w:rsid w:val="00435DF1"/>
    <w:rsid w:val="004363A0"/>
    <w:rsid w:val="004365FE"/>
    <w:rsid w:val="00440304"/>
    <w:rsid w:val="00440411"/>
    <w:rsid w:val="00440D65"/>
    <w:rsid w:val="004421D1"/>
    <w:rsid w:val="004421E8"/>
    <w:rsid w:val="00442477"/>
    <w:rsid w:val="004426E0"/>
    <w:rsid w:val="00442950"/>
    <w:rsid w:val="00442A08"/>
    <w:rsid w:val="004435E6"/>
    <w:rsid w:val="00443BC6"/>
    <w:rsid w:val="00443C1E"/>
    <w:rsid w:val="004451D9"/>
    <w:rsid w:val="004455EF"/>
    <w:rsid w:val="00445C2A"/>
    <w:rsid w:val="00445F30"/>
    <w:rsid w:val="00446271"/>
    <w:rsid w:val="00447E31"/>
    <w:rsid w:val="00447E7F"/>
    <w:rsid w:val="00450247"/>
    <w:rsid w:val="004502FA"/>
    <w:rsid w:val="004507A0"/>
    <w:rsid w:val="00450C67"/>
    <w:rsid w:val="00450EA0"/>
    <w:rsid w:val="00450FFA"/>
    <w:rsid w:val="0045193C"/>
    <w:rsid w:val="0045202D"/>
    <w:rsid w:val="004525F4"/>
    <w:rsid w:val="00453073"/>
    <w:rsid w:val="004533EE"/>
    <w:rsid w:val="0045387C"/>
    <w:rsid w:val="00453923"/>
    <w:rsid w:val="00453CEE"/>
    <w:rsid w:val="00453F5C"/>
    <w:rsid w:val="00454157"/>
    <w:rsid w:val="00454351"/>
    <w:rsid w:val="00454B9B"/>
    <w:rsid w:val="00454D9E"/>
    <w:rsid w:val="00455189"/>
    <w:rsid w:val="004552FF"/>
    <w:rsid w:val="00455B15"/>
    <w:rsid w:val="00457106"/>
    <w:rsid w:val="0045711A"/>
    <w:rsid w:val="00457391"/>
    <w:rsid w:val="00457858"/>
    <w:rsid w:val="00457953"/>
    <w:rsid w:val="00460B0B"/>
    <w:rsid w:val="00460B4F"/>
    <w:rsid w:val="00460F1D"/>
    <w:rsid w:val="00460FEB"/>
    <w:rsid w:val="00461023"/>
    <w:rsid w:val="0046134D"/>
    <w:rsid w:val="0046197F"/>
    <w:rsid w:val="00461F91"/>
    <w:rsid w:val="00462AC6"/>
    <w:rsid w:val="00462FAC"/>
    <w:rsid w:val="00463269"/>
    <w:rsid w:val="0046335D"/>
    <w:rsid w:val="00463556"/>
    <w:rsid w:val="00464631"/>
    <w:rsid w:val="00464B79"/>
    <w:rsid w:val="00466349"/>
    <w:rsid w:val="00466ACC"/>
    <w:rsid w:val="00466C63"/>
    <w:rsid w:val="00466F6E"/>
    <w:rsid w:val="00467879"/>
    <w:rsid w:val="00467BBF"/>
    <w:rsid w:val="00467F33"/>
    <w:rsid w:val="004704A4"/>
    <w:rsid w:val="0047058A"/>
    <w:rsid w:val="00470E61"/>
    <w:rsid w:val="0047119B"/>
    <w:rsid w:val="00471B8A"/>
    <w:rsid w:val="00471BF4"/>
    <w:rsid w:val="00473F87"/>
    <w:rsid w:val="00474BA2"/>
    <w:rsid w:val="00474C56"/>
    <w:rsid w:val="00475078"/>
    <w:rsid w:val="004752CA"/>
    <w:rsid w:val="00475B9B"/>
    <w:rsid w:val="004760C5"/>
    <w:rsid w:val="00476657"/>
    <w:rsid w:val="00476823"/>
    <w:rsid w:val="0047684F"/>
    <w:rsid w:val="004771B1"/>
    <w:rsid w:val="004800D8"/>
    <w:rsid w:val="00480368"/>
    <w:rsid w:val="004809F5"/>
    <w:rsid w:val="00480AB3"/>
    <w:rsid w:val="00480E52"/>
    <w:rsid w:val="00481E94"/>
    <w:rsid w:val="00481EFD"/>
    <w:rsid w:val="0048242D"/>
    <w:rsid w:val="00482D17"/>
    <w:rsid w:val="00482D1B"/>
    <w:rsid w:val="00482D6C"/>
    <w:rsid w:val="00482DC4"/>
    <w:rsid w:val="004834E3"/>
    <w:rsid w:val="004840CF"/>
    <w:rsid w:val="0048424C"/>
    <w:rsid w:val="0048470A"/>
    <w:rsid w:val="00484721"/>
    <w:rsid w:val="0048593C"/>
    <w:rsid w:val="00485B29"/>
    <w:rsid w:val="00485B40"/>
    <w:rsid w:val="004867E2"/>
    <w:rsid w:val="00486B69"/>
    <w:rsid w:val="00490143"/>
    <w:rsid w:val="00490391"/>
    <w:rsid w:val="00491AF9"/>
    <w:rsid w:val="00492355"/>
    <w:rsid w:val="00492389"/>
    <w:rsid w:val="004929A9"/>
    <w:rsid w:val="00492F10"/>
    <w:rsid w:val="004930F5"/>
    <w:rsid w:val="00493336"/>
    <w:rsid w:val="00493360"/>
    <w:rsid w:val="0049345E"/>
    <w:rsid w:val="0049531C"/>
    <w:rsid w:val="00495643"/>
    <w:rsid w:val="00496253"/>
    <w:rsid w:val="00496CE5"/>
    <w:rsid w:val="004977B5"/>
    <w:rsid w:val="004A0E4B"/>
    <w:rsid w:val="004A201C"/>
    <w:rsid w:val="004A280F"/>
    <w:rsid w:val="004A3705"/>
    <w:rsid w:val="004A4656"/>
    <w:rsid w:val="004A49C5"/>
    <w:rsid w:val="004A5A01"/>
    <w:rsid w:val="004A5A56"/>
    <w:rsid w:val="004A5F27"/>
    <w:rsid w:val="004A6AB0"/>
    <w:rsid w:val="004A7876"/>
    <w:rsid w:val="004A78D9"/>
    <w:rsid w:val="004A7AE8"/>
    <w:rsid w:val="004A7B70"/>
    <w:rsid w:val="004B102E"/>
    <w:rsid w:val="004B1447"/>
    <w:rsid w:val="004B19BC"/>
    <w:rsid w:val="004B2A9E"/>
    <w:rsid w:val="004B4B47"/>
    <w:rsid w:val="004B58F0"/>
    <w:rsid w:val="004B5A33"/>
    <w:rsid w:val="004B5A85"/>
    <w:rsid w:val="004B5D74"/>
    <w:rsid w:val="004B68DB"/>
    <w:rsid w:val="004B6B41"/>
    <w:rsid w:val="004B7A1C"/>
    <w:rsid w:val="004C067D"/>
    <w:rsid w:val="004C0802"/>
    <w:rsid w:val="004C0ACC"/>
    <w:rsid w:val="004C14B7"/>
    <w:rsid w:val="004C164A"/>
    <w:rsid w:val="004C1819"/>
    <w:rsid w:val="004C19CE"/>
    <w:rsid w:val="004C255D"/>
    <w:rsid w:val="004C2AD8"/>
    <w:rsid w:val="004C427D"/>
    <w:rsid w:val="004C43F6"/>
    <w:rsid w:val="004C546D"/>
    <w:rsid w:val="004C59BB"/>
    <w:rsid w:val="004C5A4C"/>
    <w:rsid w:val="004C5C9C"/>
    <w:rsid w:val="004C6161"/>
    <w:rsid w:val="004C63AF"/>
    <w:rsid w:val="004C65EF"/>
    <w:rsid w:val="004C6BCF"/>
    <w:rsid w:val="004C784B"/>
    <w:rsid w:val="004D15D0"/>
    <w:rsid w:val="004D23E3"/>
    <w:rsid w:val="004D266E"/>
    <w:rsid w:val="004D2D06"/>
    <w:rsid w:val="004D31D9"/>
    <w:rsid w:val="004D37E2"/>
    <w:rsid w:val="004D3A5B"/>
    <w:rsid w:val="004D435C"/>
    <w:rsid w:val="004D4D09"/>
    <w:rsid w:val="004D5046"/>
    <w:rsid w:val="004D58BF"/>
    <w:rsid w:val="004D6845"/>
    <w:rsid w:val="004D7109"/>
    <w:rsid w:val="004D7D26"/>
    <w:rsid w:val="004E0F6C"/>
    <w:rsid w:val="004E1BFB"/>
    <w:rsid w:val="004E1CC0"/>
    <w:rsid w:val="004E244D"/>
    <w:rsid w:val="004E31FB"/>
    <w:rsid w:val="004E4335"/>
    <w:rsid w:val="004E45C2"/>
    <w:rsid w:val="004E4C88"/>
    <w:rsid w:val="004E4E71"/>
    <w:rsid w:val="004E4F5A"/>
    <w:rsid w:val="004E5822"/>
    <w:rsid w:val="004E5DF3"/>
    <w:rsid w:val="004E60DF"/>
    <w:rsid w:val="004E621B"/>
    <w:rsid w:val="004E662B"/>
    <w:rsid w:val="004E6A59"/>
    <w:rsid w:val="004E6C28"/>
    <w:rsid w:val="004E7AED"/>
    <w:rsid w:val="004E7C72"/>
    <w:rsid w:val="004F03F5"/>
    <w:rsid w:val="004F12A1"/>
    <w:rsid w:val="004F12BB"/>
    <w:rsid w:val="004F13EE"/>
    <w:rsid w:val="004F15AF"/>
    <w:rsid w:val="004F2022"/>
    <w:rsid w:val="004F31B2"/>
    <w:rsid w:val="004F3F6B"/>
    <w:rsid w:val="004F4FA4"/>
    <w:rsid w:val="004F53C9"/>
    <w:rsid w:val="004F55E3"/>
    <w:rsid w:val="004F6F2E"/>
    <w:rsid w:val="004F6F80"/>
    <w:rsid w:val="004F7737"/>
    <w:rsid w:val="004F7C05"/>
    <w:rsid w:val="004F7D03"/>
    <w:rsid w:val="005003B2"/>
    <w:rsid w:val="00501C94"/>
    <w:rsid w:val="00501DFC"/>
    <w:rsid w:val="00502043"/>
    <w:rsid w:val="005020B9"/>
    <w:rsid w:val="005031F4"/>
    <w:rsid w:val="0050346B"/>
    <w:rsid w:val="00503BE9"/>
    <w:rsid w:val="00503C06"/>
    <w:rsid w:val="00503EFE"/>
    <w:rsid w:val="00504506"/>
    <w:rsid w:val="0050570C"/>
    <w:rsid w:val="00506432"/>
    <w:rsid w:val="00506FDE"/>
    <w:rsid w:val="005078C5"/>
    <w:rsid w:val="00507B33"/>
    <w:rsid w:val="00507F03"/>
    <w:rsid w:val="00510D8E"/>
    <w:rsid w:val="00510D9E"/>
    <w:rsid w:val="005114E6"/>
    <w:rsid w:val="005118F2"/>
    <w:rsid w:val="00512C12"/>
    <w:rsid w:val="0051429A"/>
    <w:rsid w:val="005154CA"/>
    <w:rsid w:val="00516122"/>
    <w:rsid w:val="00516E67"/>
    <w:rsid w:val="00517490"/>
    <w:rsid w:val="005201F1"/>
    <w:rsid w:val="005203FA"/>
    <w:rsid w:val="0052051D"/>
    <w:rsid w:val="005215CA"/>
    <w:rsid w:val="00521921"/>
    <w:rsid w:val="00522C6C"/>
    <w:rsid w:val="00522D78"/>
    <w:rsid w:val="00523A95"/>
    <w:rsid w:val="005244BC"/>
    <w:rsid w:val="005244BE"/>
    <w:rsid w:val="00525D9E"/>
    <w:rsid w:val="0052614D"/>
    <w:rsid w:val="005261E2"/>
    <w:rsid w:val="0052624A"/>
    <w:rsid w:val="00526325"/>
    <w:rsid w:val="0052632F"/>
    <w:rsid w:val="0052640D"/>
    <w:rsid w:val="00526777"/>
    <w:rsid w:val="005269CA"/>
    <w:rsid w:val="00527592"/>
    <w:rsid w:val="00527644"/>
    <w:rsid w:val="00527F67"/>
    <w:rsid w:val="00530D2D"/>
    <w:rsid w:val="00530EFE"/>
    <w:rsid w:val="005311E8"/>
    <w:rsid w:val="005320E5"/>
    <w:rsid w:val="005335F6"/>
    <w:rsid w:val="005348D7"/>
    <w:rsid w:val="0053501B"/>
    <w:rsid w:val="00535832"/>
    <w:rsid w:val="00535FED"/>
    <w:rsid w:val="00536EF0"/>
    <w:rsid w:val="00537BCB"/>
    <w:rsid w:val="00540713"/>
    <w:rsid w:val="005409E0"/>
    <w:rsid w:val="00540BC5"/>
    <w:rsid w:val="00541452"/>
    <w:rsid w:val="00541943"/>
    <w:rsid w:val="00541D29"/>
    <w:rsid w:val="00543015"/>
    <w:rsid w:val="00543547"/>
    <w:rsid w:val="0054507A"/>
    <w:rsid w:val="005455DB"/>
    <w:rsid w:val="0054569A"/>
    <w:rsid w:val="00545823"/>
    <w:rsid w:val="00545EE6"/>
    <w:rsid w:val="005462B4"/>
    <w:rsid w:val="00546611"/>
    <w:rsid w:val="005471D5"/>
    <w:rsid w:val="0054768D"/>
    <w:rsid w:val="005479F3"/>
    <w:rsid w:val="00551EC7"/>
    <w:rsid w:val="00551F66"/>
    <w:rsid w:val="005523BD"/>
    <w:rsid w:val="00553CCF"/>
    <w:rsid w:val="00554DD8"/>
    <w:rsid w:val="005550E7"/>
    <w:rsid w:val="00555A29"/>
    <w:rsid w:val="005564FB"/>
    <w:rsid w:val="005566F0"/>
    <w:rsid w:val="00556F93"/>
    <w:rsid w:val="005572C7"/>
    <w:rsid w:val="005575E4"/>
    <w:rsid w:val="00557807"/>
    <w:rsid w:val="00560A39"/>
    <w:rsid w:val="005611B5"/>
    <w:rsid w:val="005618C3"/>
    <w:rsid w:val="00561B3D"/>
    <w:rsid w:val="005622C2"/>
    <w:rsid w:val="00563257"/>
    <w:rsid w:val="005635A2"/>
    <w:rsid w:val="00564C24"/>
    <w:rsid w:val="005650ED"/>
    <w:rsid w:val="0056625F"/>
    <w:rsid w:val="00566637"/>
    <w:rsid w:val="00566CB8"/>
    <w:rsid w:val="005679CA"/>
    <w:rsid w:val="00567A8B"/>
    <w:rsid w:val="00567BAE"/>
    <w:rsid w:val="005703AC"/>
    <w:rsid w:val="0057062E"/>
    <w:rsid w:val="00570E53"/>
    <w:rsid w:val="00571524"/>
    <w:rsid w:val="005717A1"/>
    <w:rsid w:val="00571CD4"/>
    <w:rsid w:val="00573087"/>
    <w:rsid w:val="005731D1"/>
    <w:rsid w:val="00573CB9"/>
    <w:rsid w:val="005745CE"/>
    <w:rsid w:val="00575754"/>
    <w:rsid w:val="00575B00"/>
    <w:rsid w:val="005765F5"/>
    <w:rsid w:val="00577286"/>
    <w:rsid w:val="005775D4"/>
    <w:rsid w:val="005779F8"/>
    <w:rsid w:val="005805A7"/>
    <w:rsid w:val="00581362"/>
    <w:rsid w:val="00581D51"/>
    <w:rsid w:val="00581FBA"/>
    <w:rsid w:val="005821E1"/>
    <w:rsid w:val="0058231C"/>
    <w:rsid w:val="0058233F"/>
    <w:rsid w:val="005823DC"/>
    <w:rsid w:val="0058312A"/>
    <w:rsid w:val="005832EF"/>
    <w:rsid w:val="005839A0"/>
    <w:rsid w:val="00583DE0"/>
    <w:rsid w:val="0058484D"/>
    <w:rsid w:val="0058517A"/>
    <w:rsid w:val="00585BCD"/>
    <w:rsid w:val="005869BD"/>
    <w:rsid w:val="00586A38"/>
    <w:rsid w:val="00587BC5"/>
    <w:rsid w:val="005900C2"/>
    <w:rsid w:val="00590537"/>
    <w:rsid w:val="00590787"/>
    <w:rsid w:val="005909FD"/>
    <w:rsid w:val="00590C3C"/>
    <w:rsid w:val="00590EFB"/>
    <w:rsid w:val="005912A9"/>
    <w:rsid w:val="00591401"/>
    <w:rsid w:val="00591591"/>
    <w:rsid w:val="005919B9"/>
    <w:rsid w:val="00591E20"/>
    <w:rsid w:val="00592F36"/>
    <w:rsid w:val="0059353B"/>
    <w:rsid w:val="00594614"/>
    <w:rsid w:val="00594BE3"/>
    <w:rsid w:val="00595408"/>
    <w:rsid w:val="00595E84"/>
    <w:rsid w:val="005964B2"/>
    <w:rsid w:val="00596514"/>
    <w:rsid w:val="00596FA4"/>
    <w:rsid w:val="00597F26"/>
    <w:rsid w:val="00597FC8"/>
    <w:rsid w:val="005A0437"/>
    <w:rsid w:val="005A0C59"/>
    <w:rsid w:val="005A125B"/>
    <w:rsid w:val="005A2191"/>
    <w:rsid w:val="005A27FA"/>
    <w:rsid w:val="005A2AB3"/>
    <w:rsid w:val="005A2B7C"/>
    <w:rsid w:val="005A4306"/>
    <w:rsid w:val="005A43EE"/>
    <w:rsid w:val="005A48EB"/>
    <w:rsid w:val="005A4A4F"/>
    <w:rsid w:val="005A5720"/>
    <w:rsid w:val="005A6529"/>
    <w:rsid w:val="005A6CFB"/>
    <w:rsid w:val="005A70EF"/>
    <w:rsid w:val="005A7B39"/>
    <w:rsid w:val="005A7C37"/>
    <w:rsid w:val="005B068A"/>
    <w:rsid w:val="005B0B74"/>
    <w:rsid w:val="005B0F5B"/>
    <w:rsid w:val="005B1C4B"/>
    <w:rsid w:val="005B1C73"/>
    <w:rsid w:val="005B1E55"/>
    <w:rsid w:val="005B26F8"/>
    <w:rsid w:val="005B2CA9"/>
    <w:rsid w:val="005B493B"/>
    <w:rsid w:val="005B5093"/>
    <w:rsid w:val="005B553F"/>
    <w:rsid w:val="005B7391"/>
    <w:rsid w:val="005B7BBB"/>
    <w:rsid w:val="005C044F"/>
    <w:rsid w:val="005C0D66"/>
    <w:rsid w:val="005C1010"/>
    <w:rsid w:val="005C120A"/>
    <w:rsid w:val="005C1221"/>
    <w:rsid w:val="005C150E"/>
    <w:rsid w:val="005C1947"/>
    <w:rsid w:val="005C2BDC"/>
    <w:rsid w:val="005C4384"/>
    <w:rsid w:val="005C4907"/>
    <w:rsid w:val="005C4FEF"/>
    <w:rsid w:val="005C58B8"/>
    <w:rsid w:val="005C5AEB"/>
    <w:rsid w:val="005C64C7"/>
    <w:rsid w:val="005C68B3"/>
    <w:rsid w:val="005C6AF4"/>
    <w:rsid w:val="005C70C6"/>
    <w:rsid w:val="005C77E8"/>
    <w:rsid w:val="005D06AD"/>
    <w:rsid w:val="005D09A1"/>
    <w:rsid w:val="005D0D0A"/>
    <w:rsid w:val="005D0DE8"/>
    <w:rsid w:val="005D1A03"/>
    <w:rsid w:val="005D1A10"/>
    <w:rsid w:val="005D1C75"/>
    <w:rsid w:val="005D1DB0"/>
    <w:rsid w:val="005D1F84"/>
    <w:rsid w:val="005D203B"/>
    <w:rsid w:val="005D3756"/>
    <w:rsid w:val="005D3E7F"/>
    <w:rsid w:val="005D3EA1"/>
    <w:rsid w:val="005D4164"/>
    <w:rsid w:val="005D47F9"/>
    <w:rsid w:val="005D4837"/>
    <w:rsid w:val="005D4A4A"/>
    <w:rsid w:val="005D6868"/>
    <w:rsid w:val="005D6941"/>
    <w:rsid w:val="005D6987"/>
    <w:rsid w:val="005D6D36"/>
    <w:rsid w:val="005D7CF4"/>
    <w:rsid w:val="005E085B"/>
    <w:rsid w:val="005E0A3F"/>
    <w:rsid w:val="005E0C35"/>
    <w:rsid w:val="005E1B6B"/>
    <w:rsid w:val="005E1FA1"/>
    <w:rsid w:val="005E4A0D"/>
    <w:rsid w:val="005E5051"/>
    <w:rsid w:val="005E6365"/>
    <w:rsid w:val="005E6433"/>
    <w:rsid w:val="005E6611"/>
    <w:rsid w:val="005E6883"/>
    <w:rsid w:val="005E69D4"/>
    <w:rsid w:val="005E6EB0"/>
    <w:rsid w:val="005E7045"/>
    <w:rsid w:val="005E73FD"/>
    <w:rsid w:val="005E772F"/>
    <w:rsid w:val="005E7E38"/>
    <w:rsid w:val="005F17AF"/>
    <w:rsid w:val="005F1856"/>
    <w:rsid w:val="005F1FD9"/>
    <w:rsid w:val="005F22A9"/>
    <w:rsid w:val="005F2B4C"/>
    <w:rsid w:val="005F2C3A"/>
    <w:rsid w:val="005F39D7"/>
    <w:rsid w:val="005F3A5F"/>
    <w:rsid w:val="005F3F5D"/>
    <w:rsid w:val="005F464B"/>
    <w:rsid w:val="005F4D6A"/>
    <w:rsid w:val="005F4ECA"/>
    <w:rsid w:val="005F562B"/>
    <w:rsid w:val="005F6106"/>
    <w:rsid w:val="005F71F5"/>
    <w:rsid w:val="005F7CBF"/>
    <w:rsid w:val="0060016E"/>
    <w:rsid w:val="006011E8"/>
    <w:rsid w:val="0060153B"/>
    <w:rsid w:val="006016C1"/>
    <w:rsid w:val="00601731"/>
    <w:rsid w:val="00601AFE"/>
    <w:rsid w:val="00601EB8"/>
    <w:rsid w:val="00602016"/>
    <w:rsid w:val="00602A65"/>
    <w:rsid w:val="006035BA"/>
    <w:rsid w:val="006041BE"/>
    <w:rsid w:val="00604253"/>
    <w:rsid w:val="006043C7"/>
    <w:rsid w:val="00604663"/>
    <w:rsid w:val="00605AFA"/>
    <w:rsid w:val="00606B09"/>
    <w:rsid w:val="00607321"/>
    <w:rsid w:val="00607E44"/>
    <w:rsid w:val="00607F85"/>
    <w:rsid w:val="0061021C"/>
    <w:rsid w:val="00610236"/>
    <w:rsid w:val="006103C4"/>
    <w:rsid w:val="0061122D"/>
    <w:rsid w:val="0061158B"/>
    <w:rsid w:val="00611787"/>
    <w:rsid w:val="006118F5"/>
    <w:rsid w:val="00611957"/>
    <w:rsid w:val="00611BA9"/>
    <w:rsid w:val="00611F48"/>
    <w:rsid w:val="00612589"/>
    <w:rsid w:val="00612A73"/>
    <w:rsid w:val="00612B29"/>
    <w:rsid w:val="00612F52"/>
    <w:rsid w:val="006131A2"/>
    <w:rsid w:val="00613622"/>
    <w:rsid w:val="006139CF"/>
    <w:rsid w:val="00614C2F"/>
    <w:rsid w:val="00614DD9"/>
    <w:rsid w:val="006152DC"/>
    <w:rsid w:val="00615638"/>
    <w:rsid w:val="00615A34"/>
    <w:rsid w:val="00615FDC"/>
    <w:rsid w:val="00616A32"/>
    <w:rsid w:val="0061730B"/>
    <w:rsid w:val="00617917"/>
    <w:rsid w:val="00617AB7"/>
    <w:rsid w:val="00617D53"/>
    <w:rsid w:val="00617E30"/>
    <w:rsid w:val="00621FEC"/>
    <w:rsid w:val="0062296F"/>
    <w:rsid w:val="00622D0F"/>
    <w:rsid w:val="00624308"/>
    <w:rsid w:val="00624B52"/>
    <w:rsid w:val="00625BE7"/>
    <w:rsid w:val="006265E0"/>
    <w:rsid w:val="00626B64"/>
    <w:rsid w:val="00626D09"/>
    <w:rsid w:val="00627751"/>
    <w:rsid w:val="0062787A"/>
    <w:rsid w:val="00627F2F"/>
    <w:rsid w:val="006306E2"/>
    <w:rsid w:val="00630794"/>
    <w:rsid w:val="00630BCB"/>
    <w:rsid w:val="00631DF4"/>
    <w:rsid w:val="00633306"/>
    <w:rsid w:val="00633564"/>
    <w:rsid w:val="00633F45"/>
    <w:rsid w:val="00633FC7"/>
    <w:rsid w:val="00634175"/>
    <w:rsid w:val="00635C59"/>
    <w:rsid w:val="006364FA"/>
    <w:rsid w:val="00636EE3"/>
    <w:rsid w:val="00636EEC"/>
    <w:rsid w:val="00636FB3"/>
    <w:rsid w:val="00637BAB"/>
    <w:rsid w:val="006408AC"/>
    <w:rsid w:val="00641320"/>
    <w:rsid w:val="006413D1"/>
    <w:rsid w:val="00641FB9"/>
    <w:rsid w:val="006429AF"/>
    <w:rsid w:val="00643685"/>
    <w:rsid w:val="00643BF6"/>
    <w:rsid w:val="0064411C"/>
    <w:rsid w:val="00646444"/>
    <w:rsid w:val="00646780"/>
    <w:rsid w:val="00647103"/>
    <w:rsid w:val="00647175"/>
    <w:rsid w:val="00647748"/>
    <w:rsid w:val="0064790F"/>
    <w:rsid w:val="00650165"/>
    <w:rsid w:val="006504E7"/>
    <w:rsid w:val="006511B6"/>
    <w:rsid w:val="006516DB"/>
    <w:rsid w:val="00651E4C"/>
    <w:rsid w:val="00652650"/>
    <w:rsid w:val="006527B1"/>
    <w:rsid w:val="0065302D"/>
    <w:rsid w:val="00653D88"/>
    <w:rsid w:val="00653DE1"/>
    <w:rsid w:val="00654D95"/>
    <w:rsid w:val="00654E58"/>
    <w:rsid w:val="00655785"/>
    <w:rsid w:val="00656ABF"/>
    <w:rsid w:val="0065700A"/>
    <w:rsid w:val="0065760B"/>
    <w:rsid w:val="00657973"/>
    <w:rsid w:val="00657F4A"/>
    <w:rsid w:val="00657FF8"/>
    <w:rsid w:val="0066229C"/>
    <w:rsid w:val="0066242B"/>
    <w:rsid w:val="0066279D"/>
    <w:rsid w:val="00662EFE"/>
    <w:rsid w:val="006633B2"/>
    <w:rsid w:val="00663D1B"/>
    <w:rsid w:val="00664970"/>
    <w:rsid w:val="00664FD0"/>
    <w:rsid w:val="006656EF"/>
    <w:rsid w:val="0066596A"/>
    <w:rsid w:val="00667374"/>
    <w:rsid w:val="00667C1B"/>
    <w:rsid w:val="00670C68"/>
    <w:rsid w:val="00670D99"/>
    <w:rsid w:val="00670E2B"/>
    <w:rsid w:val="00671593"/>
    <w:rsid w:val="0067270D"/>
    <w:rsid w:val="00672F0B"/>
    <w:rsid w:val="006734BB"/>
    <w:rsid w:val="006742BE"/>
    <w:rsid w:val="0067494D"/>
    <w:rsid w:val="006757AD"/>
    <w:rsid w:val="00675CE7"/>
    <w:rsid w:val="00675D91"/>
    <w:rsid w:val="00676507"/>
    <w:rsid w:val="00676935"/>
    <w:rsid w:val="0067697A"/>
    <w:rsid w:val="00676CF0"/>
    <w:rsid w:val="0067722F"/>
    <w:rsid w:val="0067777C"/>
    <w:rsid w:val="0067787C"/>
    <w:rsid w:val="00677ACC"/>
    <w:rsid w:val="00680175"/>
    <w:rsid w:val="0068088E"/>
    <w:rsid w:val="00680946"/>
    <w:rsid w:val="006812AA"/>
    <w:rsid w:val="00681304"/>
    <w:rsid w:val="0068134A"/>
    <w:rsid w:val="006815D0"/>
    <w:rsid w:val="00681685"/>
    <w:rsid w:val="0068169A"/>
    <w:rsid w:val="00681854"/>
    <w:rsid w:val="006821EB"/>
    <w:rsid w:val="006822FA"/>
    <w:rsid w:val="00682900"/>
    <w:rsid w:val="0068374C"/>
    <w:rsid w:val="00684725"/>
    <w:rsid w:val="006850F8"/>
    <w:rsid w:val="006861C4"/>
    <w:rsid w:val="00686911"/>
    <w:rsid w:val="006872B2"/>
    <w:rsid w:val="0069160C"/>
    <w:rsid w:val="00692150"/>
    <w:rsid w:val="00692FDE"/>
    <w:rsid w:val="006932E3"/>
    <w:rsid w:val="006940D6"/>
    <w:rsid w:val="0069447E"/>
    <w:rsid w:val="006950F7"/>
    <w:rsid w:val="006956FD"/>
    <w:rsid w:val="0069693E"/>
    <w:rsid w:val="00696E6B"/>
    <w:rsid w:val="00696FDD"/>
    <w:rsid w:val="00697144"/>
    <w:rsid w:val="00697CBE"/>
    <w:rsid w:val="006A0075"/>
    <w:rsid w:val="006A041B"/>
    <w:rsid w:val="006A060A"/>
    <w:rsid w:val="006A11EB"/>
    <w:rsid w:val="006A136F"/>
    <w:rsid w:val="006A18CD"/>
    <w:rsid w:val="006A18F0"/>
    <w:rsid w:val="006A2436"/>
    <w:rsid w:val="006A3006"/>
    <w:rsid w:val="006A4040"/>
    <w:rsid w:val="006A687B"/>
    <w:rsid w:val="006A700B"/>
    <w:rsid w:val="006A7C71"/>
    <w:rsid w:val="006B0733"/>
    <w:rsid w:val="006B0B91"/>
    <w:rsid w:val="006B124D"/>
    <w:rsid w:val="006B1AFF"/>
    <w:rsid w:val="006B216A"/>
    <w:rsid w:val="006B2286"/>
    <w:rsid w:val="006B23D8"/>
    <w:rsid w:val="006B4349"/>
    <w:rsid w:val="006B461C"/>
    <w:rsid w:val="006B49C9"/>
    <w:rsid w:val="006B56BB"/>
    <w:rsid w:val="006B5733"/>
    <w:rsid w:val="006B601B"/>
    <w:rsid w:val="006B647D"/>
    <w:rsid w:val="006B6D6C"/>
    <w:rsid w:val="006B74C8"/>
    <w:rsid w:val="006C09B0"/>
    <w:rsid w:val="006C1950"/>
    <w:rsid w:val="006C1C41"/>
    <w:rsid w:val="006C1D37"/>
    <w:rsid w:val="006C1E82"/>
    <w:rsid w:val="006C2A47"/>
    <w:rsid w:val="006C2AAC"/>
    <w:rsid w:val="006C2BD4"/>
    <w:rsid w:val="006C35D3"/>
    <w:rsid w:val="006C3900"/>
    <w:rsid w:val="006C3B0B"/>
    <w:rsid w:val="006C3E0B"/>
    <w:rsid w:val="006C450D"/>
    <w:rsid w:val="006C5280"/>
    <w:rsid w:val="006C5485"/>
    <w:rsid w:val="006C5C8D"/>
    <w:rsid w:val="006C6B8E"/>
    <w:rsid w:val="006C7212"/>
    <w:rsid w:val="006C7531"/>
    <w:rsid w:val="006C77A8"/>
    <w:rsid w:val="006C791F"/>
    <w:rsid w:val="006C7FF6"/>
    <w:rsid w:val="006D0BD8"/>
    <w:rsid w:val="006D0EDE"/>
    <w:rsid w:val="006D0FDF"/>
    <w:rsid w:val="006D124C"/>
    <w:rsid w:val="006D21CA"/>
    <w:rsid w:val="006D264C"/>
    <w:rsid w:val="006D2862"/>
    <w:rsid w:val="006D2F1E"/>
    <w:rsid w:val="006D4098"/>
    <w:rsid w:val="006D430D"/>
    <w:rsid w:val="006D4450"/>
    <w:rsid w:val="006D5DF1"/>
    <w:rsid w:val="006D6696"/>
    <w:rsid w:val="006D6B02"/>
    <w:rsid w:val="006D6DFE"/>
    <w:rsid w:val="006D7681"/>
    <w:rsid w:val="006D7B2E"/>
    <w:rsid w:val="006E02EA"/>
    <w:rsid w:val="006E0968"/>
    <w:rsid w:val="006E1D99"/>
    <w:rsid w:val="006E2499"/>
    <w:rsid w:val="006E2AF6"/>
    <w:rsid w:val="006E3B26"/>
    <w:rsid w:val="006E4CAB"/>
    <w:rsid w:val="006E50B2"/>
    <w:rsid w:val="006E5DA7"/>
    <w:rsid w:val="006E66B1"/>
    <w:rsid w:val="006E6838"/>
    <w:rsid w:val="006E6D5B"/>
    <w:rsid w:val="006E7050"/>
    <w:rsid w:val="006F00EB"/>
    <w:rsid w:val="006F0796"/>
    <w:rsid w:val="006F07A4"/>
    <w:rsid w:val="006F15DB"/>
    <w:rsid w:val="006F16BC"/>
    <w:rsid w:val="006F1ECD"/>
    <w:rsid w:val="006F1F07"/>
    <w:rsid w:val="006F2211"/>
    <w:rsid w:val="006F29B3"/>
    <w:rsid w:val="006F31B2"/>
    <w:rsid w:val="006F3636"/>
    <w:rsid w:val="006F3A1C"/>
    <w:rsid w:val="006F3F85"/>
    <w:rsid w:val="006F526C"/>
    <w:rsid w:val="006F5692"/>
    <w:rsid w:val="006F5C72"/>
    <w:rsid w:val="006F68D3"/>
    <w:rsid w:val="006F6B3E"/>
    <w:rsid w:val="006F72EF"/>
    <w:rsid w:val="006F7AFE"/>
    <w:rsid w:val="006F7BAA"/>
    <w:rsid w:val="007000DB"/>
    <w:rsid w:val="007002CC"/>
    <w:rsid w:val="00700711"/>
    <w:rsid w:val="0070086C"/>
    <w:rsid w:val="00700C03"/>
    <w:rsid w:val="0070110D"/>
    <w:rsid w:val="00701275"/>
    <w:rsid w:val="0070267B"/>
    <w:rsid w:val="0070297F"/>
    <w:rsid w:val="007030EE"/>
    <w:rsid w:val="007036C2"/>
    <w:rsid w:val="007053CA"/>
    <w:rsid w:val="007054FC"/>
    <w:rsid w:val="00705F77"/>
    <w:rsid w:val="007067D9"/>
    <w:rsid w:val="00706B83"/>
    <w:rsid w:val="0070796E"/>
    <w:rsid w:val="00707DB9"/>
    <w:rsid w:val="00707F56"/>
    <w:rsid w:val="00710CF1"/>
    <w:rsid w:val="00710E09"/>
    <w:rsid w:val="00711757"/>
    <w:rsid w:val="007129B4"/>
    <w:rsid w:val="00712A60"/>
    <w:rsid w:val="00712AE7"/>
    <w:rsid w:val="00712F39"/>
    <w:rsid w:val="00713024"/>
    <w:rsid w:val="00713558"/>
    <w:rsid w:val="00713E88"/>
    <w:rsid w:val="007144A7"/>
    <w:rsid w:val="00714B31"/>
    <w:rsid w:val="00714D90"/>
    <w:rsid w:val="007153F3"/>
    <w:rsid w:val="00715EB2"/>
    <w:rsid w:val="0071630F"/>
    <w:rsid w:val="00720200"/>
    <w:rsid w:val="00720D08"/>
    <w:rsid w:val="00722AA1"/>
    <w:rsid w:val="007230B7"/>
    <w:rsid w:val="0072351C"/>
    <w:rsid w:val="007236BF"/>
    <w:rsid w:val="00724B32"/>
    <w:rsid w:val="00724BE9"/>
    <w:rsid w:val="00725062"/>
    <w:rsid w:val="007250F0"/>
    <w:rsid w:val="007258F9"/>
    <w:rsid w:val="007263B9"/>
    <w:rsid w:val="00726BC4"/>
    <w:rsid w:val="007273EE"/>
    <w:rsid w:val="00730E51"/>
    <w:rsid w:val="007315FA"/>
    <w:rsid w:val="0073188A"/>
    <w:rsid w:val="00732792"/>
    <w:rsid w:val="007334F8"/>
    <w:rsid w:val="00733866"/>
    <w:rsid w:val="007339CD"/>
    <w:rsid w:val="00733FED"/>
    <w:rsid w:val="0073444F"/>
    <w:rsid w:val="00735284"/>
    <w:rsid w:val="007354D1"/>
    <w:rsid w:val="007358DE"/>
    <w:rsid w:val="007359D8"/>
    <w:rsid w:val="007362D4"/>
    <w:rsid w:val="007369B2"/>
    <w:rsid w:val="00736EB2"/>
    <w:rsid w:val="007375FA"/>
    <w:rsid w:val="00737AE4"/>
    <w:rsid w:val="00740567"/>
    <w:rsid w:val="007409E7"/>
    <w:rsid w:val="007411B3"/>
    <w:rsid w:val="00741A2E"/>
    <w:rsid w:val="00741B74"/>
    <w:rsid w:val="00741D89"/>
    <w:rsid w:val="00741EBC"/>
    <w:rsid w:val="00742C87"/>
    <w:rsid w:val="007436E9"/>
    <w:rsid w:val="007439EB"/>
    <w:rsid w:val="007440FF"/>
    <w:rsid w:val="007446B3"/>
    <w:rsid w:val="0074476A"/>
    <w:rsid w:val="007447E3"/>
    <w:rsid w:val="007458E2"/>
    <w:rsid w:val="00745AB4"/>
    <w:rsid w:val="00745C32"/>
    <w:rsid w:val="00745E29"/>
    <w:rsid w:val="007460DF"/>
    <w:rsid w:val="00746216"/>
    <w:rsid w:val="007464EE"/>
    <w:rsid w:val="0074653A"/>
    <w:rsid w:val="00746680"/>
    <w:rsid w:val="00747627"/>
    <w:rsid w:val="00747911"/>
    <w:rsid w:val="00747BBC"/>
    <w:rsid w:val="00750259"/>
    <w:rsid w:val="00750C49"/>
    <w:rsid w:val="00750C86"/>
    <w:rsid w:val="00750D01"/>
    <w:rsid w:val="00752538"/>
    <w:rsid w:val="0075258A"/>
    <w:rsid w:val="00752A71"/>
    <w:rsid w:val="00752B13"/>
    <w:rsid w:val="00752CCC"/>
    <w:rsid w:val="007530AA"/>
    <w:rsid w:val="0075314E"/>
    <w:rsid w:val="0075324C"/>
    <w:rsid w:val="00753F14"/>
    <w:rsid w:val="00754051"/>
    <w:rsid w:val="007543BE"/>
    <w:rsid w:val="007547A5"/>
    <w:rsid w:val="00754DE5"/>
    <w:rsid w:val="00756087"/>
    <w:rsid w:val="00756502"/>
    <w:rsid w:val="00756C0B"/>
    <w:rsid w:val="00757403"/>
    <w:rsid w:val="00757683"/>
    <w:rsid w:val="007579D8"/>
    <w:rsid w:val="00757C2C"/>
    <w:rsid w:val="007601F5"/>
    <w:rsid w:val="007603C0"/>
    <w:rsid w:val="0076071E"/>
    <w:rsid w:val="00760F7F"/>
    <w:rsid w:val="00760F8E"/>
    <w:rsid w:val="00761FEF"/>
    <w:rsid w:val="007620DD"/>
    <w:rsid w:val="007621C2"/>
    <w:rsid w:val="0076222E"/>
    <w:rsid w:val="007625C6"/>
    <w:rsid w:val="0076348C"/>
    <w:rsid w:val="0076354D"/>
    <w:rsid w:val="0076403D"/>
    <w:rsid w:val="007651DF"/>
    <w:rsid w:val="00765C72"/>
    <w:rsid w:val="0076654A"/>
    <w:rsid w:val="0076672A"/>
    <w:rsid w:val="00766B8D"/>
    <w:rsid w:val="00766D10"/>
    <w:rsid w:val="007679A5"/>
    <w:rsid w:val="00770084"/>
    <w:rsid w:val="00770308"/>
    <w:rsid w:val="00770E61"/>
    <w:rsid w:val="00771084"/>
    <w:rsid w:val="007711A1"/>
    <w:rsid w:val="00772FE1"/>
    <w:rsid w:val="00773124"/>
    <w:rsid w:val="00773602"/>
    <w:rsid w:val="00773A65"/>
    <w:rsid w:val="00774186"/>
    <w:rsid w:val="007745BA"/>
    <w:rsid w:val="007748E8"/>
    <w:rsid w:val="00775730"/>
    <w:rsid w:val="00775E2C"/>
    <w:rsid w:val="00775E45"/>
    <w:rsid w:val="00775F1C"/>
    <w:rsid w:val="007769BF"/>
    <w:rsid w:val="00776E74"/>
    <w:rsid w:val="00777661"/>
    <w:rsid w:val="00777B71"/>
    <w:rsid w:val="00777DB2"/>
    <w:rsid w:val="0078065A"/>
    <w:rsid w:val="007807B9"/>
    <w:rsid w:val="007814C0"/>
    <w:rsid w:val="007817A8"/>
    <w:rsid w:val="007817F9"/>
    <w:rsid w:val="0078221E"/>
    <w:rsid w:val="00782E2C"/>
    <w:rsid w:val="007834D0"/>
    <w:rsid w:val="00784744"/>
    <w:rsid w:val="00784868"/>
    <w:rsid w:val="00784A04"/>
    <w:rsid w:val="007850F5"/>
    <w:rsid w:val="00785169"/>
    <w:rsid w:val="00785525"/>
    <w:rsid w:val="00785E4B"/>
    <w:rsid w:val="00787EB3"/>
    <w:rsid w:val="007903AD"/>
    <w:rsid w:val="007903F7"/>
    <w:rsid w:val="00790B32"/>
    <w:rsid w:val="00791492"/>
    <w:rsid w:val="00791C80"/>
    <w:rsid w:val="00791EA0"/>
    <w:rsid w:val="0079300D"/>
    <w:rsid w:val="0079335D"/>
    <w:rsid w:val="007935BC"/>
    <w:rsid w:val="007939FB"/>
    <w:rsid w:val="00793C67"/>
    <w:rsid w:val="007954AB"/>
    <w:rsid w:val="00796574"/>
    <w:rsid w:val="00796C7A"/>
    <w:rsid w:val="00796CF4"/>
    <w:rsid w:val="00796F7C"/>
    <w:rsid w:val="00797598"/>
    <w:rsid w:val="0079770A"/>
    <w:rsid w:val="00797B1D"/>
    <w:rsid w:val="00797FF8"/>
    <w:rsid w:val="007A0203"/>
    <w:rsid w:val="007A026B"/>
    <w:rsid w:val="007A048D"/>
    <w:rsid w:val="007A065F"/>
    <w:rsid w:val="007A0A6A"/>
    <w:rsid w:val="007A14C5"/>
    <w:rsid w:val="007A1751"/>
    <w:rsid w:val="007A3239"/>
    <w:rsid w:val="007A4016"/>
    <w:rsid w:val="007A4A10"/>
    <w:rsid w:val="007A4A3C"/>
    <w:rsid w:val="007A4B9E"/>
    <w:rsid w:val="007A5A17"/>
    <w:rsid w:val="007A5F61"/>
    <w:rsid w:val="007A6172"/>
    <w:rsid w:val="007A624A"/>
    <w:rsid w:val="007A63B0"/>
    <w:rsid w:val="007A65A5"/>
    <w:rsid w:val="007A6CC8"/>
    <w:rsid w:val="007A70AC"/>
    <w:rsid w:val="007A771E"/>
    <w:rsid w:val="007B07E9"/>
    <w:rsid w:val="007B0948"/>
    <w:rsid w:val="007B09D4"/>
    <w:rsid w:val="007B0A44"/>
    <w:rsid w:val="007B0ACE"/>
    <w:rsid w:val="007B0CA3"/>
    <w:rsid w:val="007B0D94"/>
    <w:rsid w:val="007B0E61"/>
    <w:rsid w:val="007B1760"/>
    <w:rsid w:val="007B2F9D"/>
    <w:rsid w:val="007B34B0"/>
    <w:rsid w:val="007B43B9"/>
    <w:rsid w:val="007B4A09"/>
    <w:rsid w:val="007B4CD6"/>
    <w:rsid w:val="007B5023"/>
    <w:rsid w:val="007B5061"/>
    <w:rsid w:val="007B582D"/>
    <w:rsid w:val="007B606A"/>
    <w:rsid w:val="007B635A"/>
    <w:rsid w:val="007B63BB"/>
    <w:rsid w:val="007B651E"/>
    <w:rsid w:val="007B6F58"/>
    <w:rsid w:val="007B71B8"/>
    <w:rsid w:val="007B7261"/>
    <w:rsid w:val="007B7784"/>
    <w:rsid w:val="007B7A5D"/>
    <w:rsid w:val="007B7D66"/>
    <w:rsid w:val="007C02E5"/>
    <w:rsid w:val="007C0454"/>
    <w:rsid w:val="007C08DA"/>
    <w:rsid w:val="007C0D26"/>
    <w:rsid w:val="007C113E"/>
    <w:rsid w:val="007C179D"/>
    <w:rsid w:val="007C1FDC"/>
    <w:rsid w:val="007C20BA"/>
    <w:rsid w:val="007C231F"/>
    <w:rsid w:val="007C266A"/>
    <w:rsid w:val="007C27D6"/>
    <w:rsid w:val="007C2ECF"/>
    <w:rsid w:val="007C3020"/>
    <w:rsid w:val="007C47CC"/>
    <w:rsid w:val="007C4B3C"/>
    <w:rsid w:val="007C4B80"/>
    <w:rsid w:val="007C4EAE"/>
    <w:rsid w:val="007C5CB2"/>
    <w:rsid w:val="007C61DA"/>
    <w:rsid w:val="007C6819"/>
    <w:rsid w:val="007C6D9C"/>
    <w:rsid w:val="007C7830"/>
    <w:rsid w:val="007C7DDB"/>
    <w:rsid w:val="007D0007"/>
    <w:rsid w:val="007D05B7"/>
    <w:rsid w:val="007D1807"/>
    <w:rsid w:val="007D2AAA"/>
    <w:rsid w:val="007D2B2D"/>
    <w:rsid w:val="007D2C0F"/>
    <w:rsid w:val="007D2CC7"/>
    <w:rsid w:val="007D2E13"/>
    <w:rsid w:val="007D3CF2"/>
    <w:rsid w:val="007D45E3"/>
    <w:rsid w:val="007D472B"/>
    <w:rsid w:val="007D4A76"/>
    <w:rsid w:val="007D4A9D"/>
    <w:rsid w:val="007D508D"/>
    <w:rsid w:val="007D55AF"/>
    <w:rsid w:val="007D673D"/>
    <w:rsid w:val="007D7344"/>
    <w:rsid w:val="007D7963"/>
    <w:rsid w:val="007E032D"/>
    <w:rsid w:val="007E08E1"/>
    <w:rsid w:val="007E33BA"/>
    <w:rsid w:val="007E417B"/>
    <w:rsid w:val="007E44BD"/>
    <w:rsid w:val="007E4D09"/>
    <w:rsid w:val="007E4EE5"/>
    <w:rsid w:val="007E5278"/>
    <w:rsid w:val="007E5C97"/>
    <w:rsid w:val="007E6108"/>
    <w:rsid w:val="007E64CA"/>
    <w:rsid w:val="007E6C07"/>
    <w:rsid w:val="007E7F31"/>
    <w:rsid w:val="007F0E36"/>
    <w:rsid w:val="007F1AA7"/>
    <w:rsid w:val="007F21F0"/>
    <w:rsid w:val="007F2220"/>
    <w:rsid w:val="007F24B5"/>
    <w:rsid w:val="007F288B"/>
    <w:rsid w:val="007F2B4D"/>
    <w:rsid w:val="007F2C8D"/>
    <w:rsid w:val="007F3336"/>
    <w:rsid w:val="007F3E9D"/>
    <w:rsid w:val="007F4B3E"/>
    <w:rsid w:val="007F5537"/>
    <w:rsid w:val="007F56F2"/>
    <w:rsid w:val="007F64C0"/>
    <w:rsid w:val="007F66F9"/>
    <w:rsid w:val="007F6803"/>
    <w:rsid w:val="007F72D7"/>
    <w:rsid w:val="0080019D"/>
    <w:rsid w:val="008002F8"/>
    <w:rsid w:val="00800590"/>
    <w:rsid w:val="00800A55"/>
    <w:rsid w:val="00801177"/>
    <w:rsid w:val="00801DD5"/>
    <w:rsid w:val="00801FCB"/>
    <w:rsid w:val="0080237C"/>
    <w:rsid w:val="00803037"/>
    <w:rsid w:val="008032A0"/>
    <w:rsid w:val="008033F3"/>
    <w:rsid w:val="0080366A"/>
    <w:rsid w:val="0080370D"/>
    <w:rsid w:val="008037ED"/>
    <w:rsid w:val="0080388B"/>
    <w:rsid w:val="0080452D"/>
    <w:rsid w:val="008046CC"/>
    <w:rsid w:val="00804E02"/>
    <w:rsid w:val="008057FE"/>
    <w:rsid w:val="00805F33"/>
    <w:rsid w:val="00806759"/>
    <w:rsid w:val="00806D78"/>
    <w:rsid w:val="00807B35"/>
    <w:rsid w:val="008100C1"/>
    <w:rsid w:val="00810857"/>
    <w:rsid w:val="008115B0"/>
    <w:rsid w:val="00811A44"/>
    <w:rsid w:val="00811C48"/>
    <w:rsid w:val="008124E8"/>
    <w:rsid w:val="008127AF"/>
    <w:rsid w:val="00812B46"/>
    <w:rsid w:val="0081317E"/>
    <w:rsid w:val="00813B6C"/>
    <w:rsid w:val="008146D3"/>
    <w:rsid w:val="0081486B"/>
    <w:rsid w:val="00815344"/>
    <w:rsid w:val="00815700"/>
    <w:rsid w:val="00816200"/>
    <w:rsid w:val="008162CC"/>
    <w:rsid w:val="00816923"/>
    <w:rsid w:val="0081748E"/>
    <w:rsid w:val="008175AD"/>
    <w:rsid w:val="00817718"/>
    <w:rsid w:val="0081787E"/>
    <w:rsid w:val="00817B7D"/>
    <w:rsid w:val="008201B9"/>
    <w:rsid w:val="00820840"/>
    <w:rsid w:val="00820E15"/>
    <w:rsid w:val="00820FC0"/>
    <w:rsid w:val="008220A9"/>
    <w:rsid w:val="0082212E"/>
    <w:rsid w:val="008224A9"/>
    <w:rsid w:val="0082257C"/>
    <w:rsid w:val="008226A1"/>
    <w:rsid w:val="0082299F"/>
    <w:rsid w:val="008247D5"/>
    <w:rsid w:val="008248B5"/>
    <w:rsid w:val="00825100"/>
    <w:rsid w:val="008257AA"/>
    <w:rsid w:val="00825AFA"/>
    <w:rsid w:val="00826151"/>
    <w:rsid w:val="0082630D"/>
    <w:rsid w:val="008264EB"/>
    <w:rsid w:val="00826728"/>
    <w:rsid w:val="00826B8F"/>
    <w:rsid w:val="00826C8A"/>
    <w:rsid w:val="008304BB"/>
    <w:rsid w:val="00830783"/>
    <w:rsid w:val="00830FD6"/>
    <w:rsid w:val="00831027"/>
    <w:rsid w:val="008318F6"/>
    <w:rsid w:val="00831E8A"/>
    <w:rsid w:val="00832166"/>
    <w:rsid w:val="00833CFB"/>
    <w:rsid w:val="00833DF9"/>
    <w:rsid w:val="00834248"/>
    <w:rsid w:val="008343AB"/>
    <w:rsid w:val="00834496"/>
    <w:rsid w:val="00835C25"/>
    <w:rsid w:val="00835C76"/>
    <w:rsid w:val="0083669F"/>
    <w:rsid w:val="00836FCC"/>
    <w:rsid w:val="008376E2"/>
    <w:rsid w:val="00837FAC"/>
    <w:rsid w:val="00840DFB"/>
    <w:rsid w:val="00841AED"/>
    <w:rsid w:val="008420E3"/>
    <w:rsid w:val="0084264C"/>
    <w:rsid w:val="00842F72"/>
    <w:rsid w:val="00842FC5"/>
    <w:rsid w:val="00843049"/>
    <w:rsid w:val="00844515"/>
    <w:rsid w:val="00844594"/>
    <w:rsid w:val="0084500B"/>
    <w:rsid w:val="00845107"/>
    <w:rsid w:val="00845711"/>
    <w:rsid w:val="00845B56"/>
    <w:rsid w:val="00845E08"/>
    <w:rsid w:val="008462F9"/>
    <w:rsid w:val="00846940"/>
    <w:rsid w:val="00846FAF"/>
    <w:rsid w:val="008476E1"/>
    <w:rsid w:val="00850840"/>
    <w:rsid w:val="00850ABD"/>
    <w:rsid w:val="00850FB1"/>
    <w:rsid w:val="0085209B"/>
    <w:rsid w:val="00855DB9"/>
    <w:rsid w:val="00855E92"/>
    <w:rsid w:val="0085604C"/>
    <w:rsid w:val="008566C4"/>
    <w:rsid w:val="00856A89"/>
    <w:rsid w:val="00856B66"/>
    <w:rsid w:val="008576AC"/>
    <w:rsid w:val="00857CD0"/>
    <w:rsid w:val="00857E84"/>
    <w:rsid w:val="008601AC"/>
    <w:rsid w:val="008607B5"/>
    <w:rsid w:val="008610CE"/>
    <w:rsid w:val="00861A5F"/>
    <w:rsid w:val="00862730"/>
    <w:rsid w:val="0086397A"/>
    <w:rsid w:val="00863B11"/>
    <w:rsid w:val="00863CF6"/>
    <w:rsid w:val="00863DB9"/>
    <w:rsid w:val="008642E3"/>
    <w:rsid w:val="00864373"/>
    <w:rsid w:val="008644AD"/>
    <w:rsid w:val="008647A5"/>
    <w:rsid w:val="00864BDD"/>
    <w:rsid w:val="00864C68"/>
    <w:rsid w:val="00865735"/>
    <w:rsid w:val="00865DDB"/>
    <w:rsid w:val="00865EAC"/>
    <w:rsid w:val="00866447"/>
    <w:rsid w:val="008664FB"/>
    <w:rsid w:val="00867538"/>
    <w:rsid w:val="008700A3"/>
    <w:rsid w:val="008716A4"/>
    <w:rsid w:val="00872E1A"/>
    <w:rsid w:val="00873614"/>
    <w:rsid w:val="00873D90"/>
    <w:rsid w:val="00873FC8"/>
    <w:rsid w:val="00874A0C"/>
    <w:rsid w:val="00874CDF"/>
    <w:rsid w:val="008750D5"/>
    <w:rsid w:val="00876E37"/>
    <w:rsid w:val="00877511"/>
    <w:rsid w:val="008775AC"/>
    <w:rsid w:val="0088020F"/>
    <w:rsid w:val="00880F87"/>
    <w:rsid w:val="00881597"/>
    <w:rsid w:val="0088187F"/>
    <w:rsid w:val="00881F7A"/>
    <w:rsid w:val="00882DB9"/>
    <w:rsid w:val="00883049"/>
    <w:rsid w:val="0088373E"/>
    <w:rsid w:val="00883C1C"/>
    <w:rsid w:val="00884C63"/>
    <w:rsid w:val="00885029"/>
    <w:rsid w:val="00885908"/>
    <w:rsid w:val="008864B7"/>
    <w:rsid w:val="008864E0"/>
    <w:rsid w:val="00886C05"/>
    <w:rsid w:val="00886C50"/>
    <w:rsid w:val="00886F19"/>
    <w:rsid w:val="00887699"/>
    <w:rsid w:val="00887D71"/>
    <w:rsid w:val="00891183"/>
    <w:rsid w:val="00891E8A"/>
    <w:rsid w:val="00892034"/>
    <w:rsid w:val="00892A7B"/>
    <w:rsid w:val="008935FF"/>
    <w:rsid w:val="00893C3C"/>
    <w:rsid w:val="00894C86"/>
    <w:rsid w:val="00895676"/>
    <w:rsid w:val="00895726"/>
    <w:rsid w:val="00895AE7"/>
    <w:rsid w:val="00896132"/>
    <w:rsid w:val="0089677E"/>
    <w:rsid w:val="0089744B"/>
    <w:rsid w:val="008A0EFE"/>
    <w:rsid w:val="008A0F79"/>
    <w:rsid w:val="008A381C"/>
    <w:rsid w:val="008A49E7"/>
    <w:rsid w:val="008A4B9C"/>
    <w:rsid w:val="008A539D"/>
    <w:rsid w:val="008A5464"/>
    <w:rsid w:val="008A55EE"/>
    <w:rsid w:val="008A5F42"/>
    <w:rsid w:val="008A608F"/>
    <w:rsid w:val="008A7438"/>
    <w:rsid w:val="008A7D37"/>
    <w:rsid w:val="008B09BD"/>
    <w:rsid w:val="008B0D42"/>
    <w:rsid w:val="008B1334"/>
    <w:rsid w:val="008B250E"/>
    <w:rsid w:val="008B25C7"/>
    <w:rsid w:val="008B2637"/>
    <w:rsid w:val="008B26B7"/>
    <w:rsid w:val="008B362E"/>
    <w:rsid w:val="008B3F47"/>
    <w:rsid w:val="008B4B5B"/>
    <w:rsid w:val="008B4C29"/>
    <w:rsid w:val="008B50C5"/>
    <w:rsid w:val="008B51F0"/>
    <w:rsid w:val="008B55A8"/>
    <w:rsid w:val="008B55C7"/>
    <w:rsid w:val="008B6855"/>
    <w:rsid w:val="008B6D14"/>
    <w:rsid w:val="008B7A5E"/>
    <w:rsid w:val="008B7D7C"/>
    <w:rsid w:val="008C0278"/>
    <w:rsid w:val="008C059B"/>
    <w:rsid w:val="008C0602"/>
    <w:rsid w:val="008C09D5"/>
    <w:rsid w:val="008C1E8E"/>
    <w:rsid w:val="008C1F2B"/>
    <w:rsid w:val="008C213A"/>
    <w:rsid w:val="008C227F"/>
    <w:rsid w:val="008C24E9"/>
    <w:rsid w:val="008C26E5"/>
    <w:rsid w:val="008C458D"/>
    <w:rsid w:val="008C47A3"/>
    <w:rsid w:val="008C48A0"/>
    <w:rsid w:val="008C4A07"/>
    <w:rsid w:val="008C5DA1"/>
    <w:rsid w:val="008C67E4"/>
    <w:rsid w:val="008C741C"/>
    <w:rsid w:val="008C775C"/>
    <w:rsid w:val="008D0533"/>
    <w:rsid w:val="008D0715"/>
    <w:rsid w:val="008D0A55"/>
    <w:rsid w:val="008D26C3"/>
    <w:rsid w:val="008D26EE"/>
    <w:rsid w:val="008D2C79"/>
    <w:rsid w:val="008D3608"/>
    <w:rsid w:val="008D37B6"/>
    <w:rsid w:val="008D42CB"/>
    <w:rsid w:val="008D4601"/>
    <w:rsid w:val="008D48C9"/>
    <w:rsid w:val="008D5236"/>
    <w:rsid w:val="008D5F67"/>
    <w:rsid w:val="008D614E"/>
    <w:rsid w:val="008D6381"/>
    <w:rsid w:val="008D6F66"/>
    <w:rsid w:val="008D72A6"/>
    <w:rsid w:val="008D748C"/>
    <w:rsid w:val="008E0240"/>
    <w:rsid w:val="008E06DC"/>
    <w:rsid w:val="008E0C77"/>
    <w:rsid w:val="008E1439"/>
    <w:rsid w:val="008E15B0"/>
    <w:rsid w:val="008E16CC"/>
    <w:rsid w:val="008E210C"/>
    <w:rsid w:val="008E21EF"/>
    <w:rsid w:val="008E2237"/>
    <w:rsid w:val="008E3CB4"/>
    <w:rsid w:val="008E4062"/>
    <w:rsid w:val="008E4BCA"/>
    <w:rsid w:val="008E4EA9"/>
    <w:rsid w:val="008E5C1B"/>
    <w:rsid w:val="008E5C8E"/>
    <w:rsid w:val="008E625F"/>
    <w:rsid w:val="008E65CE"/>
    <w:rsid w:val="008E722F"/>
    <w:rsid w:val="008E7912"/>
    <w:rsid w:val="008F0632"/>
    <w:rsid w:val="008F1EF4"/>
    <w:rsid w:val="008F1F05"/>
    <w:rsid w:val="008F264D"/>
    <w:rsid w:val="008F2BE2"/>
    <w:rsid w:val="008F3489"/>
    <w:rsid w:val="008F406F"/>
    <w:rsid w:val="008F4720"/>
    <w:rsid w:val="008F4D8F"/>
    <w:rsid w:val="008F4E15"/>
    <w:rsid w:val="008F4FCF"/>
    <w:rsid w:val="008F5119"/>
    <w:rsid w:val="008F55EF"/>
    <w:rsid w:val="008F6CB0"/>
    <w:rsid w:val="008F7845"/>
    <w:rsid w:val="009002AF"/>
    <w:rsid w:val="009015A7"/>
    <w:rsid w:val="00901ACE"/>
    <w:rsid w:val="00902806"/>
    <w:rsid w:val="00902DEC"/>
    <w:rsid w:val="00903330"/>
    <w:rsid w:val="0090340A"/>
    <w:rsid w:val="00903D08"/>
    <w:rsid w:val="009040E9"/>
    <w:rsid w:val="00905098"/>
    <w:rsid w:val="009054AC"/>
    <w:rsid w:val="00905680"/>
    <w:rsid w:val="0090628C"/>
    <w:rsid w:val="0090653A"/>
    <w:rsid w:val="00906D48"/>
    <w:rsid w:val="00906FD9"/>
    <w:rsid w:val="00907301"/>
    <w:rsid w:val="009074E1"/>
    <w:rsid w:val="0090756C"/>
    <w:rsid w:val="00907CA5"/>
    <w:rsid w:val="00911081"/>
    <w:rsid w:val="009112F7"/>
    <w:rsid w:val="00911945"/>
    <w:rsid w:val="00911E10"/>
    <w:rsid w:val="00912065"/>
    <w:rsid w:val="009122AF"/>
    <w:rsid w:val="00912D54"/>
    <w:rsid w:val="00912F21"/>
    <w:rsid w:val="00913248"/>
    <w:rsid w:val="009133D8"/>
    <w:rsid w:val="009133F6"/>
    <w:rsid w:val="00913699"/>
    <w:rsid w:val="00913842"/>
    <w:rsid w:val="0091389F"/>
    <w:rsid w:val="009142D5"/>
    <w:rsid w:val="009148C8"/>
    <w:rsid w:val="00914D83"/>
    <w:rsid w:val="00914DD9"/>
    <w:rsid w:val="00914E78"/>
    <w:rsid w:val="00914E8C"/>
    <w:rsid w:val="00915934"/>
    <w:rsid w:val="00915B53"/>
    <w:rsid w:val="009169D8"/>
    <w:rsid w:val="00917A9D"/>
    <w:rsid w:val="00920360"/>
    <w:rsid w:val="009204BB"/>
    <w:rsid w:val="009208F7"/>
    <w:rsid w:val="009211B7"/>
    <w:rsid w:val="0092126C"/>
    <w:rsid w:val="00921649"/>
    <w:rsid w:val="00922517"/>
    <w:rsid w:val="0092260F"/>
    <w:rsid w:val="00922610"/>
    <w:rsid w:val="00922722"/>
    <w:rsid w:val="009227F9"/>
    <w:rsid w:val="00922DE0"/>
    <w:rsid w:val="00923FD3"/>
    <w:rsid w:val="009241A0"/>
    <w:rsid w:val="009244A0"/>
    <w:rsid w:val="009254A8"/>
    <w:rsid w:val="0092572A"/>
    <w:rsid w:val="009261E6"/>
    <w:rsid w:val="009268E1"/>
    <w:rsid w:val="00927226"/>
    <w:rsid w:val="009277FB"/>
    <w:rsid w:val="00927A12"/>
    <w:rsid w:val="00927AC9"/>
    <w:rsid w:val="009301B2"/>
    <w:rsid w:val="009304DE"/>
    <w:rsid w:val="00932A2A"/>
    <w:rsid w:val="00932CBD"/>
    <w:rsid w:val="0093315B"/>
    <w:rsid w:val="0093328C"/>
    <w:rsid w:val="00934437"/>
    <w:rsid w:val="009344DE"/>
    <w:rsid w:val="009345E0"/>
    <w:rsid w:val="00934D1C"/>
    <w:rsid w:val="00934F4A"/>
    <w:rsid w:val="00935FCC"/>
    <w:rsid w:val="0093605B"/>
    <w:rsid w:val="0093664D"/>
    <w:rsid w:val="00936E82"/>
    <w:rsid w:val="00936F2A"/>
    <w:rsid w:val="009376BC"/>
    <w:rsid w:val="00944722"/>
    <w:rsid w:val="00945580"/>
    <w:rsid w:val="0094566D"/>
    <w:rsid w:val="00945E7F"/>
    <w:rsid w:val="009460DD"/>
    <w:rsid w:val="00946632"/>
    <w:rsid w:val="00947C55"/>
    <w:rsid w:val="00947D86"/>
    <w:rsid w:val="00947EB2"/>
    <w:rsid w:val="009515B8"/>
    <w:rsid w:val="009516A7"/>
    <w:rsid w:val="00951B9A"/>
    <w:rsid w:val="00952082"/>
    <w:rsid w:val="00952393"/>
    <w:rsid w:val="00953331"/>
    <w:rsid w:val="0095338C"/>
    <w:rsid w:val="00953A28"/>
    <w:rsid w:val="009557C1"/>
    <w:rsid w:val="00955D83"/>
    <w:rsid w:val="009566F7"/>
    <w:rsid w:val="009579F2"/>
    <w:rsid w:val="0096077D"/>
    <w:rsid w:val="00960D6E"/>
    <w:rsid w:val="00961174"/>
    <w:rsid w:val="009629EC"/>
    <w:rsid w:val="00962BCC"/>
    <w:rsid w:val="00962DA0"/>
    <w:rsid w:val="00962F0D"/>
    <w:rsid w:val="00963194"/>
    <w:rsid w:val="00963532"/>
    <w:rsid w:val="00964CCB"/>
    <w:rsid w:val="00964ECF"/>
    <w:rsid w:val="00965137"/>
    <w:rsid w:val="0096578D"/>
    <w:rsid w:val="00965982"/>
    <w:rsid w:val="0096648D"/>
    <w:rsid w:val="00966608"/>
    <w:rsid w:val="00966A55"/>
    <w:rsid w:val="00966AC3"/>
    <w:rsid w:val="00966C22"/>
    <w:rsid w:val="00966FD9"/>
    <w:rsid w:val="00967674"/>
    <w:rsid w:val="0096796D"/>
    <w:rsid w:val="00970118"/>
    <w:rsid w:val="0097052C"/>
    <w:rsid w:val="009711C7"/>
    <w:rsid w:val="009724AB"/>
    <w:rsid w:val="00972AA8"/>
    <w:rsid w:val="0097382B"/>
    <w:rsid w:val="00974B59"/>
    <w:rsid w:val="00976779"/>
    <w:rsid w:val="00976C54"/>
    <w:rsid w:val="00977873"/>
    <w:rsid w:val="00980787"/>
    <w:rsid w:val="009807BD"/>
    <w:rsid w:val="00980886"/>
    <w:rsid w:val="00980B21"/>
    <w:rsid w:val="0098122D"/>
    <w:rsid w:val="00981B5E"/>
    <w:rsid w:val="00981CAD"/>
    <w:rsid w:val="009823AB"/>
    <w:rsid w:val="009825B0"/>
    <w:rsid w:val="009825D1"/>
    <w:rsid w:val="009825EF"/>
    <w:rsid w:val="00982929"/>
    <w:rsid w:val="0098334E"/>
    <w:rsid w:val="0098340B"/>
    <w:rsid w:val="00983481"/>
    <w:rsid w:val="00983714"/>
    <w:rsid w:val="00983B2C"/>
    <w:rsid w:val="00984323"/>
    <w:rsid w:val="0098456F"/>
    <w:rsid w:val="0098499B"/>
    <w:rsid w:val="009859AB"/>
    <w:rsid w:val="00985EB7"/>
    <w:rsid w:val="00985FD4"/>
    <w:rsid w:val="009861A3"/>
    <w:rsid w:val="00986391"/>
    <w:rsid w:val="00986830"/>
    <w:rsid w:val="00986F79"/>
    <w:rsid w:val="00987069"/>
    <w:rsid w:val="0098747C"/>
    <w:rsid w:val="0099184B"/>
    <w:rsid w:val="009924C3"/>
    <w:rsid w:val="00993102"/>
    <w:rsid w:val="00993C60"/>
    <w:rsid w:val="0099451D"/>
    <w:rsid w:val="00994734"/>
    <w:rsid w:val="009952F1"/>
    <w:rsid w:val="00995C6A"/>
    <w:rsid w:val="00995E7E"/>
    <w:rsid w:val="009960E3"/>
    <w:rsid w:val="0099774F"/>
    <w:rsid w:val="00997965"/>
    <w:rsid w:val="00997AF5"/>
    <w:rsid w:val="00997DB7"/>
    <w:rsid w:val="009A1094"/>
    <w:rsid w:val="009A10B2"/>
    <w:rsid w:val="009A138E"/>
    <w:rsid w:val="009A2699"/>
    <w:rsid w:val="009A3794"/>
    <w:rsid w:val="009A38A9"/>
    <w:rsid w:val="009A40EB"/>
    <w:rsid w:val="009A6CE5"/>
    <w:rsid w:val="009A6E87"/>
    <w:rsid w:val="009A7236"/>
    <w:rsid w:val="009A72B1"/>
    <w:rsid w:val="009A784D"/>
    <w:rsid w:val="009A7E53"/>
    <w:rsid w:val="009A7F8D"/>
    <w:rsid w:val="009B002A"/>
    <w:rsid w:val="009B0280"/>
    <w:rsid w:val="009B09D4"/>
    <w:rsid w:val="009B10DD"/>
    <w:rsid w:val="009B1556"/>
    <w:rsid w:val="009B1570"/>
    <w:rsid w:val="009B17FF"/>
    <w:rsid w:val="009B22CB"/>
    <w:rsid w:val="009B24D0"/>
    <w:rsid w:val="009B2CFB"/>
    <w:rsid w:val="009B2E2E"/>
    <w:rsid w:val="009B3BB7"/>
    <w:rsid w:val="009B4EA2"/>
    <w:rsid w:val="009B4EC1"/>
    <w:rsid w:val="009B4F8F"/>
    <w:rsid w:val="009B5A24"/>
    <w:rsid w:val="009B61EA"/>
    <w:rsid w:val="009B74B6"/>
    <w:rsid w:val="009B7ED8"/>
    <w:rsid w:val="009C0C33"/>
    <w:rsid w:val="009C0FB5"/>
    <w:rsid w:val="009C10E7"/>
    <w:rsid w:val="009C1446"/>
    <w:rsid w:val="009C1CF4"/>
    <w:rsid w:val="009C1E50"/>
    <w:rsid w:val="009C2A3D"/>
    <w:rsid w:val="009C4124"/>
    <w:rsid w:val="009C4516"/>
    <w:rsid w:val="009C4974"/>
    <w:rsid w:val="009C4D92"/>
    <w:rsid w:val="009C5D03"/>
    <w:rsid w:val="009C5D2F"/>
    <w:rsid w:val="009C5F1F"/>
    <w:rsid w:val="009C5F26"/>
    <w:rsid w:val="009C617F"/>
    <w:rsid w:val="009C64EB"/>
    <w:rsid w:val="009C68ED"/>
    <w:rsid w:val="009C6F06"/>
    <w:rsid w:val="009C6F10"/>
    <w:rsid w:val="009C79DE"/>
    <w:rsid w:val="009D0BF9"/>
    <w:rsid w:val="009D148F"/>
    <w:rsid w:val="009D17CC"/>
    <w:rsid w:val="009D2009"/>
    <w:rsid w:val="009D2149"/>
    <w:rsid w:val="009D2B0C"/>
    <w:rsid w:val="009D2FD0"/>
    <w:rsid w:val="009D3746"/>
    <w:rsid w:val="009D3CBB"/>
    <w:rsid w:val="009D3D70"/>
    <w:rsid w:val="009D3F20"/>
    <w:rsid w:val="009D772B"/>
    <w:rsid w:val="009D7ED6"/>
    <w:rsid w:val="009E05A4"/>
    <w:rsid w:val="009E1DCF"/>
    <w:rsid w:val="009E2755"/>
    <w:rsid w:val="009E2B0B"/>
    <w:rsid w:val="009E2C3A"/>
    <w:rsid w:val="009E2F1E"/>
    <w:rsid w:val="009E31B4"/>
    <w:rsid w:val="009E3597"/>
    <w:rsid w:val="009E37A3"/>
    <w:rsid w:val="009E44CC"/>
    <w:rsid w:val="009E461F"/>
    <w:rsid w:val="009E5144"/>
    <w:rsid w:val="009E529C"/>
    <w:rsid w:val="009E56BB"/>
    <w:rsid w:val="009E56D2"/>
    <w:rsid w:val="009E64B7"/>
    <w:rsid w:val="009E64F1"/>
    <w:rsid w:val="009E6739"/>
    <w:rsid w:val="009E67D8"/>
    <w:rsid w:val="009E6F7E"/>
    <w:rsid w:val="009E6FFC"/>
    <w:rsid w:val="009E766B"/>
    <w:rsid w:val="009E7A57"/>
    <w:rsid w:val="009F0736"/>
    <w:rsid w:val="009F0FCD"/>
    <w:rsid w:val="009F1E9B"/>
    <w:rsid w:val="009F20D5"/>
    <w:rsid w:val="009F2971"/>
    <w:rsid w:val="009F3147"/>
    <w:rsid w:val="009F41E1"/>
    <w:rsid w:val="009F4803"/>
    <w:rsid w:val="009F486A"/>
    <w:rsid w:val="009F4D34"/>
    <w:rsid w:val="009F4DBC"/>
    <w:rsid w:val="009F4F6A"/>
    <w:rsid w:val="009F52F0"/>
    <w:rsid w:val="009F5D01"/>
    <w:rsid w:val="009F672D"/>
    <w:rsid w:val="009F70C1"/>
    <w:rsid w:val="00A0028F"/>
    <w:rsid w:val="00A0060B"/>
    <w:rsid w:val="00A007A9"/>
    <w:rsid w:val="00A01374"/>
    <w:rsid w:val="00A017B9"/>
    <w:rsid w:val="00A01B69"/>
    <w:rsid w:val="00A02260"/>
    <w:rsid w:val="00A02429"/>
    <w:rsid w:val="00A02C68"/>
    <w:rsid w:val="00A0397D"/>
    <w:rsid w:val="00A03C55"/>
    <w:rsid w:val="00A03CE4"/>
    <w:rsid w:val="00A03FD4"/>
    <w:rsid w:val="00A045D5"/>
    <w:rsid w:val="00A04796"/>
    <w:rsid w:val="00A0495C"/>
    <w:rsid w:val="00A049F0"/>
    <w:rsid w:val="00A05759"/>
    <w:rsid w:val="00A063AE"/>
    <w:rsid w:val="00A065A2"/>
    <w:rsid w:val="00A07420"/>
    <w:rsid w:val="00A07B06"/>
    <w:rsid w:val="00A10285"/>
    <w:rsid w:val="00A10C54"/>
    <w:rsid w:val="00A11551"/>
    <w:rsid w:val="00A11E01"/>
    <w:rsid w:val="00A12633"/>
    <w:rsid w:val="00A12A1A"/>
    <w:rsid w:val="00A13EB5"/>
    <w:rsid w:val="00A14A0E"/>
    <w:rsid w:val="00A14B47"/>
    <w:rsid w:val="00A16D6E"/>
    <w:rsid w:val="00A16E17"/>
    <w:rsid w:val="00A16E36"/>
    <w:rsid w:val="00A1713E"/>
    <w:rsid w:val="00A179AC"/>
    <w:rsid w:val="00A20270"/>
    <w:rsid w:val="00A21EE8"/>
    <w:rsid w:val="00A229C1"/>
    <w:rsid w:val="00A2351C"/>
    <w:rsid w:val="00A24025"/>
    <w:rsid w:val="00A2417B"/>
    <w:rsid w:val="00A24961"/>
    <w:rsid w:val="00A24A71"/>
    <w:rsid w:val="00A24B10"/>
    <w:rsid w:val="00A24C70"/>
    <w:rsid w:val="00A2529A"/>
    <w:rsid w:val="00A252F2"/>
    <w:rsid w:val="00A25E2F"/>
    <w:rsid w:val="00A26B08"/>
    <w:rsid w:val="00A26B78"/>
    <w:rsid w:val="00A27042"/>
    <w:rsid w:val="00A277EF"/>
    <w:rsid w:val="00A27EB7"/>
    <w:rsid w:val="00A3019B"/>
    <w:rsid w:val="00A304EC"/>
    <w:rsid w:val="00A30615"/>
    <w:rsid w:val="00A30891"/>
    <w:rsid w:val="00A30B79"/>
    <w:rsid w:val="00A30E9B"/>
    <w:rsid w:val="00A31328"/>
    <w:rsid w:val="00A31983"/>
    <w:rsid w:val="00A31B63"/>
    <w:rsid w:val="00A31CAC"/>
    <w:rsid w:val="00A325D2"/>
    <w:rsid w:val="00A3282E"/>
    <w:rsid w:val="00A32D7B"/>
    <w:rsid w:val="00A33163"/>
    <w:rsid w:val="00A35165"/>
    <w:rsid w:val="00A35818"/>
    <w:rsid w:val="00A36E67"/>
    <w:rsid w:val="00A3755D"/>
    <w:rsid w:val="00A3796E"/>
    <w:rsid w:val="00A40311"/>
    <w:rsid w:val="00A41426"/>
    <w:rsid w:val="00A418A1"/>
    <w:rsid w:val="00A4200C"/>
    <w:rsid w:val="00A420D8"/>
    <w:rsid w:val="00A4322A"/>
    <w:rsid w:val="00A43681"/>
    <w:rsid w:val="00A44987"/>
    <w:rsid w:val="00A44D08"/>
    <w:rsid w:val="00A44FEB"/>
    <w:rsid w:val="00A4512D"/>
    <w:rsid w:val="00A4595C"/>
    <w:rsid w:val="00A45B84"/>
    <w:rsid w:val="00A50244"/>
    <w:rsid w:val="00A5038A"/>
    <w:rsid w:val="00A50A48"/>
    <w:rsid w:val="00A5120D"/>
    <w:rsid w:val="00A516CC"/>
    <w:rsid w:val="00A518DC"/>
    <w:rsid w:val="00A51A5F"/>
    <w:rsid w:val="00A51ADC"/>
    <w:rsid w:val="00A51FF7"/>
    <w:rsid w:val="00A52C00"/>
    <w:rsid w:val="00A53F9C"/>
    <w:rsid w:val="00A543E9"/>
    <w:rsid w:val="00A54FC3"/>
    <w:rsid w:val="00A604E0"/>
    <w:rsid w:val="00A617A0"/>
    <w:rsid w:val="00A6263C"/>
    <w:rsid w:val="00A627D7"/>
    <w:rsid w:val="00A628DF"/>
    <w:rsid w:val="00A62E99"/>
    <w:rsid w:val="00A63563"/>
    <w:rsid w:val="00A63E63"/>
    <w:rsid w:val="00A63E9E"/>
    <w:rsid w:val="00A63F02"/>
    <w:rsid w:val="00A648F7"/>
    <w:rsid w:val="00A64F84"/>
    <w:rsid w:val="00A653CD"/>
    <w:rsid w:val="00A65471"/>
    <w:rsid w:val="00A656C7"/>
    <w:rsid w:val="00A65753"/>
    <w:rsid w:val="00A65CDA"/>
    <w:rsid w:val="00A6724D"/>
    <w:rsid w:val="00A67356"/>
    <w:rsid w:val="00A67D63"/>
    <w:rsid w:val="00A705AF"/>
    <w:rsid w:val="00A70E46"/>
    <w:rsid w:val="00A71B2B"/>
    <w:rsid w:val="00A71FC2"/>
    <w:rsid w:val="00A7238B"/>
    <w:rsid w:val="00A72454"/>
    <w:rsid w:val="00A724F9"/>
    <w:rsid w:val="00A73A5D"/>
    <w:rsid w:val="00A73EC9"/>
    <w:rsid w:val="00A741D3"/>
    <w:rsid w:val="00A7499D"/>
    <w:rsid w:val="00A74BD4"/>
    <w:rsid w:val="00A751C9"/>
    <w:rsid w:val="00A7566B"/>
    <w:rsid w:val="00A75CD1"/>
    <w:rsid w:val="00A76F93"/>
    <w:rsid w:val="00A771FD"/>
    <w:rsid w:val="00A773C4"/>
    <w:rsid w:val="00A77696"/>
    <w:rsid w:val="00A77F8A"/>
    <w:rsid w:val="00A80177"/>
    <w:rsid w:val="00A80257"/>
    <w:rsid w:val="00A804B6"/>
    <w:rsid w:val="00A80557"/>
    <w:rsid w:val="00A81560"/>
    <w:rsid w:val="00A81954"/>
    <w:rsid w:val="00A81A5A"/>
    <w:rsid w:val="00A81D33"/>
    <w:rsid w:val="00A82953"/>
    <w:rsid w:val="00A82CE3"/>
    <w:rsid w:val="00A83233"/>
    <w:rsid w:val="00A8341C"/>
    <w:rsid w:val="00A849ED"/>
    <w:rsid w:val="00A858F7"/>
    <w:rsid w:val="00A860C7"/>
    <w:rsid w:val="00A8642D"/>
    <w:rsid w:val="00A866C5"/>
    <w:rsid w:val="00A8727F"/>
    <w:rsid w:val="00A90690"/>
    <w:rsid w:val="00A90F19"/>
    <w:rsid w:val="00A91275"/>
    <w:rsid w:val="00A9147A"/>
    <w:rsid w:val="00A91A70"/>
    <w:rsid w:val="00A921AB"/>
    <w:rsid w:val="00A92B28"/>
    <w:rsid w:val="00A930AE"/>
    <w:rsid w:val="00A935E9"/>
    <w:rsid w:val="00A9369A"/>
    <w:rsid w:val="00A93FE1"/>
    <w:rsid w:val="00A9433C"/>
    <w:rsid w:val="00A9475F"/>
    <w:rsid w:val="00A949DA"/>
    <w:rsid w:val="00A94DF2"/>
    <w:rsid w:val="00A95AA7"/>
    <w:rsid w:val="00A967FD"/>
    <w:rsid w:val="00A9690A"/>
    <w:rsid w:val="00A970C7"/>
    <w:rsid w:val="00A97152"/>
    <w:rsid w:val="00A976F9"/>
    <w:rsid w:val="00AA02F3"/>
    <w:rsid w:val="00AA1A95"/>
    <w:rsid w:val="00AA260F"/>
    <w:rsid w:val="00AA3092"/>
    <w:rsid w:val="00AA3892"/>
    <w:rsid w:val="00AA3A2D"/>
    <w:rsid w:val="00AA4FD3"/>
    <w:rsid w:val="00AA5530"/>
    <w:rsid w:val="00AA6042"/>
    <w:rsid w:val="00AA66D6"/>
    <w:rsid w:val="00AA6BCF"/>
    <w:rsid w:val="00AA6E5D"/>
    <w:rsid w:val="00AA6F22"/>
    <w:rsid w:val="00AA7DBF"/>
    <w:rsid w:val="00AB00B0"/>
    <w:rsid w:val="00AB037B"/>
    <w:rsid w:val="00AB1702"/>
    <w:rsid w:val="00AB1727"/>
    <w:rsid w:val="00AB184E"/>
    <w:rsid w:val="00AB1C63"/>
    <w:rsid w:val="00AB1E65"/>
    <w:rsid w:val="00AB1E75"/>
    <w:rsid w:val="00AB1EE7"/>
    <w:rsid w:val="00AB2136"/>
    <w:rsid w:val="00AB2BE7"/>
    <w:rsid w:val="00AB2C0B"/>
    <w:rsid w:val="00AB3452"/>
    <w:rsid w:val="00AB3B35"/>
    <w:rsid w:val="00AB4B37"/>
    <w:rsid w:val="00AB4BA5"/>
    <w:rsid w:val="00AB4D5D"/>
    <w:rsid w:val="00AB4F14"/>
    <w:rsid w:val="00AB5762"/>
    <w:rsid w:val="00AB6065"/>
    <w:rsid w:val="00AB6D9A"/>
    <w:rsid w:val="00AB7E33"/>
    <w:rsid w:val="00AC0252"/>
    <w:rsid w:val="00AC13E8"/>
    <w:rsid w:val="00AC24B7"/>
    <w:rsid w:val="00AC2679"/>
    <w:rsid w:val="00AC2872"/>
    <w:rsid w:val="00AC28BA"/>
    <w:rsid w:val="00AC2D89"/>
    <w:rsid w:val="00AC2F7D"/>
    <w:rsid w:val="00AC3EF1"/>
    <w:rsid w:val="00AC44EA"/>
    <w:rsid w:val="00AC4BE4"/>
    <w:rsid w:val="00AC5110"/>
    <w:rsid w:val="00AC5CCF"/>
    <w:rsid w:val="00AC5CDD"/>
    <w:rsid w:val="00AC5FD0"/>
    <w:rsid w:val="00AC615E"/>
    <w:rsid w:val="00AD05E6"/>
    <w:rsid w:val="00AD0D3F"/>
    <w:rsid w:val="00AD103B"/>
    <w:rsid w:val="00AD1237"/>
    <w:rsid w:val="00AD1617"/>
    <w:rsid w:val="00AD1B56"/>
    <w:rsid w:val="00AD3287"/>
    <w:rsid w:val="00AD35F7"/>
    <w:rsid w:val="00AD3673"/>
    <w:rsid w:val="00AD3F84"/>
    <w:rsid w:val="00AD4380"/>
    <w:rsid w:val="00AD6613"/>
    <w:rsid w:val="00AD68E1"/>
    <w:rsid w:val="00AD7BD9"/>
    <w:rsid w:val="00AE0615"/>
    <w:rsid w:val="00AE0721"/>
    <w:rsid w:val="00AE0BFC"/>
    <w:rsid w:val="00AE0E52"/>
    <w:rsid w:val="00AE147C"/>
    <w:rsid w:val="00AE1D7D"/>
    <w:rsid w:val="00AE2A8B"/>
    <w:rsid w:val="00AE3F64"/>
    <w:rsid w:val="00AE44E3"/>
    <w:rsid w:val="00AE4D96"/>
    <w:rsid w:val="00AE5813"/>
    <w:rsid w:val="00AE5B7D"/>
    <w:rsid w:val="00AE6370"/>
    <w:rsid w:val="00AE66DD"/>
    <w:rsid w:val="00AE6E68"/>
    <w:rsid w:val="00AE7562"/>
    <w:rsid w:val="00AE776C"/>
    <w:rsid w:val="00AE7B0B"/>
    <w:rsid w:val="00AF0D89"/>
    <w:rsid w:val="00AF14AC"/>
    <w:rsid w:val="00AF14F0"/>
    <w:rsid w:val="00AF1BC4"/>
    <w:rsid w:val="00AF1DAD"/>
    <w:rsid w:val="00AF2365"/>
    <w:rsid w:val="00AF29A6"/>
    <w:rsid w:val="00AF2DC0"/>
    <w:rsid w:val="00AF34A4"/>
    <w:rsid w:val="00AF65C5"/>
    <w:rsid w:val="00AF681F"/>
    <w:rsid w:val="00AF6AF5"/>
    <w:rsid w:val="00AF7386"/>
    <w:rsid w:val="00AF7390"/>
    <w:rsid w:val="00AF7934"/>
    <w:rsid w:val="00AF7A73"/>
    <w:rsid w:val="00AF7BC3"/>
    <w:rsid w:val="00AF7F57"/>
    <w:rsid w:val="00B008AD"/>
    <w:rsid w:val="00B00B81"/>
    <w:rsid w:val="00B00F77"/>
    <w:rsid w:val="00B01863"/>
    <w:rsid w:val="00B01893"/>
    <w:rsid w:val="00B03ACE"/>
    <w:rsid w:val="00B03DE0"/>
    <w:rsid w:val="00B04580"/>
    <w:rsid w:val="00B0463C"/>
    <w:rsid w:val="00B04698"/>
    <w:rsid w:val="00B04979"/>
    <w:rsid w:val="00B04ADA"/>
    <w:rsid w:val="00B04B09"/>
    <w:rsid w:val="00B04DFA"/>
    <w:rsid w:val="00B05185"/>
    <w:rsid w:val="00B05C5A"/>
    <w:rsid w:val="00B06BF1"/>
    <w:rsid w:val="00B07351"/>
    <w:rsid w:val="00B077F5"/>
    <w:rsid w:val="00B101BF"/>
    <w:rsid w:val="00B1045F"/>
    <w:rsid w:val="00B10B23"/>
    <w:rsid w:val="00B10C24"/>
    <w:rsid w:val="00B11BC3"/>
    <w:rsid w:val="00B128AB"/>
    <w:rsid w:val="00B135D1"/>
    <w:rsid w:val="00B14656"/>
    <w:rsid w:val="00B14785"/>
    <w:rsid w:val="00B14F10"/>
    <w:rsid w:val="00B15271"/>
    <w:rsid w:val="00B1556E"/>
    <w:rsid w:val="00B15B62"/>
    <w:rsid w:val="00B161CE"/>
    <w:rsid w:val="00B16A51"/>
    <w:rsid w:val="00B174BD"/>
    <w:rsid w:val="00B175C1"/>
    <w:rsid w:val="00B17891"/>
    <w:rsid w:val="00B17BAC"/>
    <w:rsid w:val="00B20F2B"/>
    <w:rsid w:val="00B2178E"/>
    <w:rsid w:val="00B22143"/>
    <w:rsid w:val="00B225DD"/>
    <w:rsid w:val="00B2351C"/>
    <w:rsid w:val="00B24443"/>
    <w:rsid w:val="00B24568"/>
    <w:rsid w:val="00B24641"/>
    <w:rsid w:val="00B24FF4"/>
    <w:rsid w:val="00B250B4"/>
    <w:rsid w:val="00B254B3"/>
    <w:rsid w:val="00B25533"/>
    <w:rsid w:val="00B257A0"/>
    <w:rsid w:val="00B260FC"/>
    <w:rsid w:val="00B2664E"/>
    <w:rsid w:val="00B26A82"/>
    <w:rsid w:val="00B26EAB"/>
    <w:rsid w:val="00B2726F"/>
    <w:rsid w:val="00B27A0B"/>
    <w:rsid w:val="00B30843"/>
    <w:rsid w:val="00B309CA"/>
    <w:rsid w:val="00B30ABC"/>
    <w:rsid w:val="00B3113C"/>
    <w:rsid w:val="00B31456"/>
    <w:rsid w:val="00B316DC"/>
    <w:rsid w:val="00B32019"/>
    <w:rsid w:val="00B32222"/>
    <w:rsid w:val="00B329E4"/>
    <w:rsid w:val="00B32ACD"/>
    <w:rsid w:val="00B33490"/>
    <w:rsid w:val="00B336EB"/>
    <w:rsid w:val="00B339D0"/>
    <w:rsid w:val="00B33FEF"/>
    <w:rsid w:val="00B341A9"/>
    <w:rsid w:val="00B34384"/>
    <w:rsid w:val="00B34BE8"/>
    <w:rsid w:val="00B34CE7"/>
    <w:rsid w:val="00B352D8"/>
    <w:rsid w:val="00B354C4"/>
    <w:rsid w:val="00B3575E"/>
    <w:rsid w:val="00B357F3"/>
    <w:rsid w:val="00B36087"/>
    <w:rsid w:val="00B3618D"/>
    <w:rsid w:val="00B36233"/>
    <w:rsid w:val="00B36B65"/>
    <w:rsid w:val="00B374C8"/>
    <w:rsid w:val="00B375A2"/>
    <w:rsid w:val="00B37B0E"/>
    <w:rsid w:val="00B400BB"/>
    <w:rsid w:val="00B400CF"/>
    <w:rsid w:val="00B403BD"/>
    <w:rsid w:val="00B40DD3"/>
    <w:rsid w:val="00B40DF7"/>
    <w:rsid w:val="00B41592"/>
    <w:rsid w:val="00B41882"/>
    <w:rsid w:val="00B41D68"/>
    <w:rsid w:val="00B41E83"/>
    <w:rsid w:val="00B426AC"/>
    <w:rsid w:val="00B42851"/>
    <w:rsid w:val="00B42DD9"/>
    <w:rsid w:val="00B43974"/>
    <w:rsid w:val="00B439F8"/>
    <w:rsid w:val="00B43A0B"/>
    <w:rsid w:val="00B441B0"/>
    <w:rsid w:val="00B4443A"/>
    <w:rsid w:val="00B44D45"/>
    <w:rsid w:val="00B45A3D"/>
    <w:rsid w:val="00B45AC7"/>
    <w:rsid w:val="00B4660A"/>
    <w:rsid w:val="00B46726"/>
    <w:rsid w:val="00B47207"/>
    <w:rsid w:val="00B47287"/>
    <w:rsid w:val="00B474B5"/>
    <w:rsid w:val="00B50070"/>
    <w:rsid w:val="00B5061B"/>
    <w:rsid w:val="00B50AF8"/>
    <w:rsid w:val="00B50CF0"/>
    <w:rsid w:val="00B50D85"/>
    <w:rsid w:val="00B52009"/>
    <w:rsid w:val="00B52376"/>
    <w:rsid w:val="00B52D48"/>
    <w:rsid w:val="00B53107"/>
    <w:rsid w:val="00B53590"/>
    <w:rsid w:val="00B5364A"/>
    <w:rsid w:val="00B5372F"/>
    <w:rsid w:val="00B5375C"/>
    <w:rsid w:val="00B53894"/>
    <w:rsid w:val="00B53A91"/>
    <w:rsid w:val="00B54577"/>
    <w:rsid w:val="00B54C62"/>
    <w:rsid w:val="00B550DA"/>
    <w:rsid w:val="00B5594B"/>
    <w:rsid w:val="00B55D0E"/>
    <w:rsid w:val="00B5635C"/>
    <w:rsid w:val="00B57040"/>
    <w:rsid w:val="00B5775C"/>
    <w:rsid w:val="00B579DD"/>
    <w:rsid w:val="00B57AA5"/>
    <w:rsid w:val="00B603F3"/>
    <w:rsid w:val="00B60577"/>
    <w:rsid w:val="00B61129"/>
    <w:rsid w:val="00B61131"/>
    <w:rsid w:val="00B61971"/>
    <w:rsid w:val="00B628BE"/>
    <w:rsid w:val="00B6369A"/>
    <w:rsid w:val="00B63D7E"/>
    <w:rsid w:val="00B64D72"/>
    <w:rsid w:val="00B65A27"/>
    <w:rsid w:val="00B66003"/>
    <w:rsid w:val="00B66441"/>
    <w:rsid w:val="00B66711"/>
    <w:rsid w:val="00B66C8A"/>
    <w:rsid w:val="00B66F66"/>
    <w:rsid w:val="00B67BC3"/>
    <w:rsid w:val="00B67DEE"/>
    <w:rsid w:val="00B67E7E"/>
    <w:rsid w:val="00B67E7F"/>
    <w:rsid w:val="00B70CA5"/>
    <w:rsid w:val="00B72D72"/>
    <w:rsid w:val="00B7378C"/>
    <w:rsid w:val="00B73A6F"/>
    <w:rsid w:val="00B73D53"/>
    <w:rsid w:val="00B73D58"/>
    <w:rsid w:val="00B73DCC"/>
    <w:rsid w:val="00B746DB"/>
    <w:rsid w:val="00B746E8"/>
    <w:rsid w:val="00B74956"/>
    <w:rsid w:val="00B7576B"/>
    <w:rsid w:val="00B7583B"/>
    <w:rsid w:val="00B7592F"/>
    <w:rsid w:val="00B75B80"/>
    <w:rsid w:val="00B764AE"/>
    <w:rsid w:val="00B76EB9"/>
    <w:rsid w:val="00B7784C"/>
    <w:rsid w:val="00B80778"/>
    <w:rsid w:val="00B80EDB"/>
    <w:rsid w:val="00B80F16"/>
    <w:rsid w:val="00B824E4"/>
    <w:rsid w:val="00B82EA2"/>
    <w:rsid w:val="00B839B2"/>
    <w:rsid w:val="00B840E6"/>
    <w:rsid w:val="00B859B2"/>
    <w:rsid w:val="00B85C81"/>
    <w:rsid w:val="00B86032"/>
    <w:rsid w:val="00B8624D"/>
    <w:rsid w:val="00B868D3"/>
    <w:rsid w:val="00B870F6"/>
    <w:rsid w:val="00B91189"/>
    <w:rsid w:val="00B9302C"/>
    <w:rsid w:val="00B94252"/>
    <w:rsid w:val="00B94951"/>
    <w:rsid w:val="00B94B72"/>
    <w:rsid w:val="00B9511C"/>
    <w:rsid w:val="00B95891"/>
    <w:rsid w:val="00B9666A"/>
    <w:rsid w:val="00B96D3E"/>
    <w:rsid w:val="00B97074"/>
    <w:rsid w:val="00B9715A"/>
    <w:rsid w:val="00B97A32"/>
    <w:rsid w:val="00B97B83"/>
    <w:rsid w:val="00BA0549"/>
    <w:rsid w:val="00BA0A75"/>
    <w:rsid w:val="00BA0A7C"/>
    <w:rsid w:val="00BA0BB5"/>
    <w:rsid w:val="00BA0E1A"/>
    <w:rsid w:val="00BA0F17"/>
    <w:rsid w:val="00BA14BE"/>
    <w:rsid w:val="00BA181D"/>
    <w:rsid w:val="00BA1A0C"/>
    <w:rsid w:val="00BA22D4"/>
    <w:rsid w:val="00BA2732"/>
    <w:rsid w:val="00BA293D"/>
    <w:rsid w:val="00BA4127"/>
    <w:rsid w:val="00BA4216"/>
    <w:rsid w:val="00BA49BC"/>
    <w:rsid w:val="00BA4A1A"/>
    <w:rsid w:val="00BA52B3"/>
    <w:rsid w:val="00BA56B7"/>
    <w:rsid w:val="00BA5798"/>
    <w:rsid w:val="00BA5F4F"/>
    <w:rsid w:val="00BA5FCB"/>
    <w:rsid w:val="00BA5FCC"/>
    <w:rsid w:val="00BA6161"/>
    <w:rsid w:val="00BA755A"/>
    <w:rsid w:val="00BA7A1E"/>
    <w:rsid w:val="00BA7D1A"/>
    <w:rsid w:val="00BA7F37"/>
    <w:rsid w:val="00BB0C6E"/>
    <w:rsid w:val="00BB1736"/>
    <w:rsid w:val="00BB2F27"/>
    <w:rsid w:val="00BB2F6C"/>
    <w:rsid w:val="00BB31D3"/>
    <w:rsid w:val="00BB367B"/>
    <w:rsid w:val="00BB3875"/>
    <w:rsid w:val="00BB3B5B"/>
    <w:rsid w:val="00BB3E98"/>
    <w:rsid w:val="00BB3F30"/>
    <w:rsid w:val="00BB43E7"/>
    <w:rsid w:val="00BB4A93"/>
    <w:rsid w:val="00BB4CCE"/>
    <w:rsid w:val="00BB5860"/>
    <w:rsid w:val="00BB5DF6"/>
    <w:rsid w:val="00BB6220"/>
    <w:rsid w:val="00BB6637"/>
    <w:rsid w:val="00BB6AAD"/>
    <w:rsid w:val="00BB6F41"/>
    <w:rsid w:val="00BB77A3"/>
    <w:rsid w:val="00BC0816"/>
    <w:rsid w:val="00BC1A95"/>
    <w:rsid w:val="00BC28FB"/>
    <w:rsid w:val="00BC2A04"/>
    <w:rsid w:val="00BC34D8"/>
    <w:rsid w:val="00BC35EC"/>
    <w:rsid w:val="00BC3E9D"/>
    <w:rsid w:val="00BC3EAB"/>
    <w:rsid w:val="00BC3F1F"/>
    <w:rsid w:val="00BC410C"/>
    <w:rsid w:val="00BC412B"/>
    <w:rsid w:val="00BC4749"/>
    <w:rsid w:val="00BC476C"/>
    <w:rsid w:val="00BC4782"/>
    <w:rsid w:val="00BC4923"/>
    <w:rsid w:val="00BC4A19"/>
    <w:rsid w:val="00BC4E6D"/>
    <w:rsid w:val="00BC5529"/>
    <w:rsid w:val="00BC5600"/>
    <w:rsid w:val="00BC5721"/>
    <w:rsid w:val="00BC5DE5"/>
    <w:rsid w:val="00BC7A05"/>
    <w:rsid w:val="00BC7C58"/>
    <w:rsid w:val="00BD0617"/>
    <w:rsid w:val="00BD0DF8"/>
    <w:rsid w:val="00BD0F51"/>
    <w:rsid w:val="00BD135E"/>
    <w:rsid w:val="00BD2424"/>
    <w:rsid w:val="00BD2822"/>
    <w:rsid w:val="00BD2A7E"/>
    <w:rsid w:val="00BD2E9B"/>
    <w:rsid w:val="00BD357E"/>
    <w:rsid w:val="00BD4752"/>
    <w:rsid w:val="00BD5107"/>
    <w:rsid w:val="00BD5209"/>
    <w:rsid w:val="00BD594B"/>
    <w:rsid w:val="00BD5B60"/>
    <w:rsid w:val="00BD5F6C"/>
    <w:rsid w:val="00BD648E"/>
    <w:rsid w:val="00BD76A9"/>
    <w:rsid w:val="00BD7FB2"/>
    <w:rsid w:val="00BE1186"/>
    <w:rsid w:val="00BE1215"/>
    <w:rsid w:val="00BE2447"/>
    <w:rsid w:val="00BE2583"/>
    <w:rsid w:val="00BE2A91"/>
    <w:rsid w:val="00BE2B02"/>
    <w:rsid w:val="00BE3120"/>
    <w:rsid w:val="00BE34FB"/>
    <w:rsid w:val="00BE4710"/>
    <w:rsid w:val="00BE4827"/>
    <w:rsid w:val="00BE5279"/>
    <w:rsid w:val="00BE53CC"/>
    <w:rsid w:val="00BE5A5F"/>
    <w:rsid w:val="00BE5DF0"/>
    <w:rsid w:val="00BE768D"/>
    <w:rsid w:val="00BE7984"/>
    <w:rsid w:val="00BE7B88"/>
    <w:rsid w:val="00BF0302"/>
    <w:rsid w:val="00BF06FB"/>
    <w:rsid w:val="00BF08AC"/>
    <w:rsid w:val="00BF1177"/>
    <w:rsid w:val="00BF1365"/>
    <w:rsid w:val="00BF1689"/>
    <w:rsid w:val="00BF20BB"/>
    <w:rsid w:val="00BF24F9"/>
    <w:rsid w:val="00BF28E2"/>
    <w:rsid w:val="00BF2AF8"/>
    <w:rsid w:val="00BF2DF9"/>
    <w:rsid w:val="00BF59A4"/>
    <w:rsid w:val="00BF6112"/>
    <w:rsid w:val="00BF6C81"/>
    <w:rsid w:val="00BF7ABA"/>
    <w:rsid w:val="00C00930"/>
    <w:rsid w:val="00C01026"/>
    <w:rsid w:val="00C01331"/>
    <w:rsid w:val="00C01959"/>
    <w:rsid w:val="00C030B2"/>
    <w:rsid w:val="00C032EA"/>
    <w:rsid w:val="00C039C5"/>
    <w:rsid w:val="00C03F32"/>
    <w:rsid w:val="00C0405A"/>
    <w:rsid w:val="00C042A6"/>
    <w:rsid w:val="00C0484D"/>
    <w:rsid w:val="00C060AD"/>
    <w:rsid w:val="00C0651C"/>
    <w:rsid w:val="00C0661B"/>
    <w:rsid w:val="00C06950"/>
    <w:rsid w:val="00C06A74"/>
    <w:rsid w:val="00C06C9C"/>
    <w:rsid w:val="00C07085"/>
    <w:rsid w:val="00C07424"/>
    <w:rsid w:val="00C113BF"/>
    <w:rsid w:val="00C1167C"/>
    <w:rsid w:val="00C11797"/>
    <w:rsid w:val="00C12C33"/>
    <w:rsid w:val="00C13495"/>
    <w:rsid w:val="00C134B5"/>
    <w:rsid w:val="00C135B2"/>
    <w:rsid w:val="00C13AE7"/>
    <w:rsid w:val="00C13DB9"/>
    <w:rsid w:val="00C13E35"/>
    <w:rsid w:val="00C14B12"/>
    <w:rsid w:val="00C1503E"/>
    <w:rsid w:val="00C16E53"/>
    <w:rsid w:val="00C205F4"/>
    <w:rsid w:val="00C20AFE"/>
    <w:rsid w:val="00C213B5"/>
    <w:rsid w:val="00C21504"/>
    <w:rsid w:val="00C2176E"/>
    <w:rsid w:val="00C21A4B"/>
    <w:rsid w:val="00C22D03"/>
    <w:rsid w:val="00C23430"/>
    <w:rsid w:val="00C239EF"/>
    <w:rsid w:val="00C2425D"/>
    <w:rsid w:val="00C248A4"/>
    <w:rsid w:val="00C24BB3"/>
    <w:rsid w:val="00C263DC"/>
    <w:rsid w:val="00C264C0"/>
    <w:rsid w:val="00C268ED"/>
    <w:rsid w:val="00C26A0B"/>
    <w:rsid w:val="00C26DF0"/>
    <w:rsid w:val="00C26E6C"/>
    <w:rsid w:val="00C26ED2"/>
    <w:rsid w:val="00C272E1"/>
    <w:rsid w:val="00C276A2"/>
    <w:rsid w:val="00C2792C"/>
    <w:rsid w:val="00C27D67"/>
    <w:rsid w:val="00C307CA"/>
    <w:rsid w:val="00C3080C"/>
    <w:rsid w:val="00C3124F"/>
    <w:rsid w:val="00C3156C"/>
    <w:rsid w:val="00C31BC2"/>
    <w:rsid w:val="00C320EF"/>
    <w:rsid w:val="00C32C2A"/>
    <w:rsid w:val="00C3306F"/>
    <w:rsid w:val="00C340A4"/>
    <w:rsid w:val="00C348BF"/>
    <w:rsid w:val="00C34B9A"/>
    <w:rsid w:val="00C35632"/>
    <w:rsid w:val="00C36880"/>
    <w:rsid w:val="00C36B3C"/>
    <w:rsid w:val="00C36D16"/>
    <w:rsid w:val="00C36EC8"/>
    <w:rsid w:val="00C37577"/>
    <w:rsid w:val="00C4112B"/>
    <w:rsid w:val="00C41E2F"/>
    <w:rsid w:val="00C427B4"/>
    <w:rsid w:val="00C43869"/>
    <w:rsid w:val="00C43CA0"/>
    <w:rsid w:val="00C43CEF"/>
    <w:rsid w:val="00C440C3"/>
    <w:rsid w:val="00C4486B"/>
    <w:rsid w:val="00C44A72"/>
    <w:rsid w:val="00C44AA2"/>
    <w:rsid w:val="00C44C29"/>
    <w:rsid w:val="00C451AA"/>
    <w:rsid w:val="00C45C24"/>
    <w:rsid w:val="00C4631F"/>
    <w:rsid w:val="00C46A8C"/>
    <w:rsid w:val="00C46CD5"/>
    <w:rsid w:val="00C47CDE"/>
    <w:rsid w:val="00C47D33"/>
    <w:rsid w:val="00C50927"/>
    <w:rsid w:val="00C50D52"/>
    <w:rsid w:val="00C50E16"/>
    <w:rsid w:val="00C51EE8"/>
    <w:rsid w:val="00C52075"/>
    <w:rsid w:val="00C52775"/>
    <w:rsid w:val="00C52CEA"/>
    <w:rsid w:val="00C5356D"/>
    <w:rsid w:val="00C5356F"/>
    <w:rsid w:val="00C53FED"/>
    <w:rsid w:val="00C5462A"/>
    <w:rsid w:val="00C54712"/>
    <w:rsid w:val="00C54B5D"/>
    <w:rsid w:val="00C55258"/>
    <w:rsid w:val="00C55F10"/>
    <w:rsid w:val="00C57AE2"/>
    <w:rsid w:val="00C57E94"/>
    <w:rsid w:val="00C60436"/>
    <w:rsid w:val="00C60635"/>
    <w:rsid w:val="00C610C1"/>
    <w:rsid w:val="00C61144"/>
    <w:rsid w:val="00C623DC"/>
    <w:rsid w:val="00C62D55"/>
    <w:rsid w:val="00C62EB8"/>
    <w:rsid w:val="00C635FA"/>
    <w:rsid w:val="00C63675"/>
    <w:rsid w:val="00C64379"/>
    <w:rsid w:val="00C64725"/>
    <w:rsid w:val="00C65BA9"/>
    <w:rsid w:val="00C65C2E"/>
    <w:rsid w:val="00C65CAD"/>
    <w:rsid w:val="00C66657"/>
    <w:rsid w:val="00C66C8A"/>
    <w:rsid w:val="00C66CAF"/>
    <w:rsid w:val="00C66F0B"/>
    <w:rsid w:val="00C6735C"/>
    <w:rsid w:val="00C705CA"/>
    <w:rsid w:val="00C71ED6"/>
    <w:rsid w:val="00C726C2"/>
    <w:rsid w:val="00C72F75"/>
    <w:rsid w:val="00C72FCA"/>
    <w:rsid w:val="00C73241"/>
    <w:rsid w:val="00C73706"/>
    <w:rsid w:val="00C744F5"/>
    <w:rsid w:val="00C74591"/>
    <w:rsid w:val="00C74B38"/>
    <w:rsid w:val="00C74D55"/>
    <w:rsid w:val="00C74FE6"/>
    <w:rsid w:val="00C755CB"/>
    <w:rsid w:val="00C7566E"/>
    <w:rsid w:val="00C75DD8"/>
    <w:rsid w:val="00C77052"/>
    <w:rsid w:val="00C776BD"/>
    <w:rsid w:val="00C77BFE"/>
    <w:rsid w:val="00C8112B"/>
    <w:rsid w:val="00C81834"/>
    <w:rsid w:val="00C81901"/>
    <w:rsid w:val="00C8220F"/>
    <w:rsid w:val="00C82B4E"/>
    <w:rsid w:val="00C82EEB"/>
    <w:rsid w:val="00C83575"/>
    <w:rsid w:val="00C8410C"/>
    <w:rsid w:val="00C8443D"/>
    <w:rsid w:val="00C844F0"/>
    <w:rsid w:val="00C84C4E"/>
    <w:rsid w:val="00C851CB"/>
    <w:rsid w:val="00C86693"/>
    <w:rsid w:val="00C872FD"/>
    <w:rsid w:val="00C87A7B"/>
    <w:rsid w:val="00C87D52"/>
    <w:rsid w:val="00C9059D"/>
    <w:rsid w:val="00C912C3"/>
    <w:rsid w:val="00C91C26"/>
    <w:rsid w:val="00C91E8E"/>
    <w:rsid w:val="00C91F7B"/>
    <w:rsid w:val="00C92079"/>
    <w:rsid w:val="00C92F0D"/>
    <w:rsid w:val="00C93406"/>
    <w:rsid w:val="00C93CDB"/>
    <w:rsid w:val="00C950CF"/>
    <w:rsid w:val="00C950DA"/>
    <w:rsid w:val="00C95183"/>
    <w:rsid w:val="00C95BB6"/>
    <w:rsid w:val="00C95C72"/>
    <w:rsid w:val="00C9668E"/>
    <w:rsid w:val="00C96789"/>
    <w:rsid w:val="00C9717C"/>
    <w:rsid w:val="00C971DC"/>
    <w:rsid w:val="00CA01A4"/>
    <w:rsid w:val="00CA0694"/>
    <w:rsid w:val="00CA0A83"/>
    <w:rsid w:val="00CA16B7"/>
    <w:rsid w:val="00CA1FE4"/>
    <w:rsid w:val="00CA227B"/>
    <w:rsid w:val="00CA26CB"/>
    <w:rsid w:val="00CA2C32"/>
    <w:rsid w:val="00CA3280"/>
    <w:rsid w:val="00CA351D"/>
    <w:rsid w:val="00CA3965"/>
    <w:rsid w:val="00CA3F57"/>
    <w:rsid w:val="00CA461E"/>
    <w:rsid w:val="00CA5241"/>
    <w:rsid w:val="00CA52FA"/>
    <w:rsid w:val="00CA556A"/>
    <w:rsid w:val="00CA6096"/>
    <w:rsid w:val="00CA6246"/>
    <w:rsid w:val="00CA62AE"/>
    <w:rsid w:val="00CA6AC5"/>
    <w:rsid w:val="00CA6C18"/>
    <w:rsid w:val="00CA6EFF"/>
    <w:rsid w:val="00CA714B"/>
    <w:rsid w:val="00CA73D3"/>
    <w:rsid w:val="00CB0447"/>
    <w:rsid w:val="00CB1937"/>
    <w:rsid w:val="00CB1E32"/>
    <w:rsid w:val="00CB352B"/>
    <w:rsid w:val="00CB4768"/>
    <w:rsid w:val="00CB4AC2"/>
    <w:rsid w:val="00CB5B1A"/>
    <w:rsid w:val="00CB62CF"/>
    <w:rsid w:val="00CB7329"/>
    <w:rsid w:val="00CB739B"/>
    <w:rsid w:val="00CB772E"/>
    <w:rsid w:val="00CC0147"/>
    <w:rsid w:val="00CC08FC"/>
    <w:rsid w:val="00CC110D"/>
    <w:rsid w:val="00CC11F0"/>
    <w:rsid w:val="00CC1589"/>
    <w:rsid w:val="00CC15F7"/>
    <w:rsid w:val="00CC16DD"/>
    <w:rsid w:val="00CC1ECD"/>
    <w:rsid w:val="00CC220B"/>
    <w:rsid w:val="00CC274C"/>
    <w:rsid w:val="00CC2B45"/>
    <w:rsid w:val="00CC2D10"/>
    <w:rsid w:val="00CC3A2B"/>
    <w:rsid w:val="00CC4CAA"/>
    <w:rsid w:val="00CC4E59"/>
    <w:rsid w:val="00CC5016"/>
    <w:rsid w:val="00CC504E"/>
    <w:rsid w:val="00CC5949"/>
    <w:rsid w:val="00CC5C43"/>
    <w:rsid w:val="00CC5F2E"/>
    <w:rsid w:val="00CC6037"/>
    <w:rsid w:val="00CC632B"/>
    <w:rsid w:val="00CC7661"/>
    <w:rsid w:val="00CC79A1"/>
    <w:rsid w:val="00CC7CAF"/>
    <w:rsid w:val="00CD001F"/>
    <w:rsid w:val="00CD02AE"/>
    <w:rsid w:val="00CD13AA"/>
    <w:rsid w:val="00CD1B97"/>
    <w:rsid w:val="00CD2A4F"/>
    <w:rsid w:val="00CD3ADC"/>
    <w:rsid w:val="00CD49E8"/>
    <w:rsid w:val="00CD4AB3"/>
    <w:rsid w:val="00CD4F67"/>
    <w:rsid w:val="00CD56D6"/>
    <w:rsid w:val="00CD58E9"/>
    <w:rsid w:val="00CD5F2A"/>
    <w:rsid w:val="00CD6B1A"/>
    <w:rsid w:val="00CD7732"/>
    <w:rsid w:val="00CD7A0C"/>
    <w:rsid w:val="00CE004E"/>
    <w:rsid w:val="00CE028D"/>
    <w:rsid w:val="00CE03CA"/>
    <w:rsid w:val="00CE0434"/>
    <w:rsid w:val="00CE0A37"/>
    <w:rsid w:val="00CE0B15"/>
    <w:rsid w:val="00CE2092"/>
    <w:rsid w:val="00CE22F1"/>
    <w:rsid w:val="00CE305D"/>
    <w:rsid w:val="00CE3083"/>
    <w:rsid w:val="00CE31E4"/>
    <w:rsid w:val="00CE3205"/>
    <w:rsid w:val="00CE47B6"/>
    <w:rsid w:val="00CE50F2"/>
    <w:rsid w:val="00CE5698"/>
    <w:rsid w:val="00CE5A4F"/>
    <w:rsid w:val="00CE5A80"/>
    <w:rsid w:val="00CE60FE"/>
    <w:rsid w:val="00CE64FF"/>
    <w:rsid w:val="00CE6502"/>
    <w:rsid w:val="00CE6E90"/>
    <w:rsid w:val="00CE7D92"/>
    <w:rsid w:val="00CF03A8"/>
    <w:rsid w:val="00CF1082"/>
    <w:rsid w:val="00CF193C"/>
    <w:rsid w:val="00CF1EAE"/>
    <w:rsid w:val="00CF2125"/>
    <w:rsid w:val="00CF2331"/>
    <w:rsid w:val="00CF28A7"/>
    <w:rsid w:val="00CF2EC1"/>
    <w:rsid w:val="00CF2FCB"/>
    <w:rsid w:val="00CF37A9"/>
    <w:rsid w:val="00CF4380"/>
    <w:rsid w:val="00CF5828"/>
    <w:rsid w:val="00CF62AF"/>
    <w:rsid w:val="00CF6CBA"/>
    <w:rsid w:val="00CF7C5E"/>
    <w:rsid w:val="00CF7D3C"/>
    <w:rsid w:val="00CF7D76"/>
    <w:rsid w:val="00D005C3"/>
    <w:rsid w:val="00D00BAC"/>
    <w:rsid w:val="00D01F09"/>
    <w:rsid w:val="00D02099"/>
    <w:rsid w:val="00D027CF"/>
    <w:rsid w:val="00D031A8"/>
    <w:rsid w:val="00D032ED"/>
    <w:rsid w:val="00D0343B"/>
    <w:rsid w:val="00D03C34"/>
    <w:rsid w:val="00D0414E"/>
    <w:rsid w:val="00D0440D"/>
    <w:rsid w:val="00D044CB"/>
    <w:rsid w:val="00D0455F"/>
    <w:rsid w:val="00D0456F"/>
    <w:rsid w:val="00D04691"/>
    <w:rsid w:val="00D048D6"/>
    <w:rsid w:val="00D05438"/>
    <w:rsid w:val="00D077A3"/>
    <w:rsid w:val="00D0788E"/>
    <w:rsid w:val="00D07A3B"/>
    <w:rsid w:val="00D07CFC"/>
    <w:rsid w:val="00D105C8"/>
    <w:rsid w:val="00D106B7"/>
    <w:rsid w:val="00D107D4"/>
    <w:rsid w:val="00D11429"/>
    <w:rsid w:val="00D115EC"/>
    <w:rsid w:val="00D11697"/>
    <w:rsid w:val="00D12928"/>
    <w:rsid w:val="00D140E1"/>
    <w:rsid w:val="00D1471F"/>
    <w:rsid w:val="00D14788"/>
    <w:rsid w:val="00D147EB"/>
    <w:rsid w:val="00D15881"/>
    <w:rsid w:val="00D16665"/>
    <w:rsid w:val="00D178A4"/>
    <w:rsid w:val="00D17F94"/>
    <w:rsid w:val="00D20EA6"/>
    <w:rsid w:val="00D218C7"/>
    <w:rsid w:val="00D222D7"/>
    <w:rsid w:val="00D22786"/>
    <w:rsid w:val="00D22AA8"/>
    <w:rsid w:val="00D2303E"/>
    <w:rsid w:val="00D23684"/>
    <w:rsid w:val="00D24387"/>
    <w:rsid w:val="00D24819"/>
    <w:rsid w:val="00D2485C"/>
    <w:rsid w:val="00D254EF"/>
    <w:rsid w:val="00D25584"/>
    <w:rsid w:val="00D258E5"/>
    <w:rsid w:val="00D25A9B"/>
    <w:rsid w:val="00D267E3"/>
    <w:rsid w:val="00D2785E"/>
    <w:rsid w:val="00D30154"/>
    <w:rsid w:val="00D30701"/>
    <w:rsid w:val="00D32C15"/>
    <w:rsid w:val="00D33206"/>
    <w:rsid w:val="00D3391D"/>
    <w:rsid w:val="00D3410E"/>
    <w:rsid w:val="00D3428F"/>
    <w:rsid w:val="00D34667"/>
    <w:rsid w:val="00D346B9"/>
    <w:rsid w:val="00D3508D"/>
    <w:rsid w:val="00D3528C"/>
    <w:rsid w:val="00D35342"/>
    <w:rsid w:val="00D35724"/>
    <w:rsid w:val="00D35CC2"/>
    <w:rsid w:val="00D35D74"/>
    <w:rsid w:val="00D35DFC"/>
    <w:rsid w:val="00D35ED0"/>
    <w:rsid w:val="00D36A36"/>
    <w:rsid w:val="00D36B91"/>
    <w:rsid w:val="00D36BD1"/>
    <w:rsid w:val="00D37272"/>
    <w:rsid w:val="00D401E1"/>
    <w:rsid w:val="00D408B4"/>
    <w:rsid w:val="00D4134D"/>
    <w:rsid w:val="00D4193B"/>
    <w:rsid w:val="00D41A49"/>
    <w:rsid w:val="00D42A6A"/>
    <w:rsid w:val="00D42EFD"/>
    <w:rsid w:val="00D43526"/>
    <w:rsid w:val="00D435BC"/>
    <w:rsid w:val="00D44914"/>
    <w:rsid w:val="00D44F0E"/>
    <w:rsid w:val="00D468B6"/>
    <w:rsid w:val="00D477D7"/>
    <w:rsid w:val="00D5012F"/>
    <w:rsid w:val="00D508BE"/>
    <w:rsid w:val="00D515C9"/>
    <w:rsid w:val="00D524C8"/>
    <w:rsid w:val="00D533FA"/>
    <w:rsid w:val="00D53708"/>
    <w:rsid w:val="00D53B19"/>
    <w:rsid w:val="00D53CFA"/>
    <w:rsid w:val="00D53F87"/>
    <w:rsid w:val="00D54BF9"/>
    <w:rsid w:val="00D55841"/>
    <w:rsid w:val="00D568DA"/>
    <w:rsid w:val="00D56A45"/>
    <w:rsid w:val="00D5703C"/>
    <w:rsid w:val="00D575B4"/>
    <w:rsid w:val="00D57671"/>
    <w:rsid w:val="00D57F78"/>
    <w:rsid w:val="00D60B27"/>
    <w:rsid w:val="00D60E78"/>
    <w:rsid w:val="00D61338"/>
    <w:rsid w:val="00D6167C"/>
    <w:rsid w:val="00D6188F"/>
    <w:rsid w:val="00D61E15"/>
    <w:rsid w:val="00D6215F"/>
    <w:rsid w:val="00D62CF8"/>
    <w:rsid w:val="00D6301D"/>
    <w:rsid w:val="00D63442"/>
    <w:rsid w:val="00D634C4"/>
    <w:rsid w:val="00D63751"/>
    <w:rsid w:val="00D63ED3"/>
    <w:rsid w:val="00D64246"/>
    <w:rsid w:val="00D64D37"/>
    <w:rsid w:val="00D64F17"/>
    <w:rsid w:val="00D6594C"/>
    <w:rsid w:val="00D65F24"/>
    <w:rsid w:val="00D66706"/>
    <w:rsid w:val="00D67915"/>
    <w:rsid w:val="00D70E23"/>
    <w:rsid w:val="00D70E24"/>
    <w:rsid w:val="00D717D5"/>
    <w:rsid w:val="00D71F5B"/>
    <w:rsid w:val="00D71FA5"/>
    <w:rsid w:val="00D720B9"/>
    <w:rsid w:val="00D727F3"/>
    <w:rsid w:val="00D729FF"/>
    <w:rsid w:val="00D72B61"/>
    <w:rsid w:val="00D735DA"/>
    <w:rsid w:val="00D73F0D"/>
    <w:rsid w:val="00D7456E"/>
    <w:rsid w:val="00D74584"/>
    <w:rsid w:val="00D75118"/>
    <w:rsid w:val="00D75ED8"/>
    <w:rsid w:val="00D75F59"/>
    <w:rsid w:val="00D76A2B"/>
    <w:rsid w:val="00D77612"/>
    <w:rsid w:val="00D8082A"/>
    <w:rsid w:val="00D8112B"/>
    <w:rsid w:val="00D815E6"/>
    <w:rsid w:val="00D81A6F"/>
    <w:rsid w:val="00D81D25"/>
    <w:rsid w:val="00D828A1"/>
    <w:rsid w:val="00D82ED4"/>
    <w:rsid w:val="00D8630B"/>
    <w:rsid w:val="00D86444"/>
    <w:rsid w:val="00D875D6"/>
    <w:rsid w:val="00D87B64"/>
    <w:rsid w:val="00D87FA4"/>
    <w:rsid w:val="00D916E9"/>
    <w:rsid w:val="00D91794"/>
    <w:rsid w:val="00D92D8A"/>
    <w:rsid w:val="00D93CCF"/>
    <w:rsid w:val="00D94170"/>
    <w:rsid w:val="00D95CE7"/>
    <w:rsid w:val="00D96990"/>
    <w:rsid w:val="00DA0202"/>
    <w:rsid w:val="00DA10D1"/>
    <w:rsid w:val="00DA13F3"/>
    <w:rsid w:val="00DA1873"/>
    <w:rsid w:val="00DA1D81"/>
    <w:rsid w:val="00DA275D"/>
    <w:rsid w:val="00DA32DA"/>
    <w:rsid w:val="00DA3353"/>
    <w:rsid w:val="00DA368D"/>
    <w:rsid w:val="00DA3D1D"/>
    <w:rsid w:val="00DA510D"/>
    <w:rsid w:val="00DA5F29"/>
    <w:rsid w:val="00DA6705"/>
    <w:rsid w:val="00DA683B"/>
    <w:rsid w:val="00DA7655"/>
    <w:rsid w:val="00DA79CD"/>
    <w:rsid w:val="00DB0028"/>
    <w:rsid w:val="00DB04CD"/>
    <w:rsid w:val="00DB0B41"/>
    <w:rsid w:val="00DB0F50"/>
    <w:rsid w:val="00DB1484"/>
    <w:rsid w:val="00DB18F6"/>
    <w:rsid w:val="00DB1D78"/>
    <w:rsid w:val="00DB1D90"/>
    <w:rsid w:val="00DB213F"/>
    <w:rsid w:val="00DB2260"/>
    <w:rsid w:val="00DB28BB"/>
    <w:rsid w:val="00DB2976"/>
    <w:rsid w:val="00DB2F9F"/>
    <w:rsid w:val="00DB32B6"/>
    <w:rsid w:val="00DB46AA"/>
    <w:rsid w:val="00DB4D92"/>
    <w:rsid w:val="00DB4FA2"/>
    <w:rsid w:val="00DB51D2"/>
    <w:rsid w:val="00DB5450"/>
    <w:rsid w:val="00DB567F"/>
    <w:rsid w:val="00DB573A"/>
    <w:rsid w:val="00DB599F"/>
    <w:rsid w:val="00DB5AB4"/>
    <w:rsid w:val="00DB5C00"/>
    <w:rsid w:val="00DB6286"/>
    <w:rsid w:val="00DB63D0"/>
    <w:rsid w:val="00DB645F"/>
    <w:rsid w:val="00DB66B2"/>
    <w:rsid w:val="00DB6738"/>
    <w:rsid w:val="00DB758D"/>
    <w:rsid w:val="00DB76E9"/>
    <w:rsid w:val="00DC0A67"/>
    <w:rsid w:val="00DC1AA2"/>
    <w:rsid w:val="00DC1D5E"/>
    <w:rsid w:val="00DC1E61"/>
    <w:rsid w:val="00DC5220"/>
    <w:rsid w:val="00DC5C5B"/>
    <w:rsid w:val="00DC5DA4"/>
    <w:rsid w:val="00DC5FD5"/>
    <w:rsid w:val="00DC658D"/>
    <w:rsid w:val="00DC65ED"/>
    <w:rsid w:val="00DC6623"/>
    <w:rsid w:val="00DC684D"/>
    <w:rsid w:val="00DC783F"/>
    <w:rsid w:val="00DC7B65"/>
    <w:rsid w:val="00DD0787"/>
    <w:rsid w:val="00DD0929"/>
    <w:rsid w:val="00DD0B75"/>
    <w:rsid w:val="00DD11DD"/>
    <w:rsid w:val="00DD143D"/>
    <w:rsid w:val="00DD1B0D"/>
    <w:rsid w:val="00DD1E50"/>
    <w:rsid w:val="00DD2061"/>
    <w:rsid w:val="00DD26B4"/>
    <w:rsid w:val="00DD3A8F"/>
    <w:rsid w:val="00DD4589"/>
    <w:rsid w:val="00DD56B2"/>
    <w:rsid w:val="00DD5E6A"/>
    <w:rsid w:val="00DD649A"/>
    <w:rsid w:val="00DD6D55"/>
    <w:rsid w:val="00DD7A44"/>
    <w:rsid w:val="00DD7DAB"/>
    <w:rsid w:val="00DE0697"/>
    <w:rsid w:val="00DE0D05"/>
    <w:rsid w:val="00DE0E44"/>
    <w:rsid w:val="00DE3355"/>
    <w:rsid w:val="00DE36DC"/>
    <w:rsid w:val="00DE3811"/>
    <w:rsid w:val="00DE3839"/>
    <w:rsid w:val="00DE42A0"/>
    <w:rsid w:val="00DE4F0B"/>
    <w:rsid w:val="00DE59D7"/>
    <w:rsid w:val="00DE5C8F"/>
    <w:rsid w:val="00DE6AD6"/>
    <w:rsid w:val="00DE6C10"/>
    <w:rsid w:val="00DE6D26"/>
    <w:rsid w:val="00DE74DE"/>
    <w:rsid w:val="00DE7DB3"/>
    <w:rsid w:val="00DF048F"/>
    <w:rsid w:val="00DF0C60"/>
    <w:rsid w:val="00DF0CF1"/>
    <w:rsid w:val="00DF1ADF"/>
    <w:rsid w:val="00DF214C"/>
    <w:rsid w:val="00DF22A5"/>
    <w:rsid w:val="00DF23B3"/>
    <w:rsid w:val="00DF2484"/>
    <w:rsid w:val="00DF2557"/>
    <w:rsid w:val="00DF2790"/>
    <w:rsid w:val="00DF2809"/>
    <w:rsid w:val="00DF2A62"/>
    <w:rsid w:val="00DF40E1"/>
    <w:rsid w:val="00DF4516"/>
    <w:rsid w:val="00DF486F"/>
    <w:rsid w:val="00DF4B43"/>
    <w:rsid w:val="00DF4C0D"/>
    <w:rsid w:val="00DF4D38"/>
    <w:rsid w:val="00DF577D"/>
    <w:rsid w:val="00DF5B5B"/>
    <w:rsid w:val="00DF5E99"/>
    <w:rsid w:val="00DF6D57"/>
    <w:rsid w:val="00DF7619"/>
    <w:rsid w:val="00DF7C61"/>
    <w:rsid w:val="00E00419"/>
    <w:rsid w:val="00E00A6C"/>
    <w:rsid w:val="00E02B38"/>
    <w:rsid w:val="00E031CD"/>
    <w:rsid w:val="00E03742"/>
    <w:rsid w:val="00E042D8"/>
    <w:rsid w:val="00E04B7E"/>
    <w:rsid w:val="00E05007"/>
    <w:rsid w:val="00E0508E"/>
    <w:rsid w:val="00E0511A"/>
    <w:rsid w:val="00E0588A"/>
    <w:rsid w:val="00E05CFA"/>
    <w:rsid w:val="00E05F10"/>
    <w:rsid w:val="00E0600B"/>
    <w:rsid w:val="00E060C8"/>
    <w:rsid w:val="00E068E4"/>
    <w:rsid w:val="00E07EE7"/>
    <w:rsid w:val="00E1103B"/>
    <w:rsid w:val="00E117F0"/>
    <w:rsid w:val="00E118E2"/>
    <w:rsid w:val="00E11B69"/>
    <w:rsid w:val="00E11D25"/>
    <w:rsid w:val="00E124F1"/>
    <w:rsid w:val="00E12778"/>
    <w:rsid w:val="00E12E88"/>
    <w:rsid w:val="00E130C9"/>
    <w:rsid w:val="00E13B10"/>
    <w:rsid w:val="00E13CEC"/>
    <w:rsid w:val="00E14527"/>
    <w:rsid w:val="00E15380"/>
    <w:rsid w:val="00E15573"/>
    <w:rsid w:val="00E16087"/>
    <w:rsid w:val="00E174B3"/>
    <w:rsid w:val="00E17764"/>
    <w:rsid w:val="00E17807"/>
    <w:rsid w:val="00E17AEE"/>
    <w:rsid w:val="00E17B44"/>
    <w:rsid w:val="00E17B97"/>
    <w:rsid w:val="00E20BA1"/>
    <w:rsid w:val="00E20F27"/>
    <w:rsid w:val="00E210B3"/>
    <w:rsid w:val="00E21354"/>
    <w:rsid w:val="00E2151B"/>
    <w:rsid w:val="00E21AEF"/>
    <w:rsid w:val="00E222FC"/>
    <w:rsid w:val="00E22443"/>
    <w:rsid w:val="00E23035"/>
    <w:rsid w:val="00E233C4"/>
    <w:rsid w:val="00E24438"/>
    <w:rsid w:val="00E24A49"/>
    <w:rsid w:val="00E2513E"/>
    <w:rsid w:val="00E26506"/>
    <w:rsid w:val="00E269D3"/>
    <w:rsid w:val="00E2726C"/>
    <w:rsid w:val="00E27330"/>
    <w:rsid w:val="00E27F8E"/>
    <w:rsid w:val="00E27FEA"/>
    <w:rsid w:val="00E306F4"/>
    <w:rsid w:val="00E314DB"/>
    <w:rsid w:val="00E31603"/>
    <w:rsid w:val="00E31AA0"/>
    <w:rsid w:val="00E31C21"/>
    <w:rsid w:val="00E31FC4"/>
    <w:rsid w:val="00E32313"/>
    <w:rsid w:val="00E326F5"/>
    <w:rsid w:val="00E32CB3"/>
    <w:rsid w:val="00E33A34"/>
    <w:rsid w:val="00E34522"/>
    <w:rsid w:val="00E34869"/>
    <w:rsid w:val="00E34B67"/>
    <w:rsid w:val="00E34E37"/>
    <w:rsid w:val="00E368EA"/>
    <w:rsid w:val="00E377BB"/>
    <w:rsid w:val="00E40677"/>
    <w:rsid w:val="00E4086F"/>
    <w:rsid w:val="00E4140A"/>
    <w:rsid w:val="00E41B0D"/>
    <w:rsid w:val="00E41C66"/>
    <w:rsid w:val="00E41E45"/>
    <w:rsid w:val="00E427F6"/>
    <w:rsid w:val="00E42FC7"/>
    <w:rsid w:val="00E4351C"/>
    <w:rsid w:val="00E43765"/>
    <w:rsid w:val="00E43B3C"/>
    <w:rsid w:val="00E43D69"/>
    <w:rsid w:val="00E43F34"/>
    <w:rsid w:val="00E45630"/>
    <w:rsid w:val="00E459DF"/>
    <w:rsid w:val="00E46A8E"/>
    <w:rsid w:val="00E473F6"/>
    <w:rsid w:val="00E50188"/>
    <w:rsid w:val="00E50322"/>
    <w:rsid w:val="00E50331"/>
    <w:rsid w:val="00E50790"/>
    <w:rsid w:val="00E50BB3"/>
    <w:rsid w:val="00E515CB"/>
    <w:rsid w:val="00E51BA2"/>
    <w:rsid w:val="00E52260"/>
    <w:rsid w:val="00E5254B"/>
    <w:rsid w:val="00E525F0"/>
    <w:rsid w:val="00E5315A"/>
    <w:rsid w:val="00E53BD0"/>
    <w:rsid w:val="00E53CB9"/>
    <w:rsid w:val="00E53DEC"/>
    <w:rsid w:val="00E544BC"/>
    <w:rsid w:val="00E54678"/>
    <w:rsid w:val="00E546F3"/>
    <w:rsid w:val="00E548D5"/>
    <w:rsid w:val="00E54D5E"/>
    <w:rsid w:val="00E54F12"/>
    <w:rsid w:val="00E558CC"/>
    <w:rsid w:val="00E55924"/>
    <w:rsid w:val="00E560C0"/>
    <w:rsid w:val="00E573F1"/>
    <w:rsid w:val="00E57751"/>
    <w:rsid w:val="00E577AD"/>
    <w:rsid w:val="00E579A2"/>
    <w:rsid w:val="00E57D63"/>
    <w:rsid w:val="00E60186"/>
    <w:rsid w:val="00E60408"/>
    <w:rsid w:val="00E618BB"/>
    <w:rsid w:val="00E61F60"/>
    <w:rsid w:val="00E6272E"/>
    <w:rsid w:val="00E62BDE"/>
    <w:rsid w:val="00E62D18"/>
    <w:rsid w:val="00E639B6"/>
    <w:rsid w:val="00E6434B"/>
    <w:rsid w:val="00E64503"/>
    <w:rsid w:val="00E6463D"/>
    <w:rsid w:val="00E66A13"/>
    <w:rsid w:val="00E67338"/>
    <w:rsid w:val="00E678EA"/>
    <w:rsid w:val="00E6792F"/>
    <w:rsid w:val="00E71090"/>
    <w:rsid w:val="00E713AB"/>
    <w:rsid w:val="00E7176A"/>
    <w:rsid w:val="00E71CA4"/>
    <w:rsid w:val="00E72CF1"/>
    <w:rsid w:val="00E72E9B"/>
    <w:rsid w:val="00E72F07"/>
    <w:rsid w:val="00E72F1F"/>
    <w:rsid w:val="00E731D1"/>
    <w:rsid w:val="00E73575"/>
    <w:rsid w:val="00E73DB4"/>
    <w:rsid w:val="00E7451B"/>
    <w:rsid w:val="00E74B83"/>
    <w:rsid w:val="00E7521A"/>
    <w:rsid w:val="00E75A93"/>
    <w:rsid w:val="00E7656D"/>
    <w:rsid w:val="00E770A6"/>
    <w:rsid w:val="00E7710D"/>
    <w:rsid w:val="00E7778A"/>
    <w:rsid w:val="00E80506"/>
    <w:rsid w:val="00E81732"/>
    <w:rsid w:val="00E81989"/>
    <w:rsid w:val="00E81D87"/>
    <w:rsid w:val="00E8206E"/>
    <w:rsid w:val="00E82B5F"/>
    <w:rsid w:val="00E83420"/>
    <w:rsid w:val="00E84C28"/>
    <w:rsid w:val="00E850C3"/>
    <w:rsid w:val="00E85940"/>
    <w:rsid w:val="00E85D90"/>
    <w:rsid w:val="00E86AE4"/>
    <w:rsid w:val="00E86E91"/>
    <w:rsid w:val="00E870E9"/>
    <w:rsid w:val="00E872F5"/>
    <w:rsid w:val="00E8783C"/>
    <w:rsid w:val="00E87DF2"/>
    <w:rsid w:val="00E90F86"/>
    <w:rsid w:val="00E914DA"/>
    <w:rsid w:val="00E9196D"/>
    <w:rsid w:val="00E93E81"/>
    <w:rsid w:val="00E94377"/>
    <w:rsid w:val="00E9462E"/>
    <w:rsid w:val="00E94931"/>
    <w:rsid w:val="00E94D38"/>
    <w:rsid w:val="00E953E3"/>
    <w:rsid w:val="00E957AA"/>
    <w:rsid w:val="00E97233"/>
    <w:rsid w:val="00E97469"/>
    <w:rsid w:val="00E97E4C"/>
    <w:rsid w:val="00EA1878"/>
    <w:rsid w:val="00EA1FA8"/>
    <w:rsid w:val="00EA22C7"/>
    <w:rsid w:val="00EA2504"/>
    <w:rsid w:val="00EA2D3A"/>
    <w:rsid w:val="00EA3B13"/>
    <w:rsid w:val="00EA46CB"/>
    <w:rsid w:val="00EA470E"/>
    <w:rsid w:val="00EA47A7"/>
    <w:rsid w:val="00EA57EB"/>
    <w:rsid w:val="00EA5842"/>
    <w:rsid w:val="00EA7449"/>
    <w:rsid w:val="00EA7D84"/>
    <w:rsid w:val="00EB0261"/>
    <w:rsid w:val="00EB0D2B"/>
    <w:rsid w:val="00EB11A8"/>
    <w:rsid w:val="00EB11BD"/>
    <w:rsid w:val="00EB248E"/>
    <w:rsid w:val="00EB249F"/>
    <w:rsid w:val="00EB26E7"/>
    <w:rsid w:val="00EB28C4"/>
    <w:rsid w:val="00EB2935"/>
    <w:rsid w:val="00EB2DE0"/>
    <w:rsid w:val="00EB3226"/>
    <w:rsid w:val="00EB3708"/>
    <w:rsid w:val="00EB38EB"/>
    <w:rsid w:val="00EB3ED0"/>
    <w:rsid w:val="00EB4D78"/>
    <w:rsid w:val="00EB51E8"/>
    <w:rsid w:val="00EB5684"/>
    <w:rsid w:val="00EB5AF9"/>
    <w:rsid w:val="00EB67C6"/>
    <w:rsid w:val="00EB7348"/>
    <w:rsid w:val="00EB7394"/>
    <w:rsid w:val="00EB76CD"/>
    <w:rsid w:val="00EB7FE9"/>
    <w:rsid w:val="00EC0192"/>
    <w:rsid w:val="00EC02C7"/>
    <w:rsid w:val="00EC1232"/>
    <w:rsid w:val="00EC1691"/>
    <w:rsid w:val="00EC184C"/>
    <w:rsid w:val="00EC1D64"/>
    <w:rsid w:val="00EC1F0D"/>
    <w:rsid w:val="00EC213A"/>
    <w:rsid w:val="00EC2299"/>
    <w:rsid w:val="00EC2628"/>
    <w:rsid w:val="00EC264A"/>
    <w:rsid w:val="00EC2D49"/>
    <w:rsid w:val="00EC2ED3"/>
    <w:rsid w:val="00EC3BB9"/>
    <w:rsid w:val="00EC44F1"/>
    <w:rsid w:val="00EC46E0"/>
    <w:rsid w:val="00EC4FD4"/>
    <w:rsid w:val="00EC53BF"/>
    <w:rsid w:val="00EC5537"/>
    <w:rsid w:val="00EC6806"/>
    <w:rsid w:val="00EC7744"/>
    <w:rsid w:val="00EC7760"/>
    <w:rsid w:val="00ED0993"/>
    <w:rsid w:val="00ED0AAD"/>
    <w:rsid w:val="00ED0DAD"/>
    <w:rsid w:val="00ED0F46"/>
    <w:rsid w:val="00ED13E1"/>
    <w:rsid w:val="00ED2373"/>
    <w:rsid w:val="00ED2C49"/>
    <w:rsid w:val="00ED2ED3"/>
    <w:rsid w:val="00ED3053"/>
    <w:rsid w:val="00ED3301"/>
    <w:rsid w:val="00ED356E"/>
    <w:rsid w:val="00ED397A"/>
    <w:rsid w:val="00ED3E36"/>
    <w:rsid w:val="00ED453B"/>
    <w:rsid w:val="00ED53F5"/>
    <w:rsid w:val="00ED6600"/>
    <w:rsid w:val="00ED6BCD"/>
    <w:rsid w:val="00ED7185"/>
    <w:rsid w:val="00ED7E5B"/>
    <w:rsid w:val="00ED7ED0"/>
    <w:rsid w:val="00EE06C8"/>
    <w:rsid w:val="00EE14C2"/>
    <w:rsid w:val="00EE21A0"/>
    <w:rsid w:val="00EE2ACF"/>
    <w:rsid w:val="00EE2B1F"/>
    <w:rsid w:val="00EE3313"/>
    <w:rsid w:val="00EE39BD"/>
    <w:rsid w:val="00EE3E8A"/>
    <w:rsid w:val="00EE4012"/>
    <w:rsid w:val="00EE41FC"/>
    <w:rsid w:val="00EE4F01"/>
    <w:rsid w:val="00EE604F"/>
    <w:rsid w:val="00EE60AC"/>
    <w:rsid w:val="00EE6A61"/>
    <w:rsid w:val="00EE7FCF"/>
    <w:rsid w:val="00EF0135"/>
    <w:rsid w:val="00EF0696"/>
    <w:rsid w:val="00EF18B5"/>
    <w:rsid w:val="00EF1A75"/>
    <w:rsid w:val="00EF1B08"/>
    <w:rsid w:val="00EF1CD7"/>
    <w:rsid w:val="00EF2429"/>
    <w:rsid w:val="00EF2470"/>
    <w:rsid w:val="00EF275B"/>
    <w:rsid w:val="00EF2C0D"/>
    <w:rsid w:val="00EF2DA9"/>
    <w:rsid w:val="00EF30C8"/>
    <w:rsid w:val="00EF3712"/>
    <w:rsid w:val="00EF3AF6"/>
    <w:rsid w:val="00EF3C6A"/>
    <w:rsid w:val="00EF3FC5"/>
    <w:rsid w:val="00EF43BD"/>
    <w:rsid w:val="00EF47FB"/>
    <w:rsid w:val="00EF497E"/>
    <w:rsid w:val="00EF58B8"/>
    <w:rsid w:val="00EF591C"/>
    <w:rsid w:val="00EF66D3"/>
    <w:rsid w:val="00EF66D6"/>
    <w:rsid w:val="00EF6B92"/>
    <w:rsid w:val="00EF6ECA"/>
    <w:rsid w:val="00EF7709"/>
    <w:rsid w:val="00F00508"/>
    <w:rsid w:val="00F00C2C"/>
    <w:rsid w:val="00F00F05"/>
    <w:rsid w:val="00F010F0"/>
    <w:rsid w:val="00F012B8"/>
    <w:rsid w:val="00F020F1"/>
    <w:rsid w:val="00F024E1"/>
    <w:rsid w:val="00F02539"/>
    <w:rsid w:val="00F02F87"/>
    <w:rsid w:val="00F03135"/>
    <w:rsid w:val="00F031EA"/>
    <w:rsid w:val="00F03C78"/>
    <w:rsid w:val="00F03C83"/>
    <w:rsid w:val="00F04126"/>
    <w:rsid w:val="00F041A1"/>
    <w:rsid w:val="00F048D6"/>
    <w:rsid w:val="00F04949"/>
    <w:rsid w:val="00F04BA9"/>
    <w:rsid w:val="00F04DA0"/>
    <w:rsid w:val="00F05D27"/>
    <w:rsid w:val="00F05F47"/>
    <w:rsid w:val="00F06267"/>
    <w:rsid w:val="00F06C10"/>
    <w:rsid w:val="00F10514"/>
    <w:rsid w:val="00F10765"/>
    <w:rsid w:val="00F1096F"/>
    <w:rsid w:val="00F12589"/>
    <w:rsid w:val="00F12595"/>
    <w:rsid w:val="00F12680"/>
    <w:rsid w:val="00F126A3"/>
    <w:rsid w:val="00F12B4E"/>
    <w:rsid w:val="00F12EFE"/>
    <w:rsid w:val="00F133B5"/>
    <w:rsid w:val="00F134D9"/>
    <w:rsid w:val="00F13509"/>
    <w:rsid w:val="00F13E59"/>
    <w:rsid w:val="00F13F25"/>
    <w:rsid w:val="00F1403D"/>
    <w:rsid w:val="00F145F3"/>
    <w:rsid w:val="00F1463F"/>
    <w:rsid w:val="00F14E1A"/>
    <w:rsid w:val="00F15DAE"/>
    <w:rsid w:val="00F15E34"/>
    <w:rsid w:val="00F16317"/>
    <w:rsid w:val="00F17C82"/>
    <w:rsid w:val="00F21302"/>
    <w:rsid w:val="00F21947"/>
    <w:rsid w:val="00F22FDF"/>
    <w:rsid w:val="00F230EB"/>
    <w:rsid w:val="00F23578"/>
    <w:rsid w:val="00F23D4A"/>
    <w:rsid w:val="00F23F5A"/>
    <w:rsid w:val="00F2444C"/>
    <w:rsid w:val="00F24727"/>
    <w:rsid w:val="00F25E7F"/>
    <w:rsid w:val="00F25FFC"/>
    <w:rsid w:val="00F26283"/>
    <w:rsid w:val="00F262F7"/>
    <w:rsid w:val="00F2655F"/>
    <w:rsid w:val="00F2693E"/>
    <w:rsid w:val="00F3094C"/>
    <w:rsid w:val="00F309C0"/>
    <w:rsid w:val="00F30C98"/>
    <w:rsid w:val="00F30F66"/>
    <w:rsid w:val="00F321DE"/>
    <w:rsid w:val="00F3236D"/>
    <w:rsid w:val="00F33777"/>
    <w:rsid w:val="00F3398C"/>
    <w:rsid w:val="00F33C7D"/>
    <w:rsid w:val="00F341C8"/>
    <w:rsid w:val="00F3447A"/>
    <w:rsid w:val="00F349E6"/>
    <w:rsid w:val="00F36173"/>
    <w:rsid w:val="00F367D1"/>
    <w:rsid w:val="00F37564"/>
    <w:rsid w:val="00F40648"/>
    <w:rsid w:val="00F42377"/>
    <w:rsid w:val="00F439C9"/>
    <w:rsid w:val="00F43A4B"/>
    <w:rsid w:val="00F4433A"/>
    <w:rsid w:val="00F44961"/>
    <w:rsid w:val="00F44C08"/>
    <w:rsid w:val="00F45D42"/>
    <w:rsid w:val="00F45D50"/>
    <w:rsid w:val="00F45DAF"/>
    <w:rsid w:val="00F45FE3"/>
    <w:rsid w:val="00F46033"/>
    <w:rsid w:val="00F467EB"/>
    <w:rsid w:val="00F46C40"/>
    <w:rsid w:val="00F47DA2"/>
    <w:rsid w:val="00F519FC"/>
    <w:rsid w:val="00F51CCB"/>
    <w:rsid w:val="00F51FBF"/>
    <w:rsid w:val="00F521AB"/>
    <w:rsid w:val="00F53000"/>
    <w:rsid w:val="00F53A86"/>
    <w:rsid w:val="00F54BC9"/>
    <w:rsid w:val="00F55632"/>
    <w:rsid w:val="00F560DC"/>
    <w:rsid w:val="00F561AD"/>
    <w:rsid w:val="00F56234"/>
    <w:rsid w:val="00F57239"/>
    <w:rsid w:val="00F57414"/>
    <w:rsid w:val="00F60068"/>
    <w:rsid w:val="00F60A75"/>
    <w:rsid w:val="00F61684"/>
    <w:rsid w:val="00F61F50"/>
    <w:rsid w:val="00F62391"/>
    <w:rsid w:val="00F6239D"/>
    <w:rsid w:val="00F6260C"/>
    <w:rsid w:val="00F6299D"/>
    <w:rsid w:val="00F633C0"/>
    <w:rsid w:val="00F64017"/>
    <w:rsid w:val="00F642DC"/>
    <w:rsid w:val="00F64DA1"/>
    <w:rsid w:val="00F65445"/>
    <w:rsid w:val="00F65C8C"/>
    <w:rsid w:val="00F66000"/>
    <w:rsid w:val="00F66FBB"/>
    <w:rsid w:val="00F6760A"/>
    <w:rsid w:val="00F70170"/>
    <w:rsid w:val="00F7060D"/>
    <w:rsid w:val="00F71179"/>
    <w:rsid w:val="00F71326"/>
    <w:rsid w:val="00F715D2"/>
    <w:rsid w:val="00F7274F"/>
    <w:rsid w:val="00F729C8"/>
    <w:rsid w:val="00F72C27"/>
    <w:rsid w:val="00F72E8A"/>
    <w:rsid w:val="00F73317"/>
    <w:rsid w:val="00F7337F"/>
    <w:rsid w:val="00F739DF"/>
    <w:rsid w:val="00F73F6A"/>
    <w:rsid w:val="00F74395"/>
    <w:rsid w:val="00F74831"/>
    <w:rsid w:val="00F748D2"/>
    <w:rsid w:val="00F74A07"/>
    <w:rsid w:val="00F74E84"/>
    <w:rsid w:val="00F7555B"/>
    <w:rsid w:val="00F75A90"/>
    <w:rsid w:val="00F768B1"/>
    <w:rsid w:val="00F76FA8"/>
    <w:rsid w:val="00F80181"/>
    <w:rsid w:val="00F80CF6"/>
    <w:rsid w:val="00F81B5C"/>
    <w:rsid w:val="00F81F76"/>
    <w:rsid w:val="00F82AEA"/>
    <w:rsid w:val="00F8387E"/>
    <w:rsid w:val="00F83D8B"/>
    <w:rsid w:val="00F8680F"/>
    <w:rsid w:val="00F8731F"/>
    <w:rsid w:val="00F87DEB"/>
    <w:rsid w:val="00F87F21"/>
    <w:rsid w:val="00F90BD2"/>
    <w:rsid w:val="00F90D00"/>
    <w:rsid w:val="00F91202"/>
    <w:rsid w:val="00F91797"/>
    <w:rsid w:val="00F92969"/>
    <w:rsid w:val="00F92F76"/>
    <w:rsid w:val="00F93845"/>
    <w:rsid w:val="00F93D82"/>
    <w:rsid w:val="00F93E21"/>
    <w:rsid w:val="00F93F08"/>
    <w:rsid w:val="00F947D2"/>
    <w:rsid w:val="00F94CED"/>
    <w:rsid w:val="00F94E3A"/>
    <w:rsid w:val="00F94FB0"/>
    <w:rsid w:val="00F955B6"/>
    <w:rsid w:val="00F955DF"/>
    <w:rsid w:val="00F9641F"/>
    <w:rsid w:val="00F96B8D"/>
    <w:rsid w:val="00F97C68"/>
    <w:rsid w:val="00F97F74"/>
    <w:rsid w:val="00FA02BB"/>
    <w:rsid w:val="00FA1398"/>
    <w:rsid w:val="00FA1764"/>
    <w:rsid w:val="00FA1EA2"/>
    <w:rsid w:val="00FA2495"/>
    <w:rsid w:val="00FA2723"/>
    <w:rsid w:val="00FA29AA"/>
    <w:rsid w:val="00FA2CEE"/>
    <w:rsid w:val="00FA318C"/>
    <w:rsid w:val="00FA43A2"/>
    <w:rsid w:val="00FA4F81"/>
    <w:rsid w:val="00FA511B"/>
    <w:rsid w:val="00FA5256"/>
    <w:rsid w:val="00FA5555"/>
    <w:rsid w:val="00FA566A"/>
    <w:rsid w:val="00FA64B2"/>
    <w:rsid w:val="00FA6E33"/>
    <w:rsid w:val="00FB04BB"/>
    <w:rsid w:val="00FB0BFF"/>
    <w:rsid w:val="00FB1821"/>
    <w:rsid w:val="00FB24B9"/>
    <w:rsid w:val="00FB2A38"/>
    <w:rsid w:val="00FB33E8"/>
    <w:rsid w:val="00FB47A8"/>
    <w:rsid w:val="00FB6F92"/>
    <w:rsid w:val="00FB7859"/>
    <w:rsid w:val="00FB7E61"/>
    <w:rsid w:val="00FC026E"/>
    <w:rsid w:val="00FC0F01"/>
    <w:rsid w:val="00FC1232"/>
    <w:rsid w:val="00FC1244"/>
    <w:rsid w:val="00FC1A30"/>
    <w:rsid w:val="00FC1B43"/>
    <w:rsid w:val="00FC26FF"/>
    <w:rsid w:val="00FC2783"/>
    <w:rsid w:val="00FC3734"/>
    <w:rsid w:val="00FC38E1"/>
    <w:rsid w:val="00FC45B8"/>
    <w:rsid w:val="00FC5124"/>
    <w:rsid w:val="00FC64F0"/>
    <w:rsid w:val="00FC66F6"/>
    <w:rsid w:val="00FC6C5E"/>
    <w:rsid w:val="00FC732F"/>
    <w:rsid w:val="00FC73BA"/>
    <w:rsid w:val="00FC7596"/>
    <w:rsid w:val="00FD0089"/>
    <w:rsid w:val="00FD01FD"/>
    <w:rsid w:val="00FD0329"/>
    <w:rsid w:val="00FD06AB"/>
    <w:rsid w:val="00FD07AC"/>
    <w:rsid w:val="00FD16DC"/>
    <w:rsid w:val="00FD1F30"/>
    <w:rsid w:val="00FD2A8E"/>
    <w:rsid w:val="00FD2F25"/>
    <w:rsid w:val="00FD311F"/>
    <w:rsid w:val="00FD4731"/>
    <w:rsid w:val="00FD48D4"/>
    <w:rsid w:val="00FD4AE3"/>
    <w:rsid w:val="00FD6768"/>
    <w:rsid w:val="00FD6B42"/>
    <w:rsid w:val="00FD6FC2"/>
    <w:rsid w:val="00FD7147"/>
    <w:rsid w:val="00FD7237"/>
    <w:rsid w:val="00FE0286"/>
    <w:rsid w:val="00FE04C2"/>
    <w:rsid w:val="00FE0652"/>
    <w:rsid w:val="00FE1715"/>
    <w:rsid w:val="00FE361A"/>
    <w:rsid w:val="00FE3970"/>
    <w:rsid w:val="00FE3D6F"/>
    <w:rsid w:val="00FE4156"/>
    <w:rsid w:val="00FE45F1"/>
    <w:rsid w:val="00FE4CE9"/>
    <w:rsid w:val="00FE4F6B"/>
    <w:rsid w:val="00FE56A6"/>
    <w:rsid w:val="00FE787C"/>
    <w:rsid w:val="00FE797C"/>
    <w:rsid w:val="00FE7A1E"/>
    <w:rsid w:val="00FE7E91"/>
    <w:rsid w:val="00FF02A5"/>
    <w:rsid w:val="00FF076B"/>
    <w:rsid w:val="00FF0AB0"/>
    <w:rsid w:val="00FF1072"/>
    <w:rsid w:val="00FF1BD7"/>
    <w:rsid w:val="00FF266B"/>
    <w:rsid w:val="00FF28AC"/>
    <w:rsid w:val="00FF2D8E"/>
    <w:rsid w:val="00FF2F55"/>
    <w:rsid w:val="00FF31C3"/>
    <w:rsid w:val="00FF355B"/>
    <w:rsid w:val="00FF496E"/>
    <w:rsid w:val="00FF4BCA"/>
    <w:rsid w:val="00FF5030"/>
    <w:rsid w:val="00FF5352"/>
    <w:rsid w:val="00FF54E1"/>
    <w:rsid w:val="00FF56C0"/>
    <w:rsid w:val="00FF5845"/>
    <w:rsid w:val="00FF5CC4"/>
    <w:rsid w:val="00FF5FD5"/>
    <w:rsid w:val="00FF60C1"/>
    <w:rsid w:val="00FF6130"/>
    <w:rsid w:val="00FF6D5B"/>
    <w:rsid w:val="00FF75D2"/>
    <w:rsid w:val="00FF77DD"/>
    <w:rsid w:val="00FF7F62"/>
    <w:rsid w:val="0F708668"/>
    <w:rsid w:val="1E16DBA6"/>
    <w:rsid w:val="337939C1"/>
    <w:rsid w:val="3710DAC5"/>
    <w:rsid w:val="7121F4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307F8"/>
  <w15:docId w15:val="{47AB5E3E-2B59-465C-8242-C1825FA37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9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8198F"/>
    <w:pPr>
      <w:spacing w:after="240" w:line="276" w:lineRule="auto"/>
    </w:pPr>
    <w:rPr>
      <w:rFonts w:ascii="Arial" w:hAnsi="Arial"/>
      <w:sz w:val="22"/>
      <w:szCs w:val="24"/>
      <w:lang w:eastAsia="en-US"/>
    </w:rPr>
  </w:style>
  <w:style w:type="paragraph" w:styleId="Heading1">
    <w:name w:val="heading 1"/>
    <w:basedOn w:val="Normal"/>
    <w:next w:val="Normal"/>
    <w:link w:val="Heading1Char"/>
    <w:qFormat/>
    <w:rsid w:val="00612589"/>
    <w:pPr>
      <w:keepNext/>
      <w:spacing w:before="360" w:after="60"/>
      <w:outlineLvl w:val="0"/>
    </w:pPr>
    <w:rPr>
      <w:rFonts w:eastAsia="Arial" w:cs="Arial"/>
      <w:bCs/>
      <w:color w:val="3F4A75"/>
      <w:kern w:val="28"/>
      <w:sz w:val="44"/>
      <w:szCs w:val="36"/>
    </w:rPr>
  </w:style>
  <w:style w:type="paragraph" w:styleId="Heading2">
    <w:name w:val="heading 2"/>
    <w:basedOn w:val="Heading1"/>
    <w:next w:val="Normal"/>
    <w:link w:val="Heading2Char"/>
    <w:qFormat/>
    <w:rsid w:val="001D2A27"/>
    <w:pPr>
      <w:spacing w:after="120"/>
      <w:outlineLvl w:val="1"/>
    </w:pPr>
    <w:rPr>
      <w:bCs w:val="0"/>
      <w:iCs/>
      <w:color w:val="4F81BD" w:themeColor="accent1"/>
      <w:sz w:val="32"/>
      <w:szCs w:val="32"/>
    </w:rPr>
  </w:style>
  <w:style w:type="paragraph" w:styleId="Heading3">
    <w:name w:val="heading 3"/>
    <w:basedOn w:val="Heading2"/>
    <w:next w:val="Normal"/>
    <w:link w:val="Heading3Char"/>
    <w:qFormat/>
    <w:rsid w:val="00831027"/>
    <w:pPr>
      <w:spacing w:before="240"/>
      <w:outlineLvl w:val="2"/>
    </w:pPr>
    <w:rPr>
      <w:bCs/>
      <w:color w:val="31849B" w:themeColor="accent5" w:themeShade="BF"/>
      <w:sz w:val="28"/>
      <w:szCs w:val="26"/>
    </w:rPr>
  </w:style>
  <w:style w:type="paragraph" w:styleId="Heading4">
    <w:name w:val="heading 4"/>
    <w:basedOn w:val="Heading3"/>
    <w:next w:val="Normal"/>
    <w:link w:val="Heading4Char"/>
    <w:qFormat/>
    <w:rsid w:val="00A52C00"/>
    <w:pPr>
      <w:outlineLvl w:val="3"/>
    </w:pPr>
    <w:rPr>
      <w:color w:val="358189"/>
      <w:sz w:val="24"/>
      <w:szCs w:val="24"/>
    </w:rPr>
  </w:style>
  <w:style w:type="paragraph" w:styleId="Heading5">
    <w:name w:val="heading 5"/>
    <w:basedOn w:val="Heading4"/>
    <w:next w:val="Normal"/>
    <w:rsid w:val="0098122D"/>
    <w:pPr>
      <w:outlineLvl w:val="4"/>
    </w:pPr>
  </w:style>
  <w:style w:type="paragraph" w:styleId="Heading6">
    <w:name w:val="heading 6"/>
    <w:basedOn w:val="Normal"/>
    <w:next w:val="Normal"/>
    <w:rsid w:val="0098122D"/>
    <w:pPr>
      <w:outlineLvl w:val="5"/>
    </w:pPr>
    <w:rPr>
      <w:rFonts w:ascii="Segoe UI" w:hAnsi="Segoe UI"/>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637BAB"/>
    <w:rPr>
      <w:color w:val="000000" w:themeColor="text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622C2"/>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622C2"/>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5622C2"/>
    <w:pPr>
      <w:spacing w:before="48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5622C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100B41"/>
    <w:pPr>
      <w:spacing w:before="240"/>
    </w:pPr>
    <w:rPr>
      <w:rFonts w:cs="Times New Roman"/>
      <w:bCs/>
      <w:color w:val="358189"/>
      <w:sz w:val="28"/>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18198F"/>
    <w:rPr>
      <w:b/>
      <w:bCs/>
      <w:i/>
      <w:iCs/>
      <w:color w:val="358189"/>
    </w:rPr>
  </w:style>
  <w:style w:type="paragraph" w:styleId="Quote">
    <w:name w:val="Quote"/>
    <w:next w:val="Normal"/>
    <w:link w:val="QuoteChar"/>
    <w:uiPriority w:val="29"/>
    <w:qFormat/>
    <w:rsid w:val="005622C2"/>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622C2"/>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5622C2"/>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5622C2"/>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C0504D" w:themeColor="accent2"/>
      <w:u w:val="single"/>
    </w:rPr>
  </w:style>
  <w:style w:type="character" w:styleId="IntenseReference">
    <w:name w:val="Intense Reference"/>
    <w:basedOn w:val="DefaultParagraphFont"/>
    <w:uiPriority w:val="32"/>
    <w:rsid w:val="008C775C"/>
    <w:rPr>
      <w:b w:val="0"/>
      <w:bCs/>
      <w:i w:val="0"/>
      <w:caps w:val="0"/>
      <w:smallCaps w:val="0"/>
      <w:color w:val="1F497D" w:themeColor="text2"/>
      <w:spacing w:val="5"/>
      <w:sz w:val="40"/>
      <w:u w:val="none"/>
    </w:rPr>
  </w:style>
  <w:style w:type="paragraph" w:styleId="ListBullet2">
    <w:name w:val="List Bullet 2"/>
    <w:basedOn w:val="ListBullet"/>
    <w:rsid w:val="002F56CE"/>
    <w:pPr>
      <w:numPr>
        <w:numId w:val="2"/>
      </w:numPr>
    </w:pPr>
  </w:style>
  <w:style w:type="paragraph" w:styleId="ListNumber2">
    <w:name w:val="List Number 2"/>
    <w:basedOn w:val="ListBullet"/>
    <w:qFormat/>
    <w:rsid w:val="005622C2"/>
    <w:pPr>
      <w:numPr>
        <w:numId w:val="4"/>
      </w:numPr>
    </w:pPr>
  </w:style>
  <w:style w:type="paragraph" w:styleId="ListBullet">
    <w:name w:val="List Bullet"/>
    <w:basedOn w:val="Normal"/>
    <w:qFormat/>
    <w:rsid w:val="00637BAB"/>
    <w:pPr>
      <w:numPr>
        <w:numId w:val="3"/>
      </w:numPr>
      <w:ind w:left="527" w:hanging="357"/>
      <w:contextualSpacing/>
    </w:pPr>
    <w:rPr>
      <w:rFonts w:eastAsia="Arial"/>
      <w:color w:val="000000" w:themeColor="text1"/>
    </w:r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uiPriority w:val="99"/>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5622C2"/>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5622C2"/>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471B8A"/>
    <w:pPr>
      <w:pBdr>
        <w:bottom w:val="single" w:sz="48" w:space="1" w:color="215868" w:themeColor="accent5" w:themeShade="80"/>
      </w:pBdr>
      <w:tabs>
        <w:tab w:val="center" w:pos="4513"/>
        <w:tab w:val="right" w:pos="9026"/>
      </w:tabs>
    </w:pPr>
    <w:rPr>
      <w:color w:val="1F497D" w:themeColor="text2"/>
    </w:rPr>
  </w:style>
  <w:style w:type="character" w:customStyle="1" w:styleId="HeaderChar">
    <w:name w:val="Header Char"/>
    <w:basedOn w:val="DefaultParagraphFont"/>
    <w:link w:val="Header"/>
    <w:rsid w:val="00471B8A"/>
    <w:rPr>
      <w:rFonts w:ascii="Arial" w:hAnsi="Arial"/>
      <w:color w:val="1F497D" w:themeColor="text2"/>
      <w:sz w:val="22"/>
      <w:szCs w:val="24"/>
      <w:lang w:eastAsia="en-US"/>
    </w:rPr>
  </w:style>
  <w:style w:type="paragraph" w:styleId="Footer">
    <w:name w:val="footer"/>
    <w:basedOn w:val="Normal"/>
    <w:link w:val="FooterChar"/>
    <w:uiPriority w:val="99"/>
    <w:qFormat/>
    <w:rsid w:val="00CF2FCB"/>
    <w:pPr>
      <w:tabs>
        <w:tab w:val="center" w:pos="4513"/>
        <w:tab w:val="right" w:pos="9026"/>
      </w:tabs>
      <w:spacing w:before="120"/>
    </w:pPr>
    <w:rPr>
      <w:sz w:val="20"/>
    </w:rPr>
  </w:style>
  <w:style w:type="character" w:customStyle="1" w:styleId="FooterChar">
    <w:name w:val="Footer Char"/>
    <w:basedOn w:val="DefaultParagraphFont"/>
    <w:link w:val="Footer"/>
    <w:uiPriority w:val="99"/>
    <w:rsid w:val="00CF2FCB"/>
    <w:rPr>
      <w:rFonts w:ascii="Arial" w:hAnsi="Arial"/>
      <w:szCs w:val="24"/>
      <w:lang w:eastAsia="en-US"/>
    </w:rPr>
  </w:style>
  <w:style w:type="paragraph" w:customStyle="1" w:styleId="TableHeaderWhite">
    <w:name w:val="Table Header White"/>
    <w:basedOn w:val="Normal"/>
    <w:next w:val="TableText"/>
    <w:qFormat/>
    <w:rsid w:val="0018198F"/>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5622C2"/>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5622C2"/>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5622C2"/>
    <w:pPr>
      <w:numPr>
        <w:numId w:val="5"/>
      </w:numPr>
    </w:pPr>
    <w:rPr>
      <w:szCs w:val="20"/>
    </w:rPr>
  </w:style>
  <w:style w:type="paragraph" w:customStyle="1" w:styleId="Tablelistnumber">
    <w:name w:val="Table list number"/>
    <w:basedOn w:val="TableText"/>
    <w:qFormat/>
    <w:rsid w:val="005622C2"/>
    <w:pPr>
      <w:numPr>
        <w:numId w:val="6"/>
      </w:numPr>
    </w:pPr>
    <w:rPr>
      <w:bCs/>
      <w14:numSpacing w14:val="proportional"/>
    </w:rPr>
  </w:style>
  <w:style w:type="paragraph" w:customStyle="1" w:styleId="TableHeader">
    <w:name w:val="Table Header"/>
    <w:basedOn w:val="Normal"/>
    <w:next w:val="TableText"/>
    <w:qFormat/>
    <w:rsid w:val="005622C2"/>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5622C2"/>
    <w:pPr>
      <w:pBdr>
        <w:top w:val="single" w:sz="4" w:space="15" w:color="358189"/>
        <w:bottom w:val="single" w:sz="4" w:space="10" w:color="358189"/>
      </w:pBdr>
      <w:spacing w:before="240" w:line="340" w:lineRule="exact"/>
    </w:pPr>
    <w:rPr>
      <w:rFonts w:eastAsiaTheme="minorHAnsi"/>
      <w:color w:val="358189"/>
    </w:rPr>
  </w:style>
  <w:style w:type="paragraph" w:customStyle="1" w:styleId="Boxtype">
    <w:name w:val="Box type"/>
    <w:next w:val="Normal"/>
    <w:link w:val="BoxtypeChar"/>
    <w:qFormat/>
    <w:rsid w:val="005622C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5622C2"/>
    <w:rPr>
      <w:b/>
      <w:caps/>
      <w:smallCaps w:val="0"/>
      <w:color w:val="358189"/>
      <w:bdr w:val="none" w:sz="0" w:space="0" w:color="auto"/>
    </w:rPr>
  </w:style>
  <w:style w:type="paragraph" w:customStyle="1" w:styleId="PolicyStatement">
    <w:name w:val="PolicyStatement"/>
    <w:basedOn w:val="Normal"/>
    <w:qFormat/>
    <w:rsid w:val="00DB1D90"/>
    <w:pPr>
      <w:pBdr>
        <w:top w:val="single" w:sz="4" w:space="20" w:color="F2F2F2" w:themeColor="background1" w:themeShade="F2"/>
        <w:left w:val="single" w:sz="4" w:space="10" w:color="F2F2F2" w:themeColor="background1" w:themeShade="F2"/>
        <w:bottom w:val="single" w:sz="4" w:space="2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Intropara0"/>
    <w:qFormat/>
    <w:rsid w:val="005622C2"/>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730E51"/>
    <w:rPr>
      <w:rFonts w:ascii="Segoe UI" w:hAnsi="Segoe UI" w:cs="Segoe UI"/>
      <w:sz w:val="18"/>
      <w:szCs w:val="18"/>
    </w:rPr>
  </w:style>
  <w:style w:type="character" w:customStyle="1" w:styleId="BalloonTextChar">
    <w:name w:val="Balloon Text Char"/>
    <w:basedOn w:val="DefaultParagraphFont"/>
    <w:link w:val="BalloonText"/>
    <w:semiHidden/>
    <w:rsid w:val="00730E51"/>
    <w:rPr>
      <w:rFonts w:ascii="Segoe UI" w:hAnsi="Segoe UI" w:cs="Segoe UI"/>
      <w:sz w:val="18"/>
      <w:szCs w:val="18"/>
      <w:lang w:eastAsia="en-US"/>
    </w:rPr>
  </w:style>
  <w:style w:type="character" w:styleId="CommentReference">
    <w:name w:val="annotation reference"/>
    <w:basedOn w:val="DefaultParagraphFont"/>
    <w:unhideWhenUsed/>
    <w:rsid w:val="0098122D"/>
    <w:rPr>
      <w:sz w:val="16"/>
      <w:szCs w:val="16"/>
    </w:rPr>
  </w:style>
  <w:style w:type="paragraph" w:styleId="CommentText">
    <w:name w:val="annotation text"/>
    <w:basedOn w:val="Normal"/>
    <w:link w:val="CommentTextChar"/>
    <w:unhideWhenUsed/>
    <w:rsid w:val="0098122D"/>
    <w:pPr>
      <w:spacing w:line="240" w:lineRule="auto"/>
    </w:pPr>
    <w:rPr>
      <w:sz w:val="20"/>
      <w:szCs w:val="20"/>
    </w:rPr>
  </w:style>
  <w:style w:type="character" w:customStyle="1" w:styleId="CommentTextChar">
    <w:name w:val="Comment Text Char"/>
    <w:basedOn w:val="DefaultParagraphFont"/>
    <w:link w:val="CommentText"/>
    <w:rsid w:val="0098122D"/>
    <w:rPr>
      <w:rFonts w:ascii="Arial" w:hAnsi="Arial"/>
      <w:lang w:eastAsia="en-US"/>
    </w:rPr>
  </w:style>
  <w:style w:type="paragraph" w:styleId="CommentSubject">
    <w:name w:val="annotation subject"/>
    <w:basedOn w:val="CommentText"/>
    <w:next w:val="CommentText"/>
    <w:link w:val="CommentSubjectChar"/>
    <w:semiHidden/>
    <w:unhideWhenUsed/>
    <w:rsid w:val="0098122D"/>
    <w:rPr>
      <w:b/>
      <w:bCs/>
    </w:rPr>
  </w:style>
  <w:style w:type="character" w:customStyle="1" w:styleId="CommentSubjectChar">
    <w:name w:val="Comment Subject Char"/>
    <w:basedOn w:val="CommentTextChar"/>
    <w:link w:val="CommentSubject"/>
    <w:semiHidden/>
    <w:rsid w:val="0098122D"/>
    <w:rPr>
      <w:rFonts w:ascii="Arial" w:hAnsi="Arial"/>
      <w:b/>
      <w:bCs/>
      <w:lang w:eastAsia="en-US"/>
    </w:rPr>
  </w:style>
  <w:style w:type="paragraph" w:customStyle="1" w:styleId="TableNheader">
    <w:name w:val="Table N header"/>
    <w:basedOn w:val="Heading5"/>
    <w:uiPriority w:val="2"/>
    <w:qFormat/>
    <w:rsid w:val="008576AC"/>
    <w:pPr>
      <w:spacing w:before="40" w:after="40"/>
    </w:pPr>
    <w:rPr>
      <w:rFonts w:ascii="Segoe UI Semibold" w:hAnsi="Segoe UI Semibold" w:cs="Times New Roman"/>
      <w:bCs w:val="0"/>
      <w:color w:val="EEECE1" w:themeColor="background2"/>
      <w:sz w:val="18"/>
      <w:lang w:eastAsia="en-AU"/>
    </w:rPr>
  </w:style>
  <w:style w:type="paragraph" w:customStyle="1" w:styleId="TableNBullet">
    <w:name w:val="Table N Bullet"/>
    <w:basedOn w:val="Normal"/>
    <w:link w:val="TableNBulletChar"/>
    <w:uiPriority w:val="9"/>
    <w:qFormat/>
    <w:rsid w:val="008576AC"/>
    <w:pPr>
      <w:keepNext/>
      <w:numPr>
        <w:numId w:val="8"/>
      </w:numPr>
      <w:spacing w:before="40" w:after="40" w:line="240" w:lineRule="auto"/>
      <w:outlineLvl w:val="4"/>
    </w:pPr>
    <w:rPr>
      <w:rFonts w:ascii="Segoe UI" w:hAnsi="Segoe UI"/>
      <w:sz w:val="17"/>
      <w:lang w:eastAsia="en-AU"/>
    </w:rPr>
  </w:style>
  <w:style w:type="paragraph" w:customStyle="1" w:styleId="TableExpText">
    <w:name w:val="Table Exp Text"/>
    <w:basedOn w:val="Normal"/>
    <w:uiPriority w:val="2"/>
    <w:qFormat/>
    <w:rsid w:val="008576AC"/>
    <w:pPr>
      <w:keepNext/>
      <w:spacing w:before="40" w:after="40" w:line="240" w:lineRule="auto"/>
      <w:outlineLvl w:val="4"/>
    </w:pPr>
    <w:rPr>
      <w:rFonts w:ascii="Segoe UI" w:hAnsi="Segoe UI"/>
      <w:sz w:val="16"/>
      <w:lang w:eastAsia="en-AU"/>
    </w:rPr>
  </w:style>
  <w:style w:type="table" w:customStyle="1" w:styleId="NOUSSideHeader">
    <w:name w:val="NOUS Side Header"/>
    <w:basedOn w:val="TableNormal"/>
    <w:uiPriority w:val="99"/>
    <w:rsid w:val="008576AC"/>
    <w:rPr>
      <w:rFonts w:ascii="Segoe UI" w:eastAsiaTheme="minorHAnsi" w:hAnsi="Segoe UI" w:cstheme="minorBidi"/>
      <w:sz w:val="17"/>
      <w:szCs w:val="22"/>
      <w:lang w:val="en-US" w:eastAsia="en-US"/>
    </w:rPr>
    <w:tblPr>
      <w:tblBorders>
        <w:top w:val="single" w:sz="8" w:space="0" w:color="4BACC6" w:themeColor="accent5"/>
        <w:bottom w:val="single" w:sz="8" w:space="0" w:color="4BACC6" w:themeColor="accent5"/>
        <w:insideH w:val="single" w:sz="8" w:space="0" w:color="4BACC6" w:themeColor="accent5"/>
      </w:tblBorders>
    </w:tblPr>
    <w:tcPr>
      <w:shd w:val="clear" w:color="auto" w:fill="FFFFFF" w:themeFill="background1"/>
    </w:tcPr>
    <w:tblStylePr w:type="firstCol">
      <w:rPr>
        <w:rFonts w:ascii="Arial Black" w:hAnsi="Arial Black"/>
        <w:color w:val="EEECE1" w:themeColor="background2"/>
        <w:sz w:val="18"/>
      </w:rPr>
      <w:tblPr/>
      <w:tcPr>
        <w:tcBorders>
          <w:top w:val="nil"/>
          <w:left w:val="single" w:sz="24" w:space="0" w:color="9BBB59" w:themeColor="accent3"/>
          <w:bottom w:val="nil"/>
          <w:right w:val="nil"/>
          <w:insideH w:val="nil"/>
          <w:insideV w:val="nil"/>
          <w:tl2br w:val="nil"/>
          <w:tr2bl w:val="nil"/>
        </w:tcBorders>
        <w:shd w:val="clear" w:color="auto" w:fill="4BACC6" w:themeFill="accent5"/>
      </w:tcPr>
    </w:tblStylePr>
  </w:style>
  <w:style w:type="character" w:customStyle="1" w:styleId="TableNBulletChar">
    <w:name w:val="Table N Bullet Char"/>
    <w:basedOn w:val="DefaultParagraphFont"/>
    <w:link w:val="TableNBullet"/>
    <w:uiPriority w:val="9"/>
    <w:rsid w:val="008576AC"/>
    <w:rPr>
      <w:rFonts w:ascii="Segoe UI" w:hAnsi="Segoe UI"/>
      <w:sz w:val="17"/>
      <w:szCs w:val="24"/>
    </w:rPr>
  </w:style>
  <w:style w:type="paragraph" w:customStyle="1" w:styleId="TableNListnumbered">
    <w:name w:val="Table N List (numbered)"/>
    <w:basedOn w:val="TableNBullet"/>
    <w:uiPriority w:val="1"/>
    <w:qFormat/>
    <w:rsid w:val="00E953E3"/>
    <w:pPr>
      <w:numPr>
        <w:numId w:val="9"/>
      </w:numPr>
    </w:pPr>
  </w:style>
  <w:style w:type="character" w:styleId="FootnoteReference">
    <w:name w:val="footnote reference"/>
    <w:basedOn w:val="DefaultParagraphFont"/>
    <w:semiHidden/>
    <w:unhideWhenUsed/>
    <w:rsid w:val="008220A9"/>
    <w:rPr>
      <w:vertAlign w:val="superscript"/>
    </w:rPr>
  </w:style>
  <w:style w:type="paragraph" w:styleId="NormalWeb">
    <w:name w:val="Normal (Web)"/>
    <w:basedOn w:val="Normal"/>
    <w:uiPriority w:val="99"/>
    <w:semiHidden/>
    <w:unhideWhenUsed/>
    <w:rsid w:val="0054507A"/>
    <w:pPr>
      <w:spacing w:before="100" w:beforeAutospacing="1" w:after="100" w:afterAutospacing="1" w:line="240" w:lineRule="auto"/>
    </w:pPr>
    <w:rPr>
      <w:rFonts w:ascii="Times New Roman" w:eastAsiaTheme="minorHAnsi" w:hAnsi="Times New Roman"/>
      <w:sz w:val="24"/>
      <w:lang w:eastAsia="en-AU"/>
    </w:rPr>
  </w:style>
  <w:style w:type="character" w:styleId="UnresolvedMention">
    <w:name w:val="Unresolved Mention"/>
    <w:basedOn w:val="DefaultParagraphFont"/>
    <w:uiPriority w:val="99"/>
    <w:semiHidden/>
    <w:unhideWhenUsed/>
    <w:rsid w:val="00997AF5"/>
    <w:rPr>
      <w:color w:val="605E5C"/>
      <w:shd w:val="clear" w:color="auto" w:fill="E1DFDD"/>
    </w:rPr>
  </w:style>
  <w:style w:type="paragraph" w:styleId="Revision">
    <w:name w:val="Revision"/>
    <w:hidden/>
    <w:uiPriority w:val="99"/>
    <w:semiHidden/>
    <w:rsid w:val="00C03F32"/>
    <w:rPr>
      <w:rFonts w:ascii="Arial" w:hAnsi="Arial"/>
      <w:sz w:val="22"/>
      <w:szCs w:val="24"/>
      <w:lang w:eastAsia="en-US"/>
    </w:rPr>
  </w:style>
  <w:style w:type="paragraph" w:styleId="TOCHeading">
    <w:name w:val="TOC Heading"/>
    <w:basedOn w:val="Heading1"/>
    <w:next w:val="Normal"/>
    <w:uiPriority w:val="39"/>
    <w:unhideWhenUsed/>
    <w:qFormat/>
    <w:rsid w:val="00995C6A"/>
    <w:pPr>
      <w:keepLines/>
      <w:spacing w:after="0" w:line="259" w:lineRule="auto"/>
      <w:outlineLvl w:val="9"/>
    </w:pPr>
    <w:rPr>
      <w:rFonts w:asciiTheme="minorHAnsi" w:eastAsiaTheme="majorEastAsia" w:hAnsiTheme="minorHAnsi" w:cstheme="majorBidi"/>
      <w:bCs w:val="0"/>
      <w:color w:val="365F91" w:themeColor="accent1" w:themeShade="BF"/>
      <w:kern w:val="0"/>
      <w:sz w:val="32"/>
      <w:szCs w:val="32"/>
      <w:lang w:val="en-US"/>
    </w:rPr>
  </w:style>
  <w:style w:type="paragraph" w:styleId="TOC1">
    <w:name w:val="toc 1"/>
    <w:basedOn w:val="Normal"/>
    <w:next w:val="Normal"/>
    <w:autoRedefine/>
    <w:uiPriority w:val="39"/>
    <w:unhideWhenUsed/>
    <w:rsid w:val="00BE5DF0"/>
    <w:pPr>
      <w:tabs>
        <w:tab w:val="right" w:leader="dot" w:pos="9060"/>
      </w:tabs>
      <w:spacing w:after="100"/>
    </w:pPr>
    <w:rPr>
      <w:rFonts w:asciiTheme="minorHAnsi" w:eastAsiaTheme="minorEastAsia" w:hAnsiTheme="minorHAnsi" w:cstheme="minorBidi"/>
      <w:b/>
      <w:kern w:val="2"/>
      <w:sz w:val="24"/>
      <w:lang w:eastAsia="en-AU"/>
      <w14:ligatures w14:val="standardContextual"/>
    </w:rPr>
  </w:style>
  <w:style w:type="paragraph" w:styleId="TOC3">
    <w:name w:val="toc 3"/>
    <w:basedOn w:val="Normal"/>
    <w:next w:val="Normal"/>
    <w:autoRedefine/>
    <w:uiPriority w:val="39"/>
    <w:unhideWhenUsed/>
    <w:rsid w:val="00BE5DF0"/>
    <w:pPr>
      <w:tabs>
        <w:tab w:val="right" w:leader="dot" w:pos="9060"/>
      </w:tabs>
      <w:spacing w:after="100"/>
      <w:ind w:left="440"/>
    </w:pPr>
    <w:rPr>
      <w:rFonts w:asciiTheme="minorHAnsi" w:eastAsiaTheme="minorEastAsia" w:hAnsiTheme="minorHAnsi" w:cstheme="minorBidi"/>
      <w:kern w:val="2"/>
      <w:sz w:val="24"/>
      <w:lang w:eastAsia="en-AU"/>
      <w14:ligatures w14:val="standardContextual"/>
    </w:rPr>
  </w:style>
  <w:style w:type="paragraph" w:styleId="TOC2">
    <w:name w:val="toc 2"/>
    <w:basedOn w:val="Normal"/>
    <w:next w:val="Normal"/>
    <w:autoRedefine/>
    <w:uiPriority w:val="39"/>
    <w:unhideWhenUsed/>
    <w:rsid w:val="007F72D7"/>
    <w:pPr>
      <w:tabs>
        <w:tab w:val="right" w:leader="dot" w:pos="9060"/>
      </w:tabs>
      <w:spacing w:after="100"/>
      <w:ind w:left="220"/>
    </w:pPr>
    <w:rPr>
      <w:rFonts w:asciiTheme="minorHAnsi" w:eastAsiaTheme="minorEastAsia" w:hAnsiTheme="minorHAnsi" w:cstheme="minorBidi"/>
      <w:kern w:val="2"/>
      <w:sz w:val="24"/>
      <w:lang w:eastAsia="en-AU"/>
      <w14:ligatures w14:val="standardContextual"/>
    </w:rPr>
  </w:style>
  <w:style w:type="character" w:customStyle="1" w:styleId="Heading3Char">
    <w:name w:val="Heading 3 Char"/>
    <w:basedOn w:val="DefaultParagraphFont"/>
    <w:link w:val="Heading3"/>
    <w:rsid w:val="0089744B"/>
    <w:rPr>
      <w:rFonts w:ascii="Arial" w:hAnsi="Arial" w:cs="Arial"/>
      <w:bCs/>
      <w:iCs/>
      <w:color w:val="31849B" w:themeColor="accent5" w:themeShade="BF"/>
      <w:kern w:val="28"/>
      <w:sz w:val="28"/>
      <w:szCs w:val="26"/>
      <w:lang w:eastAsia="en-US"/>
    </w:rPr>
  </w:style>
  <w:style w:type="character" w:customStyle="1" w:styleId="Heading4Char">
    <w:name w:val="Heading 4 Char"/>
    <w:basedOn w:val="DefaultParagraphFont"/>
    <w:link w:val="Heading4"/>
    <w:rsid w:val="00951B9A"/>
    <w:rPr>
      <w:rFonts w:ascii="Arial" w:hAnsi="Arial" w:cs="Arial"/>
      <w:bCs/>
      <w:iCs/>
      <w:color w:val="358189"/>
      <w:kern w:val="28"/>
      <w:sz w:val="24"/>
      <w:szCs w:val="24"/>
      <w:lang w:eastAsia="en-US"/>
    </w:rPr>
  </w:style>
  <w:style w:type="paragraph" w:styleId="ListBullet3">
    <w:name w:val="List Bullet 3"/>
    <w:basedOn w:val="Normal"/>
    <w:unhideWhenUsed/>
    <w:rsid w:val="0018198F"/>
    <w:pPr>
      <w:numPr>
        <w:numId w:val="50"/>
      </w:numPr>
      <w:spacing w:after="160" w:line="259" w:lineRule="auto"/>
      <w:contextualSpacing/>
    </w:pPr>
  </w:style>
  <w:style w:type="paragraph" w:styleId="EndnoteText">
    <w:name w:val="endnote text"/>
    <w:basedOn w:val="Normal"/>
    <w:link w:val="EndnoteTextChar"/>
    <w:unhideWhenUsed/>
    <w:rsid w:val="00482D6C"/>
    <w:pPr>
      <w:spacing w:after="0" w:line="240" w:lineRule="auto"/>
    </w:pPr>
    <w:rPr>
      <w:sz w:val="20"/>
      <w:szCs w:val="20"/>
    </w:rPr>
  </w:style>
  <w:style w:type="character" w:customStyle="1" w:styleId="EndnoteTextChar">
    <w:name w:val="Endnote Text Char"/>
    <w:basedOn w:val="DefaultParagraphFont"/>
    <w:link w:val="EndnoteText"/>
    <w:rsid w:val="00482D6C"/>
    <w:rPr>
      <w:rFonts w:ascii="Arial" w:hAnsi="Arial"/>
      <w:lang w:eastAsia="en-US"/>
    </w:rPr>
  </w:style>
  <w:style w:type="character" w:styleId="EndnoteReference">
    <w:name w:val="endnote reference"/>
    <w:basedOn w:val="DefaultParagraphFont"/>
    <w:unhideWhenUsed/>
    <w:rsid w:val="007B7D66"/>
    <w:rPr>
      <w:rFonts w:eastAsia="Arial"/>
      <w:vertAlign w:val="superscript"/>
    </w:rPr>
  </w:style>
  <w:style w:type="character" w:customStyle="1" w:styleId="Heading1Char">
    <w:name w:val="Heading 1 Char"/>
    <w:basedOn w:val="DefaultParagraphFont"/>
    <w:link w:val="Heading1"/>
    <w:rsid w:val="00612589"/>
    <w:rPr>
      <w:rFonts w:ascii="Arial" w:eastAsia="Arial" w:hAnsi="Arial" w:cs="Arial"/>
      <w:bCs/>
      <w:color w:val="3F4A75"/>
      <w:kern w:val="28"/>
      <w:sz w:val="44"/>
      <w:szCs w:val="36"/>
      <w:lang w:eastAsia="en-US"/>
    </w:rPr>
  </w:style>
  <w:style w:type="character" w:customStyle="1" w:styleId="Heading2Char">
    <w:name w:val="Heading 2 Char"/>
    <w:basedOn w:val="DefaultParagraphFont"/>
    <w:link w:val="Heading2"/>
    <w:rsid w:val="005575E4"/>
    <w:rPr>
      <w:rFonts w:ascii="Arial" w:hAnsi="Arial" w:cs="Arial"/>
      <w:iCs/>
      <w:color w:val="4F81BD" w:themeColor="accent1"/>
      <w:kern w:val="28"/>
      <w:sz w:val="32"/>
      <w:szCs w:val="32"/>
      <w:lang w:eastAsia="en-US"/>
    </w:rPr>
  </w:style>
  <w:style w:type="paragraph" w:styleId="ListNumber">
    <w:name w:val="List Number"/>
    <w:basedOn w:val="Normal"/>
    <w:rsid w:val="003445FA"/>
    <w:pPr>
      <w:numPr>
        <w:numId w:val="54"/>
      </w:numPr>
      <w:contextualSpacing/>
    </w:pPr>
  </w:style>
  <w:style w:type="character" w:styleId="FollowedHyperlink">
    <w:name w:val="FollowedHyperlink"/>
    <w:basedOn w:val="DefaultParagraphFont"/>
    <w:semiHidden/>
    <w:unhideWhenUsed/>
    <w:rsid w:val="001154DE"/>
    <w:rPr>
      <w:color w:val="800080" w:themeColor="followedHyperlink"/>
      <w:u w:val="single"/>
    </w:rPr>
  </w:style>
  <w:style w:type="paragraph" w:customStyle="1" w:styleId="Sub-heading">
    <w:name w:val="Sub-heading"/>
    <w:basedOn w:val="Heading4"/>
    <w:qFormat/>
    <w:rsid w:val="00D61338"/>
    <w:pPr>
      <w:spacing w:after="0"/>
    </w:pPr>
    <w:rPr>
      <w:i/>
      <w:iCs w:val="0"/>
      <w:color w:val="17365D" w:themeColor="text2" w:themeShade="BF"/>
      <w:kern w:val="0"/>
      <w:sz w:val="22"/>
    </w:rPr>
  </w:style>
  <w:style w:type="paragraph" w:customStyle="1" w:styleId="PolicyStatementDark">
    <w:name w:val="Policy Statement Dark"/>
    <w:basedOn w:val="PolicyStatement"/>
    <w:rsid w:val="002113ED"/>
    <w:pPr>
      <w:shd w:val="clear" w:color="auto" w:fill="17365D" w:themeFill="text2" w:themeFillShade="BF"/>
      <w:spacing w:line="259" w:lineRule="auto"/>
    </w:pPr>
    <w:rPr>
      <w:i/>
      <w:color w:val="FFFFFF" w:themeColor="background1"/>
    </w:rPr>
  </w:style>
  <w:style w:type="character" w:styleId="Mention">
    <w:name w:val="Mention"/>
    <w:basedOn w:val="DefaultParagraphFont"/>
    <w:uiPriority w:val="99"/>
    <w:unhideWhenUsed/>
    <w:rsid w:val="0012121A"/>
    <w:rPr>
      <w:color w:val="2B579A"/>
      <w:shd w:val="clear" w:color="auto" w:fill="E1DFDD"/>
    </w:rPr>
  </w:style>
  <w:style w:type="paragraph" w:styleId="Caption">
    <w:name w:val="caption"/>
    <w:basedOn w:val="Normal"/>
    <w:next w:val="Normal"/>
    <w:unhideWhenUsed/>
    <w:rsid w:val="00B53894"/>
    <w:pPr>
      <w:spacing w:after="200" w:line="240" w:lineRule="auto"/>
    </w:pPr>
    <w:rPr>
      <w:rFonts w:eastAsia="Arial"/>
      <w:iCs/>
      <w:color w:val="31849B" w:themeColor="accent5" w:themeShade="BF"/>
      <w:szCs w:val="18"/>
    </w:rPr>
  </w:style>
  <w:style w:type="paragraph" w:customStyle="1" w:styleId="Boxtypelist">
    <w:name w:val="Box type (list)"/>
    <w:basedOn w:val="Boxtype"/>
    <w:link w:val="BoxtypelistChar"/>
    <w:qFormat/>
    <w:rsid w:val="00100B41"/>
    <w:pPr>
      <w:numPr>
        <w:numId w:val="67"/>
      </w:numPr>
      <w:spacing w:before="60" w:after="60" w:line="259" w:lineRule="auto"/>
      <w:ind w:left="584" w:hanging="357"/>
    </w:pPr>
  </w:style>
  <w:style w:type="character" w:customStyle="1" w:styleId="BoxtypeChar">
    <w:name w:val="Box type Char"/>
    <w:basedOn w:val="DefaultParagraphFont"/>
    <w:link w:val="Boxtype"/>
    <w:rsid w:val="007B7D66"/>
    <w:rPr>
      <w:rFonts w:ascii="Arial" w:hAnsi="Arial" w:cs="Arial"/>
      <w:color w:val="000000" w:themeColor="text1"/>
      <w:sz w:val="21"/>
      <w:szCs w:val="24"/>
      <w:lang w:val="en" w:eastAsia="en-US"/>
    </w:rPr>
  </w:style>
  <w:style w:type="character" w:customStyle="1" w:styleId="BoxtypelistChar">
    <w:name w:val="Box type (list) Char"/>
    <w:basedOn w:val="BoxtypeChar"/>
    <w:link w:val="Boxtypelist"/>
    <w:rsid w:val="00100B41"/>
    <w:rPr>
      <w:rFonts w:ascii="Arial" w:hAnsi="Arial" w:cs="Arial"/>
      <w:color w:val="000000" w:themeColor="text1"/>
      <w:sz w:val="21"/>
      <w:szCs w:val="24"/>
      <w:lang w:val="en" w:eastAsia="en-US"/>
    </w:rPr>
  </w:style>
  <w:style w:type="paragraph" w:styleId="ListBullet4">
    <w:name w:val="List Bullet 4"/>
    <w:basedOn w:val="Normal"/>
    <w:unhideWhenUsed/>
    <w:rsid w:val="0018198F"/>
    <w:pPr>
      <w:numPr>
        <w:ilvl w:val="1"/>
        <w:numId w:val="59"/>
      </w:numPr>
      <w:spacing w:after="160" w:line="259" w:lineRule="auto"/>
      <w:contextualSpacing/>
    </w:pPr>
  </w:style>
  <w:style w:type="paragraph" w:styleId="ListNumber4">
    <w:name w:val="List Number 4"/>
    <w:basedOn w:val="Normal"/>
    <w:unhideWhenUsed/>
    <w:rsid w:val="0018198F"/>
    <w:pPr>
      <w:numPr>
        <w:numId w:val="70"/>
      </w:numPr>
      <w:spacing w:after="120"/>
      <w:ind w:left="584"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71133">
      <w:bodyDiv w:val="1"/>
      <w:marLeft w:val="0"/>
      <w:marRight w:val="0"/>
      <w:marTop w:val="0"/>
      <w:marBottom w:val="0"/>
      <w:divBdr>
        <w:top w:val="none" w:sz="0" w:space="0" w:color="auto"/>
        <w:left w:val="none" w:sz="0" w:space="0" w:color="auto"/>
        <w:bottom w:val="none" w:sz="0" w:space="0" w:color="auto"/>
        <w:right w:val="none" w:sz="0" w:space="0" w:color="auto"/>
      </w:divBdr>
    </w:div>
    <w:div w:id="208733656">
      <w:bodyDiv w:val="1"/>
      <w:marLeft w:val="0"/>
      <w:marRight w:val="0"/>
      <w:marTop w:val="0"/>
      <w:marBottom w:val="0"/>
      <w:divBdr>
        <w:top w:val="none" w:sz="0" w:space="0" w:color="auto"/>
        <w:left w:val="none" w:sz="0" w:space="0" w:color="auto"/>
        <w:bottom w:val="none" w:sz="0" w:space="0" w:color="auto"/>
        <w:right w:val="none" w:sz="0" w:space="0" w:color="auto"/>
      </w:divBdr>
    </w:div>
    <w:div w:id="264046113">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92591473">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92402505">
      <w:bodyDiv w:val="1"/>
      <w:marLeft w:val="0"/>
      <w:marRight w:val="0"/>
      <w:marTop w:val="0"/>
      <w:marBottom w:val="0"/>
      <w:divBdr>
        <w:top w:val="none" w:sz="0" w:space="0" w:color="auto"/>
        <w:left w:val="none" w:sz="0" w:space="0" w:color="auto"/>
        <w:bottom w:val="none" w:sz="0" w:space="0" w:color="auto"/>
        <w:right w:val="none" w:sz="0" w:space="0" w:color="auto"/>
      </w:divBdr>
    </w:div>
    <w:div w:id="855773225">
      <w:bodyDiv w:val="1"/>
      <w:marLeft w:val="0"/>
      <w:marRight w:val="0"/>
      <w:marTop w:val="0"/>
      <w:marBottom w:val="0"/>
      <w:divBdr>
        <w:top w:val="none" w:sz="0" w:space="0" w:color="auto"/>
        <w:left w:val="none" w:sz="0" w:space="0" w:color="auto"/>
        <w:bottom w:val="none" w:sz="0" w:space="0" w:color="auto"/>
        <w:right w:val="none" w:sz="0" w:space="0" w:color="auto"/>
      </w:divBdr>
    </w:div>
    <w:div w:id="1204829855">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504782592">
      <w:bodyDiv w:val="1"/>
      <w:marLeft w:val="0"/>
      <w:marRight w:val="0"/>
      <w:marTop w:val="0"/>
      <w:marBottom w:val="0"/>
      <w:divBdr>
        <w:top w:val="none" w:sz="0" w:space="0" w:color="auto"/>
        <w:left w:val="none" w:sz="0" w:space="0" w:color="auto"/>
        <w:bottom w:val="none" w:sz="0" w:space="0" w:color="auto"/>
        <w:right w:val="none" w:sz="0" w:space="0" w:color="auto"/>
      </w:divBdr>
    </w:div>
    <w:div w:id="1540968647">
      <w:bodyDiv w:val="1"/>
      <w:marLeft w:val="0"/>
      <w:marRight w:val="0"/>
      <w:marTop w:val="0"/>
      <w:marBottom w:val="0"/>
      <w:divBdr>
        <w:top w:val="none" w:sz="0" w:space="0" w:color="auto"/>
        <w:left w:val="none" w:sz="0" w:space="0" w:color="auto"/>
        <w:bottom w:val="none" w:sz="0" w:space="0" w:color="auto"/>
        <w:right w:val="none" w:sz="0" w:space="0" w:color="auto"/>
      </w:divBdr>
    </w:div>
    <w:div w:id="1644503488">
      <w:bodyDiv w:val="1"/>
      <w:marLeft w:val="0"/>
      <w:marRight w:val="0"/>
      <w:marTop w:val="0"/>
      <w:marBottom w:val="0"/>
      <w:divBdr>
        <w:top w:val="none" w:sz="0" w:space="0" w:color="auto"/>
        <w:left w:val="none" w:sz="0" w:space="0" w:color="auto"/>
        <w:bottom w:val="none" w:sz="0" w:space="0" w:color="auto"/>
        <w:right w:val="none" w:sz="0" w:space="0" w:color="auto"/>
      </w:divBdr>
    </w:div>
    <w:div w:id="1648972413">
      <w:bodyDiv w:val="1"/>
      <w:marLeft w:val="0"/>
      <w:marRight w:val="0"/>
      <w:marTop w:val="0"/>
      <w:marBottom w:val="0"/>
      <w:divBdr>
        <w:top w:val="none" w:sz="0" w:space="0" w:color="auto"/>
        <w:left w:val="none" w:sz="0" w:space="0" w:color="auto"/>
        <w:bottom w:val="none" w:sz="0" w:space="0" w:color="auto"/>
        <w:right w:val="none" w:sz="0" w:space="0" w:color="auto"/>
      </w:divBdr>
    </w:div>
    <w:div w:id="1701929284">
      <w:bodyDiv w:val="1"/>
      <w:marLeft w:val="0"/>
      <w:marRight w:val="0"/>
      <w:marTop w:val="0"/>
      <w:marBottom w:val="0"/>
      <w:divBdr>
        <w:top w:val="none" w:sz="0" w:space="0" w:color="auto"/>
        <w:left w:val="none" w:sz="0" w:space="0" w:color="auto"/>
        <w:bottom w:val="none" w:sz="0" w:space="0" w:color="auto"/>
        <w:right w:val="none" w:sz="0" w:space="0" w:color="auto"/>
      </w:divBdr>
    </w:div>
    <w:div w:id="1706439670">
      <w:bodyDiv w:val="1"/>
      <w:marLeft w:val="0"/>
      <w:marRight w:val="0"/>
      <w:marTop w:val="0"/>
      <w:marBottom w:val="0"/>
      <w:divBdr>
        <w:top w:val="none" w:sz="0" w:space="0" w:color="auto"/>
        <w:left w:val="none" w:sz="0" w:space="0" w:color="auto"/>
        <w:bottom w:val="none" w:sz="0" w:space="0" w:color="auto"/>
        <w:right w:val="none" w:sz="0" w:space="0" w:color="auto"/>
      </w:divBdr>
    </w:div>
    <w:div w:id="1899855841">
      <w:bodyDiv w:val="1"/>
      <w:marLeft w:val="0"/>
      <w:marRight w:val="0"/>
      <w:marTop w:val="0"/>
      <w:marBottom w:val="0"/>
      <w:divBdr>
        <w:top w:val="none" w:sz="0" w:space="0" w:color="auto"/>
        <w:left w:val="none" w:sz="0" w:space="0" w:color="auto"/>
        <w:bottom w:val="none" w:sz="0" w:space="0" w:color="auto"/>
        <w:right w:val="none" w:sz="0" w:space="0" w:color="auto"/>
      </w:divBdr>
    </w:div>
    <w:div w:id="1934899796">
      <w:bodyDiv w:val="1"/>
      <w:marLeft w:val="0"/>
      <w:marRight w:val="0"/>
      <w:marTop w:val="0"/>
      <w:marBottom w:val="0"/>
      <w:divBdr>
        <w:top w:val="none" w:sz="0" w:space="0" w:color="auto"/>
        <w:left w:val="none" w:sz="0" w:space="0" w:color="auto"/>
        <w:bottom w:val="none" w:sz="0" w:space="0" w:color="auto"/>
        <w:right w:val="none" w:sz="0" w:space="0" w:color="auto"/>
      </w:divBdr>
    </w:div>
    <w:div w:id="196785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4.png"/><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health.gov.au/sites/default/files/2024-04/intellectual-disability-health-capability-framework.pdf" TargetMode="External"/><Relationship Id="rId13" Type="http://schemas.openxmlformats.org/officeDocument/2006/relationships/hyperlink" Target="https://www.health.gov.au/resources/publications/national-roadmap-for-improving-the-health-of-people-with-intellectual-disability?language=en" TargetMode="External"/><Relationship Id="rId18" Type="http://schemas.openxmlformats.org/officeDocument/2006/relationships/hyperlink" Target="https://www.health.gov.au/resources/publications/intellectual-disability-health-capability-framework?language=en" TargetMode="External"/><Relationship Id="rId3" Type="http://schemas.openxmlformats.org/officeDocument/2006/relationships/hyperlink" Target="https://disability.royalcommission.gov.au/system/files/2020-10/Report%20-%20Public%20hearing%204%20-%20Healthcare%20for%20people%20with%20cognitive%20disability.pdf" TargetMode="External"/><Relationship Id="rId7" Type="http://schemas.openxmlformats.org/officeDocument/2006/relationships/hyperlink" Target="https://www.ndisreview.gov.au/resources/reports/working-together-deliver-ndis/" TargetMode="External"/><Relationship Id="rId12" Type="http://schemas.openxmlformats.org/officeDocument/2006/relationships/hyperlink" Target="https://www.aihw.gov.au/reports/disability/people-with-disability-in-australia/contents/health/access-to-health-services" TargetMode="External"/><Relationship Id="rId17" Type="http://schemas.openxmlformats.org/officeDocument/2006/relationships/hyperlink" Target="https://www.inclusionaustralia.org.au/resource/its-doctor-time-for-people-with-intellectual-disability/" TargetMode="External"/><Relationship Id="rId2" Type="http://schemas.openxmlformats.org/officeDocument/2006/relationships/hyperlink" Target="https://social.desa.un.org/issues/disability/crpd/article-25-health" TargetMode="External"/><Relationship Id="rId16" Type="http://schemas.openxmlformats.org/officeDocument/2006/relationships/hyperlink" Target="https://www.dss.gov.au/councils/resource/applied-principles-and-tables-support-determine-responsibilities-ndis-and-other-service-systems" TargetMode="External"/><Relationship Id="rId1" Type="http://schemas.openxmlformats.org/officeDocument/2006/relationships/hyperlink" Target="https://www.who.int/about/governance/constitution" TargetMode="External"/><Relationship Id="rId6" Type="http://schemas.openxmlformats.org/officeDocument/2006/relationships/hyperlink" Target="https://www.ndisreview.gov.au/resources/reports/working-together-deliver-ndis/" TargetMode="External"/><Relationship Id="rId11" Type="http://schemas.openxmlformats.org/officeDocument/2006/relationships/hyperlink" Target="https://disability.royalcommission.gov.au/publications/final-report-volume-6-enabling-autonomy-and-access" TargetMode="External"/><Relationship Id="rId5" Type="http://schemas.openxmlformats.org/officeDocument/2006/relationships/hyperlink" Target="https://www.aihw.gov.au/reports/disability/people-with-disability-in-australia/contents/health/access-to-health-services" TargetMode="External"/><Relationship Id="rId15" Type="http://schemas.openxmlformats.org/officeDocument/2006/relationships/hyperlink" Target="https://microboards.org.au/supporting-change/medical-and-health-access-planning/" TargetMode="External"/><Relationship Id="rId10" Type="http://schemas.openxmlformats.org/officeDocument/2006/relationships/hyperlink" Target="https://westvicphn.com.au/health-professionals/health-topics/priority-populations/people-with-an-intellectual-disability/spidah-project/" TargetMode="External"/><Relationship Id="rId4" Type="http://schemas.openxmlformats.org/officeDocument/2006/relationships/hyperlink" Target="https://doi.org/10.26188/24171750%20pp7,8" TargetMode="External"/><Relationship Id="rId9" Type="http://schemas.openxmlformats.org/officeDocument/2006/relationships/hyperlink" Target="https://www.disabilitygateway.gov.au/document/11081" TargetMode="External"/><Relationship Id="rId14" Type="http://schemas.openxmlformats.org/officeDocument/2006/relationships/hyperlink" Target="https://www.health.gov.au/our-work/national-roadmap-to-improve-the-health-and-mental-health-of-autistic-people-2025-2035"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A1386BDCFE374FA31F7E1B2995A17F" ma:contentTypeVersion="14" ma:contentTypeDescription="Create a new document." ma:contentTypeScope="" ma:versionID="0529c234c701a91d54e09663ba5d8758">
  <xsd:schema xmlns:xsd="http://www.w3.org/2001/XMLSchema" xmlns:xs="http://www.w3.org/2001/XMLSchema" xmlns:p="http://schemas.microsoft.com/office/2006/metadata/properties" xmlns:ns2="2f95e1ca-114f-4a49-b281-4770955c4115" xmlns:ns3="bd3c41df-3112-417f-b130-5a0673772d54" targetNamespace="http://schemas.microsoft.com/office/2006/metadata/properties" ma:root="true" ma:fieldsID="e97cc97ddbdf4c1bae9116c8713304cf" ns2:_="" ns3:_="">
    <xsd:import namespace="2f95e1ca-114f-4a49-b281-4770955c4115"/>
    <xsd:import namespace="bd3c41df-3112-417f-b130-5a0673772d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5e1ca-114f-4a49-b281-4770955c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3c41df-3112-417f-b130-5a0673772d5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75b5d9b-ae7e-4c9b-bddf-de2b559ae3ee}" ma:internalName="TaxCatchAll" ma:showField="CatchAllData" ma:web="bd3c41df-3112-417f-b130-5a0673772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3c41df-3112-417f-b130-5a0673772d54" xsi:nil="true"/>
    <lcf76f155ced4ddcb4097134ff3c332f xmlns="2f95e1ca-114f-4a49-b281-4770955c411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32AAD25F-F13F-4D15-8080-08019A9C8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5e1ca-114f-4a49-b281-4770955c4115"/>
    <ds:schemaRef ds:uri="bd3c41df-3112-417f-b130-5a0673772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bd3c41df-3112-417f-b130-5a0673772d54"/>
    <ds:schemaRef ds:uri="2f95e1ca-114f-4a49-b281-4770955c4115"/>
  </ds:schemaRefs>
</ds:datastoreItem>
</file>

<file path=customXml/itemProps4.xml><?xml version="1.0" encoding="utf-8"?>
<ds:datastoreItem xmlns:ds="http://schemas.openxmlformats.org/officeDocument/2006/customXml" ds:itemID="{8BEE96F7-0E57-46BD-A12B-87791F3AC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37</Pages>
  <Words>10995</Words>
  <Characters>65866</Characters>
  <Application>Microsoft Office Word</Application>
  <DocSecurity>0</DocSecurity>
  <Lines>1219</Lines>
  <Paragraphs>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76331</CharactersWithSpaces>
  <SharedDoc>false</SharedDoc>
  <HLinks>
    <vt:vector size="402" baseType="variant">
      <vt:variant>
        <vt:i4>3735574</vt:i4>
      </vt:variant>
      <vt:variant>
        <vt:i4>288</vt:i4>
      </vt:variant>
      <vt:variant>
        <vt:i4>0</vt:i4>
      </vt:variant>
      <vt:variant>
        <vt:i4>5</vt:i4>
      </vt:variant>
      <vt:variant>
        <vt:lpwstr/>
      </vt:variant>
      <vt:variant>
        <vt:lpwstr>_Individual_advocacy_barriers</vt:lpwstr>
      </vt:variant>
      <vt:variant>
        <vt:i4>6422614</vt:i4>
      </vt:variant>
      <vt:variant>
        <vt:i4>285</vt:i4>
      </vt:variant>
      <vt:variant>
        <vt:i4>0</vt:i4>
      </vt:variant>
      <vt:variant>
        <vt:i4>5</vt:i4>
      </vt:variant>
      <vt:variant>
        <vt:lpwstr/>
      </vt:variant>
      <vt:variant>
        <vt:lpwstr>_Health_and_disability</vt:lpwstr>
      </vt:variant>
      <vt:variant>
        <vt:i4>1441846</vt:i4>
      </vt:variant>
      <vt:variant>
        <vt:i4>278</vt:i4>
      </vt:variant>
      <vt:variant>
        <vt:i4>0</vt:i4>
      </vt:variant>
      <vt:variant>
        <vt:i4>5</vt:i4>
      </vt:variant>
      <vt:variant>
        <vt:lpwstr/>
      </vt:variant>
      <vt:variant>
        <vt:lpwstr>_Toc205979616</vt:lpwstr>
      </vt:variant>
      <vt:variant>
        <vt:i4>1441846</vt:i4>
      </vt:variant>
      <vt:variant>
        <vt:i4>272</vt:i4>
      </vt:variant>
      <vt:variant>
        <vt:i4>0</vt:i4>
      </vt:variant>
      <vt:variant>
        <vt:i4>5</vt:i4>
      </vt:variant>
      <vt:variant>
        <vt:lpwstr/>
      </vt:variant>
      <vt:variant>
        <vt:lpwstr>_Toc205979615</vt:lpwstr>
      </vt:variant>
      <vt:variant>
        <vt:i4>1441846</vt:i4>
      </vt:variant>
      <vt:variant>
        <vt:i4>266</vt:i4>
      </vt:variant>
      <vt:variant>
        <vt:i4>0</vt:i4>
      </vt:variant>
      <vt:variant>
        <vt:i4>5</vt:i4>
      </vt:variant>
      <vt:variant>
        <vt:lpwstr/>
      </vt:variant>
      <vt:variant>
        <vt:lpwstr>_Toc205979614</vt:lpwstr>
      </vt:variant>
      <vt:variant>
        <vt:i4>1441846</vt:i4>
      </vt:variant>
      <vt:variant>
        <vt:i4>260</vt:i4>
      </vt:variant>
      <vt:variant>
        <vt:i4>0</vt:i4>
      </vt:variant>
      <vt:variant>
        <vt:i4>5</vt:i4>
      </vt:variant>
      <vt:variant>
        <vt:lpwstr/>
      </vt:variant>
      <vt:variant>
        <vt:lpwstr>_Toc205979613</vt:lpwstr>
      </vt:variant>
      <vt:variant>
        <vt:i4>1441846</vt:i4>
      </vt:variant>
      <vt:variant>
        <vt:i4>254</vt:i4>
      </vt:variant>
      <vt:variant>
        <vt:i4>0</vt:i4>
      </vt:variant>
      <vt:variant>
        <vt:i4>5</vt:i4>
      </vt:variant>
      <vt:variant>
        <vt:lpwstr/>
      </vt:variant>
      <vt:variant>
        <vt:lpwstr>_Toc205979612</vt:lpwstr>
      </vt:variant>
      <vt:variant>
        <vt:i4>1441846</vt:i4>
      </vt:variant>
      <vt:variant>
        <vt:i4>248</vt:i4>
      </vt:variant>
      <vt:variant>
        <vt:i4>0</vt:i4>
      </vt:variant>
      <vt:variant>
        <vt:i4>5</vt:i4>
      </vt:variant>
      <vt:variant>
        <vt:lpwstr/>
      </vt:variant>
      <vt:variant>
        <vt:lpwstr>_Toc205979611</vt:lpwstr>
      </vt:variant>
      <vt:variant>
        <vt:i4>1441846</vt:i4>
      </vt:variant>
      <vt:variant>
        <vt:i4>242</vt:i4>
      </vt:variant>
      <vt:variant>
        <vt:i4>0</vt:i4>
      </vt:variant>
      <vt:variant>
        <vt:i4>5</vt:i4>
      </vt:variant>
      <vt:variant>
        <vt:lpwstr/>
      </vt:variant>
      <vt:variant>
        <vt:lpwstr>_Toc205979610</vt:lpwstr>
      </vt:variant>
      <vt:variant>
        <vt:i4>1507382</vt:i4>
      </vt:variant>
      <vt:variant>
        <vt:i4>236</vt:i4>
      </vt:variant>
      <vt:variant>
        <vt:i4>0</vt:i4>
      </vt:variant>
      <vt:variant>
        <vt:i4>5</vt:i4>
      </vt:variant>
      <vt:variant>
        <vt:lpwstr/>
      </vt:variant>
      <vt:variant>
        <vt:lpwstr>_Toc205979609</vt:lpwstr>
      </vt:variant>
      <vt:variant>
        <vt:i4>1507382</vt:i4>
      </vt:variant>
      <vt:variant>
        <vt:i4>230</vt:i4>
      </vt:variant>
      <vt:variant>
        <vt:i4>0</vt:i4>
      </vt:variant>
      <vt:variant>
        <vt:i4>5</vt:i4>
      </vt:variant>
      <vt:variant>
        <vt:lpwstr/>
      </vt:variant>
      <vt:variant>
        <vt:lpwstr>_Toc205979608</vt:lpwstr>
      </vt:variant>
      <vt:variant>
        <vt:i4>1507382</vt:i4>
      </vt:variant>
      <vt:variant>
        <vt:i4>224</vt:i4>
      </vt:variant>
      <vt:variant>
        <vt:i4>0</vt:i4>
      </vt:variant>
      <vt:variant>
        <vt:i4>5</vt:i4>
      </vt:variant>
      <vt:variant>
        <vt:lpwstr/>
      </vt:variant>
      <vt:variant>
        <vt:lpwstr>_Toc205979607</vt:lpwstr>
      </vt:variant>
      <vt:variant>
        <vt:i4>1507382</vt:i4>
      </vt:variant>
      <vt:variant>
        <vt:i4>218</vt:i4>
      </vt:variant>
      <vt:variant>
        <vt:i4>0</vt:i4>
      </vt:variant>
      <vt:variant>
        <vt:i4>5</vt:i4>
      </vt:variant>
      <vt:variant>
        <vt:lpwstr/>
      </vt:variant>
      <vt:variant>
        <vt:lpwstr>_Toc205979606</vt:lpwstr>
      </vt:variant>
      <vt:variant>
        <vt:i4>1507382</vt:i4>
      </vt:variant>
      <vt:variant>
        <vt:i4>212</vt:i4>
      </vt:variant>
      <vt:variant>
        <vt:i4>0</vt:i4>
      </vt:variant>
      <vt:variant>
        <vt:i4>5</vt:i4>
      </vt:variant>
      <vt:variant>
        <vt:lpwstr/>
      </vt:variant>
      <vt:variant>
        <vt:lpwstr>_Toc205979605</vt:lpwstr>
      </vt:variant>
      <vt:variant>
        <vt:i4>1507382</vt:i4>
      </vt:variant>
      <vt:variant>
        <vt:i4>206</vt:i4>
      </vt:variant>
      <vt:variant>
        <vt:i4>0</vt:i4>
      </vt:variant>
      <vt:variant>
        <vt:i4>5</vt:i4>
      </vt:variant>
      <vt:variant>
        <vt:lpwstr/>
      </vt:variant>
      <vt:variant>
        <vt:lpwstr>_Toc205979604</vt:lpwstr>
      </vt:variant>
      <vt:variant>
        <vt:i4>1507382</vt:i4>
      </vt:variant>
      <vt:variant>
        <vt:i4>200</vt:i4>
      </vt:variant>
      <vt:variant>
        <vt:i4>0</vt:i4>
      </vt:variant>
      <vt:variant>
        <vt:i4>5</vt:i4>
      </vt:variant>
      <vt:variant>
        <vt:lpwstr/>
      </vt:variant>
      <vt:variant>
        <vt:lpwstr>_Toc205979603</vt:lpwstr>
      </vt:variant>
      <vt:variant>
        <vt:i4>1507382</vt:i4>
      </vt:variant>
      <vt:variant>
        <vt:i4>194</vt:i4>
      </vt:variant>
      <vt:variant>
        <vt:i4>0</vt:i4>
      </vt:variant>
      <vt:variant>
        <vt:i4>5</vt:i4>
      </vt:variant>
      <vt:variant>
        <vt:lpwstr/>
      </vt:variant>
      <vt:variant>
        <vt:lpwstr>_Toc205979602</vt:lpwstr>
      </vt:variant>
      <vt:variant>
        <vt:i4>1507382</vt:i4>
      </vt:variant>
      <vt:variant>
        <vt:i4>188</vt:i4>
      </vt:variant>
      <vt:variant>
        <vt:i4>0</vt:i4>
      </vt:variant>
      <vt:variant>
        <vt:i4>5</vt:i4>
      </vt:variant>
      <vt:variant>
        <vt:lpwstr/>
      </vt:variant>
      <vt:variant>
        <vt:lpwstr>_Toc205979601</vt:lpwstr>
      </vt:variant>
      <vt:variant>
        <vt:i4>1507382</vt:i4>
      </vt:variant>
      <vt:variant>
        <vt:i4>182</vt:i4>
      </vt:variant>
      <vt:variant>
        <vt:i4>0</vt:i4>
      </vt:variant>
      <vt:variant>
        <vt:i4>5</vt:i4>
      </vt:variant>
      <vt:variant>
        <vt:lpwstr/>
      </vt:variant>
      <vt:variant>
        <vt:lpwstr>_Toc205979600</vt:lpwstr>
      </vt:variant>
      <vt:variant>
        <vt:i4>1966133</vt:i4>
      </vt:variant>
      <vt:variant>
        <vt:i4>176</vt:i4>
      </vt:variant>
      <vt:variant>
        <vt:i4>0</vt:i4>
      </vt:variant>
      <vt:variant>
        <vt:i4>5</vt:i4>
      </vt:variant>
      <vt:variant>
        <vt:lpwstr/>
      </vt:variant>
      <vt:variant>
        <vt:lpwstr>_Toc205979599</vt:lpwstr>
      </vt:variant>
      <vt:variant>
        <vt:i4>1966133</vt:i4>
      </vt:variant>
      <vt:variant>
        <vt:i4>170</vt:i4>
      </vt:variant>
      <vt:variant>
        <vt:i4>0</vt:i4>
      </vt:variant>
      <vt:variant>
        <vt:i4>5</vt:i4>
      </vt:variant>
      <vt:variant>
        <vt:lpwstr/>
      </vt:variant>
      <vt:variant>
        <vt:lpwstr>_Toc205979598</vt:lpwstr>
      </vt:variant>
      <vt:variant>
        <vt:i4>1966133</vt:i4>
      </vt:variant>
      <vt:variant>
        <vt:i4>164</vt:i4>
      </vt:variant>
      <vt:variant>
        <vt:i4>0</vt:i4>
      </vt:variant>
      <vt:variant>
        <vt:i4>5</vt:i4>
      </vt:variant>
      <vt:variant>
        <vt:lpwstr/>
      </vt:variant>
      <vt:variant>
        <vt:lpwstr>_Toc205979597</vt:lpwstr>
      </vt:variant>
      <vt:variant>
        <vt:i4>1966133</vt:i4>
      </vt:variant>
      <vt:variant>
        <vt:i4>158</vt:i4>
      </vt:variant>
      <vt:variant>
        <vt:i4>0</vt:i4>
      </vt:variant>
      <vt:variant>
        <vt:i4>5</vt:i4>
      </vt:variant>
      <vt:variant>
        <vt:lpwstr/>
      </vt:variant>
      <vt:variant>
        <vt:lpwstr>_Toc205979596</vt:lpwstr>
      </vt:variant>
      <vt:variant>
        <vt:i4>1966133</vt:i4>
      </vt:variant>
      <vt:variant>
        <vt:i4>152</vt:i4>
      </vt:variant>
      <vt:variant>
        <vt:i4>0</vt:i4>
      </vt:variant>
      <vt:variant>
        <vt:i4>5</vt:i4>
      </vt:variant>
      <vt:variant>
        <vt:lpwstr/>
      </vt:variant>
      <vt:variant>
        <vt:lpwstr>_Toc205979595</vt:lpwstr>
      </vt:variant>
      <vt:variant>
        <vt:i4>1966133</vt:i4>
      </vt:variant>
      <vt:variant>
        <vt:i4>146</vt:i4>
      </vt:variant>
      <vt:variant>
        <vt:i4>0</vt:i4>
      </vt:variant>
      <vt:variant>
        <vt:i4>5</vt:i4>
      </vt:variant>
      <vt:variant>
        <vt:lpwstr/>
      </vt:variant>
      <vt:variant>
        <vt:lpwstr>_Toc205979594</vt:lpwstr>
      </vt:variant>
      <vt:variant>
        <vt:i4>1966133</vt:i4>
      </vt:variant>
      <vt:variant>
        <vt:i4>140</vt:i4>
      </vt:variant>
      <vt:variant>
        <vt:i4>0</vt:i4>
      </vt:variant>
      <vt:variant>
        <vt:i4>5</vt:i4>
      </vt:variant>
      <vt:variant>
        <vt:lpwstr/>
      </vt:variant>
      <vt:variant>
        <vt:lpwstr>_Toc205979593</vt:lpwstr>
      </vt:variant>
      <vt:variant>
        <vt:i4>1966133</vt:i4>
      </vt:variant>
      <vt:variant>
        <vt:i4>134</vt:i4>
      </vt:variant>
      <vt:variant>
        <vt:i4>0</vt:i4>
      </vt:variant>
      <vt:variant>
        <vt:i4>5</vt:i4>
      </vt:variant>
      <vt:variant>
        <vt:lpwstr/>
      </vt:variant>
      <vt:variant>
        <vt:lpwstr>_Toc205979592</vt:lpwstr>
      </vt:variant>
      <vt:variant>
        <vt:i4>1966133</vt:i4>
      </vt:variant>
      <vt:variant>
        <vt:i4>128</vt:i4>
      </vt:variant>
      <vt:variant>
        <vt:i4>0</vt:i4>
      </vt:variant>
      <vt:variant>
        <vt:i4>5</vt:i4>
      </vt:variant>
      <vt:variant>
        <vt:lpwstr/>
      </vt:variant>
      <vt:variant>
        <vt:lpwstr>_Toc205979591</vt:lpwstr>
      </vt:variant>
      <vt:variant>
        <vt:i4>1966133</vt:i4>
      </vt:variant>
      <vt:variant>
        <vt:i4>122</vt:i4>
      </vt:variant>
      <vt:variant>
        <vt:i4>0</vt:i4>
      </vt:variant>
      <vt:variant>
        <vt:i4>5</vt:i4>
      </vt:variant>
      <vt:variant>
        <vt:lpwstr/>
      </vt:variant>
      <vt:variant>
        <vt:lpwstr>_Toc205979590</vt:lpwstr>
      </vt:variant>
      <vt:variant>
        <vt:i4>2031669</vt:i4>
      </vt:variant>
      <vt:variant>
        <vt:i4>116</vt:i4>
      </vt:variant>
      <vt:variant>
        <vt:i4>0</vt:i4>
      </vt:variant>
      <vt:variant>
        <vt:i4>5</vt:i4>
      </vt:variant>
      <vt:variant>
        <vt:lpwstr/>
      </vt:variant>
      <vt:variant>
        <vt:lpwstr>_Toc205979589</vt:lpwstr>
      </vt:variant>
      <vt:variant>
        <vt:i4>2031669</vt:i4>
      </vt:variant>
      <vt:variant>
        <vt:i4>110</vt:i4>
      </vt:variant>
      <vt:variant>
        <vt:i4>0</vt:i4>
      </vt:variant>
      <vt:variant>
        <vt:i4>5</vt:i4>
      </vt:variant>
      <vt:variant>
        <vt:lpwstr/>
      </vt:variant>
      <vt:variant>
        <vt:lpwstr>_Toc205979588</vt:lpwstr>
      </vt:variant>
      <vt:variant>
        <vt:i4>2031669</vt:i4>
      </vt:variant>
      <vt:variant>
        <vt:i4>104</vt:i4>
      </vt:variant>
      <vt:variant>
        <vt:i4>0</vt:i4>
      </vt:variant>
      <vt:variant>
        <vt:i4>5</vt:i4>
      </vt:variant>
      <vt:variant>
        <vt:lpwstr/>
      </vt:variant>
      <vt:variant>
        <vt:lpwstr>_Toc205979587</vt:lpwstr>
      </vt:variant>
      <vt:variant>
        <vt:i4>2031669</vt:i4>
      </vt:variant>
      <vt:variant>
        <vt:i4>98</vt:i4>
      </vt:variant>
      <vt:variant>
        <vt:i4>0</vt:i4>
      </vt:variant>
      <vt:variant>
        <vt:i4>5</vt:i4>
      </vt:variant>
      <vt:variant>
        <vt:lpwstr/>
      </vt:variant>
      <vt:variant>
        <vt:lpwstr>_Toc205979586</vt:lpwstr>
      </vt:variant>
      <vt:variant>
        <vt:i4>2031669</vt:i4>
      </vt:variant>
      <vt:variant>
        <vt:i4>92</vt:i4>
      </vt:variant>
      <vt:variant>
        <vt:i4>0</vt:i4>
      </vt:variant>
      <vt:variant>
        <vt:i4>5</vt:i4>
      </vt:variant>
      <vt:variant>
        <vt:lpwstr/>
      </vt:variant>
      <vt:variant>
        <vt:lpwstr>_Toc205979585</vt:lpwstr>
      </vt:variant>
      <vt:variant>
        <vt:i4>2031669</vt:i4>
      </vt:variant>
      <vt:variant>
        <vt:i4>86</vt:i4>
      </vt:variant>
      <vt:variant>
        <vt:i4>0</vt:i4>
      </vt:variant>
      <vt:variant>
        <vt:i4>5</vt:i4>
      </vt:variant>
      <vt:variant>
        <vt:lpwstr/>
      </vt:variant>
      <vt:variant>
        <vt:lpwstr>_Toc205979584</vt:lpwstr>
      </vt:variant>
      <vt:variant>
        <vt:i4>2031669</vt:i4>
      </vt:variant>
      <vt:variant>
        <vt:i4>80</vt:i4>
      </vt:variant>
      <vt:variant>
        <vt:i4>0</vt:i4>
      </vt:variant>
      <vt:variant>
        <vt:i4>5</vt:i4>
      </vt:variant>
      <vt:variant>
        <vt:lpwstr/>
      </vt:variant>
      <vt:variant>
        <vt:lpwstr>_Toc205979583</vt:lpwstr>
      </vt:variant>
      <vt:variant>
        <vt:i4>2031669</vt:i4>
      </vt:variant>
      <vt:variant>
        <vt:i4>74</vt:i4>
      </vt:variant>
      <vt:variant>
        <vt:i4>0</vt:i4>
      </vt:variant>
      <vt:variant>
        <vt:i4>5</vt:i4>
      </vt:variant>
      <vt:variant>
        <vt:lpwstr/>
      </vt:variant>
      <vt:variant>
        <vt:lpwstr>_Toc205979582</vt:lpwstr>
      </vt:variant>
      <vt:variant>
        <vt:i4>2031669</vt:i4>
      </vt:variant>
      <vt:variant>
        <vt:i4>68</vt:i4>
      </vt:variant>
      <vt:variant>
        <vt:i4>0</vt:i4>
      </vt:variant>
      <vt:variant>
        <vt:i4>5</vt:i4>
      </vt:variant>
      <vt:variant>
        <vt:lpwstr/>
      </vt:variant>
      <vt:variant>
        <vt:lpwstr>_Toc205979581</vt:lpwstr>
      </vt:variant>
      <vt:variant>
        <vt:i4>2031669</vt:i4>
      </vt:variant>
      <vt:variant>
        <vt:i4>62</vt:i4>
      </vt:variant>
      <vt:variant>
        <vt:i4>0</vt:i4>
      </vt:variant>
      <vt:variant>
        <vt:i4>5</vt:i4>
      </vt:variant>
      <vt:variant>
        <vt:lpwstr/>
      </vt:variant>
      <vt:variant>
        <vt:lpwstr>_Toc205979580</vt:lpwstr>
      </vt:variant>
      <vt:variant>
        <vt:i4>1048629</vt:i4>
      </vt:variant>
      <vt:variant>
        <vt:i4>56</vt:i4>
      </vt:variant>
      <vt:variant>
        <vt:i4>0</vt:i4>
      </vt:variant>
      <vt:variant>
        <vt:i4>5</vt:i4>
      </vt:variant>
      <vt:variant>
        <vt:lpwstr/>
      </vt:variant>
      <vt:variant>
        <vt:lpwstr>_Toc205979579</vt:lpwstr>
      </vt:variant>
      <vt:variant>
        <vt:i4>1048629</vt:i4>
      </vt:variant>
      <vt:variant>
        <vt:i4>50</vt:i4>
      </vt:variant>
      <vt:variant>
        <vt:i4>0</vt:i4>
      </vt:variant>
      <vt:variant>
        <vt:i4>5</vt:i4>
      </vt:variant>
      <vt:variant>
        <vt:lpwstr/>
      </vt:variant>
      <vt:variant>
        <vt:lpwstr>_Toc205979578</vt:lpwstr>
      </vt:variant>
      <vt:variant>
        <vt:i4>1048629</vt:i4>
      </vt:variant>
      <vt:variant>
        <vt:i4>44</vt:i4>
      </vt:variant>
      <vt:variant>
        <vt:i4>0</vt:i4>
      </vt:variant>
      <vt:variant>
        <vt:i4>5</vt:i4>
      </vt:variant>
      <vt:variant>
        <vt:lpwstr/>
      </vt:variant>
      <vt:variant>
        <vt:lpwstr>_Toc205979577</vt:lpwstr>
      </vt:variant>
      <vt:variant>
        <vt:i4>1048629</vt:i4>
      </vt:variant>
      <vt:variant>
        <vt:i4>38</vt:i4>
      </vt:variant>
      <vt:variant>
        <vt:i4>0</vt:i4>
      </vt:variant>
      <vt:variant>
        <vt:i4>5</vt:i4>
      </vt:variant>
      <vt:variant>
        <vt:lpwstr/>
      </vt:variant>
      <vt:variant>
        <vt:lpwstr>_Toc205979576</vt:lpwstr>
      </vt:variant>
      <vt:variant>
        <vt:i4>1048629</vt:i4>
      </vt:variant>
      <vt:variant>
        <vt:i4>32</vt:i4>
      </vt:variant>
      <vt:variant>
        <vt:i4>0</vt:i4>
      </vt:variant>
      <vt:variant>
        <vt:i4>5</vt:i4>
      </vt:variant>
      <vt:variant>
        <vt:lpwstr/>
      </vt:variant>
      <vt:variant>
        <vt:lpwstr>_Toc205979575</vt:lpwstr>
      </vt:variant>
      <vt:variant>
        <vt:i4>1048629</vt:i4>
      </vt:variant>
      <vt:variant>
        <vt:i4>26</vt:i4>
      </vt:variant>
      <vt:variant>
        <vt:i4>0</vt:i4>
      </vt:variant>
      <vt:variant>
        <vt:i4>5</vt:i4>
      </vt:variant>
      <vt:variant>
        <vt:lpwstr/>
      </vt:variant>
      <vt:variant>
        <vt:lpwstr>_Toc205979574</vt:lpwstr>
      </vt:variant>
      <vt:variant>
        <vt:i4>1048629</vt:i4>
      </vt:variant>
      <vt:variant>
        <vt:i4>20</vt:i4>
      </vt:variant>
      <vt:variant>
        <vt:i4>0</vt:i4>
      </vt:variant>
      <vt:variant>
        <vt:i4>5</vt:i4>
      </vt:variant>
      <vt:variant>
        <vt:lpwstr/>
      </vt:variant>
      <vt:variant>
        <vt:lpwstr>_Toc205979573</vt:lpwstr>
      </vt:variant>
      <vt:variant>
        <vt:i4>1048629</vt:i4>
      </vt:variant>
      <vt:variant>
        <vt:i4>14</vt:i4>
      </vt:variant>
      <vt:variant>
        <vt:i4>0</vt:i4>
      </vt:variant>
      <vt:variant>
        <vt:i4>5</vt:i4>
      </vt:variant>
      <vt:variant>
        <vt:lpwstr/>
      </vt:variant>
      <vt:variant>
        <vt:lpwstr>_Toc205979572</vt:lpwstr>
      </vt:variant>
      <vt:variant>
        <vt:i4>1048629</vt:i4>
      </vt:variant>
      <vt:variant>
        <vt:i4>8</vt:i4>
      </vt:variant>
      <vt:variant>
        <vt:i4>0</vt:i4>
      </vt:variant>
      <vt:variant>
        <vt:i4>5</vt:i4>
      </vt:variant>
      <vt:variant>
        <vt:lpwstr/>
      </vt:variant>
      <vt:variant>
        <vt:lpwstr>_Toc205979571</vt:lpwstr>
      </vt:variant>
      <vt:variant>
        <vt:i4>1048629</vt:i4>
      </vt:variant>
      <vt:variant>
        <vt:i4>2</vt:i4>
      </vt:variant>
      <vt:variant>
        <vt:i4>0</vt:i4>
      </vt:variant>
      <vt:variant>
        <vt:i4>5</vt:i4>
      </vt:variant>
      <vt:variant>
        <vt:lpwstr/>
      </vt:variant>
      <vt:variant>
        <vt:lpwstr>_Toc205979570</vt:lpwstr>
      </vt:variant>
      <vt:variant>
        <vt:i4>458827</vt:i4>
      </vt:variant>
      <vt:variant>
        <vt:i4>51</vt:i4>
      </vt:variant>
      <vt:variant>
        <vt:i4>0</vt:i4>
      </vt:variant>
      <vt:variant>
        <vt:i4>5</vt:i4>
      </vt:variant>
      <vt:variant>
        <vt:lpwstr>https://www.health.gov.au/resources/publications/intellectual-disability-health-capability-framework?language=en</vt:lpwstr>
      </vt:variant>
      <vt:variant>
        <vt:lpwstr/>
      </vt:variant>
      <vt:variant>
        <vt:i4>2424934</vt:i4>
      </vt:variant>
      <vt:variant>
        <vt:i4>48</vt:i4>
      </vt:variant>
      <vt:variant>
        <vt:i4>0</vt:i4>
      </vt:variant>
      <vt:variant>
        <vt:i4>5</vt:i4>
      </vt:variant>
      <vt:variant>
        <vt:lpwstr>https://www.inclusionaustralia.org.au/resource/its-doctor-time-for-people-with-intellectual-disability/</vt:lpwstr>
      </vt:variant>
      <vt:variant>
        <vt:lpwstr/>
      </vt:variant>
      <vt:variant>
        <vt:i4>4980826</vt:i4>
      </vt:variant>
      <vt:variant>
        <vt:i4>45</vt:i4>
      </vt:variant>
      <vt:variant>
        <vt:i4>0</vt:i4>
      </vt:variant>
      <vt:variant>
        <vt:i4>5</vt:i4>
      </vt:variant>
      <vt:variant>
        <vt:lpwstr>https://www.dss.gov.au/councils/resource/applied-principles-and-tables-support-determine-responsibilities-ndis-and-other-service-systems</vt:lpwstr>
      </vt:variant>
      <vt:variant>
        <vt:lpwstr/>
      </vt:variant>
      <vt:variant>
        <vt:i4>4849672</vt:i4>
      </vt:variant>
      <vt:variant>
        <vt:i4>42</vt:i4>
      </vt:variant>
      <vt:variant>
        <vt:i4>0</vt:i4>
      </vt:variant>
      <vt:variant>
        <vt:i4>5</vt:i4>
      </vt:variant>
      <vt:variant>
        <vt:lpwstr>https://microboards.org.au/supporting-change/medical-and-health-access-planning/</vt:lpwstr>
      </vt:variant>
      <vt:variant>
        <vt:lpwstr/>
      </vt:variant>
      <vt:variant>
        <vt:i4>1769493</vt:i4>
      </vt:variant>
      <vt:variant>
        <vt:i4>39</vt:i4>
      </vt:variant>
      <vt:variant>
        <vt:i4>0</vt:i4>
      </vt:variant>
      <vt:variant>
        <vt:i4>5</vt:i4>
      </vt:variant>
      <vt:variant>
        <vt:lpwstr>https://www.health.gov.au/our-work/national-roadmap-to-improve-the-health-and-mental-health-of-autistic-people-2025-2035</vt:lpwstr>
      </vt:variant>
      <vt:variant>
        <vt:lpwstr/>
      </vt:variant>
      <vt:variant>
        <vt:i4>5242897</vt:i4>
      </vt:variant>
      <vt:variant>
        <vt:i4>36</vt:i4>
      </vt:variant>
      <vt:variant>
        <vt:i4>0</vt:i4>
      </vt:variant>
      <vt:variant>
        <vt:i4>5</vt:i4>
      </vt:variant>
      <vt:variant>
        <vt:lpwstr>https://www.health.gov.au/resources/publications/national-roadmap-for-improving-the-health-of-people-with-intellectual-disability?language=en</vt:lpwstr>
      </vt:variant>
      <vt:variant>
        <vt:lpwstr/>
      </vt:variant>
      <vt:variant>
        <vt:i4>458827</vt:i4>
      </vt:variant>
      <vt:variant>
        <vt:i4>33</vt:i4>
      </vt:variant>
      <vt:variant>
        <vt:i4>0</vt:i4>
      </vt:variant>
      <vt:variant>
        <vt:i4>5</vt:i4>
      </vt:variant>
      <vt:variant>
        <vt:lpwstr>https://www.aihw.gov.au/reports/disability/people-with-disability-in-australia/contents/health/access-to-health-services</vt:lpwstr>
      </vt:variant>
      <vt:variant>
        <vt:lpwstr/>
      </vt:variant>
      <vt:variant>
        <vt:i4>2031630</vt:i4>
      </vt:variant>
      <vt:variant>
        <vt:i4>30</vt:i4>
      </vt:variant>
      <vt:variant>
        <vt:i4>0</vt:i4>
      </vt:variant>
      <vt:variant>
        <vt:i4>5</vt:i4>
      </vt:variant>
      <vt:variant>
        <vt:lpwstr>https://disability.royalcommission.gov.au/publications/final-report-volume-6-enabling-autonomy-and-access</vt:lpwstr>
      </vt:variant>
      <vt:variant>
        <vt:lpwstr/>
      </vt:variant>
      <vt:variant>
        <vt:i4>589902</vt:i4>
      </vt:variant>
      <vt:variant>
        <vt:i4>27</vt:i4>
      </vt:variant>
      <vt:variant>
        <vt:i4>0</vt:i4>
      </vt:variant>
      <vt:variant>
        <vt:i4>5</vt:i4>
      </vt:variant>
      <vt:variant>
        <vt:lpwstr>https://westvicphn.com.au/health-professionals/health-topics/priority-populations/people-with-an-intellectual-disability/spidah-project/</vt:lpwstr>
      </vt:variant>
      <vt:variant>
        <vt:lpwstr/>
      </vt:variant>
      <vt:variant>
        <vt:i4>6553701</vt:i4>
      </vt:variant>
      <vt:variant>
        <vt:i4>24</vt:i4>
      </vt:variant>
      <vt:variant>
        <vt:i4>0</vt:i4>
      </vt:variant>
      <vt:variant>
        <vt:i4>5</vt:i4>
      </vt:variant>
      <vt:variant>
        <vt:lpwstr>https://www.disabilitygateway.gov.au/document/11081</vt:lpwstr>
      </vt:variant>
      <vt:variant>
        <vt:lpwstr/>
      </vt:variant>
      <vt:variant>
        <vt:i4>131154</vt:i4>
      </vt:variant>
      <vt:variant>
        <vt:i4>21</vt:i4>
      </vt:variant>
      <vt:variant>
        <vt:i4>0</vt:i4>
      </vt:variant>
      <vt:variant>
        <vt:i4>5</vt:i4>
      </vt:variant>
      <vt:variant>
        <vt:lpwstr>https://www.health.gov.au/sites/default/files/2024-04/intellectual-disability-health-capability-framework.pdf</vt:lpwstr>
      </vt:variant>
      <vt:variant>
        <vt:lpwstr/>
      </vt:variant>
      <vt:variant>
        <vt:i4>7012396</vt:i4>
      </vt:variant>
      <vt:variant>
        <vt:i4>18</vt:i4>
      </vt:variant>
      <vt:variant>
        <vt:i4>0</vt:i4>
      </vt:variant>
      <vt:variant>
        <vt:i4>5</vt:i4>
      </vt:variant>
      <vt:variant>
        <vt:lpwstr>https://www.ndisreview.gov.au/resources/reports/working-together-deliver-ndis/</vt:lpwstr>
      </vt:variant>
      <vt:variant>
        <vt:lpwstr/>
      </vt:variant>
      <vt:variant>
        <vt:i4>7012396</vt:i4>
      </vt:variant>
      <vt:variant>
        <vt:i4>15</vt:i4>
      </vt:variant>
      <vt:variant>
        <vt:i4>0</vt:i4>
      </vt:variant>
      <vt:variant>
        <vt:i4>5</vt:i4>
      </vt:variant>
      <vt:variant>
        <vt:lpwstr>https://www.ndisreview.gov.au/resources/reports/working-together-deliver-ndis/</vt:lpwstr>
      </vt:variant>
      <vt:variant>
        <vt:lpwstr/>
      </vt:variant>
      <vt:variant>
        <vt:i4>1900612</vt:i4>
      </vt:variant>
      <vt:variant>
        <vt:i4>12</vt:i4>
      </vt:variant>
      <vt:variant>
        <vt:i4>0</vt:i4>
      </vt:variant>
      <vt:variant>
        <vt:i4>5</vt:i4>
      </vt:variant>
      <vt:variant>
        <vt:lpwstr>https://www.aihw.gov.au/reports/disability/people-with-disability-in-australia/contents/health/access-to-health-services</vt:lpwstr>
      </vt:variant>
      <vt:variant>
        <vt:lpwstr>Difficulties</vt:lpwstr>
      </vt:variant>
      <vt:variant>
        <vt:i4>8192056</vt:i4>
      </vt:variant>
      <vt:variant>
        <vt:i4>9</vt:i4>
      </vt:variant>
      <vt:variant>
        <vt:i4>0</vt:i4>
      </vt:variant>
      <vt:variant>
        <vt:i4>5</vt:i4>
      </vt:variant>
      <vt:variant>
        <vt:lpwstr>https://doi.org/10.26188/24171750 pp7,8</vt:lpwstr>
      </vt:variant>
      <vt:variant>
        <vt:lpwstr/>
      </vt:variant>
      <vt:variant>
        <vt:i4>2752559</vt:i4>
      </vt:variant>
      <vt:variant>
        <vt:i4>6</vt:i4>
      </vt:variant>
      <vt:variant>
        <vt:i4>0</vt:i4>
      </vt:variant>
      <vt:variant>
        <vt:i4>5</vt:i4>
      </vt:variant>
      <vt:variant>
        <vt:lpwstr>https://disability.royalcommission.gov.au/system/files/2020-10/Report - Public hearing 4 - Healthcare for people with cognitive disability.pdf</vt:lpwstr>
      </vt:variant>
      <vt:variant>
        <vt:lpwstr/>
      </vt:variant>
      <vt:variant>
        <vt:i4>2818105</vt:i4>
      </vt:variant>
      <vt:variant>
        <vt:i4>3</vt:i4>
      </vt:variant>
      <vt:variant>
        <vt:i4>0</vt:i4>
      </vt:variant>
      <vt:variant>
        <vt:i4>5</vt:i4>
      </vt:variant>
      <vt:variant>
        <vt:lpwstr>https://social.desa.un.org/issues/disability/crpd/article-25-health</vt:lpwstr>
      </vt:variant>
      <vt:variant>
        <vt:lpwstr/>
      </vt:variant>
      <vt:variant>
        <vt:i4>917528</vt:i4>
      </vt:variant>
      <vt:variant>
        <vt:i4>0</vt:i4>
      </vt:variant>
      <vt:variant>
        <vt:i4>0</vt:i4>
      </vt:variant>
      <vt:variant>
        <vt:i4>5</vt:i4>
      </vt:variant>
      <vt:variant>
        <vt:lpwstr>https://www.who.int/about/governance/constitution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Barriers and Issues in Health Advocacy for People with Disability</dc:title>
  <dc:subject>Disability and Carers</dc:subject>
  <dc:creator>Australian Government Department of Health, Disability and Ageing</dc:creator>
  <cp:keywords/>
  <dc:description/>
  <cp:lastModifiedBy>MASCHKE, Elvia</cp:lastModifiedBy>
  <cp:revision>15</cp:revision>
  <cp:lastPrinted>2025-08-14T02:04:00Z</cp:lastPrinted>
  <dcterms:created xsi:type="dcterms:W3CDTF">2026-03-30T03:56:00Z</dcterms:created>
  <dcterms:modified xsi:type="dcterms:W3CDTF">2026-03-30T05:04:00Z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v=2022.1;a=SHA256;h=D12132CEEEA322EDE9E71855597CEA14AB80B1E711202B126A999E4A0179790A</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2025-07-16T07:48:38Z</vt:lpwstr>
  </property>
  <property fmtid="{D5CDD505-2E9C-101B-9397-08002B2CF9AE}" pid="12" name="PM_DownTo">
    <vt:lpwstr/>
  </property>
  <property fmtid="{D5CDD505-2E9C-101B-9397-08002B2CF9AE}" pid="13" name="PM_Markers">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MSIP_Label_eb34d90b-fc41-464d-af60-f74d721d0790_SiteId">
    <vt:lpwstr>61e36dd1-ca6e-4d61-aa0a-2b4eb88317a3</vt:lpwstr>
  </property>
  <property fmtid="{D5CDD505-2E9C-101B-9397-08002B2CF9AE}" pid="17" name="MSIP_Label_eb34d90b-fc41-464d-af60-f74d721d0790_ContentBits">
    <vt:lpwstr>0</vt:lpwstr>
  </property>
  <property fmtid="{D5CDD505-2E9C-101B-9397-08002B2CF9AE}" pid="18" name="MSIP_Label_eb34d90b-fc41-464d-af60-f74d721d0790_Enabled">
    <vt:lpwstr>true</vt:lpwstr>
  </property>
  <property fmtid="{D5CDD505-2E9C-101B-9397-08002B2CF9AE}" pid="19" name="MSIP_Label_eb34d90b-fc41-464d-af60-f74d721d0790_SetDate">
    <vt:lpwstr>2025-07-16T07:48:38Z</vt:lpwstr>
  </property>
  <property fmtid="{D5CDD505-2E9C-101B-9397-08002B2CF9AE}" pid="20" name="MSIP_Label_eb34d90b-fc41-464d-af60-f74d721d0790_Method">
    <vt:lpwstr>Privileged</vt:lpwstr>
  </property>
  <property fmtid="{D5CDD505-2E9C-101B-9397-08002B2CF9AE}" pid="21" name="MSIP_Label_eb34d90b-fc41-464d-af60-f74d721d0790_ActionId">
    <vt:lpwstr>f89886b276cb4bb2bb4c08edfebda9eb</vt:lpwstr>
  </property>
  <property fmtid="{D5CDD505-2E9C-101B-9397-08002B2CF9AE}" pid="22" name="PM_InsertionValue">
    <vt:lpwstr>OFFICIAL</vt:lpwstr>
  </property>
  <property fmtid="{D5CDD505-2E9C-101B-9397-08002B2CF9AE}" pid="23" name="PM_Originator_Hash_SHA1">
    <vt:lpwstr>F28DF7973890B13BFD34BCBA17FEFA903EB9FB81</vt:lpwstr>
  </property>
  <property fmtid="{D5CDD505-2E9C-101B-9397-08002B2CF9AE}" pid="24" name="PM_Originating_FileId">
    <vt:lpwstr>FB8C9750FD8147FBB16669002D1C0446</vt:lpwstr>
  </property>
  <property fmtid="{D5CDD505-2E9C-101B-9397-08002B2CF9AE}" pid="25" name="PM_ProtectiveMarkingValue_Footer">
    <vt:lpwstr>OFFICIAL</vt:lpwstr>
  </property>
  <property fmtid="{D5CDD505-2E9C-101B-9397-08002B2CF9AE}" pid="26" name="PM_Display">
    <vt:lpwstr>OFFICIAL</vt:lpwstr>
  </property>
  <property fmtid="{D5CDD505-2E9C-101B-9397-08002B2CF9AE}" pid="27" name="PM_OriginatorUserAccountName_SHA256">
    <vt:lpwstr>147404F6570EABFC52952E6BA9446CDDF359757C9974AE6B451D4B6CCD51ADC8</vt:lpwstr>
  </property>
  <property fmtid="{D5CDD505-2E9C-101B-9397-08002B2CF9AE}" pid="28" name="PM_OriginatorDomainName_SHA256">
    <vt:lpwstr>CE53151D70EF3143B9B6CA1DC053F41E858E2C804CF2EE5AE813E5CCE407743B</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2B252A319532046988E87206BF1433D4</vt:lpwstr>
  </property>
  <property fmtid="{D5CDD505-2E9C-101B-9397-08002B2CF9AE}" pid="32" name="PM_Hash_Salt">
    <vt:lpwstr>2B252A319532046988E87206BF1433D4</vt:lpwstr>
  </property>
  <property fmtid="{D5CDD505-2E9C-101B-9397-08002B2CF9AE}" pid="33" name="PM_Hash_SHA1">
    <vt:lpwstr>FCA4F618E789C8B18214D2375764A0036CED2007</vt:lpwstr>
  </property>
  <property fmtid="{D5CDD505-2E9C-101B-9397-08002B2CF9AE}" pid="34" name="ContentTypeId">
    <vt:lpwstr>0x010100E0A1386BDCFE374FA31F7E1B2995A17F</vt:lpwstr>
  </property>
  <property fmtid="{D5CDD505-2E9C-101B-9397-08002B2CF9AE}" pid="35" name="MediaServiceImageTags">
    <vt:lpwstr/>
  </property>
  <property fmtid="{D5CDD505-2E9C-101B-9397-08002B2CF9AE}" pid="36" name="MSIP_Label_7cd3e8b9-ffed-43a8-b7f4-cc2fa0382d36_Enabled">
    <vt:lpwstr>true</vt:lpwstr>
  </property>
  <property fmtid="{D5CDD505-2E9C-101B-9397-08002B2CF9AE}" pid="37" name="MSIP_Label_7cd3e8b9-ffed-43a8-b7f4-cc2fa0382d36_SetDate">
    <vt:lpwstr>2025-07-30T04:40:35Z</vt:lpwstr>
  </property>
  <property fmtid="{D5CDD505-2E9C-101B-9397-08002B2CF9AE}" pid="38" name="MSIP_Label_7cd3e8b9-ffed-43a8-b7f4-cc2fa0382d36_Method">
    <vt:lpwstr>Privileged</vt:lpwstr>
  </property>
  <property fmtid="{D5CDD505-2E9C-101B-9397-08002B2CF9AE}" pid="39" name="MSIP_Label_7cd3e8b9-ffed-43a8-b7f4-cc2fa0382d36_Name">
    <vt:lpwstr>O</vt:lpwstr>
  </property>
  <property fmtid="{D5CDD505-2E9C-101B-9397-08002B2CF9AE}" pid="40" name="MSIP_Label_7cd3e8b9-ffed-43a8-b7f4-cc2fa0382d36_SiteId">
    <vt:lpwstr>34a3929c-73cf-4954-abfe-147dc3517892</vt:lpwstr>
  </property>
  <property fmtid="{D5CDD505-2E9C-101B-9397-08002B2CF9AE}" pid="41" name="MSIP_Label_7cd3e8b9-ffed-43a8-b7f4-cc2fa0382d36_ActionId">
    <vt:lpwstr>22e7b794-8317-4b81-bcc1-ca68d50272ee</vt:lpwstr>
  </property>
  <property fmtid="{D5CDD505-2E9C-101B-9397-08002B2CF9AE}" pid="42" name="MSIP_Label_7cd3e8b9-ffed-43a8-b7f4-cc2fa0382d36_ContentBits">
    <vt:lpwstr>3</vt:lpwstr>
  </property>
  <property fmtid="{D5CDD505-2E9C-101B-9397-08002B2CF9AE}" pid="43" name="MSIP_Label_7cd3e8b9-ffed-43a8-b7f4-cc2fa0382d36_Tag">
    <vt:lpwstr>10, 0, 1, 1</vt:lpwstr>
  </property>
  <property fmtid="{D5CDD505-2E9C-101B-9397-08002B2CF9AE}" pid="44" name="docLang">
    <vt:lpwstr>en</vt:lpwstr>
  </property>
</Properties>
</file>