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2B7C125" w:rsidR="00751A23" w:rsidRPr="006249DC" w:rsidRDefault="00BD5A64" w:rsidP="005D4A3F">
      <w:pPr>
        <w:pStyle w:val="Title"/>
      </w:pPr>
      <w:r>
        <w:t>Quarterly Financial Report – Residential Care Labour Costs and Hours reporting</w:t>
      </w:r>
    </w:p>
    <w:p w14:paraId="404DC7AF" w14:textId="2B9B665E" w:rsidR="00751A23" w:rsidRPr="006249DC" w:rsidRDefault="00BD5A64" w:rsidP="006249DC">
      <w:pPr>
        <w:pStyle w:val="Subtitle"/>
        <w:sectPr w:rsidR="00751A23" w:rsidRPr="006249DC" w:rsidSect="00A21EB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1" w:footer="709" w:gutter="0"/>
          <w:cols w:space="708"/>
          <w:titlePg/>
          <w:docGrid w:linePitch="360"/>
        </w:sectPr>
      </w:pPr>
      <w:r>
        <w:t>Frequently Asked Questions (FAQ</w:t>
      </w:r>
      <w:r w:rsidR="00AD71D4">
        <w:t>s</w:t>
      </w:r>
      <w:r>
        <w:t>)</w:t>
      </w:r>
    </w:p>
    <w:p w14:paraId="2733137E" w14:textId="77777777" w:rsidR="00BD5A64" w:rsidRPr="00F55932" w:rsidRDefault="00BD5A64" w:rsidP="00F55932">
      <w:pPr>
        <w:rPr>
          <w:b/>
          <w:bCs/>
        </w:rPr>
      </w:pPr>
      <w:r w:rsidRPr="00F55932">
        <w:rPr>
          <w:b/>
          <w:bCs/>
        </w:rPr>
        <w:lastRenderedPageBreak/>
        <w:t>Contents</w:t>
      </w:r>
    </w:p>
    <w:p w14:paraId="6DB6AD41" w14:textId="0C2776E7"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D53D50">
          <w:rPr>
            <w:webHidden/>
          </w:rPr>
          <w:t>3</w:t>
        </w:r>
        <w:r w:rsidR="00765FFF">
          <w:rPr>
            <w:webHidden/>
            <w:color w:val="2B579A"/>
            <w:shd w:val="clear" w:color="auto" w:fill="E6E6E6"/>
          </w:rPr>
          <w:fldChar w:fldCharType="end"/>
        </w:r>
      </w:hyperlink>
    </w:p>
    <w:p w14:paraId="14218A88" w14:textId="4721C6D8"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Pr="008C302F">
          <w:rPr>
            <w:rStyle w:val="Hyperlink"/>
          </w:rPr>
          <w:t>Labour hour reporting and what counts as care minutes</w:t>
        </w:r>
        <w:r>
          <w:rPr>
            <w:webHidden/>
          </w:rPr>
          <w:tab/>
        </w:r>
        <w:r>
          <w:rPr>
            <w:webHidden/>
            <w:color w:val="2B579A"/>
            <w:shd w:val="clear" w:color="auto" w:fill="E6E6E6"/>
          </w:rPr>
          <w:fldChar w:fldCharType="begin"/>
        </w:r>
        <w:r>
          <w:rPr>
            <w:webHidden/>
          </w:rPr>
          <w:instrText xml:space="preserve"> PAGEREF _Toc162517318 \h </w:instrText>
        </w:r>
        <w:r>
          <w:rPr>
            <w:webHidden/>
            <w:color w:val="2B579A"/>
            <w:shd w:val="clear" w:color="auto" w:fill="E6E6E6"/>
          </w:rPr>
        </w:r>
        <w:r>
          <w:rPr>
            <w:webHidden/>
            <w:color w:val="2B579A"/>
            <w:shd w:val="clear" w:color="auto" w:fill="E6E6E6"/>
          </w:rPr>
          <w:fldChar w:fldCharType="separate"/>
        </w:r>
        <w:r w:rsidR="00D53D50">
          <w:rPr>
            <w:webHidden/>
          </w:rPr>
          <w:t>3</w:t>
        </w:r>
        <w:r>
          <w:rPr>
            <w:webHidden/>
            <w:color w:val="2B579A"/>
            <w:shd w:val="clear" w:color="auto" w:fill="E6E6E6"/>
          </w:rPr>
          <w:fldChar w:fldCharType="end"/>
        </w:r>
      </w:hyperlink>
    </w:p>
    <w:p w14:paraId="65CC36E1" w14:textId="32E77D9D"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Pr="008C302F">
          <w:rPr>
            <w:rStyle w:val="Hyperlink"/>
          </w:rPr>
          <w:t>Apportioning expenses/hours in the QFR</w:t>
        </w:r>
        <w:r>
          <w:rPr>
            <w:webHidden/>
          </w:rPr>
          <w:tab/>
        </w:r>
        <w:r>
          <w:rPr>
            <w:webHidden/>
            <w:color w:val="2B579A"/>
            <w:shd w:val="clear" w:color="auto" w:fill="E6E6E6"/>
          </w:rPr>
          <w:fldChar w:fldCharType="begin"/>
        </w:r>
        <w:r>
          <w:rPr>
            <w:webHidden/>
          </w:rPr>
          <w:instrText xml:space="preserve"> PAGEREF _Toc162517319 \h </w:instrText>
        </w:r>
        <w:r>
          <w:rPr>
            <w:webHidden/>
            <w:color w:val="2B579A"/>
            <w:shd w:val="clear" w:color="auto" w:fill="E6E6E6"/>
          </w:rPr>
        </w:r>
        <w:r>
          <w:rPr>
            <w:webHidden/>
            <w:color w:val="2B579A"/>
            <w:shd w:val="clear" w:color="auto" w:fill="E6E6E6"/>
          </w:rPr>
          <w:fldChar w:fldCharType="separate"/>
        </w:r>
        <w:r w:rsidR="00D53D50">
          <w:rPr>
            <w:webHidden/>
          </w:rPr>
          <w:t>7</w:t>
        </w:r>
        <w:r>
          <w:rPr>
            <w:webHidden/>
            <w:color w:val="2B579A"/>
            <w:shd w:val="clear" w:color="auto" w:fill="E6E6E6"/>
          </w:rPr>
          <w:fldChar w:fldCharType="end"/>
        </w:r>
      </w:hyperlink>
    </w:p>
    <w:p w14:paraId="66624DC5" w14:textId="7FBAE787"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Pr="008C302F">
          <w:rPr>
            <w:rStyle w:val="Hyperlink"/>
          </w:rPr>
          <w:t>Allied Health</w:t>
        </w:r>
        <w:r>
          <w:rPr>
            <w:webHidden/>
          </w:rPr>
          <w:tab/>
        </w:r>
        <w:r>
          <w:rPr>
            <w:webHidden/>
            <w:color w:val="2B579A"/>
            <w:shd w:val="clear" w:color="auto" w:fill="E6E6E6"/>
          </w:rPr>
          <w:fldChar w:fldCharType="begin"/>
        </w:r>
        <w:r>
          <w:rPr>
            <w:webHidden/>
          </w:rPr>
          <w:instrText xml:space="preserve"> PAGEREF _Toc162517320 \h </w:instrText>
        </w:r>
        <w:r>
          <w:rPr>
            <w:webHidden/>
            <w:color w:val="2B579A"/>
            <w:shd w:val="clear" w:color="auto" w:fill="E6E6E6"/>
          </w:rPr>
        </w:r>
        <w:r>
          <w:rPr>
            <w:webHidden/>
            <w:color w:val="2B579A"/>
            <w:shd w:val="clear" w:color="auto" w:fill="E6E6E6"/>
          </w:rPr>
          <w:fldChar w:fldCharType="separate"/>
        </w:r>
        <w:r w:rsidR="00D53D50">
          <w:rPr>
            <w:webHidden/>
          </w:rPr>
          <w:t>8</w:t>
        </w:r>
        <w:r>
          <w:rPr>
            <w:webHidden/>
            <w:color w:val="2B579A"/>
            <w:shd w:val="clear" w:color="auto" w:fill="E6E6E6"/>
          </w:rPr>
          <w:fldChar w:fldCharType="end"/>
        </w:r>
      </w:hyperlink>
    </w:p>
    <w:p w14:paraId="644E7E51" w14:textId="01B12D9B"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Pr="008C302F">
          <w:rPr>
            <w:rStyle w:val="Hyperlink"/>
          </w:rPr>
          <w:t>Occupied Bed Days</w:t>
        </w:r>
        <w:r>
          <w:rPr>
            <w:webHidden/>
          </w:rPr>
          <w:tab/>
        </w:r>
        <w:r>
          <w:rPr>
            <w:webHidden/>
            <w:color w:val="2B579A"/>
            <w:shd w:val="clear" w:color="auto" w:fill="E6E6E6"/>
          </w:rPr>
          <w:fldChar w:fldCharType="begin"/>
        </w:r>
        <w:r>
          <w:rPr>
            <w:webHidden/>
          </w:rPr>
          <w:instrText xml:space="preserve"> PAGEREF _Toc162517321 \h </w:instrText>
        </w:r>
        <w:r>
          <w:rPr>
            <w:webHidden/>
            <w:color w:val="2B579A"/>
            <w:shd w:val="clear" w:color="auto" w:fill="E6E6E6"/>
          </w:rPr>
        </w:r>
        <w:r>
          <w:rPr>
            <w:webHidden/>
            <w:color w:val="2B579A"/>
            <w:shd w:val="clear" w:color="auto" w:fill="E6E6E6"/>
          </w:rPr>
          <w:fldChar w:fldCharType="separate"/>
        </w:r>
        <w:r w:rsidR="00D53D50">
          <w:rPr>
            <w:webHidden/>
          </w:rPr>
          <w:t>9</w:t>
        </w:r>
        <w:r>
          <w:rPr>
            <w:webHidden/>
            <w:color w:val="2B579A"/>
            <w:shd w:val="clear" w:color="auto" w:fill="E6E6E6"/>
          </w:rPr>
          <w:fldChar w:fldCharType="end"/>
        </w:r>
      </w:hyperlink>
    </w:p>
    <w:p w14:paraId="3250DE04" w14:textId="03116F4F"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Pr="008C302F">
          <w:rPr>
            <w:rStyle w:val="Hyperlink"/>
          </w:rPr>
          <w:t>Expenses Reporting</w:t>
        </w:r>
        <w:r>
          <w:rPr>
            <w:webHidden/>
          </w:rPr>
          <w:tab/>
        </w:r>
        <w:r>
          <w:rPr>
            <w:webHidden/>
            <w:color w:val="2B579A"/>
            <w:shd w:val="clear" w:color="auto" w:fill="E6E6E6"/>
          </w:rPr>
          <w:fldChar w:fldCharType="begin"/>
        </w:r>
        <w:r>
          <w:rPr>
            <w:webHidden/>
          </w:rPr>
          <w:instrText xml:space="preserve"> PAGEREF _Toc162517322 \h </w:instrText>
        </w:r>
        <w:r>
          <w:rPr>
            <w:webHidden/>
            <w:color w:val="2B579A"/>
            <w:shd w:val="clear" w:color="auto" w:fill="E6E6E6"/>
          </w:rPr>
        </w:r>
        <w:r>
          <w:rPr>
            <w:webHidden/>
            <w:color w:val="2B579A"/>
            <w:shd w:val="clear" w:color="auto" w:fill="E6E6E6"/>
          </w:rPr>
          <w:fldChar w:fldCharType="separate"/>
        </w:r>
        <w:r w:rsidR="00D53D50">
          <w:rPr>
            <w:webHidden/>
          </w:rPr>
          <w:t>10</w:t>
        </w:r>
        <w:r>
          <w:rPr>
            <w:webHidden/>
            <w:color w:val="2B579A"/>
            <w:shd w:val="clear" w:color="auto" w:fill="E6E6E6"/>
          </w:rPr>
          <w:fldChar w:fldCharType="end"/>
        </w:r>
      </w:hyperlink>
    </w:p>
    <w:p w14:paraId="63620B34" w14:textId="2EFD09F9"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Pr="008C302F">
          <w:rPr>
            <w:rStyle w:val="Hyperlink"/>
          </w:rPr>
          <w:t>Reporting issues</w:t>
        </w:r>
        <w:r>
          <w:rPr>
            <w:webHidden/>
          </w:rPr>
          <w:tab/>
        </w:r>
        <w:r>
          <w:rPr>
            <w:webHidden/>
            <w:color w:val="2B579A"/>
            <w:shd w:val="clear" w:color="auto" w:fill="E6E6E6"/>
          </w:rPr>
          <w:fldChar w:fldCharType="begin"/>
        </w:r>
        <w:r>
          <w:rPr>
            <w:webHidden/>
          </w:rPr>
          <w:instrText xml:space="preserve"> PAGEREF _Toc162517323 \h </w:instrText>
        </w:r>
        <w:r>
          <w:rPr>
            <w:webHidden/>
            <w:color w:val="2B579A"/>
            <w:shd w:val="clear" w:color="auto" w:fill="E6E6E6"/>
          </w:rPr>
        </w:r>
        <w:r>
          <w:rPr>
            <w:webHidden/>
            <w:color w:val="2B579A"/>
            <w:shd w:val="clear" w:color="auto" w:fill="E6E6E6"/>
          </w:rPr>
          <w:fldChar w:fldCharType="separate"/>
        </w:r>
        <w:r w:rsidR="00D53D50">
          <w:rPr>
            <w:webHidden/>
          </w:rPr>
          <w:t>11</w:t>
        </w:r>
        <w:r>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32261B">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7" w:history="1">
        <w:r w:rsidR="000F555C" w:rsidRPr="00DC2C71">
          <w:rPr>
            <w:rStyle w:val="Hyperlink"/>
          </w:rPr>
          <w:t>here</w:t>
        </w:r>
      </w:hyperlink>
      <w:r w:rsidR="001D76DE" w:rsidRPr="00DC2C71">
        <w:t xml:space="preserve"> and includes:</w:t>
      </w:r>
    </w:p>
    <w:p w14:paraId="7012FD17" w14:textId="77777777" w:rsidR="00514591" w:rsidRPr="00DC2C71" w:rsidRDefault="00514591" w:rsidP="001D76DE">
      <w:pPr>
        <w:pStyle w:val="ListParagraph"/>
        <w:numPr>
          <w:ilvl w:val="0"/>
          <w:numId w:val="49"/>
        </w:numPr>
      </w:pPr>
      <w:r w:rsidRPr="00DC2C71">
        <w:t>General information about completing the QFR</w:t>
      </w:r>
    </w:p>
    <w:p w14:paraId="03695252" w14:textId="584527C1" w:rsidR="008D350D" w:rsidRPr="00DC2C71" w:rsidRDefault="008D350D" w:rsidP="001D76DE">
      <w:pPr>
        <w:pStyle w:val="ListParagraph"/>
        <w:numPr>
          <w:ilvl w:val="0"/>
          <w:numId w:val="49"/>
        </w:numPr>
      </w:pPr>
      <w:r w:rsidRPr="00DC2C71">
        <w:t>Viability and Prudential</w:t>
      </w:r>
    </w:p>
    <w:p w14:paraId="05E59CEB" w14:textId="399AD1A4" w:rsidR="008D350D" w:rsidRPr="00DC2C71" w:rsidRDefault="008D350D" w:rsidP="001D76DE">
      <w:pPr>
        <w:pStyle w:val="ListParagraph"/>
        <w:numPr>
          <w:ilvl w:val="0"/>
          <w:numId w:val="49"/>
        </w:numPr>
      </w:pPr>
      <w:r w:rsidRPr="00DC2C71">
        <w:t>Year to date Financial Statements</w:t>
      </w:r>
    </w:p>
    <w:p w14:paraId="7FAE1B92" w14:textId="17F3FAB4" w:rsidR="001D76DE" w:rsidRPr="00DC2C71" w:rsidRDefault="008D350D" w:rsidP="001D76DE">
      <w:pPr>
        <w:pStyle w:val="ListParagraph"/>
        <w:numPr>
          <w:ilvl w:val="0"/>
          <w:numId w:val="49"/>
        </w:numPr>
      </w:pPr>
      <w:r w:rsidRPr="00DC2C71">
        <w:t>Hourly wage rates</w:t>
      </w:r>
    </w:p>
    <w:p w14:paraId="6FB3D17A" w14:textId="03041167" w:rsidR="008D350D" w:rsidRPr="00DC2C71" w:rsidRDefault="008D350D" w:rsidP="008D350D">
      <w:pPr>
        <w:pStyle w:val="ListParagraph"/>
        <w:numPr>
          <w:ilvl w:val="0"/>
          <w:numId w:val="49"/>
        </w:numPr>
      </w:pPr>
      <w:r w:rsidRPr="00DC2C71">
        <w:t>Home Care</w:t>
      </w:r>
    </w:p>
    <w:p w14:paraId="300F2BE9" w14:textId="55334DE2" w:rsidR="008D350D" w:rsidRPr="00DC2C71" w:rsidRDefault="008D350D" w:rsidP="008D350D">
      <w:pPr>
        <w:pStyle w:val="ListParagraph"/>
        <w:numPr>
          <w:ilvl w:val="0"/>
          <w:numId w:val="49"/>
        </w:numPr>
      </w:pPr>
      <w:r w:rsidRPr="00DC2C71">
        <w:t>Food and nutrition</w:t>
      </w:r>
    </w:p>
    <w:p w14:paraId="22993D8B" w14:textId="00DA87D3" w:rsidR="008D350D" w:rsidRPr="00DC2C71" w:rsidRDefault="008D350D" w:rsidP="008D350D">
      <w:pPr>
        <w:pStyle w:val="ListParagraph"/>
        <w:numPr>
          <w:ilvl w:val="0"/>
          <w:numId w:val="49"/>
        </w:numPr>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701835C3" w:rsidR="009A3380" w:rsidRPr="00DB60AB" w:rsidRDefault="00DB60AB" w:rsidP="00DD6F3F">
      <w:pPr>
        <w:pStyle w:val="Question"/>
      </w:pPr>
      <w:r w:rsidRPr="000D7638">
        <w:t>Is the QFR used to calculate care minutes targets</w:t>
      </w:r>
      <w:r>
        <w:t xml:space="preserve"> for </w:t>
      </w:r>
      <w:r w:rsidR="00B13417">
        <w:t>approved residential aged care homes (aged care homes)</w:t>
      </w:r>
      <w:r>
        <w:t>?</w:t>
      </w:r>
    </w:p>
    <w:p w14:paraId="2A2F306C" w14:textId="6F888A62" w:rsidR="00DB60AB" w:rsidRDefault="00DB60AB" w:rsidP="00DB60AB">
      <w:pPr>
        <w:pStyle w:val="BodyText"/>
        <w:rPr>
          <w:rStyle w:val="Hyperlink"/>
        </w:rPr>
      </w:pPr>
      <w:r w:rsidRPr="587E7AAE">
        <w:t xml:space="preserve">No, care minutes targets are calculated from the Australian National Aged Care Classification (AN-ACC) of permanent residents (including palliative care residents) and respite residents that were in care during the target calculation period. For more information on care minutes targets see </w:t>
      </w:r>
      <w:r w:rsidR="007B4836" w:rsidRPr="587E7AAE">
        <w:t xml:space="preserve">Section </w:t>
      </w:r>
      <w:r w:rsidR="007B4836">
        <w:t>5</w:t>
      </w:r>
      <w:r w:rsidR="007B4836" w:rsidRPr="587E7AAE">
        <w:t xml:space="preserve"> of the</w:t>
      </w:r>
      <w:r w:rsidR="007B4836">
        <w:t xml:space="preserve"> </w:t>
      </w:r>
      <w:hyperlink r:id="rId18">
        <w:r w:rsidR="007B4836">
          <w:rPr>
            <w:rStyle w:val="Hyperlink"/>
          </w:rPr>
          <w:t>Care minutes guide</w:t>
        </w:r>
      </w:hyperlink>
      <w:r w:rsidR="00CB1323">
        <w:t>.</w:t>
      </w:r>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24608537" w14:textId="1EB0D024" w:rsidR="00CB1323" w:rsidRDefault="00DB60AB" w:rsidP="0059332E">
      <w:pPr>
        <w:rPr>
          <w:rStyle w:val="Hyperlink"/>
          <w:rFonts w:eastAsia="Arial" w:cs="Arial"/>
          <w:b/>
          <w:bCs/>
          <w:iCs/>
        </w:rPr>
      </w:pPr>
      <w:r w:rsidRPr="587E7AAE">
        <w:t xml:space="preserve">Yes, each </w:t>
      </w:r>
      <w:r w:rsidR="00B13417">
        <w:t>aged care home</w:t>
      </w:r>
      <w:r w:rsidRPr="587E7AAE">
        <w:t xml:space="preserve">’s care minutes targets are static throughout the quarter once they have been calculated, even if the </w:t>
      </w:r>
      <w:r w:rsidR="00B13417">
        <w:t>aged care home</w:t>
      </w:r>
      <w:r w:rsidRPr="587E7AAE">
        <w:t xml:space="preserve">’s resident case mix changes. For more information see </w:t>
      </w:r>
      <w:r w:rsidR="001931B8" w:rsidRPr="587E7AAE">
        <w:t xml:space="preserve">Section </w:t>
      </w:r>
      <w:r w:rsidR="001931B8">
        <w:t>5</w:t>
      </w:r>
      <w:r w:rsidR="001931B8" w:rsidRPr="587E7AAE">
        <w:t xml:space="preserve"> of the </w:t>
      </w:r>
      <w:hyperlink r:id="rId19">
        <w:r w:rsidR="001931B8">
          <w:rPr>
            <w:rStyle w:val="Hyperlink"/>
          </w:rPr>
          <w:t xml:space="preserve">Care minutes guide. </w:t>
        </w:r>
      </w:hyperlink>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CF5490" w:rsidRDefault="00DB60AB" w:rsidP="00DB60AB">
      <w:pPr>
        <w:pStyle w:val="BodyText"/>
      </w:pPr>
      <w:r w:rsidRPr="587E7AAE">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proofErr w:type="gramStart"/>
      <w:r w:rsidRPr="1228D23A">
        <w:t>minutes’</w:t>
      </w:r>
      <w:bookmarkEnd w:id="8"/>
      <w:proofErr w:type="gramEnd"/>
      <w:r w:rsidRPr="1228D23A">
        <w:t>?</w:t>
      </w:r>
    </w:p>
    <w:p w14:paraId="0B07082D" w14:textId="1990B0BB" w:rsidR="00DB60AB" w:rsidRPr="00F01616" w:rsidRDefault="00DB60AB" w:rsidP="00DB60AB">
      <w:pPr>
        <w:pStyle w:val="BodyText"/>
      </w:pPr>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personal care workers/assistants in nursing (PCWs/AINs) who perform direct clinical care and personal care activities</w:t>
      </w:r>
      <w:r w:rsidR="3F3EF138" w:rsidRPr="00F01616">
        <w:t xml:space="preserve"> on-site</w:t>
      </w:r>
      <w:r w:rsidR="3B63ABFA">
        <w:t>. It may include both direct (i.e., in person assistance) and those that are not face to face (for example</w:t>
      </w:r>
      <w:r w:rsidR="00CB1323">
        <w:t>,</w:t>
      </w:r>
      <w:r w:rsidR="3B63ABFA">
        <w:t xml:space="preserve"> writing up care plans or organising a referral). </w:t>
      </w:r>
    </w:p>
    <w:p w14:paraId="48618F50" w14:textId="58013251" w:rsidR="00DB60AB" w:rsidRPr="00F01616" w:rsidRDefault="00DB60AB" w:rsidP="00DB60AB">
      <w:pPr>
        <w:pStyle w:val="BodyText"/>
      </w:pPr>
      <w:r w:rsidRPr="00F01616">
        <w:t>This excludes staff leave time, training, on-</w:t>
      </w:r>
      <w:bookmarkStart w:id="9" w:name="_Int_iodCkGwg"/>
      <w:r w:rsidRPr="00F01616">
        <w:t>call</w:t>
      </w:r>
      <w:bookmarkEnd w:id="9"/>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employed in a hybrid role, for example providing both personal care and other </w:t>
      </w:r>
      <w:r w:rsidRPr="00F01616">
        <w:lastRenderedPageBreak/>
        <w:t>activities such as administration, catering, and laundry,</w:t>
      </w:r>
      <w:r w:rsidR="00C82773">
        <w:t xml:space="preserve"> only</w:t>
      </w:r>
      <w:r w:rsidRPr="00F01616">
        <w:t xml:space="preserve"> the portion of the worker’s</w:t>
      </w:r>
      <w:r w:rsidR="00C82773">
        <w:t xml:space="preserve"> direct care</w:t>
      </w:r>
      <w:r w:rsidRPr="00F01616">
        <w:t xml:space="preserve"> time spent on personal care counts towards care</w:t>
      </w:r>
      <w:r w:rsidRPr="00F01616">
        <w:rPr>
          <w:spacing w:val="-14"/>
        </w:rPr>
        <w:t xml:space="preserve"> </w:t>
      </w:r>
      <w:r w:rsidRPr="00F01616">
        <w:t>minutes.</w:t>
      </w:r>
    </w:p>
    <w:p w14:paraId="61C3C15C" w14:textId="3EAC4AA0" w:rsidR="00DB60AB" w:rsidRPr="00CF5490" w:rsidRDefault="00DB60AB" w:rsidP="0059332E">
      <w:r w:rsidRPr="587E7AAE">
        <w:t xml:space="preserve">Refer to </w:t>
      </w:r>
      <w:r w:rsidR="00A168C2" w:rsidRPr="00F01616">
        <w:t xml:space="preserve">Section </w:t>
      </w:r>
      <w:r w:rsidR="00A168C2">
        <w:t>4</w:t>
      </w:r>
      <w:r w:rsidR="00A168C2" w:rsidRPr="587E7AAE">
        <w:t xml:space="preserve"> in the </w:t>
      </w:r>
      <w:hyperlink r:id="rId20">
        <w:r w:rsidR="00A168C2">
          <w:rPr>
            <w:rStyle w:val="Hyperlink"/>
          </w:rPr>
          <w:t xml:space="preserve">Care minutes guide </w:t>
        </w:r>
      </w:hyperlink>
      <w:r w:rsidR="00CB1323">
        <w:t xml:space="preserve"> </w:t>
      </w:r>
      <w:r w:rsidRPr="587E7AAE">
        <w:t>for a list of activities that are counted as direct care time when delivered by a RN, EN or PCW/AIN, and a list of activities that are not counted as direct care.</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320E97" w:rsidRDefault="00DB60AB" w:rsidP="00DB60AB">
      <w:pPr>
        <w:pStyle w:val="BodyText"/>
      </w:pPr>
      <w:r w:rsidRPr="587E7AAE">
        <w:t>Recognising that aged care is delivered within a team environment, day-to-day supervision, provided by RNs, ENs and PCW</w:t>
      </w:r>
      <w:r>
        <w:t>s</w:t>
      </w:r>
      <w:r w:rsidRPr="587E7AAE">
        <w:t>/AINs in direct care roles of other direct care staff while they are providing care to residents can be counted as care minutes.</w:t>
      </w:r>
    </w:p>
    <w:p w14:paraId="4C5BB89A" w14:textId="4D575FD3" w:rsidR="00DB60AB" w:rsidRDefault="00C82773" w:rsidP="00DB60AB">
      <w:pPr>
        <w:pStyle w:val="BodyText"/>
      </w:pPr>
      <w:r>
        <w:t>Care m</w:t>
      </w:r>
      <w:r w:rsidR="00DB60AB" w:rsidRPr="587E7AAE">
        <w:t>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Default="00DB60AB" w:rsidP="00DB60AB">
      <w:pPr>
        <w:pStyle w:val="BodyText"/>
      </w:pPr>
      <w:r w:rsidRPr="587E7AAE">
        <w:t>Yes, interdisciplinary care planning and care review activities are considered direct care and count towards care minutes, but only if provided by a RN, EN or PCW/AIN</w:t>
      </w:r>
      <w:r w:rsidR="72296F1A">
        <w:t xml:space="preserve"> on-site</w:t>
      </w:r>
      <w:r w:rsidRPr="587E7AAE">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113E48D" w14:textId="77777777" w:rsidR="003864F1" w:rsidRPr="00F01616" w:rsidRDefault="003864F1" w:rsidP="003864F1">
      <w:pPr>
        <w:pStyle w:val="BodyText"/>
      </w:pPr>
      <w:r>
        <w:t>Time spent in at training sessions cannot be counted towards care minutes.</w:t>
      </w:r>
    </w:p>
    <w:p w14:paraId="128E69D5" w14:textId="53987829" w:rsidR="00DB60AB" w:rsidRPr="00FC2F20" w:rsidRDefault="00DB60AB" w:rsidP="00FC2F20">
      <w:pPr>
        <w:pStyle w:val="BodyText"/>
      </w:pPr>
      <w:r w:rsidRPr="00FC2F20">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DB60AB">
      <w:pPr>
        <w:pStyle w:val="BodyText"/>
      </w:pPr>
      <w:r>
        <w:t xml:space="preserve">*A </w:t>
      </w:r>
      <w:bookmarkStart w:id="12" w:name="_Int_oGhO642h"/>
      <w:r>
        <w:t>buddy</w:t>
      </w:r>
      <w:bookmarkEnd w:id="12"/>
      <w:r>
        <w:t xml:space="preserve"> shift is when a less experienced worker accompanies an experienced worker on one or more shifts. This allows the less experienced worker to understand more about resident needs and preferences, get to know the work routine and apply learnings.</w:t>
      </w:r>
    </w:p>
    <w:p w14:paraId="2818041E" w14:textId="64E14839" w:rsidR="00DB60AB" w:rsidRPr="00F01616" w:rsidRDefault="00DB60AB" w:rsidP="00F10FE8">
      <w:pPr>
        <w:pStyle w:val="BodyText"/>
        <w:rPr>
          <w:rFonts w:eastAsia="Arial"/>
        </w:rPr>
      </w:pPr>
      <w:r w:rsidRPr="3D0CF4EB">
        <w:rPr>
          <w:rFonts w:eastAsia="Arial"/>
        </w:rPr>
        <w:t xml:space="preserve">See </w:t>
      </w:r>
      <w:hyperlink r:id="rId21">
        <w:r w:rsidRPr="3D0CF4EB">
          <w:rPr>
            <w:rStyle w:val="Hyperlink"/>
            <w:rFonts w:eastAsia="Arial" w:cs="Arial"/>
          </w:rPr>
          <w:t xml:space="preserve">QFR data definitions </w:t>
        </w:r>
      </w:hyperlink>
      <w:r w:rsidRPr="3D0CF4EB">
        <w:rPr>
          <w:rFonts w:eastAsia="Arial"/>
        </w:rPr>
        <w:t>for definitions of RN, EN or PCW/AIN. Importantly, students (such as unpaid undergraduate nursing student placements), staff leave time, training, or volunteer hours should not be</w:t>
      </w:r>
      <w:r w:rsidRPr="3D0CF4EB">
        <w:rPr>
          <w:rFonts w:eastAsia="Arial"/>
          <w:b/>
          <w:bCs/>
        </w:rPr>
        <w:t xml:space="preserve"> </w:t>
      </w:r>
      <w:r w:rsidRPr="3D0CF4EB">
        <w:rPr>
          <w:rFonts w:eastAsia="Arial"/>
        </w:rPr>
        <w:t xml:space="preserve">included in care minutes reporting in the QFR. </w:t>
      </w:r>
    </w:p>
    <w:p w14:paraId="608AFCA0" w14:textId="77777777" w:rsidR="008954DD" w:rsidRDefault="008954DD" w:rsidP="008954DD">
      <w:pPr>
        <w:pStyle w:val="Question"/>
      </w:pPr>
      <w:r>
        <w:lastRenderedPageBreak/>
        <w:t>How are training expenses and hours reported for residential aged care staff?  </w:t>
      </w:r>
    </w:p>
    <w:p w14:paraId="4F0A656F" w14:textId="77777777" w:rsidR="008954DD" w:rsidRPr="00A25B55" w:rsidRDefault="008954DD" w:rsidP="008954DD">
      <w:pPr>
        <w:pStyle w:val="Question"/>
        <w:numPr>
          <w:ilvl w:val="0"/>
          <w:numId w:val="0"/>
        </w:numPr>
        <w:rPr>
          <w:rFonts w:ascii="Aptos" w:hAnsi="Aptos" w:cs="Aptos"/>
          <w:b w:val="0"/>
          <w:bCs w:val="0"/>
          <w:color w:val="auto"/>
        </w:rPr>
      </w:pPr>
      <w:r w:rsidRPr="00A25B55">
        <w:rPr>
          <w:b w:val="0"/>
          <w:bCs w:val="0"/>
        </w:rPr>
        <w:t>The labour cost of the time direct care staff spen</w:t>
      </w:r>
      <w:r>
        <w:rPr>
          <w:b w:val="0"/>
          <w:bCs w:val="0"/>
        </w:rPr>
        <w:t>t</w:t>
      </w:r>
      <w:r w:rsidRPr="00A25B55">
        <w:rPr>
          <w:b w:val="0"/>
          <w:bCs w:val="0"/>
        </w:rPr>
        <w:t xml:space="preserve"> attending </w:t>
      </w:r>
      <w:r w:rsidRPr="00A25B55">
        <w:rPr>
          <w:b w:val="0"/>
          <w:bCs w:val="0"/>
          <w:color w:val="1E1545" w:themeColor="text1"/>
        </w:rPr>
        <w:t xml:space="preserve">training should be included in direct care labour cost reporting. The labour hours of the time direct care staff spend attending training should not be included in direct care hours reporting. These training hours should be reported in non-worked hours if they relate to RNs, ENs, or PCWs/AINs. Training expenses such as training course fees, speaker fees, room and equipment hire are only reported in the Aged Care Financial </w:t>
      </w:r>
      <w:r w:rsidRPr="00A25B55">
        <w:rPr>
          <w:b w:val="0"/>
          <w:bCs w:val="0"/>
        </w:rPr>
        <w:t>Report (under ‘Quality, compliance and training costs’), not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Default="00DB60AB" w:rsidP="00DB60AB">
      <w:pPr>
        <w:pStyle w:val="BodyText"/>
      </w:pPr>
      <w:r w:rsidRPr="00F01616">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F10FE8">
      <w:pPr>
        <w:pStyle w:val="ListNumber2"/>
      </w:pPr>
      <w:r w:rsidRPr="00F10FE8">
        <w:t>successfully completed not less than 12 months of the Bachelor of Nursing degree</w:t>
      </w:r>
    </w:p>
    <w:p w14:paraId="50011BF4" w14:textId="77777777" w:rsidR="00DB60AB" w:rsidRPr="00F10FE8" w:rsidRDefault="00DB60AB" w:rsidP="00F10FE8">
      <w:pPr>
        <w:pStyle w:val="ListNumber2"/>
      </w:pPr>
      <w:r w:rsidRPr="00F10FE8">
        <w:t xml:space="preserve">are </w:t>
      </w:r>
      <w:bookmarkStart w:id="13" w:name="_Int_H2MjK1vH"/>
      <w:r w:rsidRPr="00F10FE8">
        <w:t>supervised by RNs at all times</w:t>
      </w:r>
      <w:bookmarkEnd w:id="13"/>
      <w:r w:rsidRPr="00F10FE8">
        <w:t xml:space="preserve">. </w:t>
      </w:r>
    </w:p>
    <w:p w14:paraId="559A4A6A" w14:textId="6E072575" w:rsidR="00DB60AB" w:rsidRPr="00B911AD" w:rsidRDefault="00DB60AB" w:rsidP="00B911AD">
      <w:r w:rsidRPr="00B911AD">
        <w:t xml:space="preserve">Unpaid </w:t>
      </w:r>
      <w:r w:rsidR="008954DD">
        <w:t xml:space="preserve">student </w:t>
      </w:r>
      <w:r w:rsidRPr="00B911AD">
        <w:t xml:space="preserve">placement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4FA4C865" w:rsidR="00DB60AB" w:rsidRPr="00B911AD" w:rsidRDefault="00DB60AB" w:rsidP="00B911AD">
      <w:r w:rsidRPr="00B911AD">
        <w:t xml:space="preserve">Catering services including preparing and serving meals are not counted as direct care and should be reported as labour </w:t>
      </w:r>
      <w:r w:rsidR="007C2715">
        <w:t xml:space="preserve">hours </w:t>
      </w:r>
      <w:r w:rsidRPr="00B911AD">
        <w:t>in the QFR under the Food and Nutrition section.</w:t>
      </w:r>
    </w:p>
    <w:p w14:paraId="0CD840D5" w14:textId="007EAD31" w:rsidR="00DB60AB" w:rsidRPr="00F01616" w:rsidRDefault="00DB60AB" w:rsidP="00DB60AB">
      <w:pPr>
        <w:pStyle w:val="BodyText"/>
      </w:pPr>
      <w:r w:rsidRPr="00F01616">
        <w:t xml:space="preserve">Where a RN, EN or PCW/AIN is employed in a hybrid role, for example, providing both personal care and other activities such as </w:t>
      </w:r>
      <w:r w:rsidR="00B92648">
        <w:t>serving food, delivering meals to room, clearing plates etc</w:t>
      </w:r>
      <w:r w:rsidRPr="00F01616">
        <w:t xml:space="preserve">, only the portion of the worker’s time spent on direct care (such as assistance with feeding) </w:t>
      </w:r>
      <w:r w:rsidR="47778F07">
        <w:t>on-site</w:t>
      </w:r>
      <w:r>
        <w:t xml:space="preserve"> </w:t>
      </w:r>
      <w:r w:rsidRPr="00F01616">
        <w:t>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Default="00E3576A" w:rsidP="007C6E79">
      <w:pPr>
        <w:pStyle w:val="ListNumber2"/>
      </w:pPr>
      <w:r w:rsidRPr="007C6E79">
        <w:t>d</w:t>
      </w:r>
      <w:r w:rsidR="00DB60AB" w:rsidRPr="007C6E79">
        <w:t>omestic services</w:t>
      </w:r>
    </w:p>
    <w:p w14:paraId="5D2E5F80" w14:textId="77777777" w:rsidR="003E4BE9" w:rsidRDefault="003E4BE9" w:rsidP="003E4BE9">
      <w:pPr>
        <w:pStyle w:val="ListNumber2"/>
      </w:pPr>
      <w:r>
        <w:t>catering services</w:t>
      </w:r>
    </w:p>
    <w:p w14:paraId="5B949B85" w14:textId="5E8956DE" w:rsidR="00817D6F" w:rsidRDefault="00DB60AB" w:rsidP="007C6E79">
      <w:pPr>
        <w:pStyle w:val="ListNumber2"/>
      </w:pPr>
      <w:r w:rsidRPr="007C6E79">
        <w:t>diversional therapy</w:t>
      </w:r>
    </w:p>
    <w:p w14:paraId="32ED83AA" w14:textId="70E525CF" w:rsidR="003E4BE9" w:rsidRDefault="003E4BE9" w:rsidP="007C6E79">
      <w:pPr>
        <w:pStyle w:val="ListNumber2"/>
      </w:pPr>
      <w:r>
        <w:t>allied health</w:t>
      </w:r>
    </w:p>
    <w:p w14:paraId="147171FF" w14:textId="3A55F86E" w:rsidR="00E3576A" w:rsidRPr="007C6E79" w:rsidRDefault="00DB60AB" w:rsidP="00D03D8E">
      <w:pPr>
        <w:pStyle w:val="ListNumber2"/>
      </w:pPr>
      <w:r w:rsidRPr="007C6E79">
        <w:t>pastoral or spiritual care</w:t>
      </w:r>
    </w:p>
    <w:p w14:paraId="5FCF382A" w14:textId="1D5C7F66" w:rsidR="00DB60AB" w:rsidRPr="007C6E79" w:rsidRDefault="00DB60AB" w:rsidP="00D03D8E">
      <w:pPr>
        <w:pStyle w:val="ListNumber2"/>
      </w:pPr>
      <w:r w:rsidRPr="007C6E79">
        <w:lastRenderedPageBreak/>
        <w:t>volunteer hours</w:t>
      </w:r>
    </w:p>
    <w:p w14:paraId="5EB78C12" w14:textId="79402DF3" w:rsidR="00C01467" w:rsidRPr="007C6E79" w:rsidRDefault="00DB60AB" w:rsidP="00D03D8E">
      <w:pPr>
        <w:pStyle w:val="ListNumber2"/>
      </w:pPr>
      <w:r w:rsidRPr="007C6E79">
        <w:t>telehealth</w:t>
      </w:r>
    </w:p>
    <w:p w14:paraId="06D132AD" w14:textId="2DE0C705" w:rsidR="00DB60AB" w:rsidRDefault="00DB60AB" w:rsidP="007C6E79">
      <w:pPr>
        <w:pStyle w:val="ListNumber2"/>
      </w:pPr>
      <w:r w:rsidRPr="007C6E79">
        <w:t>shifts that are unfilled, for example, if the staff member scheduled for that shift has called in sick</w:t>
      </w:r>
    </w:p>
    <w:p w14:paraId="394F06DF" w14:textId="77777777" w:rsidR="001019E0" w:rsidRDefault="001019E0" w:rsidP="001019E0">
      <w:pPr>
        <w:pStyle w:val="ListNumber2"/>
      </w:pPr>
      <w:r>
        <w:t>student placements</w:t>
      </w:r>
    </w:p>
    <w:p w14:paraId="314171A4" w14:textId="7C4F03C4" w:rsidR="001019E0" w:rsidRDefault="001019E0" w:rsidP="002A6FA0">
      <w:pPr>
        <w:pStyle w:val="ListNumber2"/>
      </w:pPr>
      <w:r>
        <w:t>care management</w:t>
      </w:r>
    </w:p>
    <w:p w14:paraId="124A2EA8" w14:textId="0F961217" w:rsidR="001A06EB" w:rsidRPr="007C6E79" w:rsidRDefault="001A06EB" w:rsidP="00D03D8E">
      <w:pPr>
        <w:pStyle w:val="ListNumber2"/>
      </w:pPr>
      <w:r>
        <w:t>care provided to non-subsidised residents.</w:t>
      </w:r>
    </w:p>
    <w:p w14:paraId="51859625" w14:textId="77777777" w:rsidR="00AA79F1" w:rsidRDefault="00DB60AB" w:rsidP="00AA79F1">
      <w:pPr>
        <w:pStyle w:val="BodyText"/>
      </w:pPr>
      <w:r>
        <w:t xml:space="preserve">Only care time to government-subsidised residential aged care residents (including those receiving residential respite) funded under the AN-ACC model should be </w:t>
      </w:r>
      <w:r w:rsidR="003D1005">
        <w:t>reported as care minutes.</w:t>
      </w:r>
      <w:r>
        <w:t xml:space="preserve"> Care time for private residents or residents funded under other programs such as the Transition Care Programme is not counted in care minutes reporting.</w:t>
      </w:r>
      <w:r w:rsidR="00AA79F1">
        <w:t xml:space="preserve"> </w:t>
      </w:r>
    </w:p>
    <w:p w14:paraId="3E21694E" w14:textId="53F44302" w:rsidR="00DB60AB" w:rsidRPr="00F01616" w:rsidRDefault="00AA79F1" w:rsidP="00DB60AB">
      <w:pPr>
        <w:pStyle w:val="BodyText"/>
      </w:pPr>
      <w:r>
        <w:t xml:space="preserve">See Section 4 in the </w:t>
      </w:r>
      <w:hyperlink r:id="rId22" w:history="1">
        <w:r w:rsidRPr="005F4EDD">
          <w:rPr>
            <w:rStyle w:val="Hyperlink"/>
          </w:rPr>
          <w:t>Care Minutes guide</w:t>
        </w:r>
      </w:hyperlink>
      <w:r>
        <w:t xml:space="preserve"> for list of activities that are not included in care minutes.</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F01616" w:rsidRDefault="00DB60AB" w:rsidP="00DB60AB">
      <w:pPr>
        <w:pStyle w:val="BodyText"/>
      </w:pPr>
      <w:r w:rsidRPr="00F01616">
        <w:t>Surge workforce and other financial assistance provided by the department should be included in the reported hours of care delivery.</w:t>
      </w:r>
    </w:p>
    <w:p w14:paraId="0297A082" w14:textId="6911D2AA" w:rsidR="00DB60AB" w:rsidRPr="00F01616" w:rsidRDefault="00DB60AB" w:rsidP="00DB60AB">
      <w:pPr>
        <w:pStyle w:val="BodyText"/>
      </w:pPr>
      <w:r>
        <w:t xml:space="preserve">As there will be no corresponding expenditure (as costs are covered by the department), this will </w:t>
      </w:r>
      <w:bookmarkStart w:id="14" w:name="_Int_iaF3ULKg"/>
      <w:r>
        <w:t>likely result</w:t>
      </w:r>
      <w:bookmarkEnd w:id="14"/>
      <w:r>
        <w:t xml:space="preserve"> in a data validation query from the QFR and </w:t>
      </w:r>
      <w:r w:rsidR="0011759C">
        <w:t>Aged Care Financial Report (</w:t>
      </w:r>
      <w:r>
        <w:t>ACFR</w:t>
      </w:r>
      <w:r w:rsidR="0011759C">
        <w:t>)</w:t>
      </w:r>
      <w:r>
        <w:t xml:space="preserve"> Helpdesk during the data validation period. Providers should respond to that email query in the given time, confirming the use of surge workforce/financial assistance in the quarter.</w:t>
      </w:r>
    </w:p>
    <w:p w14:paraId="0DF53B39" w14:textId="77777777"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62D440E9" w:rsidR="00DB60AB" w:rsidRPr="00F01616" w:rsidRDefault="00DB60AB" w:rsidP="00DB60AB">
      <w:pPr>
        <w:pStyle w:val="BodyText"/>
      </w:pPr>
      <w:r>
        <w:t xml:space="preserve">‘Non-worked’ hours </w:t>
      </w:r>
      <w:r w:rsidR="003F40BA" w:rsidRPr="001927A7">
        <w:t xml:space="preserve">should include all forms of paid leave and training for </w:t>
      </w:r>
      <w:r w:rsidR="00C82773">
        <w:t xml:space="preserve">the listed </w:t>
      </w:r>
      <w:r w:rsidR="000928C4">
        <w:t>employee categories.</w:t>
      </w:r>
    </w:p>
    <w:p w14:paraId="2352C7A2" w14:textId="77777777" w:rsidR="00DB60AB" w:rsidRPr="00F01616" w:rsidRDefault="00DB60AB" w:rsidP="00DB60AB">
      <w:pPr>
        <w:pStyle w:val="BodyText"/>
      </w:pPr>
      <w:r w:rsidRPr="00F01616">
        <w:t>For example, if a RN takes 7.5 hours of leave or training, then those 7.5 hours should be recorded as non-worked hours even if they are paid for this period.</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F01616" w:rsidRDefault="00DB60AB" w:rsidP="00DB60AB">
      <w:pPr>
        <w:pStyle w:val="BodyText"/>
      </w:pPr>
      <w:r w:rsidRPr="00F01616">
        <w:t xml:space="preserve">No, </w:t>
      </w:r>
      <w:r w:rsidR="00006B71">
        <w:t>w</w:t>
      </w:r>
      <w:r w:rsidRPr="00F01616">
        <w:t xml:space="preserve">orked </w:t>
      </w:r>
      <w:r w:rsidR="00006B71">
        <w:t>h</w:t>
      </w:r>
      <w:r w:rsidRPr="00F01616">
        <w:t xml:space="preserve">ours are different to FTE. Worked </w:t>
      </w:r>
      <w:r w:rsidR="00006B71">
        <w:t>h</w:t>
      </w:r>
      <w:r w:rsidRPr="00F01616">
        <w:t xml:space="preserve">ours capture all the hours worked by staff while FTE is a unit to measure employed people in a way that makes them comparable. Worked </w:t>
      </w:r>
      <w:r w:rsidR="00006B71">
        <w:t>h</w:t>
      </w:r>
      <w:r w:rsidRPr="00F01616">
        <w:t>ours for the purposes of the ACFR and QFR reporting exclude all staff leave, training and unpaid breaks. The roster or payroll system should be used to collect hours worked.</w:t>
      </w:r>
    </w:p>
    <w:p w14:paraId="0E423C39" w14:textId="4A979160" w:rsidR="00DB60AB" w:rsidRPr="00D36130" w:rsidRDefault="00DB60AB" w:rsidP="009F1189">
      <w:pPr>
        <w:pStyle w:val="Question"/>
      </w:pPr>
      <w:r>
        <w:lastRenderedPageBreak/>
        <w:t xml:space="preserve">For RN shift coverage, are the morning/afternoon/overnight shift categories </w:t>
      </w:r>
      <w:r w:rsidR="00D32826">
        <w:t>set,</w:t>
      </w:r>
      <w:r>
        <w:t xml:space="preserve"> and should agency staff be included?</w:t>
      </w:r>
    </w:p>
    <w:p w14:paraId="109F1FA4" w14:textId="58ABDB3E" w:rsidR="002E2465" w:rsidRDefault="00DB60AB" w:rsidP="002E2465">
      <w:r w:rsidRPr="002E2465">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5" w:name="_Toc162517319"/>
      <w:r w:rsidRPr="002E2465">
        <w:t>Apportioning expenses/hours in the QFR</w:t>
      </w:r>
      <w:bookmarkEnd w:id="15"/>
    </w:p>
    <w:p w14:paraId="5D133F09" w14:textId="7CD44CC4" w:rsidR="003804C1" w:rsidRPr="00CF5490" w:rsidRDefault="003804C1" w:rsidP="009F1189">
      <w:pPr>
        <w:pStyle w:val="Question"/>
      </w:pPr>
      <w:r w:rsidRPr="1228D23A">
        <w:t xml:space="preserve">What if a provider has direct care staff working across several </w:t>
      </w:r>
      <w:r w:rsidR="00B13417">
        <w:t>aged care home</w:t>
      </w:r>
      <w:r w:rsidRPr="1228D23A">
        <w:t>s</w:t>
      </w:r>
      <w:r>
        <w:t>?</w:t>
      </w:r>
      <w:r w:rsidRPr="1228D23A">
        <w:t xml:space="preserve"> Should these costs be allocated based on time or another</w:t>
      </w:r>
      <w:r w:rsidRPr="001626DC">
        <w:rPr>
          <w:spacing w:val="-2"/>
        </w:rPr>
        <w:t xml:space="preserve"> </w:t>
      </w:r>
      <w:r w:rsidRPr="1228D23A">
        <w:t>method?</w:t>
      </w:r>
    </w:p>
    <w:p w14:paraId="46661D4D" w14:textId="1A43A400" w:rsidR="003804C1" w:rsidRPr="00F01616" w:rsidRDefault="003804C1" w:rsidP="003804C1">
      <w:pPr>
        <w:pStyle w:val="BodyText"/>
      </w:pPr>
      <w:r w:rsidRPr="00F01616">
        <w:t xml:space="preserve">For direct care staff working across several </w:t>
      </w:r>
      <w:r w:rsidR="00B13417">
        <w:t>aged care homes</w:t>
      </w:r>
      <w:r w:rsidRPr="00F01616">
        <w:t xml:space="preserve">, the costs and hours should be apportioned based on the time they are allocated to each </w:t>
      </w:r>
      <w:r w:rsidR="00B13417">
        <w:t>aged care home</w:t>
      </w:r>
      <w:r w:rsidRPr="00F01616">
        <w:t>.</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F01616" w:rsidRDefault="3245FA66" w:rsidP="003804C1">
      <w:pPr>
        <w:pStyle w:val="BodyText"/>
        <w:rPr>
          <w:lang w:val="en-US" w:bidi="en-US"/>
        </w:rPr>
      </w:pPr>
      <w:r>
        <w:t>Although a</w:t>
      </w:r>
      <w:r w:rsidR="289E3A69">
        <w:t xml:space="preserve"> staff member's </w:t>
      </w:r>
      <w:r w:rsidR="6ABFB5C6">
        <w:t xml:space="preserve">direct care </w:t>
      </w:r>
      <w:r w:rsidR="289E3A69">
        <w:t xml:space="preserve">hours are apportioned based on their role, their non-worked hours </w:t>
      </w:r>
      <w:r w:rsidR="1293F14A">
        <w:t xml:space="preserve">are </w:t>
      </w:r>
      <w:r w:rsidR="5251E7EE">
        <w:t>not app</w:t>
      </w:r>
      <w:r w:rsidR="5E016F7E">
        <w:t>ortioned and are to be reported in full</w:t>
      </w:r>
      <w:r w:rsidR="289E3A69">
        <w:t>. For example, i</w:t>
      </w:r>
      <w:r w:rsidR="289E3A69" w:rsidRPr="0C44096A">
        <w:rPr>
          <w:lang w:val="en-US" w:bidi="en-US"/>
        </w:rPr>
        <w:t>f a Care Manager spends 10% of their worked hours as a</w:t>
      </w:r>
      <w:r w:rsidR="000F0788">
        <w:rPr>
          <w:lang w:val="en-US" w:bidi="en-US"/>
        </w:rPr>
        <w:t>n</w:t>
      </w:r>
      <w:r w:rsidR="289E3A69" w:rsidRPr="0C44096A">
        <w:rPr>
          <w:lang w:val="en-US" w:bidi="en-US"/>
        </w:rPr>
        <w:t xml:space="preserve"> RN providing direct care and works 1,000 hours and takes 200 hours of leave within a specified period, they would report:</w:t>
      </w:r>
    </w:p>
    <w:p w14:paraId="3D239D9D" w14:textId="77777777" w:rsidR="003804C1" w:rsidRPr="0081736E" w:rsidRDefault="003804C1" w:rsidP="0081736E">
      <w:pPr>
        <w:pStyle w:val="ListNumber2"/>
      </w:pPr>
      <w:r w:rsidRPr="0081736E">
        <w:t>100 hours RN direct care</w:t>
      </w:r>
    </w:p>
    <w:p w14:paraId="1A6262FC" w14:textId="77777777" w:rsidR="003804C1" w:rsidRPr="0081736E" w:rsidRDefault="003804C1" w:rsidP="0081736E">
      <w:pPr>
        <w:pStyle w:val="ListNumber2"/>
      </w:pPr>
      <w:r w:rsidRPr="0081736E">
        <w:t>900 hours Care Management work</w:t>
      </w:r>
    </w:p>
    <w:p w14:paraId="4B7C13F2" w14:textId="6E63B179" w:rsidR="003804C1" w:rsidRPr="0081736E" w:rsidRDefault="289E3A69" w:rsidP="0081736E">
      <w:pPr>
        <w:pStyle w:val="ListNumber2"/>
      </w:pPr>
      <w:r>
        <w:t>20</w:t>
      </w:r>
      <w:r w:rsidR="41D55945">
        <w:t>0</w:t>
      </w:r>
      <w:r>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F01616" w:rsidRDefault="003804C1" w:rsidP="003804C1">
      <w:pPr>
        <w:pStyle w:val="BodyText"/>
      </w:pPr>
      <w:r w:rsidRPr="00F01616">
        <w:t>Position descriptions may be indicative of the work performed by staff, but care hours reported must reflect their actual activities and worked hours providing direct care</w:t>
      </w:r>
      <w:r w:rsidR="567144BC" w:rsidRPr="00F01616">
        <w:t xml:space="preserve"> on-site</w:t>
      </w:r>
      <w:r w:rsidRPr="00F01616">
        <w:t>, not just their duty statement. If a staff member’s job description only includes care work, but they also perform non-</w:t>
      </w:r>
      <w:r>
        <w:noBreakHyphen/>
      </w:r>
      <w:r w:rsidRPr="00F01616">
        <w:t>care work, then their time must be apportioned in line with the guidance for hybrid roles.</w:t>
      </w:r>
    </w:p>
    <w:p w14:paraId="0D7878A1" w14:textId="77777777" w:rsidR="003804C1" w:rsidRPr="00F01616" w:rsidRDefault="003804C1" w:rsidP="003804C1">
      <w:pPr>
        <w:pStyle w:val="BodyText"/>
        <w:rPr>
          <w:lang w:val="en-US" w:bidi="en-US"/>
        </w:rPr>
      </w:pPr>
      <w:r>
        <w:t xml:space="preserve">For hybrid roles, the QFR requires an apportionment based on the time allocated to each role. For example, where a specified worker is employed in a hybrid role such as performing both personal and/or clinical care activities and non-care activities </w:t>
      </w:r>
      <w:r>
        <w:lastRenderedPageBreak/>
        <w:t xml:space="preserve">(e.g., catering, </w:t>
      </w:r>
      <w:bookmarkStart w:id="16" w:name="_Int_wIKd7f0K"/>
      <w:r>
        <w:t>laundry</w:t>
      </w:r>
      <w:bookmarkEnd w:id="16"/>
      <w:r>
        <w:t xml:space="preserve"> or cleaning), costs should be split/apportioned based on the time they are allocated to each role. Providers must have a methodology for this apportionment that can be verified if asked or required. Some providers have procured time-in-motion studies to support the applied apportionment rates.</w:t>
      </w:r>
    </w:p>
    <w:p w14:paraId="61B86DFC" w14:textId="484F4220" w:rsidR="003804C1" w:rsidRPr="002F05BE" w:rsidRDefault="003804C1" w:rsidP="003804C1">
      <w:pPr>
        <w:pStyle w:val="Question"/>
      </w:pPr>
      <w:bookmarkStart w:id="17" w:name="_Hlk162344618"/>
      <w:r>
        <w:t xml:space="preserve">How do providers report when they have recently consolidated 2+ </w:t>
      </w:r>
      <w:r w:rsidR="00B13417">
        <w:t>aged care home</w:t>
      </w:r>
      <w:r>
        <w:t>s?</w:t>
      </w:r>
    </w:p>
    <w:p w14:paraId="7B6050E8" w14:textId="32075CD7" w:rsidR="003804C1" w:rsidRPr="00F01616" w:rsidRDefault="003804C1" w:rsidP="003804C1">
      <w:pPr>
        <w:pStyle w:val="BodyText"/>
      </w:pPr>
      <w:r w:rsidRPr="002F05BE">
        <w:t xml:space="preserve">If </w:t>
      </w:r>
      <w:r w:rsidR="00B13417">
        <w:t>aged care home</w:t>
      </w:r>
      <w:r w:rsidRPr="002F05BE">
        <w:t xml:space="preserve">s have </w:t>
      </w:r>
      <w:r w:rsidRPr="00F01616">
        <w:t xml:space="preserve">been consolidated, the submitted data will need to reflect this from the day they merged as accurately as possible based on allocation of resources. For example, if </w:t>
      </w:r>
      <w:r w:rsidR="00B13417">
        <w:t>Aged care home</w:t>
      </w:r>
      <w:r w:rsidRPr="00F01616">
        <w:t xml:space="preserve"> A merged into </w:t>
      </w:r>
      <w:r w:rsidR="00B13417">
        <w:t>Aged care home</w:t>
      </w:r>
      <w:r w:rsidRPr="00F01616">
        <w:t xml:space="preserve"> B's </w:t>
      </w:r>
      <w:r>
        <w:t>SRV</w:t>
      </w:r>
      <w:r w:rsidRPr="00F01616">
        <w:t xml:space="preserve"> ID one month into the quarter,</w:t>
      </w:r>
      <w:r w:rsidR="00A56E58">
        <w:t xml:space="preserve"> </w:t>
      </w:r>
      <w:r w:rsidRPr="00F01616">
        <w:t>then the provider is expected to report:</w:t>
      </w:r>
    </w:p>
    <w:p w14:paraId="390CD7DB" w14:textId="33F1045C" w:rsidR="003804C1" w:rsidRPr="00F01616" w:rsidRDefault="00B13417" w:rsidP="009F1189">
      <w:pPr>
        <w:pStyle w:val="BodyText"/>
        <w:numPr>
          <w:ilvl w:val="0"/>
          <w:numId w:val="47"/>
        </w:numPr>
      </w:pPr>
      <w:r>
        <w:t>Aged care home</w:t>
      </w:r>
      <w:r w:rsidR="003804C1" w:rsidRPr="00F01616">
        <w:t xml:space="preserve"> A: Initial month of data where it was a separate </w:t>
      </w:r>
      <w:r w:rsidR="003804C1">
        <w:t>SRV</w:t>
      </w:r>
      <w:r w:rsidR="003804C1" w:rsidRPr="00F01616">
        <w:t xml:space="preserve"> ID</w:t>
      </w:r>
    </w:p>
    <w:p w14:paraId="3CC1C4E6" w14:textId="7B1834DE" w:rsidR="003804C1" w:rsidRPr="00F01616" w:rsidRDefault="00B13417" w:rsidP="009F1189">
      <w:pPr>
        <w:pStyle w:val="BodyText"/>
        <w:numPr>
          <w:ilvl w:val="0"/>
          <w:numId w:val="47"/>
        </w:numPr>
      </w:pPr>
      <w:r>
        <w:t>Aged care home</w:t>
      </w:r>
      <w:r w:rsidR="003804C1" w:rsidRPr="00F01616">
        <w:t xml:space="preserve"> B: 2 months of </w:t>
      </w:r>
      <w:r>
        <w:t>Aged care home</w:t>
      </w:r>
      <w:r w:rsidR="003804C1" w:rsidRPr="00F01616">
        <w:t xml:space="preserve"> A for when the consolidation occurred as well as</w:t>
      </w:r>
      <w:r w:rsidR="009F1189">
        <w:t xml:space="preserve"> </w:t>
      </w:r>
      <w:r w:rsidR="003804C1" w:rsidRPr="00F01616">
        <w:t xml:space="preserve">the 3 months for </w:t>
      </w:r>
      <w:r>
        <w:t>Aged care home</w:t>
      </w:r>
      <w:r w:rsidR="003804C1" w:rsidRPr="00F01616">
        <w:t xml:space="preserve"> B.</w:t>
      </w:r>
    </w:p>
    <w:p w14:paraId="70AB8B4F" w14:textId="77777777" w:rsidR="003804C1" w:rsidRPr="00F01616" w:rsidRDefault="003804C1" w:rsidP="003804C1">
      <w:pPr>
        <w:pStyle w:val="Heading2nonumbering"/>
      </w:pPr>
      <w:bookmarkStart w:id="18" w:name="_Toc162517320"/>
      <w:bookmarkEnd w:id="17"/>
      <w:r w:rsidRPr="00F01616">
        <w:t>Allied Health</w:t>
      </w:r>
      <w:bookmarkEnd w:id="18"/>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2556487B" w:rsidR="003804C1" w:rsidRPr="00F01616" w:rsidRDefault="003804C1" w:rsidP="003804C1">
      <w:pPr>
        <w:pStyle w:val="BodyText"/>
      </w:pPr>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w:t>
      </w:r>
      <w:r w:rsidR="00C82773">
        <w:t xml:space="preserve">in accordance with their obligations under </w:t>
      </w:r>
      <w:r w:rsidR="00130F06" w:rsidRPr="000F7DFA">
        <w:t xml:space="preserve">the </w:t>
      </w:r>
      <w:hyperlink r:id="rId23" w:history="1">
        <w:r w:rsidR="00130F06" w:rsidRPr="000F7DFA">
          <w:rPr>
            <w:rStyle w:val="Hyperlink"/>
          </w:rPr>
          <w:t>Residential Care Services List</w:t>
        </w:r>
      </w:hyperlink>
      <w:r w:rsidR="00130F06" w:rsidRPr="000F7DFA">
        <w:t xml:space="preserve"> in the </w:t>
      </w:r>
      <w:r w:rsidR="00130F06" w:rsidRPr="000F7DFA">
        <w:rPr>
          <w:i/>
          <w:iCs/>
        </w:rPr>
        <w:t>Aged Care Rules 2025</w:t>
      </w:r>
      <w:r>
        <w:t xml:space="preserve">. Allied health expenses reported in the QFR are also published for each </w:t>
      </w:r>
      <w:r w:rsidR="00B13417">
        <w:t>aged care home</w:t>
      </w:r>
      <w:r>
        <w:t xml:space="preserve"> on the My Aged Care website </w:t>
      </w:r>
      <w:hyperlink r:id="rId24" w:history="1">
        <w:r w:rsidRPr="00D03D8E">
          <w:rPr>
            <w:rStyle w:val="Hyperlink"/>
          </w:rPr>
          <w:t>Find a Provider</w:t>
        </w:r>
      </w:hyperlink>
      <w:r>
        <w:t xml:space="preserve"> tool.</w:t>
      </w:r>
    </w:p>
    <w:p w14:paraId="3C8C5E77" w14:textId="7A275D90" w:rsidR="003804C1" w:rsidRPr="009730D7" w:rsidRDefault="003804C1" w:rsidP="003804C1">
      <w:pPr>
        <w:pStyle w:val="Question"/>
      </w:pPr>
      <w:r>
        <w:t xml:space="preserve">Are allied health assistants described by type of profession they assist? </w:t>
      </w:r>
    </w:p>
    <w:p w14:paraId="04FD3DFD" w14:textId="77777777" w:rsidR="009D23F5" w:rsidRPr="002A6FA0" w:rsidRDefault="009D23F5" w:rsidP="002A6FA0">
      <w:pPr>
        <w:pStyle w:val="Question"/>
        <w:numPr>
          <w:ilvl w:val="0"/>
          <w:numId w:val="0"/>
        </w:numPr>
        <w:rPr>
          <w:b w:val="0"/>
          <w:bCs w:val="0"/>
        </w:rPr>
      </w:pPr>
      <w:r w:rsidRPr="002A6FA0">
        <w:rPr>
          <w:b w:val="0"/>
          <w:bCs w:val="0"/>
        </w:rPr>
        <w:t>Description of allied health assistant data by type of profession they assist, is not currently</w:t>
      </w:r>
      <w:r w:rsidRPr="002A6FA0">
        <w:rPr>
          <w:b w:val="0"/>
          <w:bCs w:val="0"/>
          <w:spacing w:val="-1"/>
        </w:rPr>
        <w:t xml:space="preserve"> </w:t>
      </w:r>
      <w:r w:rsidRPr="002A6FA0">
        <w:rPr>
          <w:b w:val="0"/>
          <w:bCs w:val="0"/>
        </w:rPr>
        <w:t xml:space="preserve">required. See </w:t>
      </w:r>
      <w:hyperlink r:id="rId25" w:history="1">
        <w:r w:rsidRPr="009D23F5">
          <w:rPr>
            <w:rStyle w:val="Hyperlink"/>
            <w:b w:val="0"/>
            <w:bCs w:val="0"/>
          </w:rPr>
          <w:t>QFR data definitions</w:t>
        </w:r>
      </w:hyperlink>
      <w:r w:rsidRPr="002A6FA0">
        <w:rPr>
          <w:b w:val="0"/>
          <w:bCs w:val="0"/>
          <w:u w:val="single"/>
        </w:rPr>
        <w:t xml:space="preserve"> </w:t>
      </w:r>
      <w:r w:rsidRPr="002A6FA0">
        <w:rPr>
          <w:b w:val="0"/>
          <w:bCs w:val="0"/>
          <w:color w:val="auto"/>
        </w:rPr>
        <w:t>for definitions of ‘allied health assistant’</w:t>
      </w:r>
      <w:r w:rsidRPr="002A6FA0">
        <w:rPr>
          <w:b w:val="0"/>
          <w:bCs w:val="0"/>
        </w:rPr>
        <w:t>.</w:t>
      </w:r>
    </w:p>
    <w:p w14:paraId="7010C6FB" w14:textId="4827EB75" w:rsidR="003804C1" w:rsidRPr="00F01616" w:rsidRDefault="003804C1" w:rsidP="003804C1">
      <w:pPr>
        <w:pStyle w:val="BodyText"/>
        <w:rPr>
          <w:rFonts w:eastAsia="Arial"/>
        </w:rPr>
      </w:pPr>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3804C1">
      <w:pPr>
        <w:pStyle w:val="BodyText"/>
      </w:pPr>
      <w:r>
        <w:t xml:space="preserve">Speech pathologist and dietetic care are collected in both the Residential Care Labour Cost/Hours and the Food and Nutrition sections. In the Food and Nutrition section, speech pathologist entries </w:t>
      </w:r>
      <w:bookmarkStart w:id="19" w:name="_Int_xo8cBYep"/>
      <w:r>
        <w:t>mainly cover</w:t>
      </w:r>
      <w:bookmarkEnd w:id="19"/>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3804C1">
      <w:pPr>
        <w:pStyle w:val="BodyText"/>
      </w:pPr>
      <w:r w:rsidRPr="00F01616">
        <w:lastRenderedPageBreak/>
        <w:t>Labour costs and hours entered for dietetic care in the Food and Nutrition section will prefill the Residential Care Labour Cost/Hours section.</w:t>
      </w:r>
    </w:p>
    <w:p w14:paraId="3D7B2ACE" w14:textId="77777777" w:rsidR="003804C1" w:rsidRPr="009730D7" w:rsidRDefault="003804C1" w:rsidP="003804C1">
      <w:pPr>
        <w:pStyle w:val="Question"/>
      </w:pPr>
      <w:r w:rsidRPr="1228D23A">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F01616" w:rsidRDefault="003804C1" w:rsidP="003804C1">
      <w:pPr>
        <w:pStyle w:val="BodyText"/>
      </w:pPr>
      <w:r w:rsidRPr="00F01616">
        <w:t xml:space="preserve">Providers should speak to their agency provider to issue invoices that split the allied health components by profession so that they show the hours spent and amount charged. Hours that contractors spend delivering care should be included in Agency staff worked hours - direct care. </w:t>
      </w:r>
    </w:p>
    <w:p w14:paraId="7EF508B3" w14:textId="77777777" w:rsidR="003804C1" w:rsidRPr="00F01616" w:rsidRDefault="003804C1" w:rsidP="003804C1">
      <w:pPr>
        <w:pStyle w:val="BodyText"/>
      </w:pPr>
      <w:r w:rsidRPr="00F01616">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F01616" w:rsidRDefault="003804C1" w:rsidP="003804C1">
      <w:pPr>
        <w:pStyle w:val="BodyText"/>
      </w:pPr>
      <w:r w:rsidRPr="00F01616">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73F9CE6E" w:rsidR="003804C1" w:rsidRPr="00F01616" w:rsidRDefault="003804C1" w:rsidP="003804C1">
      <w:pPr>
        <w:pStyle w:val="BodyText"/>
      </w:pPr>
      <w:r w:rsidRPr="00F01616">
        <w:t>Providers should speak to their allied health provider about adding the time per service to their invoice to allow accurate</w:t>
      </w:r>
      <w:r>
        <w:t xml:space="preserve"> reporting</w:t>
      </w:r>
      <w:r w:rsidRPr="00F01616">
        <w:t xml:space="preserve"> to the department. It may also be an option to record the time when the allied health provider enters and exits the </w:t>
      </w:r>
      <w:r w:rsidR="00B13417">
        <w:t>aged care home</w:t>
      </w:r>
      <w:r w:rsidRPr="00F01616">
        <w:t xml:space="preserve"> for purposes of reporting care hours delivered. It is important to note that allied health data from the QFR is provided to the ACQSC to support their compliance activities. </w:t>
      </w:r>
    </w:p>
    <w:p w14:paraId="720C0797" w14:textId="154F0BEF" w:rsidR="003804C1" w:rsidRPr="001927A7" w:rsidRDefault="003804C1" w:rsidP="00C06A93">
      <w:pPr>
        <w:pStyle w:val="Question"/>
        <w:ind w:left="360"/>
      </w:pPr>
      <w:r>
        <w:t xml:space="preserve">Should I report </w:t>
      </w:r>
      <w:r w:rsidR="00C82773">
        <w:t>allied health services</w:t>
      </w:r>
      <w:r w:rsidR="00B13417">
        <w:t xml:space="preserve"> </w:t>
      </w:r>
      <w:r>
        <w:t>that fall outside of AN-ACC funding as part of care time e.g., chronic disease management allied health services funded by the Medicare Benefits Schedule (MBS)</w:t>
      </w:r>
      <w:r w:rsidR="003F40BA">
        <w:t xml:space="preserve"> </w:t>
      </w:r>
      <w:r w:rsidR="003F40BA" w:rsidRPr="001927A7">
        <w:t xml:space="preserve">or under </w:t>
      </w:r>
      <w:r w:rsidR="00A353E5">
        <w:t>GP chronic condition management plan (GPCCMP)?</w:t>
      </w:r>
    </w:p>
    <w:p w14:paraId="528C1667" w14:textId="2A6240D5" w:rsidR="003804C1" w:rsidRPr="003C5BF6" w:rsidRDefault="003804C1" w:rsidP="003804C1">
      <w:pPr>
        <w:pStyle w:val="BodyText"/>
      </w:pPr>
      <w:r w:rsidRPr="003C5BF6">
        <w:t xml:space="preserve">No, only </w:t>
      </w:r>
      <w:r w:rsidR="00C82773">
        <w:t>allied health services</w:t>
      </w:r>
      <w:r w:rsidRPr="003C5BF6">
        <w:t xml:space="preserve"> which are funded by AN-ACC should be reported within the QFR. Allied health services funded by the </w:t>
      </w:r>
      <w:r w:rsidR="003F40BA">
        <w:t xml:space="preserve">MBS </w:t>
      </w:r>
      <w:r w:rsidR="003F40BA" w:rsidRPr="001927A7">
        <w:t xml:space="preserve">or </w:t>
      </w:r>
      <w:r w:rsidR="007B2D47" w:rsidRPr="00AB0EC1">
        <w:t>GPCCMP</w:t>
      </w:r>
      <w:r w:rsidR="003F40BA">
        <w:t xml:space="preserve"> </w:t>
      </w:r>
      <w:r w:rsidRPr="003C5BF6">
        <w:t>should not be reported as part of allied health care time or expenses.</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F01616" w:rsidRDefault="003804C1" w:rsidP="0081736E">
      <w:pPr>
        <w:pStyle w:val="BodyText"/>
        <w:rPr>
          <w:rFonts w:eastAsia="Arial"/>
        </w:rPr>
      </w:pPr>
      <w:r w:rsidRPr="00F01616">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0" w:name="_Toc162517321"/>
      <w:r w:rsidRPr="00F01616">
        <w:t>Occupied Bed Days</w:t>
      </w:r>
      <w:bookmarkEnd w:id="20"/>
    </w:p>
    <w:p w14:paraId="66E3CEB5" w14:textId="1C94FA76" w:rsidR="003804C1" w:rsidRPr="00CF5490" w:rsidRDefault="003804C1" w:rsidP="009F1189">
      <w:pPr>
        <w:pStyle w:val="Question"/>
      </w:pPr>
      <w:r>
        <w:t xml:space="preserve">Should ‘occupied bed days’ be as provided in the monthly Services Australia payment summary, or actual figures as recorded by the </w:t>
      </w:r>
      <w:r w:rsidR="00B13417">
        <w:t>aged care home</w:t>
      </w:r>
      <w:r>
        <w:t xml:space="preserve">? </w:t>
      </w:r>
    </w:p>
    <w:p w14:paraId="157A1EE3" w14:textId="7BA5D215" w:rsidR="003804C1" w:rsidRPr="00F01616" w:rsidRDefault="003804C1" w:rsidP="0081736E">
      <w:pPr>
        <w:pStyle w:val="BodyText"/>
        <w:rPr>
          <w:rFonts w:eastAsia="Arial"/>
          <w:lang w:eastAsia="en-AU"/>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w:t>
      </w:r>
      <w:r w:rsidRPr="00F01616">
        <w:rPr>
          <w:rFonts w:eastAsia="Arial"/>
          <w:lang w:eastAsia="en-AU"/>
        </w:rPr>
        <w:lastRenderedPageBreak/>
        <w:t xml:space="preserve">claims submitted to Services Australia and reflect the AN-ACC resident classification funding days. </w:t>
      </w:r>
    </w:p>
    <w:p w14:paraId="54D61021" w14:textId="2DED6320" w:rsidR="003804C1" w:rsidRPr="00F01616" w:rsidRDefault="003804C1" w:rsidP="0081736E">
      <w:pPr>
        <w:pStyle w:val="BodyText"/>
        <w:rPr>
          <w:rFonts w:eastAsia="Arial"/>
          <w:lang w:eastAsia="en-AU"/>
        </w:rPr>
      </w:pPr>
      <w:r w:rsidRPr="00F01616">
        <w:rPr>
          <w:rFonts w:eastAsia="Arial"/>
          <w:lang w:eastAsia="en-AU"/>
        </w:rPr>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F01616" w:rsidRDefault="003804C1" w:rsidP="0081736E">
      <w:pPr>
        <w:pStyle w:val="BodyText"/>
        <w:rPr>
          <w:rFonts w:eastAsia="Arial"/>
        </w:rPr>
      </w:pPr>
      <w:r w:rsidRPr="00F01616">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1" w:name="_Toc162517322"/>
      <w:r w:rsidRPr="00F01616">
        <w:t>Expenses Reporting</w:t>
      </w:r>
      <w:bookmarkEnd w:id="21"/>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3804C1">
      <w:pPr>
        <w:pStyle w:val="BodyText"/>
      </w:pPr>
      <w:r>
        <w:t>The QFR was designed to be a timely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3804C1">
      <w:pPr>
        <w:pStyle w:val="BodyText"/>
      </w:pPr>
      <w:r>
        <w:t xml:space="preserve">Yes, if this is in the agreement with the agency to include or reimburse such costs then include the costs. Refer to the </w:t>
      </w:r>
      <w:hyperlink r:id="rId26">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6CFDC1E5" w:rsidR="003804C1" w:rsidRPr="00F01616" w:rsidRDefault="003804C1" w:rsidP="003804C1">
      <w:pPr>
        <w:pStyle w:val="BodyText"/>
      </w:pPr>
      <w:r w:rsidRPr="00F01616">
        <w:t xml:space="preserve">Yes, as per the </w:t>
      </w:r>
      <w:hyperlink r:id="rId27" w:history="1">
        <w:r w:rsidRPr="00B73442">
          <w:rPr>
            <w:rStyle w:val="Hyperlink"/>
          </w:rPr>
          <w:t>ACFR</w:t>
        </w:r>
      </w:hyperlink>
      <w:r w:rsidRPr="00F01616">
        <w:t xml:space="preserve"> and </w:t>
      </w:r>
      <w:hyperlink r:id="rId28">
        <w:r w:rsidR="004F1B2F" w:rsidRPr="001927A7">
          <w:rPr>
            <w:rStyle w:val="Hyperlink"/>
          </w:rPr>
          <w:t>QFR data definitions</w:t>
        </w:r>
      </w:hyperlink>
      <w:r w:rsidR="004F1B2F" w:rsidRPr="001927A7">
        <w:rPr>
          <w:rStyle w:val="Hyperlink"/>
        </w:rPr>
        <w:t>.</w:t>
      </w:r>
      <w:r w:rsidR="004F1B2F">
        <w:t xml:space="preserve"> </w:t>
      </w:r>
      <w:r w:rsidRPr="00F01616">
        <w:t>direct care cost includes superannuation and leave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F01616" w:rsidRDefault="003804C1" w:rsidP="003804C1">
      <w:pPr>
        <w:pStyle w:val="BodyText"/>
      </w:pPr>
      <w:r>
        <w:t xml:space="preserve">The QFR focuses on the reporting of care expenses and care hours. Administration and non-care related costs are not </w:t>
      </w:r>
      <w:bookmarkStart w:id="22" w:name="_Int_xWJCNxgp"/>
      <w:r>
        <w:t>directly related</w:t>
      </w:r>
      <w:bookmarkEnd w:id="22"/>
      <w:r>
        <w:t xml:space="preserve"> to the provision of care.</w:t>
      </w:r>
    </w:p>
    <w:p w14:paraId="3C512328" w14:textId="77777777" w:rsidR="003804C1" w:rsidRPr="00F01616" w:rsidRDefault="003804C1" w:rsidP="003804C1">
      <w:pPr>
        <w:pStyle w:val="BodyText"/>
      </w:pPr>
      <w:r>
        <w:t xml:space="preserve">The total Administration expenses percentage allocation for the residential segment by categories: care, hotel, </w:t>
      </w:r>
      <w:bookmarkStart w:id="23" w:name="_Int_wuAtlFNs"/>
      <w:r>
        <w:t>accommodation</w:t>
      </w:r>
      <w:bookmarkEnd w:id="23"/>
      <w:r>
        <w:t xml:space="preserve"> and COVID-19 are collected in the ACFR but not in the QFR. </w:t>
      </w:r>
    </w:p>
    <w:p w14:paraId="0FBE7C0B" w14:textId="77777777" w:rsidR="003804C1" w:rsidRPr="009730D7" w:rsidRDefault="003804C1" w:rsidP="003804C1">
      <w:pPr>
        <w:pStyle w:val="Question"/>
      </w:pPr>
      <w:r w:rsidRPr="1228D23A">
        <w:lastRenderedPageBreak/>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20C81CF4" w:rsidR="003804C1" w:rsidRPr="00F01616" w:rsidRDefault="003804C1" w:rsidP="003804C1">
      <w:pPr>
        <w:pStyle w:val="BodyText"/>
      </w:pPr>
      <w:r w:rsidRPr="00F01616">
        <w:t xml:space="preserve">This information is collected in the Quarterly Financial Statement, under ‘Other Expenses’ in the Expense section. Although not reported at the </w:t>
      </w:r>
      <w:r w:rsidR="00B13417">
        <w:t>aged care home</w:t>
      </w:r>
      <w:r w:rsidRPr="00F01616">
        <w:t xml:space="preserve"> level, the department</w:t>
      </w:r>
      <w:r w:rsidRPr="00F01616">
        <w:rPr>
          <w:spacing w:val="-14"/>
        </w:rPr>
        <w:t xml:space="preserve"> </w:t>
      </w:r>
      <w:r w:rsidRPr="00F01616">
        <w:t>requires</w:t>
      </w:r>
      <w:r w:rsidRPr="00F01616">
        <w:rPr>
          <w:spacing w:val="-15"/>
        </w:rPr>
        <w:t xml:space="preserve"> </w:t>
      </w:r>
      <w:r w:rsidRPr="00F01616">
        <w:t>this</w:t>
      </w:r>
      <w:r w:rsidRPr="00F01616">
        <w:rPr>
          <w:spacing w:val="-15"/>
        </w:rPr>
        <w:t xml:space="preserve"> </w:t>
      </w:r>
      <w:r w:rsidRPr="00F01616">
        <w:t>information</w:t>
      </w:r>
      <w:r w:rsidRPr="00F01616">
        <w:rPr>
          <w:spacing w:val="-13"/>
        </w:rPr>
        <w:t xml:space="preserve"> </w:t>
      </w:r>
      <w:r w:rsidRPr="00F01616">
        <w:t>to</w:t>
      </w:r>
      <w:r w:rsidRPr="00F01616">
        <w:rPr>
          <w:spacing w:val="-14"/>
        </w:rPr>
        <w:t xml:space="preserve"> </w:t>
      </w:r>
      <w:r w:rsidRPr="00F01616">
        <w:t>be</w:t>
      </w:r>
      <w:r w:rsidRPr="00F01616">
        <w:rPr>
          <w:spacing w:val="-12"/>
        </w:rPr>
        <w:t xml:space="preserve"> </w:t>
      </w:r>
      <w:r w:rsidRPr="00F01616">
        <w:t>reported</w:t>
      </w:r>
      <w:r w:rsidRPr="00F01616">
        <w:rPr>
          <w:spacing w:val="-15"/>
        </w:rPr>
        <w:t xml:space="preserve"> </w:t>
      </w:r>
      <w:r w:rsidRPr="00F01616">
        <w:t>at</w:t>
      </w:r>
      <w:r w:rsidRPr="00F01616">
        <w:rPr>
          <w:spacing w:val="-16"/>
        </w:rPr>
        <w:t xml:space="preserve"> </w:t>
      </w:r>
      <w:r w:rsidRPr="00F01616">
        <w:t>the</w:t>
      </w:r>
      <w:r w:rsidRPr="00F01616">
        <w:rPr>
          <w:spacing w:val="-16"/>
        </w:rPr>
        <w:t xml:space="preserve"> </w:t>
      </w:r>
      <w:r w:rsidRPr="00F01616">
        <w:t>approved</w:t>
      </w:r>
      <w:r w:rsidRPr="00F01616">
        <w:rPr>
          <w:spacing w:val="-13"/>
        </w:rPr>
        <w:t xml:space="preserve"> </w:t>
      </w:r>
      <w:r w:rsidRPr="00F01616">
        <w:t>provider</w:t>
      </w:r>
      <w:r w:rsidRPr="00F01616">
        <w:rPr>
          <w:spacing w:val="-16"/>
        </w:rPr>
        <w:t xml:space="preserve"> </w:t>
      </w:r>
      <w:r w:rsidRPr="00F01616">
        <w:t>level.</w:t>
      </w:r>
      <w:r w:rsidRPr="00F01616">
        <w:rPr>
          <w:spacing w:val="-15"/>
        </w:rPr>
        <w:t xml:space="preserve"> </w:t>
      </w:r>
      <w:r w:rsidRPr="00F01616">
        <w:t>This information is also collected in the administration section of the</w:t>
      </w:r>
      <w:r w:rsidRPr="00F01616">
        <w:rPr>
          <w:spacing w:val="-13"/>
        </w:rPr>
        <w:t xml:space="preserve"> </w:t>
      </w:r>
      <w:r w:rsidRPr="00F01616">
        <w:t>ACFR.</w:t>
      </w:r>
    </w:p>
    <w:p w14:paraId="123689AD" w14:textId="77777777" w:rsidR="003804C1" w:rsidRPr="009730D7" w:rsidRDefault="003804C1" w:rsidP="003804C1">
      <w:pPr>
        <w:pStyle w:val="Question"/>
      </w:pPr>
      <w:r>
        <w:t>Should providers report any retainer payments e.g., RN Retainer payments?</w:t>
      </w:r>
    </w:p>
    <w:p w14:paraId="514C6C24" w14:textId="77777777" w:rsidR="003804C1" w:rsidRPr="00F01616" w:rsidRDefault="003804C1" w:rsidP="0081736E">
      <w:pPr>
        <w:pStyle w:val="BodyText"/>
        <w:rPr>
          <w:rFonts w:eastAsia="Arial"/>
        </w:rPr>
      </w:pPr>
      <w:r w:rsidRPr="00F01616">
        <w:rPr>
          <w:rFonts w:eastAsia="Arial"/>
        </w:rPr>
        <w:t xml:space="preserve">The RN Retainer Bonus </w:t>
      </w:r>
      <w:r w:rsidRPr="00F01616">
        <w:rPr>
          <w:rFonts w:eastAsia="Arial"/>
          <w:b/>
          <w:bCs/>
        </w:rPr>
        <w:t>should not</w:t>
      </w:r>
      <w:r w:rsidRPr="00F01616">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4" w:name="_Toc162517323"/>
      <w:r w:rsidRPr="00F01616">
        <w:t>Reporting issues</w:t>
      </w:r>
      <w:bookmarkEnd w:id="24"/>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Default="003804C1" w:rsidP="003804C1">
      <w:pPr>
        <w:pStyle w:val="BodyText"/>
      </w:pPr>
      <w:r w:rsidRPr="00F01616">
        <w:t>Yes, the labour costs and hours data are required to be adjusted to align with QFR reporting</w:t>
      </w:r>
      <w:r w:rsidRPr="00F01616">
        <w:rPr>
          <w:spacing w:val="-18"/>
        </w:rPr>
        <w:t xml:space="preserve"> </w:t>
      </w:r>
      <w:r w:rsidRPr="00F01616">
        <w:t>quarters.</w:t>
      </w:r>
      <w:r w:rsidRPr="00F01616">
        <w:rPr>
          <w:spacing w:val="-18"/>
        </w:rPr>
        <w:t xml:space="preserve"> </w:t>
      </w:r>
      <w:r w:rsidRPr="00F01616">
        <w:t>Hours</w:t>
      </w:r>
      <w:r w:rsidRPr="00F01616">
        <w:rPr>
          <w:spacing w:val="-16"/>
        </w:rPr>
        <w:t xml:space="preserve"> </w:t>
      </w:r>
      <w:r w:rsidRPr="00F01616">
        <w:t>must</w:t>
      </w:r>
      <w:r w:rsidRPr="00F01616">
        <w:rPr>
          <w:spacing w:val="-17"/>
        </w:rPr>
        <w:t xml:space="preserve"> </w:t>
      </w:r>
      <w:r w:rsidRPr="00F01616">
        <w:t>be</w:t>
      </w:r>
      <w:r w:rsidRPr="00F01616">
        <w:rPr>
          <w:spacing w:val="-17"/>
        </w:rPr>
        <w:t xml:space="preserve"> </w:t>
      </w:r>
      <w:r w:rsidRPr="00F01616">
        <w:t>accrued</w:t>
      </w:r>
      <w:r w:rsidRPr="00F01616">
        <w:rPr>
          <w:spacing w:val="-18"/>
        </w:rPr>
        <w:t xml:space="preserve"> </w:t>
      </w:r>
      <w:r w:rsidRPr="00F01616">
        <w:t>based</w:t>
      </w:r>
      <w:r w:rsidRPr="00F01616">
        <w:rPr>
          <w:spacing w:val="-17"/>
        </w:rPr>
        <w:t xml:space="preserve"> </w:t>
      </w:r>
      <w:r w:rsidRPr="00F01616">
        <w:t>on</w:t>
      </w:r>
      <w:r w:rsidRPr="00F01616">
        <w:rPr>
          <w:spacing w:val="-17"/>
        </w:rPr>
        <w:t xml:space="preserve"> </w:t>
      </w:r>
      <w:r w:rsidRPr="00F01616">
        <w:t>the</w:t>
      </w:r>
      <w:r w:rsidRPr="00F01616">
        <w:rPr>
          <w:spacing w:val="-17"/>
        </w:rPr>
        <w:t xml:space="preserve"> </w:t>
      </w:r>
      <w:r w:rsidRPr="00F01616">
        <w:t>three</w:t>
      </w:r>
      <w:r w:rsidRPr="00F01616">
        <w:rPr>
          <w:spacing w:val="-17"/>
        </w:rPr>
        <w:t xml:space="preserve"> </w:t>
      </w:r>
      <w:r w:rsidRPr="00F01616">
        <w:t>full</w:t>
      </w:r>
      <w:r w:rsidRPr="00F01616">
        <w:rPr>
          <w:spacing w:val="-16"/>
        </w:rPr>
        <w:t xml:space="preserve"> </w:t>
      </w:r>
      <w:r w:rsidRPr="00F01616">
        <w:t>months</w:t>
      </w:r>
      <w:r w:rsidRPr="00F01616">
        <w:rPr>
          <w:spacing w:val="-16"/>
        </w:rPr>
        <w:t xml:space="preserve"> </w:t>
      </w:r>
      <w:r w:rsidRPr="00F01616">
        <w:t>in</w:t>
      </w:r>
      <w:r w:rsidRPr="00F01616">
        <w:rPr>
          <w:spacing w:val="-17"/>
        </w:rPr>
        <w:t xml:space="preserve"> </w:t>
      </w:r>
      <w:r w:rsidRPr="00F01616">
        <w:t>the</w:t>
      </w:r>
      <w:r w:rsidRPr="00F01616">
        <w:rPr>
          <w:spacing w:val="-17"/>
        </w:rPr>
        <w:t xml:space="preserve"> </w:t>
      </w:r>
      <w:r w:rsidRPr="00F01616">
        <w:t>quarter and not just the pay periods included within the quarter. If a pay period has days that cover on either side of the reporting period, ensure to include the appropriate number of working days in the relevant reporting period.</w:t>
      </w:r>
    </w:p>
    <w:p w14:paraId="266EF0AC" w14:textId="58F74D5F" w:rsidR="00D230AB" w:rsidRDefault="003804C1" w:rsidP="003804C1">
      <w:pPr>
        <w:pStyle w:val="BodyText"/>
      </w:pPr>
      <w:r w:rsidRPr="00F01616">
        <w:t xml:space="preserve">For example, </w:t>
      </w:r>
      <w:r w:rsidR="00D230AB">
        <w:t>the reporting dates for Q</w:t>
      </w:r>
      <w:r w:rsidRPr="00F01616">
        <w:t>uarter 4</w:t>
      </w:r>
      <w:r w:rsidR="00D230AB">
        <w:t xml:space="preserve"> are</w:t>
      </w:r>
      <w:r w:rsidRPr="00F01616">
        <w:t xml:space="preserve"> 1 April to 30 June</w:t>
      </w:r>
      <w:r w:rsidR="00D230AB">
        <w:t>.</w:t>
      </w:r>
      <w:r w:rsidR="00277F7C">
        <w:t xml:space="preserve"> If a</w:t>
      </w:r>
      <w:r w:rsidR="00B13417">
        <w:t>n</w:t>
      </w:r>
      <w:r w:rsidR="00277F7C">
        <w:t xml:space="preserve"> </w:t>
      </w:r>
      <w:r w:rsidR="00B13417">
        <w:t>aged care home</w:t>
      </w:r>
      <w:r w:rsidR="00277F7C">
        <w:t xml:space="preserve"> has fortnightly pay periods ending </w:t>
      </w:r>
      <w:r w:rsidR="00A52EE4">
        <w:t>4 April and 27 June,</w:t>
      </w:r>
      <w:r w:rsidR="001E3A60">
        <w:t xml:space="preserve"> they will need to: </w:t>
      </w:r>
    </w:p>
    <w:p w14:paraId="057728A0" w14:textId="4E06750D" w:rsidR="001E3A60" w:rsidRDefault="001E3A60" w:rsidP="001E3A60">
      <w:pPr>
        <w:pStyle w:val="BodyText"/>
        <w:numPr>
          <w:ilvl w:val="0"/>
          <w:numId w:val="51"/>
        </w:numPr>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D03D8E">
      <w:pPr>
        <w:pStyle w:val="BodyText"/>
        <w:numPr>
          <w:ilvl w:val="0"/>
          <w:numId w:val="51"/>
        </w:numPr>
      </w:pPr>
      <w:r>
        <w:t xml:space="preserve">Accrue </w:t>
      </w:r>
      <w:r w:rsidR="003804C1" w:rsidRPr="00F01616">
        <w:t xml:space="preserve">an additional three working days i.e., 28 – 30 June, to complete the full reporting period. </w:t>
      </w:r>
    </w:p>
    <w:p w14:paraId="2F5D90AD" w14:textId="77856892" w:rsidR="003804C1" w:rsidRPr="00F01616" w:rsidRDefault="003804C1" w:rsidP="003804C1">
      <w:pPr>
        <w:pStyle w:val="BodyText"/>
      </w:pPr>
      <w:r w:rsidRPr="00F01616">
        <w:t>The rationale for this is that care minutes are based on occupied bed days for the full quarter. If hours are not accrued until the end of the month there will be a misalignment between occupied bed days and care minutes.</w:t>
      </w:r>
      <w:r w:rsidR="003F40BA">
        <w:t xml:space="preserve"> </w:t>
      </w:r>
      <w:r w:rsidR="003F40BA" w:rsidRPr="001927A7">
        <w:t xml:space="preserve">Refer to the </w:t>
      </w:r>
      <w:hyperlink r:id="rId29" w:history="1">
        <w:r w:rsidR="003F40BA" w:rsidRPr="001927A7">
          <w:rPr>
            <w:rStyle w:val="Hyperlink"/>
          </w:rPr>
          <w:t xml:space="preserve">Guide to Accruals Recording </w:t>
        </w:r>
      </w:hyperlink>
      <w:r w:rsidR="003F40BA" w:rsidRPr="001927A7">
        <w:t xml:space="preserve"> for further information.</w:t>
      </w:r>
      <w:r w:rsidR="003F40BA">
        <w:t xml:space="preserve"> </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5" w:name="_Int_JqU6dmda"/>
      <w:r w:rsidRPr="0861A03D">
        <w:rPr>
          <w:rFonts w:eastAsia="Arial" w:cs="Arial"/>
        </w:rPr>
        <w:t>generally derived</w:t>
      </w:r>
      <w:bookmarkEnd w:id="25"/>
      <w:r w:rsidRPr="0861A03D">
        <w:rPr>
          <w:rFonts w:eastAsia="Arial" w:cs="Arial"/>
        </w:rPr>
        <w:t xml:space="preserve"> from rostering systems, whilst expenditure is derived from finance systems and there can be discrepancies between the two systems. For example, if an invoice is paid after quarter end, the hours will be recognised within the quarter, however the expenditure </w:t>
      </w:r>
      <w:r w:rsidRPr="0861A03D">
        <w:rPr>
          <w:rFonts w:eastAsia="Arial" w:cs="Arial"/>
        </w:rPr>
        <w:lastRenderedPageBreak/>
        <w:t xml:space="preserve">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178AF7F1" w:rsidR="003804C1" w:rsidRPr="00F01616" w:rsidRDefault="003804C1" w:rsidP="003804C1">
      <w:pPr>
        <w:rPr>
          <w:rFonts w:eastAsia="Arial" w:cs="Arial"/>
        </w:rPr>
      </w:pPr>
      <w:r w:rsidRPr="0861A03D">
        <w:rPr>
          <w:rFonts w:eastAsia="Arial" w:cs="Arial"/>
        </w:rPr>
        <w:t>Accruals ensure that expenditure are matched in the period in which they are incurred, even though internal pay cycles may not match with the QFR dates. Providers must accrue hours or expenditure based on the required period only and not based on previous quarters (i.e., do not accrue hours for the sole purpose of reconciling previous quarters</w:t>
      </w:r>
      <w:r w:rsidRPr="001927A7">
        <w:rPr>
          <w:rFonts w:eastAsia="Arial" w:cs="Arial"/>
        </w:rPr>
        <w:t>).</w:t>
      </w:r>
      <w:r w:rsidR="003F40BA" w:rsidRPr="001927A7">
        <w:t xml:space="preserve"> Refer to the </w:t>
      </w:r>
      <w:hyperlink r:id="rId30" w:history="1">
        <w:r w:rsidR="003F40BA" w:rsidRPr="001927A7">
          <w:rPr>
            <w:rStyle w:val="Hyperlink"/>
          </w:rPr>
          <w:t xml:space="preserve">Guide to Accruals Recording </w:t>
        </w:r>
      </w:hyperlink>
      <w:r w:rsidR="003F40BA" w:rsidRPr="001927A7">
        <w:t xml:space="preserve"> for further information.</w:t>
      </w:r>
    </w:p>
    <w:p w14:paraId="3ED7E26C" w14:textId="471E345F" w:rsidR="003804C1" w:rsidRPr="00F01616" w:rsidRDefault="003804C1" w:rsidP="003804C1">
      <w:pPr>
        <w:rPr>
          <w:rFonts w:eastAsia="Arial" w:cs="Arial"/>
        </w:rPr>
      </w:pPr>
      <w:r w:rsidRPr="00F01616">
        <w:rPr>
          <w:rFonts w:eastAsia="Arial" w:cs="Arial"/>
        </w:rPr>
        <w:t xml:space="preserve">Reporting incomplete or misleading care hours data may affect the calculation of </w:t>
      </w:r>
      <w:r w:rsidR="00B13417">
        <w:rPr>
          <w:rFonts w:eastAsia="Arial" w:cs="Arial"/>
        </w:rPr>
        <w:t>an aged care home</w:t>
      </w:r>
      <w:r w:rsidRPr="00F01616">
        <w:rPr>
          <w:rFonts w:eastAsia="Arial" w:cs="Arial"/>
        </w:rPr>
        <w:t xml:space="preserve">’s Staffing Rating and overall Star Rating. </w:t>
      </w:r>
    </w:p>
    <w:p w14:paraId="55821A88" w14:textId="69BE85A7" w:rsidR="00A95FEA" w:rsidRDefault="003804C1" w:rsidP="003804C1">
      <w:pPr>
        <w:rPr>
          <w:rFonts w:eastAsia="Arial" w:cs="Arial"/>
        </w:rPr>
        <w:sectPr w:rsidR="00A95FEA" w:rsidSect="00153FCD">
          <w:headerReference w:type="even" r:id="rId31"/>
          <w:headerReference w:type="default" r:id="rId32"/>
          <w:footerReference w:type="even" r:id="rId33"/>
          <w:footerReference w:type="default" r:id="rId34"/>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5" w:history="1">
        <w:r w:rsidRPr="00617213">
          <w:rPr>
            <w:rStyle w:val="Hyperlink"/>
            <w:rFonts w:cs="Arial"/>
          </w:rPr>
          <w:t>Care time reporting assessments</w:t>
        </w:r>
      </w:hyperlink>
      <w:r w:rsidRPr="00F01616">
        <w:rPr>
          <w:rFonts w:eastAsia="Arial" w:cs="Arial"/>
        </w:rPr>
        <w:t xml:space="preserve"> process.</w:t>
      </w:r>
      <w:r w:rsidR="003F40BA">
        <w:rPr>
          <w:rFonts w:eastAsia="Arial" w:cs="Arial"/>
        </w:rPr>
        <w:t xml:space="preserve"> </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F01616" w:rsidRDefault="003804C1" w:rsidP="003804C1">
      <w:pPr>
        <w:pStyle w:val="BodyText"/>
      </w:pPr>
      <w:r w:rsidRPr="00F01616">
        <w:t>Care time delivered by agency staff should be included in the information reported in the QFR as this will be counted towards the delivery of care minutes.</w:t>
      </w:r>
    </w:p>
    <w:p w14:paraId="784385E1" w14:textId="77777777" w:rsidR="003804C1" w:rsidRPr="00F01616" w:rsidRDefault="003804C1" w:rsidP="003804C1">
      <w:pPr>
        <w:pStyle w:val="BodyText"/>
      </w:pPr>
      <w:r w:rsidRPr="00F01616">
        <w:t>Providers should speak</w:t>
      </w:r>
      <w:r w:rsidRPr="00F01616">
        <w:rPr>
          <w:spacing w:val="-6"/>
        </w:rPr>
        <w:t xml:space="preserve"> </w:t>
      </w:r>
      <w:r w:rsidRPr="00F01616">
        <w:t>to</w:t>
      </w:r>
      <w:r w:rsidRPr="00F01616">
        <w:rPr>
          <w:spacing w:val="-6"/>
        </w:rPr>
        <w:t xml:space="preserve"> their agency/external </w:t>
      </w:r>
      <w:r w:rsidRPr="00F01616">
        <w:t>provider</w:t>
      </w:r>
      <w:r w:rsidRPr="00F01616">
        <w:rPr>
          <w:spacing w:val="-7"/>
        </w:rPr>
        <w:t xml:space="preserve"> </w:t>
      </w:r>
      <w:r w:rsidRPr="00F01616">
        <w:t>to request they</w:t>
      </w:r>
      <w:r w:rsidRPr="00F01616">
        <w:rPr>
          <w:spacing w:val="-5"/>
        </w:rPr>
        <w:t xml:space="preserve"> </w:t>
      </w:r>
      <w:r w:rsidRPr="00F01616">
        <w:t>issue</w:t>
      </w:r>
      <w:r w:rsidRPr="00F01616">
        <w:rPr>
          <w:spacing w:val="-6"/>
        </w:rPr>
        <w:t xml:space="preserve"> </w:t>
      </w:r>
      <w:r w:rsidRPr="00F01616">
        <w:t>invoices</w:t>
      </w:r>
      <w:r w:rsidRPr="00F01616">
        <w:rPr>
          <w:spacing w:val="-6"/>
        </w:rPr>
        <w:t xml:space="preserve"> </w:t>
      </w:r>
      <w:r w:rsidRPr="00F01616">
        <w:t>that</w:t>
      </w:r>
      <w:r w:rsidRPr="00F01616">
        <w:rPr>
          <w:spacing w:val="-6"/>
        </w:rPr>
        <w:t xml:space="preserve"> </w:t>
      </w:r>
      <w:r w:rsidRPr="00F01616">
        <w:t>can</w:t>
      </w:r>
      <w:r w:rsidRPr="00F01616">
        <w:rPr>
          <w:spacing w:val="-5"/>
        </w:rPr>
        <w:t xml:space="preserve"> </w:t>
      </w:r>
      <w:r w:rsidRPr="00F01616">
        <w:t>easily</w:t>
      </w:r>
      <w:r w:rsidRPr="00F01616">
        <w:rPr>
          <w:spacing w:val="-7"/>
        </w:rPr>
        <w:t xml:space="preserve"> </w:t>
      </w:r>
      <w:r w:rsidRPr="00F01616">
        <w:t>determine</w:t>
      </w:r>
      <w:r w:rsidRPr="00F01616">
        <w:rPr>
          <w:spacing w:val="-5"/>
        </w:rPr>
        <w:t xml:space="preserve"> </w:t>
      </w:r>
      <w:r w:rsidRPr="00F01616">
        <w:t>the</w:t>
      </w:r>
      <w:r w:rsidRPr="00F01616">
        <w:rPr>
          <w:spacing w:val="-5"/>
        </w:rPr>
        <w:t xml:space="preserve"> </w:t>
      </w:r>
      <w:r w:rsidRPr="00F01616">
        <w:t>staff</w:t>
      </w:r>
      <w:r w:rsidRPr="00F01616">
        <w:rPr>
          <w:spacing w:val="-6"/>
        </w:rPr>
        <w:t xml:space="preserve"> </w:t>
      </w:r>
      <w:r w:rsidRPr="00F01616">
        <w:t>that worked, including role and the hours that were</w:t>
      </w:r>
      <w:r w:rsidRPr="00F01616">
        <w:rPr>
          <w:spacing w:val="-7"/>
        </w:rPr>
        <w:t xml:space="preserve"> </w:t>
      </w:r>
      <w:r w:rsidRPr="00F01616">
        <w:t>worked.</w:t>
      </w:r>
    </w:p>
    <w:p w14:paraId="5174074B" w14:textId="01D80CE0" w:rsidR="003804C1" w:rsidRPr="00F01616" w:rsidRDefault="003804C1" w:rsidP="003804C1">
      <w:pPr>
        <w:pStyle w:val="BodyText"/>
      </w:pPr>
      <w:r w:rsidRPr="00F01616">
        <w:t xml:space="preserve">For </w:t>
      </w:r>
      <w:r w:rsidR="00B13417">
        <w:t>aged care home</w:t>
      </w:r>
      <w:r w:rsidRPr="00F01616">
        <w:t>s provided by external providers such as agency and allied health staff,</w:t>
      </w:r>
      <w:r w:rsidRPr="00F01616">
        <w:rPr>
          <w:spacing w:val="-18"/>
        </w:rPr>
        <w:t xml:space="preserve"> the department </w:t>
      </w:r>
      <w:r w:rsidRPr="00F01616">
        <w:t>suggests</w:t>
      </w:r>
      <w:r w:rsidRPr="00F01616">
        <w:rPr>
          <w:spacing w:val="-17"/>
        </w:rPr>
        <w:t xml:space="preserve"> </w:t>
      </w:r>
      <w:r w:rsidRPr="00F01616">
        <w:t>adjusting</w:t>
      </w:r>
      <w:r w:rsidRPr="00F01616">
        <w:rPr>
          <w:spacing w:val="-18"/>
        </w:rPr>
        <w:t xml:space="preserve"> </w:t>
      </w:r>
      <w:r w:rsidRPr="00F01616">
        <w:t>general</w:t>
      </w:r>
      <w:r w:rsidRPr="00F01616">
        <w:rPr>
          <w:spacing w:val="-19"/>
        </w:rPr>
        <w:t xml:space="preserve"> </w:t>
      </w:r>
      <w:r w:rsidRPr="00F01616">
        <w:t>ledger</w:t>
      </w:r>
      <w:r w:rsidRPr="00F01616">
        <w:rPr>
          <w:spacing w:val="-18"/>
        </w:rPr>
        <w:t xml:space="preserve"> </w:t>
      </w:r>
      <w:r w:rsidRPr="00F01616">
        <w:t>systems</w:t>
      </w:r>
      <w:r w:rsidRPr="00F01616">
        <w:rPr>
          <w:spacing w:val="-19"/>
        </w:rPr>
        <w:t xml:space="preserve"> </w:t>
      </w:r>
      <w:r w:rsidRPr="00F01616">
        <w:t>to</w:t>
      </w:r>
      <w:r w:rsidRPr="00F01616">
        <w:rPr>
          <w:spacing w:val="-17"/>
        </w:rPr>
        <w:t xml:space="preserve"> </w:t>
      </w:r>
      <w:r w:rsidRPr="00F01616">
        <w:t>separately</w:t>
      </w:r>
      <w:r w:rsidRPr="00F01616">
        <w:rPr>
          <w:spacing w:val="-19"/>
        </w:rPr>
        <w:t xml:space="preserve"> </w:t>
      </w:r>
      <w:r w:rsidRPr="00F01616">
        <w:t>account</w:t>
      </w:r>
      <w:r w:rsidRPr="00F01616">
        <w:rPr>
          <w:spacing w:val="-17"/>
        </w:rPr>
        <w:t xml:space="preserve"> </w:t>
      </w:r>
      <w:r w:rsidRPr="00F01616">
        <w:t>for</w:t>
      </w:r>
      <w:r w:rsidRPr="00F01616">
        <w:rPr>
          <w:spacing w:val="-12"/>
        </w:rPr>
        <w:t xml:space="preserve"> </w:t>
      </w:r>
      <w:r w:rsidRPr="00F01616">
        <w:t>these expenses. For example, implement a new natural account for ‘Allied Health Professional - Podiatrist’ to account for the expanded collection requirements around allied health</w:t>
      </w:r>
      <w:r>
        <w:t>.</w:t>
      </w:r>
      <w:bookmarkStart w:id="26" w:name="_bookmark16"/>
      <w:bookmarkEnd w:id="26"/>
    </w:p>
    <w:p w14:paraId="6CDF546A" w14:textId="674CA694" w:rsidR="00B22D8F" w:rsidRDefault="00DB60AB" w:rsidP="00E64C9C">
      <w:pPr>
        <w:pStyle w:val="BodyText"/>
      </w:pPr>
      <w:r w:rsidRPr="00F01616">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6"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lastRenderedPageBreak/>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any other accounting system that records hours</w:t>
      </w:r>
      <w:r w:rsidR="623766E5" w:rsidRPr="005F1C0E">
        <w:t xml:space="preserve">. Providers should </w:t>
      </w:r>
      <w:r w:rsidRPr="005F1C0E">
        <w:t xml:space="preserve">avoid common pitfalls such as double-counted overtime or reporting errors related to incorrect time periods. This 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37DDA433" w14:textId="3F0D754B" w:rsidR="00F206A5" w:rsidRPr="005F1C0E" w:rsidRDefault="7F9C2D89" w:rsidP="005F1C0E">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7"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44E2D935" w14:textId="1F5B2323" w:rsidR="00B22D8F" w:rsidRPr="005F1C0E" w:rsidRDefault="218FB311" w:rsidP="005F1C0E">
      <w:pPr>
        <w:pStyle w:val="Question"/>
      </w:pPr>
      <w:r w:rsidRPr="005F1C0E">
        <w:t>Should providers report hours of direct care staff who are off-site?</w:t>
      </w:r>
    </w:p>
    <w:p w14:paraId="228DE493" w14:textId="02598C53" w:rsidR="008D12AA" w:rsidRPr="005F1C0E" w:rsidRDefault="499CD075" w:rsidP="005F1C0E">
      <w:r w:rsidRPr="005F1C0E">
        <w:t xml:space="preserve">Providers should only report hours of direct care staff towards care minutes targets when they are providing care on-site. </w:t>
      </w:r>
    </w:p>
    <w:p w14:paraId="6745B34F" w14:textId="3D134B33" w:rsidR="00454D9F" w:rsidRPr="005F1C0E" w:rsidRDefault="00A93C37" w:rsidP="005F1C0E">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512F6CEA"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008D78B6">
        <w:t xml:space="preserve"> </w:t>
      </w:r>
      <w:r w:rsidR="27847568" w:rsidRPr="005F1C0E">
        <w:t>(s</w:t>
      </w:r>
      <w:r w:rsidR="27847568" w:rsidRPr="005F1C0E">
        <w:rPr>
          <w:rFonts w:eastAsia="Arial"/>
        </w:rPr>
        <w:t xml:space="preserve">ee </w:t>
      </w:r>
      <w:hyperlink w:history="1">
        <w:hyperlink w:history="1">
          <w:hyperlink r:id="rId38" w:history="1">
            <w:r w:rsidR="27847568" w:rsidRPr="005F1C0E">
              <w:rPr>
                <w:rStyle w:val="Hyperlink"/>
              </w:rPr>
              <w:t>QFR data definitions</w:t>
            </w:r>
          </w:hyperlink>
        </w:hyperlink>
      </w:hyperlink>
      <w:r w:rsidR="27847568" w:rsidRPr="005F1C0E">
        <w:t>)</w:t>
      </w:r>
      <w:r w:rsidR="59A7AB68" w:rsidRPr="005F1C0E">
        <w:t>.</w:t>
      </w:r>
    </w:p>
    <w:p w14:paraId="70471CCC" w14:textId="14F2386A"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w:t>
      </w:r>
      <w:r w:rsidR="00B13417">
        <w:t>n</w:t>
      </w:r>
      <w:r w:rsidRPr="005F1C0E">
        <w:t xml:space="preserve"> </w:t>
      </w:r>
      <w:r w:rsidR="00B13417">
        <w:t>aged care home</w:t>
      </w:r>
      <w:r w:rsidRPr="005F1C0E">
        <w:t>’s care minutes target.</w:t>
      </w:r>
    </w:p>
    <w:sectPr w:rsidR="3D0CF4EB" w:rsidRPr="005F1C0E" w:rsidSect="00153FCD">
      <w:headerReference w:type="default" r:id="rId39"/>
      <w:footerReference w:type="default" r:id="rId40"/>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E5902" w14:textId="77777777" w:rsidR="003B6B20" w:rsidRDefault="003B6B20" w:rsidP="00934368">
      <w:r>
        <w:separator/>
      </w:r>
    </w:p>
    <w:p w14:paraId="04598CF4" w14:textId="77777777" w:rsidR="003B6B20" w:rsidRDefault="003B6B20" w:rsidP="00934368"/>
    <w:p w14:paraId="7A811D57" w14:textId="77777777" w:rsidR="003B6B20" w:rsidRDefault="003B6B20"/>
  </w:endnote>
  <w:endnote w:type="continuationSeparator" w:id="0">
    <w:p w14:paraId="76219C8C" w14:textId="77777777" w:rsidR="003B6B20" w:rsidRDefault="003B6B20" w:rsidP="00934368">
      <w:r>
        <w:continuationSeparator/>
      </w:r>
    </w:p>
    <w:p w14:paraId="027F948F" w14:textId="77777777" w:rsidR="003B6B20" w:rsidRDefault="003B6B20" w:rsidP="00934368"/>
    <w:p w14:paraId="7372E26D" w14:textId="77777777" w:rsidR="003B6B20" w:rsidRDefault="003B6B20"/>
  </w:endnote>
  <w:endnote w:type="continuationNotice" w:id="1">
    <w:p w14:paraId="60BEB3E8" w14:textId="77777777" w:rsidR="003B6B20" w:rsidRDefault="003B6B20" w:rsidP="00934368"/>
    <w:p w14:paraId="0F08AECA" w14:textId="77777777" w:rsidR="003B6B20" w:rsidRDefault="003B6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66ACC7A6" w:rsidR="00627385" w:rsidRPr="00386805" w:rsidRDefault="007C2715" w:rsidP="00386805">
    <w:pPr>
      <w:pStyle w:val="Footer"/>
      <w:jc w:val="left"/>
    </w:pPr>
    <w:r>
      <w:rPr>
        <w:b/>
        <w:bCs/>
        <w:noProof/>
        <w:color w:val="2B579A"/>
        <w:sz w:val="21"/>
        <w:szCs w:val="21"/>
      </w:rPr>
      <mc:AlternateContent>
        <mc:Choice Requires="wps">
          <w:drawing>
            <wp:anchor distT="0" distB="0" distL="0" distR="0" simplePos="0" relativeHeight="251666434" behindDoc="0" locked="0" layoutInCell="1" allowOverlap="1" wp14:anchorId="0D742B83" wp14:editId="69C58928">
              <wp:simplePos x="635" y="635"/>
              <wp:positionH relativeFrom="page">
                <wp:align>center</wp:align>
              </wp:positionH>
              <wp:positionV relativeFrom="page">
                <wp:align>bottom</wp:align>
              </wp:positionV>
              <wp:extent cx="622300" cy="480695"/>
              <wp:effectExtent l="0" t="0" r="6350" b="0"/>
              <wp:wrapNone/>
              <wp:docPr id="206021054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42B83" id="_x0000_t202" coordsize="21600,21600" o:spt="202" path="m,l,21600r21600,l21600,xe">
              <v:stroke joinstyle="miter"/>
              <v:path gradientshapeok="t" o:connecttype="rect"/>
            </v:shapetype>
            <v:shape id="Text Box 8" o:spid="_x0000_s1028" type="#_x0000_t202" alt="OFFICIAL" style="position:absolute;margin-left:0;margin-top:0;width:49pt;height:37.8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386805" w:rsidRPr="00386805">
      <w:rPr>
        <w:b/>
        <w:bCs/>
        <w:color w:val="2B579A"/>
        <w:sz w:val="21"/>
        <w:szCs w:val="21"/>
        <w:shd w:val="clear" w:color="auto" w:fill="E6E6E6"/>
      </w:rPr>
      <w:fldChar w:fldCharType="begin"/>
    </w:r>
    <w:r w:rsidR="00386805" w:rsidRPr="00386805">
      <w:rPr>
        <w:b/>
        <w:bCs/>
        <w:sz w:val="21"/>
        <w:szCs w:val="21"/>
      </w:rPr>
      <w:instrText xml:space="preserve"> PAGE   \* MERGEFORMAT </w:instrText>
    </w:r>
    <w:r w:rsidR="00386805" w:rsidRPr="00386805">
      <w:rPr>
        <w:b/>
        <w:bCs/>
        <w:color w:val="2B579A"/>
        <w:sz w:val="21"/>
        <w:szCs w:val="21"/>
        <w:shd w:val="clear" w:color="auto" w:fill="E6E6E6"/>
      </w:rPr>
      <w:fldChar w:fldCharType="separate"/>
    </w:r>
    <w:r w:rsidR="00386805">
      <w:rPr>
        <w:b/>
        <w:bCs/>
        <w:sz w:val="21"/>
        <w:szCs w:val="21"/>
      </w:rPr>
      <w:t>2</w:t>
    </w:r>
    <w:r w:rsidR="00386805" w:rsidRPr="00386805">
      <w:rPr>
        <w:b/>
        <w:bCs/>
        <w:color w:val="2B579A"/>
        <w:sz w:val="21"/>
        <w:szCs w:val="21"/>
        <w:shd w:val="clear" w:color="auto" w:fill="E6E6E6"/>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571E6D39" w:rsidR="35C095C3" w:rsidRDefault="007C2715" w:rsidP="006F3517">
          <w:pPr>
            <w:pStyle w:val="Header"/>
            <w:ind w:left="-115"/>
          </w:pPr>
          <w:r>
            <w:rPr>
              <w:noProof/>
            </w:rPr>
            <mc:AlternateContent>
              <mc:Choice Requires="wps">
                <w:drawing>
                  <wp:anchor distT="0" distB="0" distL="0" distR="0" simplePos="0" relativeHeight="251667458" behindDoc="0" locked="0" layoutInCell="1" allowOverlap="1" wp14:anchorId="4551190B" wp14:editId="6B8A3067">
                    <wp:simplePos x="635" y="635"/>
                    <wp:positionH relativeFrom="page">
                      <wp:align>center</wp:align>
                    </wp:positionH>
                    <wp:positionV relativeFrom="page">
                      <wp:align>bottom</wp:align>
                    </wp:positionV>
                    <wp:extent cx="622300" cy="480695"/>
                    <wp:effectExtent l="0" t="0" r="6350" b="0"/>
                    <wp:wrapNone/>
                    <wp:docPr id="10912169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1190B" id="_x0000_t202" coordsize="21600,21600" o:spt="202" path="m,l,21600r21600,l21600,xe">
                    <v:stroke joinstyle="miter"/>
                    <v:path gradientshapeok="t" o:connecttype="rect"/>
                  </v:shapetype>
                  <v:shape id="Text Box 9" o:spid="_x0000_s1029" type="#_x0000_t202" alt="OFFICIAL" style="position:absolute;left:0;text-align:left;margin-left:0;margin-top:0;width:49pt;height:37.85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793FD984"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6D2E3E9E" w:rsidR="00D0690C" w:rsidRPr="00EB5314" w:rsidRDefault="007C2715" w:rsidP="00EB5314">
    <w:pPr>
      <w:pStyle w:val="Footer"/>
    </w:pPr>
    <w:r>
      <w:rPr>
        <w:noProof/>
      </w:rPr>
      <mc:AlternateContent>
        <mc:Choice Requires="wps">
          <w:drawing>
            <wp:anchor distT="0" distB="0" distL="0" distR="0" simplePos="0" relativeHeight="251668482" behindDoc="0" locked="0" layoutInCell="1" allowOverlap="1" wp14:anchorId="22253387" wp14:editId="07D4E2F3">
              <wp:simplePos x="635" y="635"/>
              <wp:positionH relativeFrom="page">
                <wp:align>center</wp:align>
              </wp:positionH>
              <wp:positionV relativeFrom="page">
                <wp:align>bottom</wp:align>
              </wp:positionV>
              <wp:extent cx="622300" cy="480695"/>
              <wp:effectExtent l="0" t="0" r="6350" b="0"/>
              <wp:wrapNone/>
              <wp:docPr id="1402855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253387"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7.8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pOUnVDgIAABwE&#10;AAAOAAAAAAAAAAAAAAAAAC4CAABkcnMvZTJvRG9jLnhtbFBLAQItABQABgAIAAAAIQAduUHR2gAA&#10;AAMBAAAPAAAAAAAAAAAAAAAAAGgEAABkcnMvZG93bnJldi54bWxQSwUGAAAAAAQABADzAAAAbwUA&#10;AAAA&#10;" filled="f" stroked="f">
              <v:textbox style="mso-fit-shape-to-text:t" inset="0,0,0,15pt">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3585" w14:textId="0B1D31C3" w:rsidR="00DB6E9F" w:rsidRDefault="00DB6E9F" w:rsidP="00DB6E9F">
    <w:pPr>
      <w:pStyle w:val="Footer"/>
      <w:tabs>
        <w:tab w:val="left" w:pos="2115"/>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49D779FF" w:rsidR="00A95FEA" w:rsidRDefault="002A6FA0" w:rsidP="00A95FEA">
          <w:pPr>
            <w:spacing w:before="0" w:after="0" w:line="240" w:lineRule="auto"/>
          </w:pPr>
          <w:r>
            <w:rPr>
              <w:noProof/>
              <w:color w:val="2B579A"/>
            </w:rPr>
            <mc:AlternateContent>
              <mc:Choice Requires="wps">
                <w:drawing>
                  <wp:anchor distT="0" distB="0" distL="0" distR="0" simplePos="0" relativeHeight="251670530" behindDoc="0" locked="0" layoutInCell="1" allowOverlap="1" wp14:anchorId="45E3724F" wp14:editId="47EFE7BB">
                    <wp:simplePos x="0" y="0"/>
                    <wp:positionH relativeFrom="page">
                      <wp:posOffset>-91440</wp:posOffset>
                    </wp:positionH>
                    <wp:positionV relativeFrom="page">
                      <wp:posOffset>419100</wp:posOffset>
                    </wp:positionV>
                    <wp:extent cx="622300" cy="99695"/>
                    <wp:effectExtent l="0" t="95250" r="6350" b="0"/>
                    <wp:wrapNone/>
                    <wp:docPr id="21163648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99695"/>
                            </a:xfrm>
                            <a:prstGeom prst="rect">
                              <a:avLst/>
                            </a:prstGeom>
                            <a:noFill/>
                            <a:ln>
                              <a:noFill/>
                            </a:ln>
                          </wps:spPr>
                          <wps:txbx>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724F" id="_x0000_t202" coordsize="21600,21600" o:spt="202" path="m,l,21600r21600,l21600,xe">
                    <v:stroke joinstyle="miter"/>
                    <v:path gradientshapeok="t" o:connecttype="rect"/>
                  </v:shapetype>
                  <v:shape id="Text Box 12" o:spid="_x0000_s1032" type="#_x0000_t202" alt="OFFICIAL" style="position:absolute;margin-left:-7.2pt;margin-top:33pt;width:49pt;height:7.85pt;z-index:25167053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" filled="f" stroked="f">
                    <v:textbox inset="0,0,0,15pt">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A95FEA">
            <w:rPr>
              <w:noProof/>
              <w:color w:val="2B579A"/>
              <w:shd w:val="clear" w:color="auto" w:fill="E6E6E6"/>
            </w:rPr>
            <w:drawing>
              <wp:inline distT="0" distB="0" distL="0" distR="0" wp14:anchorId="4D0518F2" wp14:editId="5D989BE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1D9DCD3E"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lease contact the</w:t>
    </w:r>
    <w:r w:rsidR="00CB1323">
      <w:br/>
    </w:r>
    <w:r w:rsidRPr="00043343">
      <w:t xml:space="preserve">QFR &amp; ACFR Helpdesk via </w:t>
    </w:r>
    <w:hyperlink r:id="rId3" w:history="1">
      <w:r w:rsidRPr="00433DE5">
        <w:rPr>
          <w:rStyle w:val="Hyperlink"/>
        </w:rPr>
        <w:t>QFRACFRHelp@health.gov.au</w:t>
      </w:r>
    </w:hyperlink>
  </w:p>
  <w:p w14:paraId="081099EA" w14:textId="07588CC6" w:rsidR="00A95FEA" w:rsidRDefault="00A95FEA" w:rsidP="00A95FEA">
    <w:r>
      <w:t xml:space="preserve">For translating and interpreting services, call </w:t>
    </w:r>
    <w:r w:rsidRPr="00312749">
      <w:rPr>
        <w:b/>
        <w:bCs/>
      </w:rPr>
      <w:t>131 450</w:t>
    </w:r>
    <w:r>
      <w:t xml:space="preserve"> and ask for My Aged Care </w:t>
    </w:r>
    <w:r w:rsidR="00CB1323">
      <w:br/>
    </w:r>
    <w:r>
      <w:t xml:space="preserve">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nrschat.nrscall.gov.au/nrs</w:t>
    </w:r>
    <w:r>
      <w:t xml:space="preserve"> </w:t>
    </w:r>
    <w:r>
      <w:br/>
      <w:t xml:space="preserve">or call </w:t>
    </w:r>
    <w:r w:rsidRPr="00312749">
      <w:rPr>
        <w:b/>
        <w:bCs/>
      </w:rPr>
      <w:t>1800 555 660</w:t>
    </w:r>
    <w:r>
      <w:t>.</w:t>
    </w:r>
  </w:p>
  <w:p w14:paraId="7948FD69" w14:textId="3A9D53F4" w:rsidR="00A95FEA" w:rsidRDefault="00A95FEA" w:rsidP="00DB6E9F">
    <w:pPr>
      <w:pStyle w:val="Footer"/>
      <w:tabs>
        <w:tab w:val="left" w:pos="2115"/>
      </w:tabs>
      <w:jc w:val="left"/>
    </w:pPr>
    <w:r>
      <w:tab/>
    </w:r>
    <w:r>
      <w:tab/>
    </w:r>
    <w:r w:rsidR="007A03BE">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173AA" w14:textId="77777777" w:rsidR="003B6B20" w:rsidRDefault="003B6B20" w:rsidP="00934368">
      <w:r>
        <w:separator/>
      </w:r>
    </w:p>
    <w:p w14:paraId="668EE6BF" w14:textId="77777777" w:rsidR="003B6B20" w:rsidRDefault="003B6B20" w:rsidP="00934368"/>
    <w:p w14:paraId="13370AC0" w14:textId="77777777" w:rsidR="003B6B20" w:rsidRDefault="003B6B20"/>
  </w:footnote>
  <w:footnote w:type="continuationSeparator" w:id="0">
    <w:p w14:paraId="51927C46" w14:textId="77777777" w:rsidR="003B6B20" w:rsidRDefault="003B6B20" w:rsidP="00934368">
      <w:r>
        <w:continuationSeparator/>
      </w:r>
    </w:p>
    <w:p w14:paraId="7BB66942" w14:textId="77777777" w:rsidR="003B6B20" w:rsidRDefault="003B6B20" w:rsidP="00934368"/>
    <w:p w14:paraId="1FF11565" w14:textId="77777777" w:rsidR="003B6B20" w:rsidRDefault="003B6B20"/>
  </w:footnote>
  <w:footnote w:type="continuationNotice" w:id="1">
    <w:p w14:paraId="5408E3E9" w14:textId="77777777" w:rsidR="003B6B20" w:rsidRDefault="003B6B20" w:rsidP="00934368"/>
    <w:p w14:paraId="741C3E7A" w14:textId="77777777" w:rsidR="003B6B20" w:rsidRDefault="003B6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B41A" w14:textId="36112E24" w:rsidR="007A03BE" w:rsidRDefault="007C2715">
    <w:pPr>
      <w:pStyle w:val="Header"/>
    </w:pPr>
    <w:r>
      <w:rPr>
        <w:noProof/>
      </w:rPr>
      <mc:AlternateContent>
        <mc:Choice Requires="wps">
          <w:drawing>
            <wp:anchor distT="0" distB="0" distL="0" distR="0" simplePos="0" relativeHeight="251660290" behindDoc="0" locked="0" layoutInCell="1" allowOverlap="1" wp14:anchorId="4C23ED46" wp14:editId="4B569C81">
              <wp:simplePos x="635" y="635"/>
              <wp:positionH relativeFrom="page">
                <wp:align>center</wp:align>
              </wp:positionH>
              <wp:positionV relativeFrom="page">
                <wp:align>top</wp:align>
              </wp:positionV>
              <wp:extent cx="622300" cy="480695"/>
              <wp:effectExtent l="0" t="0" r="6350" b="14605"/>
              <wp:wrapNone/>
              <wp:docPr id="553860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23ED46"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37DC0872" w:rsidR="35C095C3" w:rsidRDefault="007C2715" w:rsidP="006F3517">
          <w:pPr>
            <w:pStyle w:val="Header"/>
            <w:ind w:left="-115"/>
          </w:pPr>
          <w:r>
            <w:rPr>
              <w:noProof/>
            </w:rPr>
            <mc:AlternateContent>
              <mc:Choice Requires="wps">
                <w:drawing>
                  <wp:anchor distT="0" distB="0" distL="0" distR="0" simplePos="0" relativeHeight="251661314" behindDoc="0" locked="0" layoutInCell="1" allowOverlap="1" wp14:anchorId="0F3CC1D4" wp14:editId="1F90DA64">
                    <wp:simplePos x="635" y="635"/>
                    <wp:positionH relativeFrom="page">
                      <wp:align>center</wp:align>
                    </wp:positionH>
                    <wp:positionV relativeFrom="page">
                      <wp:align>top</wp:align>
                    </wp:positionV>
                    <wp:extent cx="622300" cy="480695"/>
                    <wp:effectExtent l="0" t="0" r="6350" b="14605"/>
                    <wp:wrapNone/>
                    <wp:docPr id="14308615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CC1D4"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7.8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2A50998F" w:rsidR="003B1273" w:rsidRDefault="00146754" w:rsidP="00146754">
    <w:pPr>
      <w:pStyle w:val="Header"/>
      <w:ind w:left="-1418"/>
      <w:rPr>
        <w:noProof/>
        <w:lang w:eastAsia="en-AU"/>
      </w:rPr>
    </w:pPr>
    <w:r w:rsidRPr="00674143">
      <w:rPr>
        <w:rFonts w:ascii="Times New Roman" w:hAnsi="Times New Roman"/>
        <w:noProof/>
        <w:lang w:eastAsia="en-AU"/>
      </w:rPr>
      <w:drawing>
        <wp:inline distT="0" distB="0" distL="0" distR="0" wp14:anchorId="711FC0EA" wp14:editId="5EDE8255">
          <wp:extent cx="7574280" cy="2026920"/>
          <wp:effectExtent l="0" t="0" r="7620" b="0"/>
          <wp:docPr id="1469951662" name="Picture 1469951662" descr="A blue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rectangl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676" cy="2031040"/>
                  </a:xfrm>
                  <a:prstGeom prst="rect">
                    <a:avLst/>
                  </a:prstGeom>
                  <a:noFill/>
                  <a:ln>
                    <a:noFill/>
                  </a:ln>
                </pic:spPr>
              </pic:pic>
            </a:graphicData>
          </a:graphic>
        </wp:inline>
      </w:drawing>
    </w:r>
  </w:p>
  <w:p w14:paraId="1A4EBAEB" w14:textId="1A48B105" w:rsidR="00674143" w:rsidRPr="00674143" w:rsidRDefault="00674143" w:rsidP="00674143">
    <w:pPr>
      <w:spacing w:before="100" w:beforeAutospacing="1" w:after="100" w:afterAutospacing="1" w:line="240" w:lineRule="auto"/>
      <w:rPr>
        <w:rFonts w:ascii="Times New Roman" w:hAnsi="Times New Roman"/>
        <w:color w:val="auto"/>
        <w:lang w:eastAsia="en-AU"/>
      </w:rPr>
    </w:pPr>
  </w:p>
  <w:p w14:paraId="47AC5298" w14:textId="39A1658F"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49536" behindDoc="1" locked="0" layoutInCell="1" allowOverlap="1" wp14:anchorId="13F0F6DB" wp14:editId="0A9CE29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B0AE4" id="Rectangle 23" o:spid="_x0000_s1026" alt="&quot;&quot;" style="position:absolute;margin-left:-69.4pt;margin-top:314.6pt;width:599.25pt;height:491.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color w:val="2B579A"/>
        <w:shd w:val="clear" w:color="auto" w:fill="E6E6E6"/>
      </w:rPr>
      <w:drawing>
        <wp:anchor distT="0" distB="0" distL="114300" distR="114300" simplePos="0" relativeHeight="251654656" behindDoc="1" locked="0" layoutInCell="1" allowOverlap="1" wp14:anchorId="569A259E" wp14:editId="2347E354">
          <wp:simplePos x="904875" y="704850"/>
          <wp:positionH relativeFrom="page">
            <wp:align>center</wp:align>
          </wp:positionH>
          <wp:positionV relativeFrom="page">
            <wp:align>top</wp:align>
          </wp:positionV>
          <wp:extent cx="7560000" cy="5043600"/>
          <wp:effectExtent l="0" t="0" r="3175" b="5080"/>
          <wp:wrapNone/>
          <wp:docPr id="239233411" name="Picture 239233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B3188E" w:rsidR="00D0690C" w:rsidRDefault="007C2715">
    <w:pPr>
      <w:pStyle w:val="Header"/>
    </w:pPr>
    <w:r>
      <w:rPr>
        <w:noProof/>
      </w:rPr>
      <mc:AlternateContent>
        <mc:Choice Requires="wps">
          <w:drawing>
            <wp:anchor distT="0" distB="0" distL="0" distR="0" simplePos="0" relativeHeight="251662338" behindDoc="0" locked="0" layoutInCell="1" allowOverlap="1" wp14:anchorId="7EC1EFE6" wp14:editId="5D5853D2">
              <wp:simplePos x="635" y="635"/>
              <wp:positionH relativeFrom="page">
                <wp:align>center</wp:align>
              </wp:positionH>
              <wp:positionV relativeFrom="page">
                <wp:align>top</wp:align>
              </wp:positionV>
              <wp:extent cx="622300" cy="480695"/>
              <wp:effectExtent l="0" t="0" r="6350" b="14605"/>
              <wp:wrapNone/>
              <wp:docPr id="9964456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1EFE6" id="_x0000_t202" coordsize="21600,21600" o:spt="202" path="m,l,21600r21600,l21600,xe">
              <v:stroke joinstyle="miter"/>
              <v:path gradientshapeok="t" o:connecttype="rect"/>
            </v:shapetype>
            <v:shape id="Text Box 4" o:spid="_x0000_s1030" type="#_x0000_t202" alt="OFFICIAL" style="position:absolute;margin-left:0;margin-top:0;width:49pt;height:37.8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6FFB" w14:textId="71379637" w:rsidR="35C095C3" w:rsidRDefault="35C095C3" w:rsidP="006F35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DAFC" w14:textId="22048688"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937CA0E2"/>
    <w:lvl w:ilvl="0" w:tplc="6E2A9EA2">
      <w:start w:val="1"/>
      <w:numFmt w:val="decimal"/>
      <w:pStyle w:val="Question"/>
      <w:suff w:val="nothing"/>
      <w:lvlText w:val="%1. "/>
      <w:lvlJc w:val="left"/>
      <w:pPr>
        <w:ind w:left="786"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7BA"/>
    <w:rsid w:val="00081AB1"/>
    <w:rsid w:val="00084FAB"/>
    <w:rsid w:val="00090316"/>
    <w:rsid w:val="000928C4"/>
    <w:rsid w:val="00093981"/>
    <w:rsid w:val="00093CD9"/>
    <w:rsid w:val="000A1D5C"/>
    <w:rsid w:val="000A3CE2"/>
    <w:rsid w:val="000A4BE8"/>
    <w:rsid w:val="000B0275"/>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F0788"/>
    <w:rsid w:val="000F123C"/>
    <w:rsid w:val="000F27B4"/>
    <w:rsid w:val="000F2FED"/>
    <w:rsid w:val="000F555C"/>
    <w:rsid w:val="000F7135"/>
    <w:rsid w:val="00101599"/>
    <w:rsid w:val="001019E0"/>
    <w:rsid w:val="0010616D"/>
    <w:rsid w:val="00110478"/>
    <w:rsid w:val="0011711B"/>
    <w:rsid w:val="0011759C"/>
    <w:rsid w:val="00117F8A"/>
    <w:rsid w:val="00120448"/>
    <w:rsid w:val="00121B9B"/>
    <w:rsid w:val="00122988"/>
    <w:rsid w:val="00122ADC"/>
    <w:rsid w:val="00127121"/>
    <w:rsid w:val="00130F06"/>
    <w:rsid w:val="00130F59"/>
    <w:rsid w:val="001331A7"/>
    <w:rsid w:val="00133EC0"/>
    <w:rsid w:val="00135C75"/>
    <w:rsid w:val="00137390"/>
    <w:rsid w:val="00141935"/>
    <w:rsid w:val="00141CE5"/>
    <w:rsid w:val="00143463"/>
    <w:rsid w:val="00143BB9"/>
    <w:rsid w:val="00144908"/>
    <w:rsid w:val="00146754"/>
    <w:rsid w:val="00151E81"/>
    <w:rsid w:val="00152868"/>
    <w:rsid w:val="00153FCD"/>
    <w:rsid w:val="00155CBC"/>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27A7"/>
    <w:rsid w:val="001931B8"/>
    <w:rsid w:val="001947D0"/>
    <w:rsid w:val="00195934"/>
    <w:rsid w:val="0019622E"/>
    <w:rsid w:val="001966A7"/>
    <w:rsid w:val="001A00A7"/>
    <w:rsid w:val="001A06EB"/>
    <w:rsid w:val="001A4627"/>
    <w:rsid w:val="001A4979"/>
    <w:rsid w:val="001A72F0"/>
    <w:rsid w:val="001B15D3"/>
    <w:rsid w:val="001B3443"/>
    <w:rsid w:val="001C0326"/>
    <w:rsid w:val="001C192F"/>
    <w:rsid w:val="001C3C42"/>
    <w:rsid w:val="001C5640"/>
    <w:rsid w:val="001C65A2"/>
    <w:rsid w:val="001D03A5"/>
    <w:rsid w:val="001D1234"/>
    <w:rsid w:val="001D502D"/>
    <w:rsid w:val="001D668B"/>
    <w:rsid w:val="001D76DE"/>
    <w:rsid w:val="001D7869"/>
    <w:rsid w:val="001E0729"/>
    <w:rsid w:val="001E3A60"/>
    <w:rsid w:val="001F2F78"/>
    <w:rsid w:val="002026CD"/>
    <w:rsid w:val="002027D5"/>
    <w:rsid w:val="002033FC"/>
    <w:rsid w:val="002044BB"/>
    <w:rsid w:val="00206554"/>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6909"/>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905C2"/>
    <w:rsid w:val="00290DFC"/>
    <w:rsid w:val="002941E0"/>
    <w:rsid w:val="00295249"/>
    <w:rsid w:val="00295AF2"/>
    <w:rsid w:val="00295C91"/>
    <w:rsid w:val="00295D54"/>
    <w:rsid w:val="00297151"/>
    <w:rsid w:val="0029727B"/>
    <w:rsid w:val="002A0165"/>
    <w:rsid w:val="002A0910"/>
    <w:rsid w:val="002A66C6"/>
    <w:rsid w:val="002A6FA0"/>
    <w:rsid w:val="002B017A"/>
    <w:rsid w:val="002B20E6"/>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27D9"/>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6BCF"/>
    <w:rsid w:val="00357619"/>
    <w:rsid w:val="00357BD7"/>
    <w:rsid w:val="00360E4E"/>
    <w:rsid w:val="003649CF"/>
    <w:rsid w:val="00370AAA"/>
    <w:rsid w:val="00373199"/>
    <w:rsid w:val="00375F77"/>
    <w:rsid w:val="00377A78"/>
    <w:rsid w:val="003804C1"/>
    <w:rsid w:val="00381BBE"/>
    <w:rsid w:val="00382903"/>
    <w:rsid w:val="003846FF"/>
    <w:rsid w:val="00384ADA"/>
    <w:rsid w:val="00385AD4"/>
    <w:rsid w:val="003864F1"/>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B6B20"/>
    <w:rsid w:val="003C0FEC"/>
    <w:rsid w:val="003C15B8"/>
    <w:rsid w:val="003C2AC8"/>
    <w:rsid w:val="003C46A6"/>
    <w:rsid w:val="003D1005"/>
    <w:rsid w:val="003D17F9"/>
    <w:rsid w:val="003D2D88"/>
    <w:rsid w:val="003D41EA"/>
    <w:rsid w:val="003D4850"/>
    <w:rsid w:val="003D535A"/>
    <w:rsid w:val="003D5CBF"/>
    <w:rsid w:val="003E45EB"/>
    <w:rsid w:val="003E4BE9"/>
    <w:rsid w:val="003E5265"/>
    <w:rsid w:val="003F087F"/>
    <w:rsid w:val="003F0955"/>
    <w:rsid w:val="003F3E10"/>
    <w:rsid w:val="003F40BA"/>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5FB9"/>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929A9"/>
    <w:rsid w:val="004A5CD3"/>
    <w:rsid w:val="004C2FEC"/>
    <w:rsid w:val="004C30C9"/>
    <w:rsid w:val="004C6BCF"/>
    <w:rsid w:val="004C7120"/>
    <w:rsid w:val="004C7C9D"/>
    <w:rsid w:val="004D142E"/>
    <w:rsid w:val="004D2B55"/>
    <w:rsid w:val="004D58BF"/>
    <w:rsid w:val="004E184A"/>
    <w:rsid w:val="004E4335"/>
    <w:rsid w:val="004E5ACF"/>
    <w:rsid w:val="004F075D"/>
    <w:rsid w:val="004F0B22"/>
    <w:rsid w:val="004F13EE"/>
    <w:rsid w:val="004F1B2F"/>
    <w:rsid w:val="004F2022"/>
    <w:rsid w:val="004F7C05"/>
    <w:rsid w:val="00501C94"/>
    <w:rsid w:val="00503E74"/>
    <w:rsid w:val="00504C0C"/>
    <w:rsid w:val="00506432"/>
    <w:rsid w:val="0051242B"/>
    <w:rsid w:val="00513289"/>
    <w:rsid w:val="00514591"/>
    <w:rsid w:val="0051482B"/>
    <w:rsid w:val="00516887"/>
    <w:rsid w:val="0052051D"/>
    <w:rsid w:val="00536322"/>
    <w:rsid w:val="00537970"/>
    <w:rsid w:val="00540C19"/>
    <w:rsid w:val="00545EE6"/>
    <w:rsid w:val="005550E7"/>
    <w:rsid w:val="005564FB"/>
    <w:rsid w:val="005572C7"/>
    <w:rsid w:val="00557731"/>
    <w:rsid w:val="005626B3"/>
    <w:rsid w:val="005650ED"/>
    <w:rsid w:val="0057114C"/>
    <w:rsid w:val="00572B36"/>
    <w:rsid w:val="00572CBD"/>
    <w:rsid w:val="00575754"/>
    <w:rsid w:val="005827DE"/>
    <w:rsid w:val="00584A9F"/>
    <w:rsid w:val="00591E20"/>
    <w:rsid w:val="0059332E"/>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45E"/>
    <w:rsid w:val="005F1C0E"/>
    <w:rsid w:val="005F4ECA"/>
    <w:rsid w:val="005F7D63"/>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4EA2"/>
    <w:rsid w:val="00657FF8"/>
    <w:rsid w:val="00661EFA"/>
    <w:rsid w:val="00662FA0"/>
    <w:rsid w:val="00670D99"/>
    <w:rsid w:val="00670E2B"/>
    <w:rsid w:val="00672743"/>
    <w:rsid w:val="006734BB"/>
    <w:rsid w:val="00674143"/>
    <w:rsid w:val="0067435F"/>
    <w:rsid w:val="00681A34"/>
    <w:rsid w:val="00681B72"/>
    <w:rsid w:val="006821EB"/>
    <w:rsid w:val="00683F3C"/>
    <w:rsid w:val="0069585F"/>
    <w:rsid w:val="00696B8A"/>
    <w:rsid w:val="006A1E81"/>
    <w:rsid w:val="006A5138"/>
    <w:rsid w:val="006B2286"/>
    <w:rsid w:val="006B56BB"/>
    <w:rsid w:val="006C0B6E"/>
    <w:rsid w:val="006C2098"/>
    <w:rsid w:val="006C4E9C"/>
    <w:rsid w:val="006C77A8"/>
    <w:rsid w:val="006D15A3"/>
    <w:rsid w:val="006D4098"/>
    <w:rsid w:val="006D4429"/>
    <w:rsid w:val="006D7681"/>
    <w:rsid w:val="006D7B2E"/>
    <w:rsid w:val="006E02EA"/>
    <w:rsid w:val="006E0968"/>
    <w:rsid w:val="006E28EA"/>
    <w:rsid w:val="006E2AF6"/>
    <w:rsid w:val="006E407F"/>
    <w:rsid w:val="006F3517"/>
    <w:rsid w:val="006F4D8F"/>
    <w:rsid w:val="00701275"/>
    <w:rsid w:val="00704E42"/>
    <w:rsid w:val="00705956"/>
    <w:rsid w:val="00706690"/>
    <w:rsid w:val="00707F56"/>
    <w:rsid w:val="00712C38"/>
    <w:rsid w:val="00713360"/>
    <w:rsid w:val="00713558"/>
    <w:rsid w:val="00715AE0"/>
    <w:rsid w:val="00715B3D"/>
    <w:rsid w:val="00720D08"/>
    <w:rsid w:val="007263B9"/>
    <w:rsid w:val="00727682"/>
    <w:rsid w:val="00727EBE"/>
    <w:rsid w:val="007334F8"/>
    <w:rsid w:val="007339CD"/>
    <w:rsid w:val="007359D8"/>
    <w:rsid w:val="007362D4"/>
    <w:rsid w:val="00743D08"/>
    <w:rsid w:val="0074463E"/>
    <w:rsid w:val="007454C1"/>
    <w:rsid w:val="007471E8"/>
    <w:rsid w:val="00747643"/>
    <w:rsid w:val="00751A23"/>
    <w:rsid w:val="00757E1F"/>
    <w:rsid w:val="00765FFF"/>
    <w:rsid w:val="0076672A"/>
    <w:rsid w:val="00775E45"/>
    <w:rsid w:val="00775EF7"/>
    <w:rsid w:val="00776E74"/>
    <w:rsid w:val="00785169"/>
    <w:rsid w:val="00790C3F"/>
    <w:rsid w:val="007954AB"/>
    <w:rsid w:val="007A03BE"/>
    <w:rsid w:val="007A14C5"/>
    <w:rsid w:val="007A2C09"/>
    <w:rsid w:val="007A3E38"/>
    <w:rsid w:val="007A43DF"/>
    <w:rsid w:val="007A4A10"/>
    <w:rsid w:val="007A6B39"/>
    <w:rsid w:val="007B1760"/>
    <w:rsid w:val="007B2D47"/>
    <w:rsid w:val="007B3D03"/>
    <w:rsid w:val="007B4836"/>
    <w:rsid w:val="007B5553"/>
    <w:rsid w:val="007C2715"/>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11218"/>
    <w:rsid w:val="008127AF"/>
    <w:rsid w:val="00812B46"/>
    <w:rsid w:val="00814043"/>
    <w:rsid w:val="00815700"/>
    <w:rsid w:val="0081736E"/>
    <w:rsid w:val="00817B70"/>
    <w:rsid w:val="00817D6F"/>
    <w:rsid w:val="00821DCC"/>
    <w:rsid w:val="00822DCE"/>
    <w:rsid w:val="008264EB"/>
    <w:rsid w:val="00826B8F"/>
    <w:rsid w:val="00831E8A"/>
    <w:rsid w:val="00835C76"/>
    <w:rsid w:val="008361A9"/>
    <w:rsid w:val="00843049"/>
    <w:rsid w:val="008509FE"/>
    <w:rsid w:val="0085209B"/>
    <w:rsid w:val="00856744"/>
    <w:rsid w:val="00856B66"/>
    <w:rsid w:val="00861A5F"/>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954DD"/>
    <w:rsid w:val="0089677E"/>
    <w:rsid w:val="00896E8C"/>
    <w:rsid w:val="00897EE1"/>
    <w:rsid w:val="008A7438"/>
    <w:rsid w:val="008B1334"/>
    <w:rsid w:val="008B1699"/>
    <w:rsid w:val="008B2705"/>
    <w:rsid w:val="008B45F2"/>
    <w:rsid w:val="008B5433"/>
    <w:rsid w:val="008B70D3"/>
    <w:rsid w:val="008B7DE2"/>
    <w:rsid w:val="008C0278"/>
    <w:rsid w:val="008C2340"/>
    <w:rsid w:val="008C24E9"/>
    <w:rsid w:val="008C68E4"/>
    <w:rsid w:val="008C7482"/>
    <w:rsid w:val="008D0533"/>
    <w:rsid w:val="008D12AA"/>
    <w:rsid w:val="008D1568"/>
    <w:rsid w:val="008D253E"/>
    <w:rsid w:val="008D350D"/>
    <w:rsid w:val="008D42CB"/>
    <w:rsid w:val="008D48C9"/>
    <w:rsid w:val="008D5B79"/>
    <w:rsid w:val="008D6381"/>
    <w:rsid w:val="008D78B6"/>
    <w:rsid w:val="008E09C8"/>
    <w:rsid w:val="008E0C77"/>
    <w:rsid w:val="008E625F"/>
    <w:rsid w:val="008E6354"/>
    <w:rsid w:val="008E6F6E"/>
    <w:rsid w:val="008F003C"/>
    <w:rsid w:val="008F264D"/>
    <w:rsid w:val="009074E1"/>
    <w:rsid w:val="009112F7"/>
    <w:rsid w:val="009122AF"/>
    <w:rsid w:val="00912613"/>
    <w:rsid w:val="009127BC"/>
    <w:rsid w:val="00912D54"/>
    <w:rsid w:val="0091389F"/>
    <w:rsid w:val="0091536A"/>
    <w:rsid w:val="009176C2"/>
    <w:rsid w:val="009208F7"/>
    <w:rsid w:val="00922517"/>
    <w:rsid w:val="00922722"/>
    <w:rsid w:val="00923144"/>
    <w:rsid w:val="009261E6"/>
    <w:rsid w:val="009268E1"/>
    <w:rsid w:val="00927FA5"/>
    <w:rsid w:val="00934368"/>
    <w:rsid w:val="00941BE5"/>
    <w:rsid w:val="00945E7F"/>
    <w:rsid w:val="00946949"/>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738D"/>
    <w:rsid w:val="009B4C0A"/>
    <w:rsid w:val="009B5601"/>
    <w:rsid w:val="009B64F7"/>
    <w:rsid w:val="009C3586"/>
    <w:rsid w:val="009C4A39"/>
    <w:rsid w:val="009C6DD7"/>
    <w:rsid w:val="009C6F10"/>
    <w:rsid w:val="009D09F0"/>
    <w:rsid w:val="009D148F"/>
    <w:rsid w:val="009D23F5"/>
    <w:rsid w:val="009D3D70"/>
    <w:rsid w:val="009D58D3"/>
    <w:rsid w:val="009E0CE3"/>
    <w:rsid w:val="009E282C"/>
    <w:rsid w:val="009E4776"/>
    <w:rsid w:val="009E6F7E"/>
    <w:rsid w:val="009E7A57"/>
    <w:rsid w:val="009E7DF6"/>
    <w:rsid w:val="009F1189"/>
    <w:rsid w:val="009F356C"/>
    <w:rsid w:val="009F4F6A"/>
    <w:rsid w:val="009F579B"/>
    <w:rsid w:val="00A03277"/>
    <w:rsid w:val="00A04084"/>
    <w:rsid w:val="00A066DC"/>
    <w:rsid w:val="00A168C2"/>
    <w:rsid w:val="00A16E36"/>
    <w:rsid w:val="00A213FF"/>
    <w:rsid w:val="00A21EB2"/>
    <w:rsid w:val="00A24961"/>
    <w:rsid w:val="00A24B10"/>
    <w:rsid w:val="00A30E9B"/>
    <w:rsid w:val="00A353E5"/>
    <w:rsid w:val="00A35762"/>
    <w:rsid w:val="00A44891"/>
    <w:rsid w:val="00A4512D"/>
    <w:rsid w:val="00A458AD"/>
    <w:rsid w:val="00A46ECF"/>
    <w:rsid w:val="00A5006B"/>
    <w:rsid w:val="00A50244"/>
    <w:rsid w:val="00A5169D"/>
    <w:rsid w:val="00A52EE4"/>
    <w:rsid w:val="00A56E58"/>
    <w:rsid w:val="00A56F17"/>
    <w:rsid w:val="00A60961"/>
    <w:rsid w:val="00A627D7"/>
    <w:rsid w:val="00A653A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A1A95"/>
    <w:rsid w:val="00AA260F"/>
    <w:rsid w:val="00AA723B"/>
    <w:rsid w:val="00AA79F1"/>
    <w:rsid w:val="00AB1EE7"/>
    <w:rsid w:val="00AB4B37"/>
    <w:rsid w:val="00AB5762"/>
    <w:rsid w:val="00AC2679"/>
    <w:rsid w:val="00AC4BE4"/>
    <w:rsid w:val="00AC4DDB"/>
    <w:rsid w:val="00AC6BF9"/>
    <w:rsid w:val="00AD05E6"/>
    <w:rsid w:val="00AD0D3F"/>
    <w:rsid w:val="00AD1C5A"/>
    <w:rsid w:val="00AD54D5"/>
    <w:rsid w:val="00AD71D4"/>
    <w:rsid w:val="00AE108E"/>
    <w:rsid w:val="00AE1D7D"/>
    <w:rsid w:val="00AE2A8B"/>
    <w:rsid w:val="00AE3F64"/>
    <w:rsid w:val="00AF1B93"/>
    <w:rsid w:val="00AF7386"/>
    <w:rsid w:val="00AF7934"/>
    <w:rsid w:val="00B00B81"/>
    <w:rsid w:val="00B01B32"/>
    <w:rsid w:val="00B01B89"/>
    <w:rsid w:val="00B04580"/>
    <w:rsid w:val="00B04B09"/>
    <w:rsid w:val="00B057FB"/>
    <w:rsid w:val="00B07E35"/>
    <w:rsid w:val="00B13417"/>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5D4B"/>
    <w:rsid w:val="00B67E7F"/>
    <w:rsid w:val="00B73AF9"/>
    <w:rsid w:val="00B74B69"/>
    <w:rsid w:val="00B74E35"/>
    <w:rsid w:val="00B75A04"/>
    <w:rsid w:val="00B80AB1"/>
    <w:rsid w:val="00B839B2"/>
    <w:rsid w:val="00B860B5"/>
    <w:rsid w:val="00B87988"/>
    <w:rsid w:val="00B911AD"/>
    <w:rsid w:val="00B92648"/>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1460"/>
    <w:rsid w:val="00BC386B"/>
    <w:rsid w:val="00BC4050"/>
    <w:rsid w:val="00BC4A19"/>
    <w:rsid w:val="00BC4BE2"/>
    <w:rsid w:val="00BC4E6D"/>
    <w:rsid w:val="00BD0617"/>
    <w:rsid w:val="00BD2E9B"/>
    <w:rsid w:val="00BD3901"/>
    <w:rsid w:val="00BD5A64"/>
    <w:rsid w:val="00BE5ABE"/>
    <w:rsid w:val="00BE63AB"/>
    <w:rsid w:val="00BF369F"/>
    <w:rsid w:val="00BF5D10"/>
    <w:rsid w:val="00BF7AD7"/>
    <w:rsid w:val="00BF7FAC"/>
    <w:rsid w:val="00C00930"/>
    <w:rsid w:val="00C01467"/>
    <w:rsid w:val="00C060AD"/>
    <w:rsid w:val="00C0670D"/>
    <w:rsid w:val="00C06A93"/>
    <w:rsid w:val="00C07CCA"/>
    <w:rsid w:val="00C113BF"/>
    <w:rsid w:val="00C13B46"/>
    <w:rsid w:val="00C2176E"/>
    <w:rsid w:val="00C23430"/>
    <w:rsid w:val="00C27D0D"/>
    <w:rsid w:val="00C27D67"/>
    <w:rsid w:val="00C33AFB"/>
    <w:rsid w:val="00C33E9C"/>
    <w:rsid w:val="00C350E4"/>
    <w:rsid w:val="00C36BF8"/>
    <w:rsid w:val="00C438E5"/>
    <w:rsid w:val="00C4631F"/>
    <w:rsid w:val="00C50E16"/>
    <w:rsid w:val="00C536FF"/>
    <w:rsid w:val="00C55207"/>
    <w:rsid w:val="00C55258"/>
    <w:rsid w:val="00C561D1"/>
    <w:rsid w:val="00C75DE0"/>
    <w:rsid w:val="00C82773"/>
    <w:rsid w:val="00C82EEB"/>
    <w:rsid w:val="00C83D4E"/>
    <w:rsid w:val="00C92BE1"/>
    <w:rsid w:val="00C96567"/>
    <w:rsid w:val="00C971DC"/>
    <w:rsid w:val="00CA16B7"/>
    <w:rsid w:val="00CA4BE3"/>
    <w:rsid w:val="00CA62AE"/>
    <w:rsid w:val="00CB1323"/>
    <w:rsid w:val="00CB5B1A"/>
    <w:rsid w:val="00CC09BC"/>
    <w:rsid w:val="00CC220B"/>
    <w:rsid w:val="00CC45A5"/>
    <w:rsid w:val="00CC4FA3"/>
    <w:rsid w:val="00CC5C43"/>
    <w:rsid w:val="00CC7F71"/>
    <w:rsid w:val="00CD02AE"/>
    <w:rsid w:val="00CD2A4F"/>
    <w:rsid w:val="00CD36D5"/>
    <w:rsid w:val="00CE03CA"/>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F43"/>
    <w:rsid w:val="00D230AB"/>
    <w:rsid w:val="00D3027D"/>
    <w:rsid w:val="00D32826"/>
    <w:rsid w:val="00D34667"/>
    <w:rsid w:val="00D35EB6"/>
    <w:rsid w:val="00D401E1"/>
    <w:rsid w:val="00D408B4"/>
    <w:rsid w:val="00D423B1"/>
    <w:rsid w:val="00D45D94"/>
    <w:rsid w:val="00D5000F"/>
    <w:rsid w:val="00D524C8"/>
    <w:rsid w:val="00D53D50"/>
    <w:rsid w:val="00D5423C"/>
    <w:rsid w:val="00D60E25"/>
    <w:rsid w:val="00D646A9"/>
    <w:rsid w:val="00D64EFB"/>
    <w:rsid w:val="00D66382"/>
    <w:rsid w:val="00D70E24"/>
    <w:rsid w:val="00D72B61"/>
    <w:rsid w:val="00D77463"/>
    <w:rsid w:val="00D77E24"/>
    <w:rsid w:val="00D80102"/>
    <w:rsid w:val="00DA3D1D"/>
    <w:rsid w:val="00DA7826"/>
    <w:rsid w:val="00DB0138"/>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1842"/>
    <w:rsid w:val="00DE3355"/>
    <w:rsid w:val="00DE4902"/>
    <w:rsid w:val="00DE7F61"/>
    <w:rsid w:val="00DF486F"/>
    <w:rsid w:val="00DF5B5B"/>
    <w:rsid w:val="00DF7619"/>
    <w:rsid w:val="00E042D8"/>
    <w:rsid w:val="00E05291"/>
    <w:rsid w:val="00E066A3"/>
    <w:rsid w:val="00E07EE7"/>
    <w:rsid w:val="00E1103B"/>
    <w:rsid w:val="00E169D8"/>
    <w:rsid w:val="00E17018"/>
    <w:rsid w:val="00E17571"/>
    <w:rsid w:val="00E17B44"/>
    <w:rsid w:val="00E27FEA"/>
    <w:rsid w:val="00E32C89"/>
    <w:rsid w:val="00E33787"/>
    <w:rsid w:val="00E352A0"/>
    <w:rsid w:val="00E3576A"/>
    <w:rsid w:val="00E37590"/>
    <w:rsid w:val="00E40013"/>
    <w:rsid w:val="00E40364"/>
    <w:rsid w:val="00E4086F"/>
    <w:rsid w:val="00E42EBF"/>
    <w:rsid w:val="00E43B3C"/>
    <w:rsid w:val="00E440A4"/>
    <w:rsid w:val="00E461A5"/>
    <w:rsid w:val="00E470BD"/>
    <w:rsid w:val="00E47370"/>
    <w:rsid w:val="00E50188"/>
    <w:rsid w:val="00E515CB"/>
    <w:rsid w:val="00E52260"/>
    <w:rsid w:val="00E53465"/>
    <w:rsid w:val="00E5574F"/>
    <w:rsid w:val="00E61AE3"/>
    <w:rsid w:val="00E639B6"/>
    <w:rsid w:val="00E6434B"/>
    <w:rsid w:val="00E6463D"/>
    <w:rsid w:val="00E64C9C"/>
    <w:rsid w:val="00E72E9B"/>
    <w:rsid w:val="00E849DA"/>
    <w:rsid w:val="00E87B56"/>
    <w:rsid w:val="00E87F19"/>
    <w:rsid w:val="00E9310A"/>
    <w:rsid w:val="00E9462E"/>
    <w:rsid w:val="00EA01BB"/>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74F"/>
    <w:rsid w:val="00F769A7"/>
    <w:rsid w:val="00F76FA8"/>
    <w:rsid w:val="00F839BD"/>
    <w:rsid w:val="00F83AE5"/>
    <w:rsid w:val="00F93F08"/>
    <w:rsid w:val="00F94104"/>
    <w:rsid w:val="00F94CED"/>
    <w:rsid w:val="00FA0EE1"/>
    <w:rsid w:val="00FA2CEE"/>
    <w:rsid w:val="00FA318C"/>
    <w:rsid w:val="00FA53D6"/>
    <w:rsid w:val="00FB154F"/>
    <w:rsid w:val="00FB29C8"/>
    <w:rsid w:val="00FB2FEF"/>
    <w:rsid w:val="00FB6F92"/>
    <w:rsid w:val="00FC026E"/>
    <w:rsid w:val="00FC0B4B"/>
    <w:rsid w:val="00FC2F20"/>
    <w:rsid w:val="00FC5124"/>
    <w:rsid w:val="00FD4731"/>
    <w:rsid w:val="00FD5D47"/>
    <w:rsid w:val="00FD5FC0"/>
    <w:rsid w:val="00FD7A84"/>
    <w:rsid w:val="00FE0467"/>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6AD3957-ADB7-4B0B-8258-2444ACDD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942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639869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yperlink" Target="https://www.health.gov.au/resources/collections/quarterly-financial-report-resources?language=en" TargetMode="External"/><Relationship Id="rId39" Type="http://schemas.openxmlformats.org/officeDocument/2006/relationships/header" Target="header6.xml"/><Relationship Id="rId21" Type="http://schemas.openxmlformats.org/officeDocument/2006/relationships/hyperlink" Target="https://www.health.gov.au/resources/collections/quarterly-financial-report-resources?language=en"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care-minutes-and-247-registered-nurse-responsibility-guide?language=en" TargetMode="External"/><Relationship Id="rId29" Type="http://schemas.openxmlformats.org/officeDocument/2006/relationships/hyperlink" Target="https://www.health.gov.au/resources/publications/quarterly-financial-report-guide-to-accruals-recording-for-invoices-for-labour-costs-and-hours-reporting?language=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yagedcare.gov.au/find-a-provider/" TargetMode="External"/><Relationship Id="rId32" Type="http://schemas.openxmlformats.org/officeDocument/2006/relationships/header" Target="header5.xml"/><Relationship Id="rId37" Type="http://schemas.openxmlformats.org/officeDocument/2006/relationships/hyperlink" Target="https://www.health.gov.au/resources/collections/quarterly-financial-report-resources"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residential-care-service-list-and-higher-everyday-living-fee-guidance-for-providers" TargetMode="External"/><Relationship Id="rId28" Type="http://schemas.openxmlformats.org/officeDocument/2006/relationships/hyperlink" Target="https://www.health.gov.au/resources/collections/quarterly-financial-report-resources?language=en" TargetMode="External"/><Relationship Id="rId36" Type="http://schemas.openxmlformats.org/officeDocument/2006/relationships/hyperlink" Target="https://www.health.gov.au/resources/collections/quarterly-financial-report-resources" TargetMode="Externa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care-minutes-and-247-registered-nurse-requirements-guides-for-registered-providers-of-residential-care-homes?language=en" TargetMode="External"/><Relationship Id="rId27" Type="http://schemas.openxmlformats.org/officeDocument/2006/relationships/hyperlink" Target="https://www.health.gov.au/resources/publications/aged-care-financial-report-definitions" TargetMode="External"/><Relationship Id="rId30" Type="http://schemas.openxmlformats.org/officeDocument/2006/relationships/hyperlink" Target="https://www.health.gov.au/resources/publications/quarterly-financial-report-guide-to-accruals-recording-for-invoices-for-labour-costs-and-hours-reporting?language=en" TargetMode="External"/><Relationship Id="rId35" Type="http://schemas.openxmlformats.org/officeDocument/2006/relationships/hyperlink" Target="https://www.health.gov.au/our-work/care-minutes-registered-nurses-aged-care/care-minutes/care-time-reporting-assessme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collections/quarterly-financial-report-resources" TargetMode="External"/><Relationship Id="rId25" Type="http://schemas.openxmlformats.org/officeDocument/2006/relationships/hyperlink" Target="https://www.health.gov.au/resources/collections/quarterly-financial-report-resources?language=en" TargetMode="External"/><Relationship Id="rId33" Type="http://schemas.openxmlformats.org/officeDocument/2006/relationships/footer" Target="footer4.xml"/><Relationship Id="rId38" Type="http://schemas.openxmlformats.org/officeDocument/2006/relationships/hyperlink" Target="https://www.health.gov.au/resources/collections/quarterly-financial-report-resources?language=en"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8CD3A491-5382-4FA4-91B2-935B7B03D17E}"/>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13</Pages>
  <Words>4399</Words>
  <Characters>23053</Characters>
  <Application>Microsoft Office Word</Application>
  <DocSecurity>0</DocSecurity>
  <Lines>443</Lines>
  <Paragraphs>204</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27248</CharactersWithSpaces>
  <SharedDoc>false</SharedDoc>
  <HyperlinkBase/>
  <HLinks>
    <vt:vector size="144" baseType="variant">
      <vt:variant>
        <vt:i4>5308501</vt:i4>
      </vt:variant>
      <vt:variant>
        <vt:i4>94</vt:i4>
      </vt:variant>
      <vt:variant>
        <vt:i4>0</vt:i4>
      </vt:variant>
      <vt:variant>
        <vt:i4>5</vt:i4>
      </vt:variant>
      <vt:variant>
        <vt:lpwstr>https://www.health.gov.au/resources/collections/quarterly-financial-report-resources?language=en</vt:lpwstr>
      </vt:variant>
      <vt:variant>
        <vt:lpwstr/>
      </vt:variant>
      <vt:variant>
        <vt:i4>1179661</vt:i4>
      </vt:variant>
      <vt:variant>
        <vt:i4>87</vt:i4>
      </vt:variant>
      <vt:variant>
        <vt:i4>0</vt:i4>
      </vt:variant>
      <vt:variant>
        <vt:i4>5</vt:i4>
      </vt:variant>
      <vt:variant>
        <vt:lpwstr>https://www.health.gov.au/resources/collections/quarterly-financial-report-resources</vt:lpwstr>
      </vt:variant>
      <vt:variant>
        <vt:lpwstr/>
      </vt:variant>
      <vt:variant>
        <vt:i4>1179661</vt:i4>
      </vt:variant>
      <vt:variant>
        <vt:i4>84</vt:i4>
      </vt:variant>
      <vt:variant>
        <vt:i4>0</vt:i4>
      </vt:variant>
      <vt:variant>
        <vt:i4>5</vt:i4>
      </vt:variant>
      <vt:variant>
        <vt:lpwstr>https://www.health.gov.au/resources/collections/quarterly-financial-report-resources</vt:lpwstr>
      </vt:variant>
      <vt:variant>
        <vt:lpwstr/>
      </vt:variant>
      <vt:variant>
        <vt:i4>1703952</vt:i4>
      </vt:variant>
      <vt:variant>
        <vt:i4>81</vt:i4>
      </vt:variant>
      <vt:variant>
        <vt:i4>0</vt:i4>
      </vt:variant>
      <vt:variant>
        <vt:i4>5</vt:i4>
      </vt:variant>
      <vt:variant>
        <vt:lpwstr>https://www.health.gov.au/our-work/care-minutes-registered-nurses-aged-care/care-minutes/care-time-reporting-assessments</vt:lpwstr>
      </vt:variant>
      <vt:variant>
        <vt:lpwstr/>
      </vt:variant>
      <vt:variant>
        <vt:i4>5439512</vt:i4>
      </vt:variant>
      <vt:variant>
        <vt:i4>78</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5439512</vt:i4>
      </vt:variant>
      <vt:variant>
        <vt:i4>75</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5308501</vt:i4>
      </vt:variant>
      <vt:variant>
        <vt:i4>72</vt:i4>
      </vt:variant>
      <vt:variant>
        <vt:i4>0</vt:i4>
      </vt:variant>
      <vt:variant>
        <vt:i4>5</vt:i4>
      </vt:variant>
      <vt:variant>
        <vt:lpwstr>https://www.health.gov.au/resources/collections/quarterly-financial-report-resources?language=en</vt:lpwstr>
      </vt:variant>
      <vt:variant>
        <vt:lpwstr/>
      </vt:variant>
      <vt:variant>
        <vt:i4>2556000</vt:i4>
      </vt:variant>
      <vt:variant>
        <vt:i4>69</vt:i4>
      </vt:variant>
      <vt:variant>
        <vt:i4>0</vt:i4>
      </vt:variant>
      <vt:variant>
        <vt:i4>5</vt:i4>
      </vt:variant>
      <vt:variant>
        <vt:lpwstr>https://www.health.gov.au/resources/publications/aged-care-financial-report-definitions</vt:lpwstr>
      </vt:variant>
      <vt:variant>
        <vt:lpwstr/>
      </vt:variant>
      <vt:variant>
        <vt:i4>5308501</vt:i4>
      </vt:variant>
      <vt:variant>
        <vt:i4>66</vt:i4>
      </vt:variant>
      <vt:variant>
        <vt:i4>0</vt:i4>
      </vt:variant>
      <vt:variant>
        <vt:i4>5</vt:i4>
      </vt:variant>
      <vt:variant>
        <vt:lpwstr>https://www.health.gov.au/resources/collections/quarterly-financial-report-resources?language=en</vt:lpwstr>
      </vt:variant>
      <vt:variant>
        <vt:lpwstr/>
      </vt:variant>
      <vt:variant>
        <vt:i4>5308501</vt:i4>
      </vt:variant>
      <vt:variant>
        <vt:i4>63</vt:i4>
      </vt:variant>
      <vt:variant>
        <vt:i4>0</vt:i4>
      </vt:variant>
      <vt:variant>
        <vt:i4>5</vt:i4>
      </vt:variant>
      <vt:variant>
        <vt:lpwstr>https://www.health.gov.au/resources/collections/quarterly-financial-report-resources?language=en</vt:lpwstr>
      </vt:variant>
      <vt:variant>
        <vt:lpwstr/>
      </vt:variant>
      <vt:variant>
        <vt:i4>3735608</vt:i4>
      </vt:variant>
      <vt:variant>
        <vt:i4>60</vt:i4>
      </vt:variant>
      <vt:variant>
        <vt:i4>0</vt:i4>
      </vt:variant>
      <vt:variant>
        <vt:i4>5</vt:i4>
      </vt:variant>
      <vt:variant>
        <vt:lpwstr>https://www.myagedcare.gov.au/find-a-provider/</vt:lpwstr>
      </vt:variant>
      <vt:variant>
        <vt:lpwstr/>
      </vt:variant>
      <vt:variant>
        <vt:i4>5308501</vt:i4>
      </vt:variant>
      <vt:variant>
        <vt:i4>57</vt:i4>
      </vt:variant>
      <vt:variant>
        <vt:i4>0</vt:i4>
      </vt:variant>
      <vt:variant>
        <vt:i4>5</vt:i4>
      </vt:variant>
      <vt:variant>
        <vt:lpwstr>https://www.health.gov.au/resources/collections/quarterly-financial-report-resources?language=en</vt:lpwstr>
      </vt:variant>
      <vt:variant>
        <vt:lpwstr/>
      </vt:variant>
      <vt:variant>
        <vt:i4>7340092</vt:i4>
      </vt:variant>
      <vt:variant>
        <vt:i4>54</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51</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48</vt:i4>
      </vt:variant>
      <vt:variant>
        <vt:i4>0</vt:i4>
      </vt:variant>
      <vt:variant>
        <vt:i4>5</vt:i4>
      </vt:variant>
      <vt:variant>
        <vt:lpwstr>https://www.health.gov.au/resources/publications/care-minutes-and-247-registered-nurse-responsibility-guide?language=en</vt:lpwstr>
      </vt:variant>
      <vt:variant>
        <vt:lpwstr/>
      </vt:variant>
      <vt:variant>
        <vt:i4>1179661</vt:i4>
      </vt:variant>
      <vt:variant>
        <vt:i4>45</vt:i4>
      </vt:variant>
      <vt:variant>
        <vt:i4>0</vt:i4>
      </vt:variant>
      <vt:variant>
        <vt:i4>5</vt:i4>
      </vt:variant>
      <vt:variant>
        <vt:lpwstr>https://www.health.gov.au/resources/collections/quarterly-financial-report-resources</vt:lpwstr>
      </vt:variant>
      <vt:variant>
        <vt:lpwstr/>
      </vt:variant>
      <vt:variant>
        <vt:i4>1114161</vt:i4>
      </vt:variant>
      <vt:variant>
        <vt:i4>38</vt:i4>
      </vt:variant>
      <vt:variant>
        <vt:i4>0</vt:i4>
      </vt:variant>
      <vt:variant>
        <vt:i4>5</vt:i4>
      </vt:variant>
      <vt:variant>
        <vt:lpwstr/>
      </vt:variant>
      <vt:variant>
        <vt:lpwstr>_Toc162517323</vt:lpwstr>
      </vt:variant>
      <vt:variant>
        <vt:i4>1114161</vt:i4>
      </vt:variant>
      <vt:variant>
        <vt:i4>32</vt:i4>
      </vt:variant>
      <vt:variant>
        <vt:i4>0</vt:i4>
      </vt:variant>
      <vt:variant>
        <vt:i4>5</vt:i4>
      </vt:variant>
      <vt:variant>
        <vt:lpwstr/>
      </vt:variant>
      <vt:variant>
        <vt:lpwstr>_Toc162517322</vt:lpwstr>
      </vt:variant>
      <vt:variant>
        <vt:i4>1114161</vt:i4>
      </vt:variant>
      <vt:variant>
        <vt:i4>26</vt:i4>
      </vt:variant>
      <vt:variant>
        <vt:i4>0</vt:i4>
      </vt:variant>
      <vt:variant>
        <vt:i4>5</vt:i4>
      </vt:variant>
      <vt:variant>
        <vt:lpwstr/>
      </vt:variant>
      <vt:variant>
        <vt:lpwstr>_Toc162517321</vt:lpwstr>
      </vt:variant>
      <vt:variant>
        <vt:i4>1114161</vt:i4>
      </vt:variant>
      <vt:variant>
        <vt:i4>20</vt:i4>
      </vt:variant>
      <vt:variant>
        <vt:i4>0</vt:i4>
      </vt:variant>
      <vt:variant>
        <vt:i4>5</vt:i4>
      </vt:variant>
      <vt:variant>
        <vt:lpwstr/>
      </vt:variant>
      <vt:variant>
        <vt:lpwstr>_Toc162517320</vt:lpwstr>
      </vt:variant>
      <vt:variant>
        <vt:i4>1179697</vt:i4>
      </vt:variant>
      <vt:variant>
        <vt:i4>14</vt:i4>
      </vt:variant>
      <vt:variant>
        <vt:i4>0</vt:i4>
      </vt:variant>
      <vt:variant>
        <vt:i4>5</vt:i4>
      </vt:variant>
      <vt:variant>
        <vt:lpwstr/>
      </vt:variant>
      <vt:variant>
        <vt:lpwstr>_Toc162517319</vt:lpwstr>
      </vt:variant>
      <vt:variant>
        <vt:i4>1179697</vt:i4>
      </vt:variant>
      <vt:variant>
        <vt:i4>8</vt:i4>
      </vt:variant>
      <vt:variant>
        <vt:i4>0</vt:i4>
      </vt:variant>
      <vt:variant>
        <vt:i4>5</vt:i4>
      </vt:variant>
      <vt:variant>
        <vt:lpwstr/>
      </vt:variant>
      <vt:variant>
        <vt:lpwstr>_Toc162517318</vt:lpwstr>
      </vt:variant>
      <vt:variant>
        <vt:i4>1179697</vt:i4>
      </vt:variant>
      <vt:variant>
        <vt:i4>2</vt:i4>
      </vt:variant>
      <vt:variant>
        <vt:i4>0</vt:i4>
      </vt:variant>
      <vt:variant>
        <vt:i4>5</vt:i4>
      </vt:variant>
      <vt:variant>
        <vt:lpwstr/>
      </vt:variant>
      <vt:variant>
        <vt:lpwstr>_Toc162517317</vt:lpwstr>
      </vt:variant>
      <vt:variant>
        <vt:i4>131198</vt:i4>
      </vt:variant>
      <vt:variant>
        <vt:i4>3</vt:i4>
      </vt:variant>
      <vt:variant>
        <vt:i4>0</vt:i4>
      </vt:variant>
      <vt:variant>
        <vt:i4>5</vt:i4>
      </vt:variant>
      <vt:variant>
        <vt:lpwstr>mailto:QFRACFRHelp@health.gov.au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 Senior Australians</dc:subject>
  <dc:creator>Australian Government Department of Health, Disability and Ageing</dc:creator>
  <cp:keywords>Aged Care, Senior Australians, Reporting</cp:keywords>
  <dc:description/>
  <cp:revision>3</cp:revision>
  <cp:lastPrinted>2026-03-25T05:20:00Z</cp:lastPrinted>
  <dcterms:created xsi:type="dcterms:W3CDTF">2026-03-25T05:19:00Z</dcterms:created>
  <dcterms:modified xsi:type="dcterms:W3CDTF">2026-03-25T05:20:00Z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0x010100310F25F82DC70E46BECCBAC5959F994A</vt:lpwstr>
  </property>
  <property fmtid="{D5CDD505-2E9C-101B-9397-08002B2CF9AE}" pid="3" name="MediaServiceImageTags">
    <vt:lpwstr/>
  </property>
  <property fmtid="{D5CDD505-2E9C-101B-9397-08002B2CF9AE}" pid="4" name="ClassificationContentMarkingHeaderShapeIds">
    <vt:lpwstr>673418fa,34d1f96,554936fe,3b648ddc,61654fd8,9b48fc3</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7b21818,7acc5175,410aa632,85c965c,1fa088ca,7e252a16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2026-03-02T04:46:21Z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7840f91c-50d6-459f-ba73-37eed5275ea1</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