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981E2D" w14:textId="358A3A50" w:rsidR="00751A23" w:rsidRPr="00772BC3" w:rsidRDefault="00494CD0" w:rsidP="00B7222E">
      <w:pPr>
        <w:pStyle w:val="Title"/>
      </w:pPr>
      <w:r w:rsidRPr="00772BC3">
        <w:t>National Strategic Framework for Chronic Conditions</w:t>
      </w:r>
    </w:p>
    <w:p w14:paraId="0FCA83D0" w14:textId="53D4C1C0" w:rsidR="00CA79CF" w:rsidRPr="00772BC3" w:rsidRDefault="1B94D433" w:rsidP="00CA79CF">
      <w:pPr>
        <w:pStyle w:val="Subtitle"/>
      </w:pPr>
      <w:r>
        <w:t>202</w:t>
      </w:r>
      <w:r w:rsidR="0068130C">
        <w:t>6</w:t>
      </w:r>
      <w:r>
        <w:t>–35</w:t>
      </w:r>
    </w:p>
    <w:p w14:paraId="672F6ADF" w14:textId="77777777" w:rsidR="00CA79CF" w:rsidRPr="00772BC3" w:rsidRDefault="00CA79CF" w:rsidP="00CA79CF">
      <w:pPr>
        <w:pStyle w:val="Subtitle"/>
        <w:sectPr w:rsidR="00CA79CF" w:rsidRPr="00772BC3" w:rsidSect="00CA79CF">
          <w:headerReference w:type="even" r:id="rId11"/>
          <w:headerReference w:type="default" r:id="rId12"/>
          <w:footerReference w:type="even" r:id="rId13"/>
          <w:footerReference w:type="default" r:id="rId14"/>
          <w:headerReference w:type="first" r:id="rId15"/>
          <w:footerReference w:type="first" r:id="rId16"/>
          <w:type w:val="continuous"/>
          <w:pgSz w:w="11906" w:h="16838"/>
          <w:pgMar w:top="1701" w:right="1418" w:bottom="1418" w:left="1418" w:header="709" w:footer="709" w:gutter="0"/>
          <w:cols w:space="708"/>
          <w:titlePg/>
          <w:docGrid w:linePitch="360"/>
        </w:sectPr>
      </w:pPr>
    </w:p>
    <w:p w14:paraId="3E2CFF53" w14:textId="3445EFED" w:rsidR="00CA79CF" w:rsidRPr="00772BC3" w:rsidRDefault="00ED71A6" w:rsidP="00CA79CF">
      <w:pPr>
        <w:pStyle w:val="Heading1"/>
      </w:pPr>
      <w:bookmarkStart w:id="0" w:name="_Toc224557183"/>
      <w:r>
        <w:lastRenderedPageBreak/>
        <w:t>Copyright</w:t>
      </w:r>
      <w:bookmarkEnd w:id="0"/>
    </w:p>
    <w:p w14:paraId="0BC5F221" w14:textId="1E8B7DDB" w:rsidR="00ED71A6" w:rsidRDefault="00ED71A6" w:rsidP="00ED71A6">
      <w:r>
        <w:t>© 202</w:t>
      </w:r>
      <w:r w:rsidR="00CC30F4">
        <w:t>6</w:t>
      </w:r>
      <w:r>
        <w:t xml:space="preserve"> Commonwealth of Australia as represented by the Department of Health,</w:t>
      </w:r>
      <w:r w:rsidR="00CC30F4">
        <w:t xml:space="preserve"> </w:t>
      </w:r>
      <w:r>
        <w:t>Disability and Ageing.</w:t>
      </w:r>
    </w:p>
    <w:p w14:paraId="5C157925" w14:textId="58CA2BA6" w:rsidR="00ED71A6" w:rsidRDefault="00ED71A6" w:rsidP="00ED71A6">
      <w:r>
        <w:t>This work is copyright. You may copy, print, download, display and reproduce the whole or part of this work in unaltered form for your own personal use or, if you are part of an organisation, for internal use within your organisation, but only if you or your organisation:</w:t>
      </w:r>
    </w:p>
    <w:p w14:paraId="16F6A022" w14:textId="4DEFC953" w:rsidR="00ED71A6" w:rsidRPr="00A3583A" w:rsidRDefault="00ED71A6" w:rsidP="00A3583A">
      <w:pPr>
        <w:pStyle w:val="ListNumber3"/>
      </w:pPr>
      <w:r w:rsidRPr="00A3583A">
        <w:t xml:space="preserve">do not use the copy or reproduction for any commercial purpose; and </w:t>
      </w:r>
    </w:p>
    <w:p w14:paraId="7FDAD7D2" w14:textId="1D335F14" w:rsidR="00ED71A6" w:rsidRPr="00A3583A" w:rsidRDefault="00ED71A6" w:rsidP="00A3583A">
      <w:pPr>
        <w:pStyle w:val="ListNumber3"/>
      </w:pPr>
      <w:r w:rsidRPr="00A3583A">
        <w:t>retain this copyright notice and all disclaimer notices as part of that copy or reproduction.</w:t>
      </w:r>
    </w:p>
    <w:p w14:paraId="6FECD0D1" w14:textId="43C37156" w:rsidR="00ED71A6" w:rsidRDefault="00ED71A6" w:rsidP="00ED71A6">
      <w:r>
        <w:t>Apart from rights as permitted by the</w:t>
      </w:r>
      <w:r w:rsidR="00CC30F4">
        <w:t xml:space="preserve"> </w:t>
      </w:r>
      <w:r w:rsidRPr="00A3583A">
        <w:rPr>
          <w:rStyle w:val="Emphasis"/>
        </w:rPr>
        <w:t>Copyright Act 1968</w:t>
      </w:r>
      <w:r>
        <w:t xml:space="preserve"> (Cth) or allowed by</w:t>
      </w:r>
      <w:r w:rsidR="00CC30F4">
        <w:t xml:space="preserve"> </w:t>
      </w:r>
      <w:r>
        <w:t>this copyright notice, all other rights are</w:t>
      </w:r>
      <w:r w:rsidR="00CC30F4">
        <w:t xml:space="preserve"> </w:t>
      </w:r>
      <w:r>
        <w:t>reserved, including (but not limited to) all</w:t>
      </w:r>
      <w:r w:rsidR="00CC30F4">
        <w:t xml:space="preserve"> </w:t>
      </w:r>
      <w:r>
        <w:t>commercial rights.</w:t>
      </w:r>
    </w:p>
    <w:p w14:paraId="09FE6307" w14:textId="0E3208F9" w:rsidR="00CC30F4" w:rsidRDefault="00ED71A6" w:rsidP="00ED71A6">
      <w:r>
        <w:t>Requests and inquiries concerning</w:t>
      </w:r>
      <w:r w:rsidR="00CC30F4">
        <w:t xml:space="preserve"> </w:t>
      </w:r>
      <w:r>
        <w:t>reproduction and other rights to use are</w:t>
      </w:r>
      <w:r w:rsidR="00CC30F4">
        <w:t xml:space="preserve"> </w:t>
      </w:r>
      <w:r>
        <w:t>to be sent to the</w:t>
      </w:r>
      <w:r w:rsidR="00CC30F4">
        <w:t>:</w:t>
      </w:r>
    </w:p>
    <w:p w14:paraId="59BB00F7" w14:textId="07D0AB59" w:rsidR="00ED71A6" w:rsidRPr="00F06202" w:rsidRDefault="00ED71A6" w:rsidP="00F06202">
      <w:r w:rsidRPr="00F06202">
        <w:t>Communication Branch,</w:t>
      </w:r>
      <w:r w:rsidR="00CC30F4" w:rsidRPr="00F06202">
        <w:t xml:space="preserve"> </w:t>
      </w:r>
      <w:r w:rsidRPr="00F06202">
        <w:t>Department of Health, Disability and Ageing</w:t>
      </w:r>
    </w:p>
    <w:p w14:paraId="196AE396" w14:textId="77777777" w:rsidR="00CC30F4" w:rsidRPr="00F06202" w:rsidRDefault="00ED71A6" w:rsidP="00F06202">
      <w:r w:rsidRPr="00F06202">
        <w:t>GPO Box 9848</w:t>
      </w:r>
    </w:p>
    <w:p w14:paraId="02D38F54" w14:textId="70836CC9" w:rsidR="00CC30F4" w:rsidRPr="00F06202" w:rsidRDefault="00CC30F4" w:rsidP="00F06202">
      <w:r w:rsidRPr="00F06202">
        <w:t xml:space="preserve">CANBERRA </w:t>
      </w:r>
      <w:r w:rsidR="00ED71A6" w:rsidRPr="00F06202">
        <w:t xml:space="preserve">ACT </w:t>
      </w:r>
      <w:r w:rsidRPr="00F06202">
        <w:t xml:space="preserve"> </w:t>
      </w:r>
      <w:r w:rsidR="00ED71A6" w:rsidRPr="00F06202">
        <w:t>2601</w:t>
      </w:r>
    </w:p>
    <w:p w14:paraId="4474276C" w14:textId="338D0A22" w:rsidR="00100F6D" w:rsidRPr="00F06202" w:rsidRDefault="00ED71A6" w:rsidP="00F06202">
      <w:r w:rsidRPr="00F06202">
        <w:t>or via</w:t>
      </w:r>
      <w:r w:rsidR="00CC30F4" w:rsidRPr="00F06202">
        <w:t xml:space="preserve"> </w:t>
      </w:r>
      <w:r w:rsidRPr="00F06202">
        <w:t xml:space="preserve">e-mail to </w:t>
      </w:r>
      <w:hyperlink r:id="rId17" w:history="1">
        <w:r w:rsidR="00CC30F4" w:rsidRPr="00F06202">
          <w:rPr>
            <w:rStyle w:val="Hyperlink"/>
          </w:rPr>
          <w:t>copyright@health.gov.au</w:t>
        </w:r>
      </w:hyperlink>
      <w:r w:rsidRPr="00F06202">
        <w:t>.</w:t>
      </w:r>
    </w:p>
    <w:p w14:paraId="3719234B" w14:textId="77777777" w:rsidR="00100F6D" w:rsidRPr="00772BC3" w:rsidRDefault="00100F6D" w:rsidP="00346C4A"/>
    <w:p w14:paraId="5A6BB702" w14:textId="77777777" w:rsidR="00100F6D" w:rsidRPr="00772BC3" w:rsidRDefault="00100F6D" w:rsidP="00346C4A">
      <w:pPr>
        <w:sectPr w:rsidR="00100F6D" w:rsidRPr="00772BC3" w:rsidSect="00AB0067">
          <w:headerReference w:type="even" r:id="rId18"/>
          <w:headerReference w:type="default" r:id="rId19"/>
          <w:footerReference w:type="even" r:id="rId20"/>
          <w:footerReference w:type="default" r:id="rId21"/>
          <w:headerReference w:type="first" r:id="rId22"/>
          <w:footerReference w:type="first" r:id="rId23"/>
          <w:pgSz w:w="11906" w:h="16838"/>
          <w:pgMar w:top="1701" w:right="1418" w:bottom="1418" w:left="1418" w:header="709" w:footer="709" w:gutter="0"/>
          <w:pgNumType w:fmt="lowerRoman"/>
          <w:cols w:space="708"/>
          <w:docGrid w:linePitch="360"/>
        </w:sectPr>
      </w:pPr>
    </w:p>
    <w:p w14:paraId="71589B7E" w14:textId="50133923" w:rsidR="00CA79CF" w:rsidRPr="00772BC3" w:rsidRDefault="7DACC9B1" w:rsidP="00100F6D">
      <w:pPr>
        <w:pStyle w:val="Heading1"/>
      </w:pPr>
      <w:bookmarkStart w:id="1" w:name="_Toc203974194"/>
      <w:bookmarkStart w:id="2" w:name="_Toc204345046"/>
      <w:bookmarkStart w:id="3" w:name="_Toc224557184"/>
      <w:r>
        <w:t>Acknowledgement of Country</w:t>
      </w:r>
      <w:bookmarkEnd w:id="1"/>
      <w:bookmarkEnd w:id="2"/>
      <w:bookmarkEnd w:id="3"/>
    </w:p>
    <w:p w14:paraId="6F5233D2" w14:textId="79AA4175" w:rsidR="00100F6D" w:rsidRPr="00772BC3" w:rsidRDefault="00DC2DC0" w:rsidP="00346C4A">
      <w:r w:rsidRPr="00772BC3">
        <w:t>In the spirit of reconciliation, the Department of Health, Disability and Ageing acknowledges the Traditional Custodians of the Country throughout Australia and their connections to land, sea and community. We pay our respect to their Elders past and present and extend that respect to all Aboriginal and Torres Strait Islander peoples today.</w:t>
      </w:r>
    </w:p>
    <w:p w14:paraId="3F9AF3A7" w14:textId="77777777" w:rsidR="00100F6D" w:rsidRPr="00772BC3" w:rsidRDefault="00100F6D" w:rsidP="00346C4A">
      <w:pPr>
        <w:sectPr w:rsidR="00100F6D" w:rsidRPr="00772BC3" w:rsidSect="00CF14A6">
          <w:pgSz w:w="11906" w:h="16838"/>
          <w:pgMar w:top="1701" w:right="1418" w:bottom="1418" w:left="1418" w:header="709" w:footer="709" w:gutter="0"/>
          <w:pgNumType w:fmt="lowerRoman"/>
          <w:cols w:space="708"/>
          <w:docGrid w:linePitch="360"/>
        </w:sectPr>
      </w:pPr>
    </w:p>
    <w:p w14:paraId="36822AF4" w14:textId="088C9926" w:rsidR="00100F6D" w:rsidRPr="00772BC3" w:rsidRDefault="18B7F359" w:rsidP="00100F6D">
      <w:pPr>
        <w:pStyle w:val="Heading1"/>
      </w:pPr>
      <w:bookmarkStart w:id="4" w:name="_Toc203974195"/>
      <w:bookmarkStart w:id="5" w:name="_Toc204345047"/>
      <w:bookmarkStart w:id="6" w:name="_Toc224557185"/>
      <w:r>
        <w:t xml:space="preserve">Minister’s </w:t>
      </w:r>
      <w:r w:rsidR="1494C365">
        <w:t>Foreword</w:t>
      </w:r>
      <w:bookmarkEnd w:id="4"/>
      <w:bookmarkEnd w:id="5"/>
      <w:bookmarkEnd w:id="6"/>
    </w:p>
    <w:p w14:paraId="3532E83A" w14:textId="5C146107" w:rsidR="008D16CD" w:rsidRPr="00772BC3" w:rsidRDefault="008D16CD" w:rsidP="008D16CD">
      <w:r>
        <w:t>Chronic conditions are the leading cause of illness, disability and death in Australia. They affect millions of Australians every day, impacting families, communities and our health system. As our population ages and the prevalence of multimorbidity increases, the challenge of managing chronic conditions becomes urgent and more complex.</w:t>
      </w:r>
      <w:r w:rsidRPr="00772BC3">
        <w:t>Australia has made significant progress in improving the prevention and management of chronic conditions. We have strengthened our primary care system, invested in digital health and developed targeted strategies to support priority populations. Yet, we know that many Australians still face barriers to accessing timely, appropriate, and culturally safe care. We must do more to ensure that every person, regardless of who they are or where they live, can live a healthier life.</w:t>
      </w:r>
    </w:p>
    <w:p w14:paraId="7D03CFC2" w14:textId="38DE3448" w:rsidR="008D16CD" w:rsidRPr="00772BC3" w:rsidRDefault="39F48B01" w:rsidP="008D16CD">
      <w:r>
        <w:t>The National Strategic Framework for Chronic Conditions 202</w:t>
      </w:r>
      <w:r w:rsidR="0068130C">
        <w:t>6</w:t>
      </w:r>
      <w:r>
        <w:t>–35 provides a refreshed roadmap for national action. It builds on the foundations of the 2017–25 Framework and reflects the insights of hundreds of stakeholders, experts, and community members. With a vision of a healthier Australia through effective prevention, early detection, intervention and management of chronic conditions, this Framework sets out five Focus Areas to guide our efforts over the next decade.</w:t>
      </w:r>
      <w:r w:rsidR="191B47E7">
        <w:t xml:space="preserve"> </w:t>
      </w:r>
    </w:p>
    <w:p w14:paraId="52052E86" w14:textId="77777777" w:rsidR="008D16CD" w:rsidRPr="00772BC3" w:rsidRDefault="008D16CD" w:rsidP="008D16CD">
      <w:r w:rsidRPr="00772BC3">
        <w:t>These include:</w:t>
      </w:r>
    </w:p>
    <w:p w14:paraId="3626DBF0" w14:textId="758E1F53" w:rsidR="008D16CD" w:rsidRPr="00772BC3" w:rsidRDefault="008D16CD" w:rsidP="008D16CD">
      <w:pPr>
        <w:pStyle w:val="ListBullet"/>
      </w:pPr>
      <w:r>
        <w:t>promoting health and education to support prevention and self-management</w:t>
      </w:r>
    </w:p>
    <w:p w14:paraId="169F5CCB" w14:textId="306AE3A0" w:rsidR="008D16CD" w:rsidRPr="00772BC3" w:rsidRDefault="008D16CD" w:rsidP="008D16CD">
      <w:pPr>
        <w:pStyle w:val="ListBullet"/>
      </w:pPr>
      <w:r>
        <w:t>embedding early diagnosis and intervention across the continuum of care</w:t>
      </w:r>
    </w:p>
    <w:p w14:paraId="1134C89D" w14:textId="4B752B4C" w:rsidR="008D16CD" w:rsidRPr="00772BC3" w:rsidRDefault="008D16CD" w:rsidP="008D16CD">
      <w:pPr>
        <w:pStyle w:val="ListBullet"/>
      </w:pPr>
      <w:r>
        <w:t>strengthening continuity of care across life stages and health sectors</w:t>
      </w:r>
    </w:p>
    <w:p w14:paraId="0C0E3613" w14:textId="0A129B50" w:rsidR="008D16CD" w:rsidRPr="00772BC3" w:rsidRDefault="000F441B" w:rsidP="008D16CD">
      <w:pPr>
        <w:pStyle w:val="ListBullet"/>
      </w:pPr>
      <w:r>
        <w:t>m</w:t>
      </w:r>
      <w:r w:rsidR="008D16CD">
        <w:t>anaging multimorbidity through integrated, person-centred approaches</w:t>
      </w:r>
    </w:p>
    <w:p w14:paraId="0A384A63" w14:textId="35DA21A1" w:rsidR="008D16CD" w:rsidRPr="00772BC3" w:rsidRDefault="008D16CD" w:rsidP="008D16CD">
      <w:pPr>
        <w:pStyle w:val="ListBullet"/>
      </w:pPr>
      <w:r>
        <w:t>providing enhanced and targeted support for priority populations.</w:t>
      </w:r>
    </w:p>
    <w:p w14:paraId="2C8A6CA4" w14:textId="6CFA5F75" w:rsidR="008D16CD" w:rsidRPr="00772BC3" w:rsidRDefault="008D16CD" w:rsidP="008D16CD">
      <w:r>
        <w:t>This Framework recognises that chronic conditions are not just a health issue</w:t>
      </w:r>
      <w:r w:rsidR="30790DB6">
        <w:t xml:space="preserve"> - </w:t>
      </w:r>
      <w:r>
        <w:t>they are a whole-of-society issue. It calls for collaboration across sectors, investment in data and digital infrastructure, and a commitment to equity, sustainability, and climate resilience.</w:t>
      </w:r>
    </w:p>
    <w:p w14:paraId="62A960B6" w14:textId="1D53BBC1" w:rsidR="69CF48C8" w:rsidRPr="002C7AFA" w:rsidRDefault="008D16CD" w:rsidP="69CF48C8">
      <w:r w:rsidRPr="00772BC3">
        <w:t>Developed in partnership with states and territories, guided by expert advice and shaped by the voices of Australians, this Framework is a shared commitment to improving lives. Together, we can build a future where chronic conditions are better prevented, managed, and understood, and where every Australian has the opportunity to live well</w:t>
      </w:r>
      <w:r w:rsidR="00100F6D" w:rsidRPr="00772BC3">
        <w:t>.</w:t>
      </w:r>
    </w:p>
    <w:p w14:paraId="3B706322" w14:textId="0FE28CAF" w:rsidR="69CF48C8" w:rsidRPr="00A3583A" w:rsidRDefault="343F2F43" w:rsidP="00A3583A">
      <w:r w:rsidRPr="00772BC3">
        <w:rPr>
          <w:noProof/>
        </w:rPr>
        <w:drawing>
          <wp:inline distT="0" distB="0" distL="0" distR="0" wp14:anchorId="53647FA3" wp14:editId="1FB7026E">
            <wp:extent cx="1219306" cy="1182726"/>
            <wp:effectExtent l="0" t="0" r="0" b="0"/>
            <wp:docPr id="864663203" name="Picture 864663203" descr="Image of The Hon Mark Butler MP&#10;Minister for Health and Ageing&#10;Minister for Disability and the National Disability Insurance Sch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663203" name="Picture 864663203" descr="Image of The Hon Mark Butler MP&#10;Minister for Health and Ageing&#10;Minister for Disability and the National Disability Insurance Scheme"/>
                    <pic:cNvPicPr/>
                  </pic:nvPicPr>
                  <pic:blipFill>
                    <a:blip r:embed="rId24">
                      <a:extLst>
                        <a:ext uri="{28A0092B-C50C-407E-A947-70E740481C1C}">
                          <a14:useLocalDpi xmlns:a14="http://schemas.microsoft.com/office/drawing/2010/main" val="0"/>
                        </a:ext>
                      </a:extLst>
                    </a:blip>
                    <a:stretch>
                      <a:fillRect/>
                    </a:stretch>
                  </pic:blipFill>
                  <pic:spPr>
                    <a:xfrm>
                      <a:off x="0" y="0"/>
                      <a:ext cx="1219306" cy="1182726"/>
                    </a:xfrm>
                    <a:prstGeom prst="rect">
                      <a:avLst/>
                    </a:prstGeom>
                  </pic:spPr>
                </pic:pic>
              </a:graphicData>
            </a:graphic>
          </wp:inline>
        </w:drawing>
      </w:r>
    </w:p>
    <w:p w14:paraId="6DA635F6" w14:textId="35B030C6" w:rsidR="343F2F43" w:rsidRPr="00F06202" w:rsidRDefault="343F2F43" w:rsidP="00F06202">
      <w:pPr>
        <w:rPr>
          <w:rStyle w:val="Strong"/>
        </w:rPr>
      </w:pPr>
      <w:r w:rsidRPr="00F06202">
        <w:rPr>
          <w:rStyle w:val="Strong"/>
          <w:rFonts w:eastAsia="Arial"/>
        </w:rPr>
        <w:t>The Hon Mark Butler MP</w:t>
      </w:r>
    </w:p>
    <w:p w14:paraId="11DB100C" w14:textId="77777777" w:rsidR="00F06202" w:rsidRPr="00F06202" w:rsidRDefault="343F2F43" w:rsidP="00F06202">
      <w:pPr>
        <w:rPr>
          <w:rFonts w:eastAsia="Arial"/>
        </w:rPr>
      </w:pPr>
      <w:r w:rsidRPr="00F06202">
        <w:rPr>
          <w:rFonts w:eastAsia="Arial"/>
        </w:rPr>
        <w:t>Minister for Health and Ageing</w:t>
      </w:r>
    </w:p>
    <w:p w14:paraId="042436C6" w14:textId="1C036258" w:rsidR="69CF48C8" w:rsidRPr="00F06202" w:rsidRDefault="343F2F43" w:rsidP="00F06202">
      <w:r w:rsidRPr="00F06202">
        <w:rPr>
          <w:rFonts w:eastAsia="Arial"/>
        </w:rPr>
        <w:t>Minister for Disability and the National Disability Insurance Scheme</w:t>
      </w:r>
    </w:p>
    <w:p w14:paraId="0DD592EB" w14:textId="77777777" w:rsidR="00100F6D" w:rsidRPr="00772BC3" w:rsidRDefault="00100F6D" w:rsidP="00346C4A">
      <w:pPr>
        <w:sectPr w:rsidR="00100F6D" w:rsidRPr="00772BC3" w:rsidSect="00CF14A6">
          <w:pgSz w:w="11906" w:h="16838"/>
          <w:pgMar w:top="1701" w:right="1418" w:bottom="1418" w:left="1418" w:header="709" w:footer="709" w:gutter="0"/>
          <w:pgNumType w:fmt="lowerRoman"/>
          <w:cols w:space="708"/>
          <w:docGrid w:linePitch="360"/>
        </w:sectPr>
      </w:pPr>
    </w:p>
    <w:sdt>
      <w:sdtPr>
        <w:rPr>
          <w:lang w:val="en-GB"/>
        </w:rPr>
        <w:id w:val="-73366255"/>
        <w:docPartObj>
          <w:docPartGallery w:val="Table of Contents"/>
          <w:docPartUnique/>
        </w:docPartObj>
      </w:sdtPr>
      <w:sdtEndPr>
        <w:rPr>
          <w:rFonts w:ascii="Arial" w:eastAsia="Times New Roman" w:hAnsi="Arial" w:cs="Times New Roman"/>
          <w:color w:val="000000" w:themeColor="text1"/>
          <w:sz w:val="22"/>
          <w:szCs w:val="24"/>
          <w:lang w:val="en-AU"/>
        </w:rPr>
      </w:sdtEndPr>
      <w:sdtContent>
        <w:p w14:paraId="5F799974" w14:textId="66DE6B8A" w:rsidR="00F06202" w:rsidRDefault="00F06202">
          <w:pPr>
            <w:pStyle w:val="TOCHeading"/>
          </w:pPr>
          <w:r>
            <w:rPr>
              <w:lang w:val="en-GB"/>
            </w:rPr>
            <w:t>Contents</w:t>
          </w:r>
        </w:p>
        <w:p w14:paraId="16D638D9" w14:textId="0A166449" w:rsidR="00F06202" w:rsidRPr="00F06202" w:rsidRDefault="00F06202" w:rsidP="00F06202">
          <w:pPr>
            <w:pStyle w:val="TOC1"/>
          </w:pPr>
          <w:r w:rsidRPr="00F06202">
            <w:fldChar w:fldCharType="begin"/>
          </w:r>
          <w:r w:rsidRPr="00F06202">
            <w:instrText xml:space="preserve"> TOC \o "1-3" \h \z \u </w:instrText>
          </w:r>
          <w:r w:rsidRPr="00F06202">
            <w:fldChar w:fldCharType="separate"/>
          </w:r>
          <w:hyperlink w:anchor="_Toc224557183" w:history="1">
            <w:r w:rsidRPr="008A0E71">
              <w:rPr>
                <w:rStyle w:val="Hyperlink"/>
              </w:rPr>
              <w:t>Copyright</w:t>
            </w:r>
            <w:r>
              <w:rPr>
                <w:webHidden/>
              </w:rPr>
              <w:tab/>
            </w:r>
            <w:r>
              <w:rPr>
                <w:webHidden/>
              </w:rPr>
              <w:fldChar w:fldCharType="begin"/>
            </w:r>
            <w:r>
              <w:rPr>
                <w:webHidden/>
              </w:rPr>
              <w:instrText xml:space="preserve"> PAGEREF _Toc224557183 \h </w:instrText>
            </w:r>
            <w:r>
              <w:rPr>
                <w:webHidden/>
              </w:rPr>
            </w:r>
            <w:r>
              <w:rPr>
                <w:webHidden/>
              </w:rPr>
              <w:fldChar w:fldCharType="separate"/>
            </w:r>
            <w:r>
              <w:rPr>
                <w:webHidden/>
              </w:rPr>
              <w:t>ii</w:t>
            </w:r>
            <w:r>
              <w:rPr>
                <w:webHidden/>
              </w:rPr>
              <w:fldChar w:fldCharType="end"/>
            </w:r>
          </w:hyperlink>
        </w:p>
        <w:p w14:paraId="334F999A" w14:textId="0757C14D" w:rsidR="00F06202" w:rsidRPr="00F06202" w:rsidRDefault="00F06202" w:rsidP="00F06202">
          <w:pPr>
            <w:pStyle w:val="TOC1"/>
          </w:pPr>
          <w:hyperlink w:anchor="_Toc224557184" w:history="1">
            <w:r w:rsidRPr="008A0E71">
              <w:rPr>
                <w:rStyle w:val="Hyperlink"/>
              </w:rPr>
              <w:t>Acknowledgement of Country</w:t>
            </w:r>
            <w:r>
              <w:rPr>
                <w:webHidden/>
              </w:rPr>
              <w:tab/>
            </w:r>
            <w:r>
              <w:rPr>
                <w:webHidden/>
              </w:rPr>
              <w:fldChar w:fldCharType="begin"/>
            </w:r>
            <w:r>
              <w:rPr>
                <w:webHidden/>
              </w:rPr>
              <w:instrText xml:space="preserve"> PAGEREF _Toc224557184 \h </w:instrText>
            </w:r>
            <w:r>
              <w:rPr>
                <w:webHidden/>
              </w:rPr>
            </w:r>
            <w:r>
              <w:rPr>
                <w:webHidden/>
              </w:rPr>
              <w:fldChar w:fldCharType="separate"/>
            </w:r>
            <w:r>
              <w:rPr>
                <w:webHidden/>
              </w:rPr>
              <w:t>iii</w:t>
            </w:r>
            <w:r>
              <w:rPr>
                <w:webHidden/>
              </w:rPr>
              <w:fldChar w:fldCharType="end"/>
            </w:r>
          </w:hyperlink>
        </w:p>
        <w:p w14:paraId="0FC46857" w14:textId="16D9B0E9" w:rsidR="00F06202" w:rsidRPr="00F06202" w:rsidRDefault="00F06202" w:rsidP="00F06202">
          <w:pPr>
            <w:pStyle w:val="TOC1"/>
          </w:pPr>
          <w:hyperlink w:anchor="_Toc224557185" w:history="1">
            <w:r w:rsidRPr="008A0E71">
              <w:rPr>
                <w:rStyle w:val="Hyperlink"/>
              </w:rPr>
              <w:t>Minister’s Foreword</w:t>
            </w:r>
            <w:r>
              <w:rPr>
                <w:webHidden/>
              </w:rPr>
              <w:tab/>
            </w:r>
            <w:r>
              <w:rPr>
                <w:webHidden/>
              </w:rPr>
              <w:fldChar w:fldCharType="begin"/>
            </w:r>
            <w:r>
              <w:rPr>
                <w:webHidden/>
              </w:rPr>
              <w:instrText xml:space="preserve"> PAGEREF _Toc224557185 \h </w:instrText>
            </w:r>
            <w:r>
              <w:rPr>
                <w:webHidden/>
              </w:rPr>
            </w:r>
            <w:r>
              <w:rPr>
                <w:webHidden/>
              </w:rPr>
              <w:fldChar w:fldCharType="separate"/>
            </w:r>
            <w:r>
              <w:rPr>
                <w:webHidden/>
              </w:rPr>
              <w:t>iv</w:t>
            </w:r>
            <w:r>
              <w:rPr>
                <w:webHidden/>
              </w:rPr>
              <w:fldChar w:fldCharType="end"/>
            </w:r>
          </w:hyperlink>
        </w:p>
        <w:p w14:paraId="7CE37857" w14:textId="077E8C7A" w:rsidR="00F06202" w:rsidRPr="00F06202" w:rsidRDefault="00F06202" w:rsidP="00F06202">
          <w:pPr>
            <w:pStyle w:val="TOC1"/>
          </w:pPr>
          <w:hyperlink w:anchor="_Toc224557186" w:history="1">
            <w:r w:rsidRPr="008A0E71">
              <w:rPr>
                <w:rStyle w:val="Hyperlink"/>
              </w:rPr>
              <w:t>Acknowledgements</w:t>
            </w:r>
            <w:r>
              <w:rPr>
                <w:webHidden/>
              </w:rPr>
              <w:tab/>
            </w:r>
            <w:r>
              <w:rPr>
                <w:webHidden/>
              </w:rPr>
              <w:fldChar w:fldCharType="begin"/>
            </w:r>
            <w:r>
              <w:rPr>
                <w:webHidden/>
              </w:rPr>
              <w:instrText xml:space="preserve"> PAGEREF _Toc224557186 \h </w:instrText>
            </w:r>
            <w:r>
              <w:rPr>
                <w:webHidden/>
              </w:rPr>
            </w:r>
            <w:r>
              <w:rPr>
                <w:webHidden/>
              </w:rPr>
              <w:fldChar w:fldCharType="separate"/>
            </w:r>
            <w:r>
              <w:rPr>
                <w:webHidden/>
              </w:rPr>
              <w:t>vii</w:t>
            </w:r>
            <w:r>
              <w:rPr>
                <w:webHidden/>
              </w:rPr>
              <w:fldChar w:fldCharType="end"/>
            </w:r>
          </w:hyperlink>
        </w:p>
        <w:p w14:paraId="3D8C9E49" w14:textId="528BDD19" w:rsidR="00F06202" w:rsidRPr="00F06202" w:rsidRDefault="00F06202" w:rsidP="00F06202">
          <w:pPr>
            <w:pStyle w:val="TOC1"/>
          </w:pPr>
          <w:hyperlink w:anchor="_Toc224557187" w:history="1">
            <w:r w:rsidRPr="008A0E71">
              <w:rPr>
                <w:rStyle w:val="Hyperlink"/>
              </w:rPr>
              <w:t>Executive summary</w:t>
            </w:r>
            <w:r>
              <w:rPr>
                <w:webHidden/>
              </w:rPr>
              <w:tab/>
            </w:r>
            <w:r>
              <w:rPr>
                <w:webHidden/>
              </w:rPr>
              <w:fldChar w:fldCharType="begin"/>
            </w:r>
            <w:r>
              <w:rPr>
                <w:webHidden/>
              </w:rPr>
              <w:instrText xml:space="preserve"> PAGEREF _Toc224557187 \h </w:instrText>
            </w:r>
            <w:r>
              <w:rPr>
                <w:webHidden/>
              </w:rPr>
            </w:r>
            <w:r>
              <w:rPr>
                <w:webHidden/>
              </w:rPr>
              <w:fldChar w:fldCharType="separate"/>
            </w:r>
            <w:r>
              <w:rPr>
                <w:webHidden/>
              </w:rPr>
              <w:t>vii</w:t>
            </w:r>
            <w:r>
              <w:rPr>
                <w:webHidden/>
              </w:rPr>
              <w:fldChar w:fldCharType="end"/>
            </w:r>
          </w:hyperlink>
        </w:p>
        <w:p w14:paraId="56A139F3" w14:textId="5F27E538" w:rsidR="00F06202" w:rsidRPr="00F06202" w:rsidRDefault="00F06202" w:rsidP="00F06202">
          <w:pPr>
            <w:pStyle w:val="TOC1"/>
          </w:pPr>
          <w:hyperlink w:anchor="_Toc224557188" w:history="1">
            <w:r w:rsidRPr="008A0E71">
              <w:rPr>
                <w:rStyle w:val="Hyperlink"/>
              </w:rPr>
              <w:t>Framework on a page</w:t>
            </w:r>
            <w:r>
              <w:rPr>
                <w:webHidden/>
              </w:rPr>
              <w:tab/>
            </w:r>
            <w:r>
              <w:rPr>
                <w:webHidden/>
              </w:rPr>
              <w:fldChar w:fldCharType="begin"/>
            </w:r>
            <w:r>
              <w:rPr>
                <w:webHidden/>
              </w:rPr>
              <w:instrText xml:space="preserve"> PAGEREF _Toc224557188 \h </w:instrText>
            </w:r>
            <w:r>
              <w:rPr>
                <w:webHidden/>
              </w:rPr>
            </w:r>
            <w:r>
              <w:rPr>
                <w:webHidden/>
              </w:rPr>
              <w:fldChar w:fldCharType="separate"/>
            </w:r>
            <w:r>
              <w:rPr>
                <w:webHidden/>
              </w:rPr>
              <w:t>viii</w:t>
            </w:r>
            <w:r>
              <w:rPr>
                <w:webHidden/>
              </w:rPr>
              <w:fldChar w:fldCharType="end"/>
            </w:r>
          </w:hyperlink>
        </w:p>
        <w:p w14:paraId="0238FA8B" w14:textId="20E9F2A6" w:rsidR="00F06202" w:rsidRPr="00F06202" w:rsidRDefault="00F06202" w:rsidP="00F06202">
          <w:pPr>
            <w:pStyle w:val="TOC1"/>
          </w:pPr>
          <w:hyperlink w:anchor="_Toc224557189" w:history="1">
            <w:r w:rsidRPr="008A0E71">
              <w:rPr>
                <w:rStyle w:val="Hyperlink"/>
              </w:rPr>
              <w:t>Part 1: Introduction</w:t>
            </w:r>
            <w:r>
              <w:rPr>
                <w:webHidden/>
              </w:rPr>
              <w:tab/>
            </w:r>
            <w:r>
              <w:rPr>
                <w:webHidden/>
              </w:rPr>
              <w:fldChar w:fldCharType="begin"/>
            </w:r>
            <w:r>
              <w:rPr>
                <w:webHidden/>
              </w:rPr>
              <w:instrText xml:space="preserve"> PAGEREF _Toc224557189 \h </w:instrText>
            </w:r>
            <w:r>
              <w:rPr>
                <w:webHidden/>
              </w:rPr>
            </w:r>
            <w:r>
              <w:rPr>
                <w:webHidden/>
              </w:rPr>
              <w:fldChar w:fldCharType="separate"/>
            </w:r>
            <w:r>
              <w:rPr>
                <w:webHidden/>
              </w:rPr>
              <w:t>1</w:t>
            </w:r>
            <w:r>
              <w:rPr>
                <w:webHidden/>
              </w:rPr>
              <w:fldChar w:fldCharType="end"/>
            </w:r>
          </w:hyperlink>
        </w:p>
        <w:p w14:paraId="5EF0631D" w14:textId="2DB09D24" w:rsidR="00F06202" w:rsidRPr="00F06202" w:rsidRDefault="00F06202" w:rsidP="00F06202">
          <w:pPr>
            <w:pStyle w:val="TOC2"/>
          </w:pPr>
          <w:hyperlink w:anchor="_Toc224557190" w:history="1">
            <w:r w:rsidRPr="008A0E71">
              <w:rPr>
                <w:rStyle w:val="Hyperlink"/>
              </w:rPr>
              <w:t>What are chronic conditions?</w:t>
            </w:r>
            <w:r>
              <w:rPr>
                <w:webHidden/>
              </w:rPr>
              <w:tab/>
            </w:r>
            <w:r>
              <w:rPr>
                <w:webHidden/>
              </w:rPr>
              <w:fldChar w:fldCharType="begin"/>
            </w:r>
            <w:r>
              <w:rPr>
                <w:webHidden/>
              </w:rPr>
              <w:instrText xml:space="preserve"> PAGEREF _Toc224557190 \h </w:instrText>
            </w:r>
            <w:r>
              <w:rPr>
                <w:webHidden/>
              </w:rPr>
            </w:r>
            <w:r>
              <w:rPr>
                <w:webHidden/>
              </w:rPr>
              <w:fldChar w:fldCharType="separate"/>
            </w:r>
            <w:r>
              <w:rPr>
                <w:webHidden/>
              </w:rPr>
              <w:t>1</w:t>
            </w:r>
            <w:r>
              <w:rPr>
                <w:webHidden/>
              </w:rPr>
              <w:fldChar w:fldCharType="end"/>
            </w:r>
          </w:hyperlink>
        </w:p>
        <w:p w14:paraId="4717275A" w14:textId="0C793578" w:rsidR="00F06202" w:rsidRPr="00F06202" w:rsidRDefault="00F06202" w:rsidP="00F06202">
          <w:pPr>
            <w:pStyle w:val="TOC2"/>
          </w:pPr>
          <w:hyperlink w:anchor="_Toc224557191" w:history="1">
            <w:r w:rsidRPr="008A0E71">
              <w:rPr>
                <w:rStyle w:val="Hyperlink"/>
              </w:rPr>
              <w:t>Chronic Conditions in Australia</w:t>
            </w:r>
            <w:r>
              <w:rPr>
                <w:webHidden/>
              </w:rPr>
              <w:tab/>
            </w:r>
            <w:r>
              <w:rPr>
                <w:webHidden/>
              </w:rPr>
              <w:fldChar w:fldCharType="begin"/>
            </w:r>
            <w:r>
              <w:rPr>
                <w:webHidden/>
              </w:rPr>
              <w:instrText xml:space="preserve"> PAGEREF _Toc224557191 \h </w:instrText>
            </w:r>
            <w:r>
              <w:rPr>
                <w:webHidden/>
              </w:rPr>
            </w:r>
            <w:r>
              <w:rPr>
                <w:webHidden/>
              </w:rPr>
              <w:fldChar w:fldCharType="separate"/>
            </w:r>
            <w:r>
              <w:rPr>
                <w:webHidden/>
              </w:rPr>
              <w:t>2</w:t>
            </w:r>
            <w:r>
              <w:rPr>
                <w:webHidden/>
              </w:rPr>
              <w:fldChar w:fldCharType="end"/>
            </w:r>
          </w:hyperlink>
        </w:p>
        <w:p w14:paraId="5E4D940A" w14:textId="5677A8D4" w:rsidR="00F06202" w:rsidRPr="00F06202" w:rsidRDefault="00F06202" w:rsidP="00F06202">
          <w:pPr>
            <w:pStyle w:val="TOC3"/>
          </w:pPr>
          <w:hyperlink w:anchor="_Toc224557192" w:history="1">
            <w:r w:rsidRPr="008A0E71">
              <w:rPr>
                <w:rStyle w:val="Hyperlink"/>
              </w:rPr>
              <w:t>Priority populations</w:t>
            </w:r>
            <w:r>
              <w:rPr>
                <w:webHidden/>
              </w:rPr>
              <w:tab/>
            </w:r>
            <w:r>
              <w:rPr>
                <w:webHidden/>
              </w:rPr>
              <w:fldChar w:fldCharType="begin"/>
            </w:r>
            <w:r>
              <w:rPr>
                <w:webHidden/>
              </w:rPr>
              <w:instrText xml:space="preserve"> PAGEREF _Toc224557192 \h </w:instrText>
            </w:r>
            <w:r>
              <w:rPr>
                <w:webHidden/>
              </w:rPr>
            </w:r>
            <w:r>
              <w:rPr>
                <w:webHidden/>
              </w:rPr>
              <w:fldChar w:fldCharType="separate"/>
            </w:r>
            <w:r>
              <w:rPr>
                <w:webHidden/>
              </w:rPr>
              <w:t>3</w:t>
            </w:r>
            <w:r>
              <w:rPr>
                <w:webHidden/>
              </w:rPr>
              <w:fldChar w:fldCharType="end"/>
            </w:r>
          </w:hyperlink>
        </w:p>
        <w:p w14:paraId="6135367F" w14:textId="2FE58DCC" w:rsidR="00F06202" w:rsidRPr="00F06202" w:rsidRDefault="00F06202" w:rsidP="00F06202">
          <w:pPr>
            <w:pStyle w:val="TOC3"/>
          </w:pPr>
          <w:hyperlink w:anchor="_Toc224557193" w:history="1">
            <w:r w:rsidRPr="008A0E71">
              <w:rPr>
                <w:rStyle w:val="Hyperlink"/>
              </w:rPr>
              <w:t>Determinants of health</w:t>
            </w:r>
            <w:r>
              <w:rPr>
                <w:webHidden/>
              </w:rPr>
              <w:tab/>
            </w:r>
            <w:r>
              <w:rPr>
                <w:webHidden/>
              </w:rPr>
              <w:fldChar w:fldCharType="begin"/>
            </w:r>
            <w:r>
              <w:rPr>
                <w:webHidden/>
              </w:rPr>
              <w:instrText xml:space="preserve"> PAGEREF _Toc224557193 \h </w:instrText>
            </w:r>
            <w:r>
              <w:rPr>
                <w:webHidden/>
              </w:rPr>
            </w:r>
            <w:r>
              <w:rPr>
                <w:webHidden/>
              </w:rPr>
              <w:fldChar w:fldCharType="separate"/>
            </w:r>
            <w:r>
              <w:rPr>
                <w:webHidden/>
              </w:rPr>
              <w:t>5</w:t>
            </w:r>
            <w:r>
              <w:rPr>
                <w:webHidden/>
              </w:rPr>
              <w:fldChar w:fldCharType="end"/>
            </w:r>
          </w:hyperlink>
        </w:p>
        <w:p w14:paraId="5178916F" w14:textId="309E6D70" w:rsidR="00F06202" w:rsidRPr="00F06202" w:rsidRDefault="00F06202" w:rsidP="00F06202">
          <w:pPr>
            <w:pStyle w:val="TOC3"/>
          </w:pPr>
          <w:hyperlink w:anchor="_Toc224557194" w:history="1">
            <w:r w:rsidRPr="008A0E71">
              <w:rPr>
                <w:rStyle w:val="Hyperlink"/>
              </w:rPr>
              <w:t>Impact on healthcare system</w:t>
            </w:r>
            <w:r>
              <w:rPr>
                <w:webHidden/>
              </w:rPr>
              <w:tab/>
            </w:r>
            <w:r>
              <w:rPr>
                <w:webHidden/>
              </w:rPr>
              <w:fldChar w:fldCharType="begin"/>
            </w:r>
            <w:r>
              <w:rPr>
                <w:webHidden/>
              </w:rPr>
              <w:instrText xml:space="preserve"> PAGEREF _Toc224557194 \h </w:instrText>
            </w:r>
            <w:r>
              <w:rPr>
                <w:webHidden/>
              </w:rPr>
            </w:r>
            <w:r>
              <w:rPr>
                <w:webHidden/>
              </w:rPr>
              <w:fldChar w:fldCharType="separate"/>
            </w:r>
            <w:r>
              <w:rPr>
                <w:webHidden/>
              </w:rPr>
              <w:t>5</w:t>
            </w:r>
            <w:r>
              <w:rPr>
                <w:webHidden/>
              </w:rPr>
              <w:fldChar w:fldCharType="end"/>
            </w:r>
          </w:hyperlink>
        </w:p>
        <w:p w14:paraId="19702D5D" w14:textId="4DD0DE1D" w:rsidR="00F06202" w:rsidRPr="00F06202" w:rsidRDefault="00F06202" w:rsidP="00F06202">
          <w:pPr>
            <w:pStyle w:val="TOC2"/>
          </w:pPr>
          <w:hyperlink w:anchor="_Toc224557195" w:history="1">
            <w:r w:rsidRPr="008A0E71">
              <w:rPr>
                <w:rStyle w:val="Hyperlink"/>
              </w:rPr>
              <w:t>How should the Framework be used?</w:t>
            </w:r>
            <w:r>
              <w:rPr>
                <w:webHidden/>
              </w:rPr>
              <w:tab/>
            </w:r>
            <w:r>
              <w:rPr>
                <w:webHidden/>
              </w:rPr>
              <w:fldChar w:fldCharType="begin"/>
            </w:r>
            <w:r>
              <w:rPr>
                <w:webHidden/>
              </w:rPr>
              <w:instrText xml:space="preserve"> PAGEREF _Toc224557195 \h </w:instrText>
            </w:r>
            <w:r>
              <w:rPr>
                <w:webHidden/>
              </w:rPr>
            </w:r>
            <w:r>
              <w:rPr>
                <w:webHidden/>
              </w:rPr>
              <w:fldChar w:fldCharType="separate"/>
            </w:r>
            <w:r>
              <w:rPr>
                <w:webHidden/>
              </w:rPr>
              <w:t>5</w:t>
            </w:r>
            <w:r>
              <w:rPr>
                <w:webHidden/>
              </w:rPr>
              <w:fldChar w:fldCharType="end"/>
            </w:r>
          </w:hyperlink>
        </w:p>
        <w:p w14:paraId="7F88FAAF" w14:textId="6FE6874C" w:rsidR="00F06202" w:rsidRPr="00F06202" w:rsidRDefault="00F06202" w:rsidP="00F06202">
          <w:pPr>
            <w:pStyle w:val="TOC2"/>
          </w:pPr>
          <w:hyperlink w:anchor="_Toc224557196" w:history="1">
            <w:r w:rsidRPr="008A0E71">
              <w:rPr>
                <w:rStyle w:val="Hyperlink"/>
              </w:rPr>
              <w:t>Vision</w:t>
            </w:r>
            <w:r>
              <w:rPr>
                <w:webHidden/>
              </w:rPr>
              <w:tab/>
            </w:r>
            <w:r>
              <w:rPr>
                <w:webHidden/>
              </w:rPr>
              <w:fldChar w:fldCharType="begin"/>
            </w:r>
            <w:r>
              <w:rPr>
                <w:webHidden/>
              </w:rPr>
              <w:instrText xml:space="preserve"> PAGEREF _Toc224557196 \h </w:instrText>
            </w:r>
            <w:r>
              <w:rPr>
                <w:webHidden/>
              </w:rPr>
            </w:r>
            <w:r>
              <w:rPr>
                <w:webHidden/>
              </w:rPr>
              <w:fldChar w:fldCharType="separate"/>
            </w:r>
            <w:r>
              <w:rPr>
                <w:webHidden/>
              </w:rPr>
              <w:t>6</w:t>
            </w:r>
            <w:r>
              <w:rPr>
                <w:webHidden/>
              </w:rPr>
              <w:fldChar w:fldCharType="end"/>
            </w:r>
          </w:hyperlink>
        </w:p>
        <w:p w14:paraId="45060ABA" w14:textId="58AFAFF2" w:rsidR="00F06202" w:rsidRPr="00F06202" w:rsidRDefault="00F06202" w:rsidP="00F06202">
          <w:pPr>
            <w:pStyle w:val="TOC2"/>
          </w:pPr>
          <w:hyperlink w:anchor="_Toc224557197" w:history="1">
            <w:r w:rsidRPr="008A0E71">
              <w:rPr>
                <w:rStyle w:val="Hyperlink"/>
              </w:rPr>
              <w:t>Purpose</w:t>
            </w:r>
            <w:r>
              <w:rPr>
                <w:webHidden/>
              </w:rPr>
              <w:tab/>
            </w:r>
            <w:r>
              <w:rPr>
                <w:webHidden/>
              </w:rPr>
              <w:fldChar w:fldCharType="begin"/>
            </w:r>
            <w:r>
              <w:rPr>
                <w:webHidden/>
              </w:rPr>
              <w:instrText xml:space="preserve"> PAGEREF _Toc224557197 \h </w:instrText>
            </w:r>
            <w:r>
              <w:rPr>
                <w:webHidden/>
              </w:rPr>
            </w:r>
            <w:r>
              <w:rPr>
                <w:webHidden/>
              </w:rPr>
              <w:fldChar w:fldCharType="separate"/>
            </w:r>
            <w:r>
              <w:rPr>
                <w:webHidden/>
              </w:rPr>
              <w:t>6</w:t>
            </w:r>
            <w:r>
              <w:rPr>
                <w:webHidden/>
              </w:rPr>
              <w:fldChar w:fldCharType="end"/>
            </w:r>
          </w:hyperlink>
        </w:p>
        <w:p w14:paraId="13D664DA" w14:textId="2FA054B2" w:rsidR="00F06202" w:rsidRPr="00F06202" w:rsidRDefault="00F06202" w:rsidP="00F06202">
          <w:pPr>
            <w:pStyle w:val="TOC2"/>
          </w:pPr>
          <w:hyperlink w:anchor="_Toc224557198" w:history="1">
            <w:r w:rsidRPr="008A0E71">
              <w:rPr>
                <w:rStyle w:val="Hyperlink"/>
              </w:rPr>
              <w:t>Guiding principles</w:t>
            </w:r>
            <w:r>
              <w:rPr>
                <w:webHidden/>
              </w:rPr>
              <w:tab/>
            </w:r>
            <w:r>
              <w:rPr>
                <w:webHidden/>
              </w:rPr>
              <w:fldChar w:fldCharType="begin"/>
            </w:r>
            <w:r>
              <w:rPr>
                <w:webHidden/>
              </w:rPr>
              <w:instrText xml:space="preserve"> PAGEREF _Toc224557198 \h </w:instrText>
            </w:r>
            <w:r>
              <w:rPr>
                <w:webHidden/>
              </w:rPr>
            </w:r>
            <w:r>
              <w:rPr>
                <w:webHidden/>
              </w:rPr>
              <w:fldChar w:fldCharType="separate"/>
            </w:r>
            <w:r>
              <w:rPr>
                <w:webHidden/>
              </w:rPr>
              <w:t>6</w:t>
            </w:r>
            <w:r>
              <w:rPr>
                <w:webHidden/>
              </w:rPr>
              <w:fldChar w:fldCharType="end"/>
            </w:r>
          </w:hyperlink>
        </w:p>
        <w:p w14:paraId="22E7CC86" w14:textId="46203EB5" w:rsidR="00F06202" w:rsidRPr="00F06202" w:rsidRDefault="00F06202" w:rsidP="00F06202">
          <w:pPr>
            <w:pStyle w:val="TOC2"/>
          </w:pPr>
          <w:hyperlink w:anchor="_Toc224557199" w:history="1">
            <w:r w:rsidRPr="008A0E71">
              <w:rPr>
                <w:rStyle w:val="Hyperlink"/>
              </w:rPr>
              <w:t>Policy context</w:t>
            </w:r>
            <w:r>
              <w:rPr>
                <w:webHidden/>
              </w:rPr>
              <w:tab/>
            </w:r>
            <w:r>
              <w:rPr>
                <w:webHidden/>
              </w:rPr>
              <w:fldChar w:fldCharType="begin"/>
            </w:r>
            <w:r>
              <w:rPr>
                <w:webHidden/>
              </w:rPr>
              <w:instrText xml:space="preserve"> PAGEREF _Toc224557199 \h </w:instrText>
            </w:r>
            <w:r>
              <w:rPr>
                <w:webHidden/>
              </w:rPr>
            </w:r>
            <w:r>
              <w:rPr>
                <w:webHidden/>
              </w:rPr>
              <w:fldChar w:fldCharType="separate"/>
            </w:r>
            <w:r>
              <w:rPr>
                <w:webHidden/>
              </w:rPr>
              <w:t>7</w:t>
            </w:r>
            <w:r>
              <w:rPr>
                <w:webHidden/>
              </w:rPr>
              <w:fldChar w:fldCharType="end"/>
            </w:r>
          </w:hyperlink>
        </w:p>
        <w:p w14:paraId="319DF58A" w14:textId="05B30789" w:rsidR="00F06202" w:rsidRPr="00F06202" w:rsidRDefault="00F06202" w:rsidP="00F06202">
          <w:pPr>
            <w:pStyle w:val="TOC3"/>
          </w:pPr>
          <w:hyperlink w:anchor="_Toc224557200" w:history="1">
            <w:r w:rsidRPr="008A0E71">
              <w:rPr>
                <w:rStyle w:val="Hyperlink"/>
              </w:rPr>
              <w:t>Australia</w:t>
            </w:r>
            <w:r>
              <w:rPr>
                <w:webHidden/>
              </w:rPr>
              <w:tab/>
            </w:r>
            <w:r>
              <w:rPr>
                <w:webHidden/>
              </w:rPr>
              <w:fldChar w:fldCharType="begin"/>
            </w:r>
            <w:r>
              <w:rPr>
                <w:webHidden/>
              </w:rPr>
              <w:instrText xml:space="preserve"> PAGEREF _Toc224557200 \h </w:instrText>
            </w:r>
            <w:r>
              <w:rPr>
                <w:webHidden/>
              </w:rPr>
            </w:r>
            <w:r>
              <w:rPr>
                <w:webHidden/>
              </w:rPr>
              <w:fldChar w:fldCharType="separate"/>
            </w:r>
            <w:r>
              <w:rPr>
                <w:webHidden/>
              </w:rPr>
              <w:t>7</w:t>
            </w:r>
            <w:r>
              <w:rPr>
                <w:webHidden/>
              </w:rPr>
              <w:fldChar w:fldCharType="end"/>
            </w:r>
          </w:hyperlink>
        </w:p>
        <w:p w14:paraId="13E18634" w14:textId="41AC4752" w:rsidR="00F06202" w:rsidRPr="00F06202" w:rsidRDefault="00F06202" w:rsidP="00F06202">
          <w:pPr>
            <w:pStyle w:val="TOC3"/>
          </w:pPr>
          <w:hyperlink w:anchor="_Toc224557201" w:history="1">
            <w:r w:rsidRPr="008A0E71">
              <w:rPr>
                <w:rStyle w:val="Hyperlink"/>
              </w:rPr>
              <w:t>International</w:t>
            </w:r>
            <w:r>
              <w:rPr>
                <w:webHidden/>
              </w:rPr>
              <w:tab/>
            </w:r>
            <w:r>
              <w:rPr>
                <w:webHidden/>
              </w:rPr>
              <w:fldChar w:fldCharType="begin"/>
            </w:r>
            <w:r>
              <w:rPr>
                <w:webHidden/>
              </w:rPr>
              <w:instrText xml:space="preserve"> PAGEREF _Toc224557201 \h </w:instrText>
            </w:r>
            <w:r>
              <w:rPr>
                <w:webHidden/>
              </w:rPr>
            </w:r>
            <w:r>
              <w:rPr>
                <w:webHidden/>
              </w:rPr>
              <w:fldChar w:fldCharType="separate"/>
            </w:r>
            <w:r>
              <w:rPr>
                <w:webHidden/>
              </w:rPr>
              <w:t>8</w:t>
            </w:r>
            <w:r>
              <w:rPr>
                <w:webHidden/>
              </w:rPr>
              <w:fldChar w:fldCharType="end"/>
            </w:r>
          </w:hyperlink>
        </w:p>
        <w:p w14:paraId="4DE62EEA" w14:textId="678C2F24" w:rsidR="00F06202" w:rsidRPr="00F06202" w:rsidRDefault="00F06202" w:rsidP="00F06202">
          <w:pPr>
            <w:pStyle w:val="TOC1"/>
          </w:pPr>
          <w:hyperlink w:anchor="_Toc224557202" w:history="1">
            <w:r w:rsidRPr="008A0E71">
              <w:rPr>
                <w:rStyle w:val="Hyperlink"/>
              </w:rPr>
              <w:t>Part 2: Focus Areas</w:t>
            </w:r>
            <w:r>
              <w:rPr>
                <w:webHidden/>
              </w:rPr>
              <w:tab/>
            </w:r>
            <w:r>
              <w:rPr>
                <w:webHidden/>
              </w:rPr>
              <w:fldChar w:fldCharType="begin"/>
            </w:r>
            <w:r>
              <w:rPr>
                <w:webHidden/>
              </w:rPr>
              <w:instrText xml:space="preserve"> PAGEREF _Toc224557202 \h </w:instrText>
            </w:r>
            <w:r>
              <w:rPr>
                <w:webHidden/>
              </w:rPr>
            </w:r>
            <w:r>
              <w:rPr>
                <w:webHidden/>
              </w:rPr>
              <w:fldChar w:fldCharType="separate"/>
            </w:r>
            <w:r>
              <w:rPr>
                <w:webHidden/>
              </w:rPr>
              <w:t>8</w:t>
            </w:r>
            <w:r>
              <w:rPr>
                <w:webHidden/>
              </w:rPr>
              <w:fldChar w:fldCharType="end"/>
            </w:r>
          </w:hyperlink>
        </w:p>
        <w:p w14:paraId="12A29F6D" w14:textId="0751C1CD" w:rsidR="00F06202" w:rsidRPr="00F06202" w:rsidRDefault="00F06202" w:rsidP="00F06202">
          <w:pPr>
            <w:pStyle w:val="TOC2"/>
          </w:pPr>
          <w:hyperlink w:anchor="_Toc224557203" w:history="1">
            <w:r w:rsidRPr="008A0E71">
              <w:rPr>
                <w:rStyle w:val="Hyperlink"/>
              </w:rPr>
              <w:t>Focus Area 1: Health promotion and education supporting prevention and self-management of risk factors and condition(s)</w:t>
            </w:r>
            <w:r>
              <w:rPr>
                <w:webHidden/>
              </w:rPr>
              <w:tab/>
            </w:r>
            <w:r>
              <w:rPr>
                <w:webHidden/>
              </w:rPr>
              <w:fldChar w:fldCharType="begin"/>
            </w:r>
            <w:r>
              <w:rPr>
                <w:webHidden/>
              </w:rPr>
              <w:instrText xml:space="preserve"> PAGEREF _Toc224557203 \h </w:instrText>
            </w:r>
            <w:r>
              <w:rPr>
                <w:webHidden/>
              </w:rPr>
            </w:r>
            <w:r>
              <w:rPr>
                <w:webHidden/>
              </w:rPr>
              <w:fldChar w:fldCharType="separate"/>
            </w:r>
            <w:r>
              <w:rPr>
                <w:webHidden/>
              </w:rPr>
              <w:t>9</w:t>
            </w:r>
            <w:r>
              <w:rPr>
                <w:webHidden/>
              </w:rPr>
              <w:fldChar w:fldCharType="end"/>
            </w:r>
          </w:hyperlink>
        </w:p>
        <w:p w14:paraId="03CAD8F7" w14:textId="032AFF1D" w:rsidR="00F06202" w:rsidRPr="00F06202" w:rsidRDefault="00F06202" w:rsidP="00F06202">
          <w:pPr>
            <w:pStyle w:val="TOC3"/>
          </w:pPr>
          <w:hyperlink w:anchor="_Toc224557204" w:history="1">
            <w:r w:rsidRPr="008A0E71">
              <w:rPr>
                <w:rStyle w:val="Hyperlink"/>
              </w:rPr>
              <w:t>Why this is important</w:t>
            </w:r>
            <w:r>
              <w:rPr>
                <w:webHidden/>
              </w:rPr>
              <w:tab/>
            </w:r>
            <w:r>
              <w:rPr>
                <w:webHidden/>
              </w:rPr>
              <w:fldChar w:fldCharType="begin"/>
            </w:r>
            <w:r>
              <w:rPr>
                <w:webHidden/>
              </w:rPr>
              <w:instrText xml:space="preserve"> PAGEREF _Toc224557204 \h </w:instrText>
            </w:r>
            <w:r>
              <w:rPr>
                <w:webHidden/>
              </w:rPr>
            </w:r>
            <w:r>
              <w:rPr>
                <w:webHidden/>
              </w:rPr>
              <w:fldChar w:fldCharType="separate"/>
            </w:r>
            <w:r>
              <w:rPr>
                <w:webHidden/>
              </w:rPr>
              <w:t>9</w:t>
            </w:r>
            <w:r>
              <w:rPr>
                <w:webHidden/>
              </w:rPr>
              <w:fldChar w:fldCharType="end"/>
            </w:r>
          </w:hyperlink>
        </w:p>
        <w:p w14:paraId="17F23055" w14:textId="7170F5C4" w:rsidR="00F06202" w:rsidRPr="00F06202" w:rsidRDefault="00F06202" w:rsidP="00F06202">
          <w:pPr>
            <w:pStyle w:val="TOC2"/>
          </w:pPr>
          <w:hyperlink w:anchor="_Toc224557205" w:history="1">
            <w:r w:rsidRPr="008A0E71">
              <w:rPr>
                <w:rStyle w:val="Hyperlink"/>
              </w:rPr>
              <w:t>Focus Area 2: Embedding early diagnosis and intervention in the continuum of care</w:t>
            </w:r>
            <w:r>
              <w:rPr>
                <w:webHidden/>
              </w:rPr>
              <w:tab/>
            </w:r>
            <w:r>
              <w:rPr>
                <w:webHidden/>
              </w:rPr>
              <w:fldChar w:fldCharType="begin"/>
            </w:r>
            <w:r>
              <w:rPr>
                <w:webHidden/>
              </w:rPr>
              <w:instrText xml:space="preserve"> PAGEREF _Toc224557205 \h </w:instrText>
            </w:r>
            <w:r>
              <w:rPr>
                <w:webHidden/>
              </w:rPr>
            </w:r>
            <w:r>
              <w:rPr>
                <w:webHidden/>
              </w:rPr>
              <w:fldChar w:fldCharType="separate"/>
            </w:r>
            <w:r>
              <w:rPr>
                <w:webHidden/>
              </w:rPr>
              <w:t>13</w:t>
            </w:r>
            <w:r>
              <w:rPr>
                <w:webHidden/>
              </w:rPr>
              <w:fldChar w:fldCharType="end"/>
            </w:r>
          </w:hyperlink>
        </w:p>
        <w:p w14:paraId="4134F3FC" w14:textId="025AC7EB" w:rsidR="00F06202" w:rsidRPr="00F06202" w:rsidRDefault="00F06202" w:rsidP="00F06202">
          <w:pPr>
            <w:pStyle w:val="TOC3"/>
          </w:pPr>
          <w:hyperlink w:anchor="_Toc224557206" w:history="1">
            <w:r w:rsidRPr="008A0E71">
              <w:rPr>
                <w:rStyle w:val="Hyperlink"/>
              </w:rPr>
              <w:t>Why this is important</w:t>
            </w:r>
            <w:r>
              <w:rPr>
                <w:webHidden/>
              </w:rPr>
              <w:tab/>
            </w:r>
            <w:r>
              <w:rPr>
                <w:webHidden/>
              </w:rPr>
              <w:fldChar w:fldCharType="begin"/>
            </w:r>
            <w:r>
              <w:rPr>
                <w:webHidden/>
              </w:rPr>
              <w:instrText xml:space="preserve"> PAGEREF _Toc224557206 \h </w:instrText>
            </w:r>
            <w:r>
              <w:rPr>
                <w:webHidden/>
              </w:rPr>
            </w:r>
            <w:r>
              <w:rPr>
                <w:webHidden/>
              </w:rPr>
              <w:fldChar w:fldCharType="separate"/>
            </w:r>
            <w:r>
              <w:rPr>
                <w:webHidden/>
              </w:rPr>
              <w:t>13</w:t>
            </w:r>
            <w:r>
              <w:rPr>
                <w:webHidden/>
              </w:rPr>
              <w:fldChar w:fldCharType="end"/>
            </w:r>
          </w:hyperlink>
        </w:p>
        <w:p w14:paraId="2780F2D9" w14:textId="6F3ABABD" w:rsidR="00F06202" w:rsidRPr="00F06202" w:rsidRDefault="00F06202" w:rsidP="00F06202">
          <w:pPr>
            <w:pStyle w:val="TOC2"/>
          </w:pPr>
          <w:hyperlink w:anchor="_Toc224557207" w:history="1">
            <w:r w:rsidRPr="008A0E71">
              <w:rPr>
                <w:rStyle w:val="Hyperlink"/>
              </w:rPr>
              <w:t>Focus Area 3: Continuity of care</w:t>
            </w:r>
            <w:r>
              <w:rPr>
                <w:webHidden/>
              </w:rPr>
              <w:tab/>
            </w:r>
            <w:r>
              <w:rPr>
                <w:webHidden/>
              </w:rPr>
              <w:fldChar w:fldCharType="begin"/>
            </w:r>
            <w:r>
              <w:rPr>
                <w:webHidden/>
              </w:rPr>
              <w:instrText xml:space="preserve"> PAGEREF _Toc224557207 \h </w:instrText>
            </w:r>
            <w:r>
              <w:rPr>
                <w:webHidden/>
              </w:rPr>
            </w:r>
            <w:r>
              <w:rPr>
                <w:webHidden/>
              </w:rPr>
              <w:fldChar w:fldCharType="separate"/>
            </w:r>
            <w:r>
              <w:rPr>
                <w:webHidden/>
              </w:rPr>
              <w:t>16</w:t>
            </w:r>
            <w:r>
              <w:rPr>
                <w:webHidden/>
              </w:rPr>
              <w:fldChar w:fldCharType="end"/>
            </w:r>
          </w:hyperlink>
        </w:p>
        <w:p w14:paraId="18F142AE" w14:textId="0D9D7425" w:rsidR="00F06202" w:rsidRPr="00F06202" w:rsidRDefault="00F06202" w:rsidP="00F06202">
          <w:pPr>
            <w:pStyle w:val="TOC3"/>
          </w:pPr>
          <w:hyperlink w:anchor="_Toc224557208" w:history="1">
            <w:r w:rsidRPr="008A0E71">
              <w:rPr>
                <w:rStyle w:val="Hyperlink"/>
              </w:rPr>
              <w:t>Why this is important</w:t>
            </w:r>
            <w:r>
              <w:rPr>
                <w:webHidden/>
              </w:rPr>
              <w:tab/>
            </w:r>
            <w:r>
              <w:rPr>
                <w:webHidden/>
              </w:rPr>
              <w:fldChar w:fldCharType="begin"/>
            </w:r>
            <w:r>
              <w:rPr>
                <w:webHidden/>
              </w:rPr>
              <w:instrText xml:space="preserve"> PAGEREF _Toc224557208 \h </w:instrText>
            </w:r>
            <w:r>
              <w:rPr>
                <w:webHidden/>
              </w:rPr>
            </w:r>
            <w:r>
              <w:rPr>
                <w:webHidden/>
              </w:rPr>
              <w:fldChar w:fldCharType="separate"/>
            </w:r>
            <w:r>
              <w:rPr>
                <w:webHidden/>
              </w:rPr>
              <w:t>16</w:t>
            </w:r>
            <w:r>
              <w:rPr>
                <w:webHidden/>
              </w:rPr>
              <w:fldChar w:fldCharType="end"/>
            </w:r>
          </w:hyperlink>
        </w:p>
        <w:p w14:paraId="7A97CA80" w14:textId="22093A61" w:rsidR="00F06202" w:rsidRPr="00F06202" w:rsidRDefault="00F06202" w:rsidP="00F06202">
          <w:pPr>
            <w:pStyle w:val="TOC2"/>
          </w:pPr>
          <w:hyperlink w:anchor="_Toc224557209" w:history="1">
            <w:r w:rsidRPr="008A0E71">
              <w:rPr>
                <w:rStyle w:val="Hyperlink"/>
              </w:rPr>
              <w:t>Focus Area 4: Managing multimorbidity</w:t>
            </w:r>
            <w:r>
              <w:rPr>
                <w:webHidden/>
              </w:rPr>
              <w:tab/>
            </w:r>
            <w:r>
              <w:rPr>
                <w:webHidden/>
              </w:rPr>
              <w:fldChar w:fldCharType="begin"/>
            </w:r>
            <w:r>
              <w:rPr>
                <w:webHidden/>
              </w:rPr>
              <w:instrText xml:space="preserve"> PAGEREF _Toc224557209 \h </w:instrText>
            </w:r>
            <w:r>
              <w:rPr>
                <w:webHidden/>
              </w:rPr>
            </w:r>
            <w:r>
              <w:rPr>
                <w:webHidden/>
              </w:rPr>
              <w:fldChar w:fldCharType="separate"/>
            </w:r>
            <w:r>
              <w:rPr>
                <w:webHidden/>
              </w:rPr>
              <w:t>23</w:t>
            </w:r>
            <w:r>
              <w:rPr>
                <w:webHidden/>
              </w:rPr>
              <w:fldChar w:fldCharType="end"/>
            </w:r>
          </w:hyperlink>
        </w:p>
        <w:p w14:paraId="2C4080AB" w14:textId="52949FA5" w:rsidR="00F06202" w:rsidRPr="00F06202" w:rsidRDefault="00F06202" w:rsidP="00F06202">
          <w:pPr>
            <w:pStyle w:val="TOC3"/>
          </w:pPr>
          <w:hyperlink w:anchor="_Toc224557210" w:history="1">
            <w:r w:rsidRPr="008A0E71">
              <w:rPr>
                <w:rStyle w:val="Hyperlink"/>
              </w:rPr>
              <w:t>Why this is important</w:t>
            </w:r>
            <w:r>
              <w:rPr>
                <w:webHidden/>
              </w:rPr>
              <w:tab/>
            </w:r>
            <w:r>
              <w:rPr>
                <w:webHidden/>
              </w:rPr>
              <w:fldChar w:fldCharType="begin"/>
            </w:r>
            <w:r>
              <w:rPr>
                <w:webHidden/>
              </w:rPr>
              <w:instrText xml:space="preserve"> PAGEREF _Toc224557210 \h </w:instrText>
            </w:r>
            <w:r>
              <w:rPr>
                <w:webHidden/>
              </w:rPr>
            </w:r>
            <w:r>
              <w:rPr>
                <w:webHidden/>
              </w:rPr>
              <w:fldChar w:fldCharType="separate"/>
            </w:r>
            <w:r>
              <w:rPr>
                <w:webHidden/>
              </w:rPr>
              <w:t>23</w:t>
            </w:r>
            <w:r>
              <w:rPr>
                <w:webHidden/>
              </w:rPr>
              <w:fldChar w:fldCharType="end"/>
            </w:r>
          </w:hyperlink>
        </w:p>
        <w:p w14:paraId="4194F6D0" w14:textId="3EDEEF7F" w:rsidR="00F06202" w:rsidRPr="00F06202" w:rsidRDefault="00F06202" w:rsidP="00F06202">
          <w:pPr>
            <w:pStyle w:val="TOC2"/>
          </w:pPr>
          <w:hyperlink w:anchor="_Toc224557211" w:history="1">
            <w:r w:rsidRPr="008A0E71">
              <w:rPr>
                <w:rStyle w:val="Hyperlink"/>
              </w:rPr>
              <w:t>Focus Area 5: Enhanced and targeted support for priority populations</w:t>
            </w:r>
            <w:r>
              <w:rPr>
                <w:webHidden/>
              </w:rPr>
              <w:tab/>
            </w:r>
            <w:r>
              <w:rPr>
                <w:webHidden/>
              </w:rPr>
              <w:fldChar w:fldCharType="begin"/>
            </w:r>
            <w:r>
              <w:rPr>
                <w:webHidden/>
              </w:rPr>
              <w:instrText xml:space="preserve"> PAGEREF _Toc224557211 \h </w:instrText>
            </w:r>
            <w:r>
              <w:rPr>
                <w:webHidden/>
              </w:rPr>
            </w:r>
            <w:r>
              <w:rPr>
                <w:webHidden/>
              </w:rPr>
              <w:fldChar w:fldCharType="separate"/>
            </w:r>
            <w:r>
              <w:rPr>
                <w:webHidden/>
              </w:rPr>
              <w:t>27</w:t>
            </w:r>
            <w:r>
              <w:rPr>
                <w:webHidden/>
              </w:rPr>
              <w:fldChar w:fldCharType="end"/>
            </w:r>
          </w:hyperlink>
        </w:p>
        <w:p w14:paraId="0ACD6979" w14:textId="77C0546F" w:rsidR="00F06202" w:rsidRPr="00F06202" w:rsidRDefault="00F06202" w:rsidP="00F06202">
          <w:pPr>
            <w:pStyle w:val="TOC3"/>
          </w:pPr>
          <w:hyperlink w:anchor="_Toc224557212" w:history="1">
            <w:r w:rsidRPr="008A0E71">
              <w:rPr>
                <w:rStyle w:val="Hyperlink"/>
              </w:rPr>
              <w:t>Why this is important</w:t>
            </w:r>
            <w:r>
              <w:rPr>
                <w:webHidden/>
              </w:rPr>
              <w:tab/>
            </w:r>
            <w:r>
              <w:rPr>
                <w:webHidden/>
              </w:rPr>
              <w:fldChar w:fldCharType="begin"/>
            </w:r>
            <w:r>
              <w:rPr>
                <w:webHidden/>
              </w:rPr>
              <w:instrText xml:space="preserve"> PAGEREF _Toc224557212 \h </w:instrText>
            </w:r>
            <w:r>
              <w:rPr>
                <w:webHidden/>
              </w:rPr>
            </w:r>
            <w:r>
              <w:rPr>
                <w:webHidden/>
              </w:rPr>
              <w:fldChar w:fldCharType="separate"/>
            </w:r>
            <w:r>
              <w:rPr>
                <w:webHidden/>
              </w:rPr>
              <w:t>27</w:t>
            </w:r>
            <w:r>
              <w:rPr>
                <w:webHidden/>
              </w:rPr>
              <w:fldChar w:fldCharType="end"/>
            </w:r>
          </w:hyperlink>
        </w:p>
        <w:p w14:paraId="05540D9E" w14:textId="0B025A47" w:rsidR="00F06202" w:rsidRPr="00F06202" w:rsidRDefault="00F06202" w:rsidP="00F06202">
          <w:pPr>
            <w:pStyle w:val="TOC1"/>
          </w:pPr>
          <w:hyperlink w:anchor="_Toc224557213" w:history="1">
            <w:r w:rsidRPr="008A0E71">
              <w:rPr>
                <w:rStyle w:val="Hyperlink"/>
              </w:rPr>
              <w:t>Part 3: Monitoring chronic conditions</w:t>
            </w:r>
            <w:r>
              <w:rPr>
                <w:webHidden/>
              </w:rPr>
              <w:tab/>
            </w:r>
            <w:r>
              <w:rPr>
                <w:webHidden/>
              </w:rPr>
              <w:fldChar w:fldCharType="begin"/>
            </w:r>
            <w:r>
              <w:rPr>
                <w:webHidden/>
              </w:rPr>
              <w:instrText xml:space="preserve"> PAGEREF _Toc224557213 \h </w:instrText>
            </w:r>
            <w:r>
              <w:rPr>
                <w:webHidden/>
              </w:rPr>
            </w:r>
            <w:r>
              <w:rPr>
                <w:webHidden/>
              </w:rPr>
              <w:fldChar w:fldCharType="separate"/>
            </w:r>
            <w:r>
              <w:rPr>
                <w:webHidden/>
              </w:rPr>
              <w:t>38</w:t>
            </w:r>
            <w:r>
              <w:rPr>
                <w:webHidden/>
              </w:rPr>
              <w:fldChar w:fldCharType="end"/>
            </w:r>
          </w:hyperlink>
        </w:p>
        <w:p w14:paraId="049B24E5" w14:textId="6F481EF0" w:rsidR="00F06202" w:rsidRPr="00F06202" w:rsidRDefault="00F06202" w:rsidP="00F06202">
          <w:pPr>
            <w:pStyle w:val="TOC2"/>
          </w:pPr>
          <w:hyperlink w:anchor="_Toc224557214" w:history="1">
            <w:r w:rsidRPr="008A0E71">
              <w:rPr>
                <w:rStyle w:val="Hyperlink"/>
              </w:rPr>
              <w:t>Domains for monitoring chronic conditions</w:t>
            </w:r>
            <w:r>
              <w:rPr>
                <w:webHidden/>
              </w:rPr>
              <w:tab/>
            </w:r>
            <w:r>
              <w:rPr>
                <w:webHidden/>
              </w:rPr>
              <w:fldChar w:fldCharType="begin"/>
            </w:r>
            <w:r>
              <w:rPr>
                <w:webHidden/>
              </w:rPr>
              <w:instrText xml:space="preserve"> PAGEREF _Toc224557214 \h </w:instrText>
            </w:r>
            <w:r>
              <w:rPr>
                <w:webHidden/>
              </w:rPr>
            </w:r>
            <w:r>
              <w:rPr>
                <w:webHidden/>
              </w:rPr>
              <w:fldChar w:fldCharType="separate"/>
            </w:r>
            <w:r>
              <w:rPr>
                <w:webHidden/>
              </w:rPr>
              <w:t>38</w:t>
            </w:r>
            <w:r>
              <w:rPr>
                <w:webHidden/>
              </w:rPr>
              <w:fldChar w:fldCharType="end"/>
            </w:r>
          </w:hyperlink>
        </w:p>
        <w:p w14:paraId="4EE30509" w14:textId="3C2D86ED" w:rsidR="00F06202" w:rsidRPr="00F06202" w:rsidRDefault="00F06202" w:rsidP="00F06202">
          <w:pPr>
            <w:pStyle w:val="TOC2"/>
          </w:pPr>
          <w:hyperlink w:anchor="_Toc224557215" w:history="1">
            <w:r w:rsidRPr="008A0E71">
              <w:rPr>
                <w:rStyle w:val="Hyperlink"/>
              </w:rPr>
              <w:t>Monitoring at different levels</w:t>
            </w:r>
            <w:r>
              <w:rPr>
                <w:webHidden/>
              </w:rPr>
              <w:tab/>
            </w:r>
            <w:r>
              <w:rPr>
                <w:webHidden/>
              </w:rPr>
              <w:fldChar w:fldCharType="begin"/>
            </w:r>
            <w:r>
              <w:rPr>
                <w:webHidden/>
              </w:rPr>
              <w:instrText xml:space="preserve"> PAGEREF _Toc224557215 \h </w:instrText>
            </w:r>
            <w:r>
              <w:rPr>
                <w:webHidden/>
              </w:rPr>
            </w:r>
            <w:r>
              <w:rPr>
                <w:webHidden/>
              </w:rPr>
              <w:fldChar w:fldCharType="separate"/>
            </w:r>
            <w:r>
              <w:rPr>
                <w:webHidden/>
              </w:rPr>
              <w:t>39</w:t>
            </w:r>
            <w:r>
              <w:rPr>
                <w:webHidden/>
              </w:rPr>
              <w:fldChar w:fldCharType="end"/>
            </w:r>
          </w:hyperlink>
        </w:p>
        <w:p w14:paraId="76450BAC" w14:textId="7EC12D6B" w:rsidR="00F06202" w:rsidRPr="00F06202" w:rsidRDefault="00F06202" w:rsidP="00F06202">
          <w:pPr>
            <w:pStyle w:val="TOC2"/>
          </w:pPr>
          <w:hyperlink w:anchor="_Toc224557216" w:history="1">
            <w:r w:rsidRPr="008A0E71">
              <w:rPr>
                <w:rStyle w:val="Hyperlink"/>
              </w:rPr>
              <w:t>Data gaps and opportunities</w:t>
            </w:r>
            <w:r>
              <w:rPr>
                <w:webHidden/>
              </w:rPr>
              <w:tab/>
            </w:r>
            <w:r>
              <w:rPr>
                <w:webHidden/>
              </w:rPr>
              <w:fldChar w:fldCharType="begin"/>
            </w:r>
            <w:r>
              <w:rPr>
                <w:webHidden/>
              </w:rPr>
              <w:instrText xml:space="preserve"> PAGEREF _Toc224557216 \h </w:instrText>
            </w:r>
            <w:r>
              <w:rPr>
                <w:webHidden/>
              </w:rPr>
            </w:r>
            <w:r>
              <w:rPr>
                <w:webHidden/>
              </w:rPr>
              <w:fldChar w:fldCharType="separate"/>
            </w:r>
            <w:r>
              <w:rPr>
                <w:webHidden/>
              </w:rPr>
              <w:t>39</w:t>
            </w:r>
            <w:r>
              <w:rPr>
                <w:webHidden/>
              </w:rPr>
              <w:fldChar w:fldCharType="end"/>
            </w:r>
          </w:hyperlink>
        </w:p>
        <w:p w14:paraId="51DDCAC8" w14:textId="78957EB7" w:rsidR="00F06202" w:rsidRPr="00F06202" w:rsidRDefault="00F06202" w:rsidP="00F06202">
          <w:pPr>
            <w:pStyle w:val="TOC1"/>
          </w:pPr>
          <w:hyperlink w:anchor="_Toc224557217" w:history="1">
            <w:r w:rsidRPr="008A0E71">
              <w:rPr>
                <w:rStyle w:val="Hyperlink"/>
              </w:rPr>
              <w:t>References</w:t>
            </w:r>
            <w:r>
              <w:rPr>
                <w:webHidden/>
              </w:rPr>
              <w:tab/>
            </w:r>
            <w:r>
              <w:rPr>
                <w:webHidden/>
              </w:rPr>
              <w:fldChar w:fldCharType="begin"/>
            </w:r>
            <w:r>
              <w:rPr>
                <w:webHidden/>
              </w:rPr>
              <w:instrText xml:space="preserve"> PAGEREF _Toc224557217 \h </w:instrText>
            </w:r>
            <w:r>
              <w:rPr>
                <w:webHidden/>
              </w:rPr>
            </w:r>
            <w:r>
              <w:rPr>
                <w:webHidden/>
              </w:rPr>
              <w:fldChar w:fldCharType="separate"/>
            </w:r>
            <w:r>
              <w:rPr>
                <w:webHidden/>
              </w:rPr>
              <w:t>40</w:t>
            </w:r>
            <w:r>
              <w:rPr>
                <w:webHidden/>
              </w:rPr>
              <w:fldChar w:fldCharType="end"/>
            </w:r>
          </w:hyperlink>
        </w:p>
        <w:p w14:paraId="44B939E4" w14:textId="05F0D926" w:rsidR="00F06202" w:rsidRPr="00F06202" w:rsidRDefault="00F06202" w:rsidP="00F06202">
          <w:pPr>
            <w:pStyle w:val="TOC1"/>
          </w:pPr>
          <w:hyperlink w:anchor="_Toc224557218" w:history="1">
            <w:r w:rsidRPr="008A0E71">
              <w:rPr>
                <w:rStyle w:val="Hyperlink"/>
              </w:rPr>
              <w:t>Appendix 1: Determinants of health</w:t>
            </w:r>
            <w:r>
              <w:rPr>
                <w:webHidden/>
              </w:rPr>
              <w:tab/>
            </w:r>
            <w:r>
              <w:rPr>
                <w:webHidden/>
              </w:rPr>
              <w:fldChar w:fldCharType="begin"/>
            </w:r>
            <w:r>
              <w:rPr>
                <w:webHidden/>
              </w:rPr>
              <w:instrText xml:space="preserve"> PAGEREF _Toc224557218 \h </w:instrText>
            </w:r>
            <w:r>
              <w:rPr>
                <w:webHidden/>
              </w:rPr>
            </w:r>
            <w:r>
              <w:rPr>
                <w:webHidden/>
              </w:rPr>
              <w:fldChar w:fldCharType="separate"/>
            </w:r>
            <w:r>
              <w:rPr>
                <w:webHidden/>
              </w:rPr>
              <w:t>47</w:t>
            </w:r>
            <w:r>
              <w:rPr>
                <w:webHidden/>
              </w:rPr>
              <w:fldChar w:fldCharType="end"/>
            </w:r>
          </w:hyperlink>
        </w:p>
        <w:p w14:paraId="10EEB480" w14:textId="0FC2AEEC" w:rsidR="00F06202" w:rsidRPr="00F06202" w:rsidRDefault="00F06202" w:rsidP="00F06202">
          <w:pPr>
            <w:pStyle w:val="TOC1"/>
          </w:pPr>
          <w:hyperlink w:anchor="_Toc224557219" w:history="1">
            <w:r w:rsidRPr="008A0E71">
              <w:rPr>
                <w:rStyle w:val="Hyperlink"/>
              </w:rPr>
              <w:t>Appendix 2: Key measures for monitoring chronic conditions</w:t>
            </w:r>
            <w:r>
              <w:rPr>
                <w:webHidden/>
              </w:rPr>
              <w:tab/>
            </w:r>
            <w:r>
              <w:rPr>
                <w:webHidden/>
              </w:rPr>
              <w:fldChar w:fldCharType="begin"/>
            </w:r>
            <w:r>
              <w:rPr>
                <w:webHidden/>
              </w:rPr>
              <w:instrText xml:space="preserve"> PAGEREF _Toc224557219 \h </w:instrText>
            </w:r>
            <w:r>
              <w:rPr>
                <w:webHidden/>
              </w:rPr>
            </w:r>
            <w:r>
              <w:rPr>
                <w:webHidden/>
              </w:rPr>
              <w:fldChar w:fldCharType="separate"/>
            </w:r>
            <w:r>
              <w:rPr>
                <w:webHidden/>
              </w:rPr>
              <w:t>49</w:t>
            </w:r>
            <w:r>
              <w:rPr>
                <w:webHidden/>
              </w:rPr>
              <w:fldChar w:fldCharType="end"/>
            </w:r>
          </w:hyperlink>
        </w:p>
        <w:p w14:paraId="308F4FB8" w14:textId="0C307F79" w:rsidR="00F06202" w:rsidRPr="00F06202" w:rsidRDefault="00F06202" w:rsidP="00F06202">
          <w:pPr>
            <w:pStyle w:val="TOC1"/>
          </w:pPr>
          <w:hyperlink w:anchor="_Toc224557220" w:history="1">
            <w:r w:rsidRPr="008A0E71">
              <w:rPr>
                <w:rStyle w:val="Hyperlink"/>
              </w:rPr>
              <w:t>Abbreviations and glossary</w:t>
            </w:r>
            <w:r>
              <w:rPr>
                <w:webHidden/>
              </w:rPr>
              <w:tab/>
            </w:r>
            <w:r>
              <w:rPr>
                <w:webHidden/>
              </w:rPr>
              <w:fldChar w:fldCharType="begin"/>
            </w:r>
            <w:r>
              <w:rPr>
                <w:webHidden/>
              </w:rPr>
              <w:instrText xml:space="preserve"> PAGEREF _Toc224557220 \h </w:instrText>
            </w:r>
            <w:r>
              <w:rPr>
                <w:webHidden/>
              </w:rPr>
            </w:r>
            <w:r>
              <w:rPr>
                <w:webHidden/>
              </w:rPr>
              <w:fldChar w:fldCharType="separate"/>
            </w:r>
            <w:r>
              <w:rPr>
                <w:webHidden/>
              </w:rPr>
              <w:t>59</w:t>
            </w:r>
            <w:r>
              <w:rPr>
                <w:webHidden/>
              </w:rPr>
              <w:fldChar w:fldCharType="end"/>
            </w:r>
          </w:hyperlink>
        </w:p>
        <w:p w14:paraId="04F208AF" w14:textId="2802404D" w:rsidR="00F06202" w:rsidRPr="00F06202" w:rsidRDefault="00F06202" w:rsidP="00F06202">
          <w:pPr>
            <w:pStyle w:val="TOC2"/>
          </w:pPr>
          <w:hyperlink w:anchor="_Toc224557221" w:history="1">
            <w:r w:rsidRPr="008A0E71">
              <w:rPr>
                <w:rStyle w:val="Hyperlink"/>
              </w:rPr>
              <w:t>Abbreviations and acronyms</w:t>
            </w:r>
            <w:r>
              <w:rPr>
                <w:webHidden/>
              </w:rPr>
              <w:tab/>
            </w:r>
            <w:r>
              <w:rPr>
                <w:webHidden/>
              </w:rPr>
              <w:fldChar w:fldCharType="begin"/>
            </w:r>
            <w:r>
              <w:rPr>
                <w:webHidden/>
              </w:rPr>
              <w:instrText xml:space="preserve"> PAGEREF _Toc224557221 \h </w:instrText>
            </w:r>
            <w:r>
              <w:rPr>
                <w:webHidden/>
              </w:rPr>
            </w:r>
            <w:r>
              <w:rPr>
                <w:webHidden/>
              </w:rPr>
              <w:fldChar w:fldCharType="separate"/>
            </w:r>
            <w:r>
              <w:rPr>
                <w:webHidden/>
              </w:rPr>
              <w:t>59</w:t>
            </w:r>
            <w:r>
              <w:rPr>
                <w:webHidden/>
              </w:rPr>
              <w:fldChar w:fldCharType="end"/>
            </w:r>
          </w:hyperlink>
        </w:p>
        <w:p w14:paraId="5443D5F3" w14:textId="63E69DEF" w:rsidR="00F06202" w:rsidRPr="00F06202" w:rsidRDefault="00F06202" w:rsidP="00F06202">
          <w:pPr>
            <w:pStyle w:val="TOC2"/>
          </w:pPr>
          <w:hyperlink w:anchor="_Toc224557222" w:history="1">
            <w:r w:rsidRPr="008A0E71">
              <w:rPr>
                <w:rStyle w:val="Hyperlink"/>
              </w:rPr>
              <w:t>Glossary</w:t>
            </w:r>
            <w:r>
              <w:rPr>
                <w:webHidden/>
              </w:rPr>
              <w:tab/>
            </w:r>
            <w:r>
              <w:rPr>
                <w:webHidden/>
              </w:rPr>
              <w:fldChar w:fldCharType="begin"/>
            </w:r>
            <w:r>
              <w:rPr>
                <w:webHidden/>
              </w:rPr>
              <w:instrText xml:space="preserve"> PAGEREF _Toc224557222 \h </w:instrText>
            </w:r>
            <w:r>
              <w:rPr>
                <w:webHidden/>
              </w:rPr>
            </w:r>
            <w:r>
              <w:rPr>
                <w:webHidden/>
              </w:rPr>
              <w:fldChar w:fldCharType="separate"/>
            </w:r>
            <w:r>
              <w:rPr>
                <w:webHidden/>
              </w:rPr>
              <w:t>60</w:t>
            </w:r>
            <w:r>
              <w:rPr>
                <w:webHidden/>
              </w:rPr>
              <w:fldChar w:fldCharType="end"/>
            </w:r>
          </w:hyperlink>
        </w:p>
        <w:p w14:paraId="5700DB9E" w14:textId="4973A3D8" w:rsidR="00F06202" w:rsidRDefault="00F06202" w:rsidP="00F06202">
          <w:r w:rsidRPr="00F06202">
            <w:rPr>
              <w:lang w:val="en-GB"/>
            </w:rPr>
            <w:fldChar w:fldCharType="end"/>
          </w:r>
        </w:p>
      </w:sdtContent>
    </w:sdt>
    <w:p w14:paraId="7AE70B0B" w14:textId="72CA01D6" w:rsidR="00100F6D" w:rsidRPr="00772BC3" w:rsidRDefault="00100F6D" w:rsidP="00346C4A"/>
    <w:p w14:paraId="0C9F9B89" w14:textId="77777777" w:rsidR="00CF14A6" w:rsidRPr="00772BC3" w:rsidRDefault="00CF14A6" w:rsidP="00346C4A">
      <w:pPr>
        <w:sectPr w:rsidR="00CF14A6" w:rsidRPr="00772BC3" w:rsidSect="00CF14A6">
          <w:pgSz w:w="11906" w:h="16838"/>
          <w:pgMar w:top="1701" w:right="1418" w:bottom="1418" w:left="1418" w:header="709" w:footer="709" w:gutter="0"/>
          <w:pgNumType w:fmt="lowerRoman"/>
          <w:cols w:space="708"/>
          <w:docGrid w:linePitch="360"/>
        </w:sectPr>
      </w:pPr>
    </w:p>
    <w:p w14:paraId="0E7CB739" w14:textId="5204B674" w:rsidR="00CF14A6" w:rsidRPr="00772BC3" w:rsidRDefault="495E954D" w:rsidP="00CF14A6">
      <w:pPr>
        <w:pStyle w:val="Heading1"/>
      </w:pPr>
      <w:bookmarkStart w:id="7" w:name="_Toc224557186"/>
      <w:r>
        <w:t>Acknowledgements</w:t>
      </w:r>
      <w:bookmarkEnd w:id="7"/>
    </w:p>
    <w:p w14:paraId="618DCC23" w14:textId="6FFEFF89" w:rsidR="00CF14A6" w:rsidRPr="00772BC3" w:rsidRDefault="325F9E13" w:rsidP="00346C4A">
      <w:r>
        <w:t xml:space="preserve">The Department of Health, Disability and Ageing </w:t>
      </w:r>
      <w:r w:rsidR="01D3C632">
        <w:t xml:space="preserve">thanks all </w:t>
      </w:r>
      <w:r>
        <w:t xml:space="preserve">individuals and organisations </w:t>
      </w:r>
      <w:r w:rsidR="6000D081">
        <w:t xml:space="preserve">who </w:t>
      </w:r>
      <w:r w:rsidR="4152D761">
        <w:t>contributed to</w:t>
      </w:r>
      <w:r w:rsidR="4EBDD307">
        <w:t xml:space="preserve"> the</w:t>
      </w:r>
      <w:r>
        <w:t xml:space="preserve"> development of the National Strategic Framework for Chronic Conditions 202</w:t>
      </w:r>
      <w:r w:rsidR="0068130C">
        <w:t>6</w:t>
      </w:r>
      <w:r>
        <w:t>–35.</w:t>
      </w:r>
    </w:p>
    <w:p w14:paraId="435C2E58" w14:textId="64BD6F3C" w:rsidR="00190A46" w:rsidRPr="00772BC3" w:rsidRDefault="002B6DD5" w:rsidP="00006D93">
      <w:r w:rsidRPr="00772BC3">
        <w:t xml:space="preserve">We </w:t>
      </w:r>
      <w:r w:rsidR="005002F1" w:rsidRPr="00772BC3">
        <w:t>received over 400 submissions</w:t>
      </w:r>
      <w:r w:rsidR="002B4381" w:rsidRPr="00772BC3">
        <w:t xml:space="preserve"> through an open public </w:t>
      </w:r>
      <w:r w:rsidR="00190A46" w:rsidRPr="00772BC3">
        <w:t>consultation</w:t>
      </w:r>
      <w:r w:rsidR="002B4381" w:rsidRPr="00772BC3">
        <w:t>. These came from patients, carers,</w:t>
      </w:r>
      <w:r w:rsidR="00F066F7" w:rsidRPr="00772BC3">
        <w:t xml:space="preserve"> health organisations, academics and researchers</w:t>
      </w:r>
      <w:r w:rsidR="00190A46" w:rsidRPr="00772BC3">
        <w:t xml:space="preserve">. </w:t>
      </w:r>
      <w:r w:rsidR="00DE6C50" w:rsidRPr="00772BC3">
        <w:t xml:space="preserve">Their </w:t>
      </w:r>
      <w:r w:rsidR="001477C9" w:rsidRPr="00772BC3">
        <w:t>feedback</w:t>
      </w:r>
      <w:r w:rsidR="00DE6C50" w:rsidRPr="00772BC3">
        <w:t xml:space="preserve"> </w:t>
      </w:r>
      <w:r w:rsidR="009E3FE3" w:rsidRPr="00772BC3">
        <w:t xml:space="preserve">ensured the </w:t>
      </w:r>
      <w:r w:rsidR="002952EA" w:rsidRPr="00772BC3">
        <w:t>F</w:t>
      </w:r>
      <w:r w:rsidR="00E800CA" w:rsidRPr="00772BC3">
        <w:t xml:space="preserve">ramework </w:t>
      </w:r>
      <w:r w:rsidR="006D24D8" w:rsidRPr="00772BC3">
        <w:t>reflects</w:t>
      </w:r>
      <w:r w:rsidR="00006D93" w:rsidRPr="00772BC3">
        <w:t xml:space="preserve"> lived experience </w:t>
      </w:r>
      <w:r w:rsidR="007C2835" w:rsidRPr="00772BC3">
        <w:t>and supports better health outcomes</w:t>
      </w:r>
      <w:r w:rsidR="004F75B1" w:rsidRPr="00772BC3">
        <w:t xml:space="preserve"> for all Australians</w:t>
      </w:r>
      <w:r w:rsidR="006D24D8" w:rsidRPr="00772BC3">
        <w:t>.</w:t>
      </w:r>
    </w:p>
    <w:p w14:paraId="146C79D5" w14:textId="231D4B27" w:rsidR="00194141" w:rsidRPr="00772BC3" w:rsidRDefault="007C2835" w:rsidP="00346C4A">
      <w:r w:rsidRPr="00772BC3">
        <w:t>A Working Group of senior officials</w:t>
      </w:r>
      <w:r w:rsidR="009C2F2F" w:rsidRPr="00772BC3">
        <w:t xml:space="preserve"> from all states and territories</w:t>
      </w:r>
      <w:r w:rsidR="00F0266A" w:rsidRPr="00772BC3">
        <w:t xml:space="preserve"> provided advice throughout the development process. </w:t>
      </w:r>
      <w:r w:rsidR="005F3359" w:rsidRPr="00772BC3">
        <w:t>O</w:t>
      </w:r>
      <w:r w:rsidR="00F0266A" w:rsidRPr="00772BC3">
        <w:t>ther Commonwealth agencies</w:t>
      </w:r>
      <w:r w:rsidR="00753691" w:rsidRPr="00772BC3">
        <w:t>,</w:t>
      </w:r>
      <w:r w:rsidR="00F0266A" w:rsidRPr="00772BC3">
        <w:t xml:space="preserve"> the </w:t>
      </w:r>
      <w:r w:rsidR="0071754C" w:rsidRPr="00772BC3">
        <w:t>National Aboriginal Community Controlled Health Organisation</w:t>
      </w:r>
      <w:r w:rsidR="0025540A" w:rsidRPr="00772BC3">
        <w:t xml:space="preserve">, </w:t>
      </w:r>
      <w:r w:rsidR="0074247F" w:rsidRPr="00772BC3">
        <w:t xml:space="preserve">and </w:t>
      </w:r>
      <w:r w:rsidR="0025540A" w:rsidRPr="00772BC3">
        <w:t xml:space="preserve">chronic condition </w:t>
      </w:r>
      <w:r w:rsidR="0074247F" w:rsidRPr="00772BC3">
        <w:t>organisations and</w:t>
      </w:r>
      <w:r w:rsidR="0025540A" w:rsidRPr="00772BC3">
        <w:t xml:space="preserve"> peak bodies</w:t>
      </w:r>
      <w:r w:rsidR="005F3359" w:rsidRPr="00772BC3">
        <w:t xml:space="preserve"> have </w:t>
      </w:r>
      <w:r w:rsidR="0006295D" w:rsidRPr="00772BC3">
        <w:t>given</w:t>
      </w:r>
      <w:r w:rsidR="00B024F6" w:rsidRPr="00772BC3">
        <w:t xml:space="preserve"> their</w:t>
      </w:r>
      <w:r w:rsidR="00CE66D8" w:rsidRPr="00772BC3">
        <w:t xml:space="preserve"> </w:t>
      </w:r>
      <w:r w:rsidR="0006295D" w:rsidRPr="00772BC3">
        <w:t xml:space="preserve">time and </w:t>
      </w:r>
      <w:r w:rsidR="00CE66D8" w:rsidRPr="00772BC3">
        <w:t>expertise to</w:t>
      </w:r>
      <w:r w:rsidR="00E17FAE" w:rsidRPr="00772BC3">
        <w:t xml:space="preserve"> the development of the Framework</w:t>
      </w:r>
      <w:r w:rsidR="0071754C" w:rsidRPr="00772BC3">
        <w:t xml:space="preserve">. </w:t>
      </w:r>
      <w:r w:rsidR="004F75B1" w:rsidRPr="00772BC3">
        <w:t>Together, t</w:t>
      </w:r>
      <w:r w:rsidR="00194141" w:rsidRPr="00772BC3">
        <w:t>hese contributions</w:t>
      </w:r>
      <w:r w:rsidR="00566FBD" w:rsidRPr="00772BC3">
        <w:t xml:space="preserve"> have</w:t>
      </w:r>
      <w:r w:rsidR="00194141" w:rsidRPr="00772BC3">
        <w:t xml:space="preserve"> </w:t>
      </w:r>
      <w:r w:rsidR="00575F48" w:rsidRPr="00772BC3">
        <w:t xml:space="preserve">strengthened </w:t>
      </w:r>
      <w:r w:rsidR="00986FB4" w:rsidRPr="00772BC3">
        <w:t>the Framework’s focus on equity, collaboration and evidence-based action</w:t>
      </w:r>
      <w:r w:rsidR="00577322" w:rsidRPr="00772BC3">
        <w:t>. They have also</w:t>
      </w:r>
      <w:r w:rsidR="00986FB4" w:rsidRPr="00772BC3">
        <w:t xml:space="preserve"> </w:t>
      </w:r>
      <w:r w:rsidR="004F75B1" w:rsidRPr="00772BC3">
        <w:t>reinforced</w:t>
      </w:r>
      <w:r w:rsidR="00986FB4" w:rsidRPr="00772BC3">
        <w:t xml:space="preserve"> a shared commitment to</w:t>
      </w:r>
      <w:r w:rsidR="00685072" w:rsidRPr="00772BC3">
        <w:t xml:space="preserve"> person-centred care and long-term improvements in the prevention and management of chronic conditions</w:t>
      </w:r>
      <w:r w:rsidR="00986FB4" w:rsidRPr="00772BC3">
        <w:t>.</w:t>
      </w:r>
    </w:p>
    <w:p w14:paraId="17DD5108" w14:textId="6AC5371A" w:rsidR="00CF14A6" w:rsidRPr="00772BC3" w:rsidRDefault="40C28696" w:rsidP="00CF14A6">
      <w:pPr>
        <w:pStyle w:val="Heading1"/>
      </w:pPr>
      <w:bookmarkStart w:id="8" w:name="_Toc224557187"/>
      <w:r>
        <w:t>Executive s</w:t>
      </w:r>
      <w:r w:rsidR="5B0FF719">
        <w:t>ummary</w:t>
      </w:r>
      <w:bookmarkEnd w:id="8"/>
    </w:p>
    <w:p w14:paraId="03D97A05" w14:textId="6150F64F" w:rsidR="00BF4669" w:rsidRPr="00772BC3" w:rsidRDefault="3350E705" w:rsidP="00BF4669">
      <w:r>
        <w:t>The National Strategic Framework for Chronic Conditions 202</w:t>
      </w:r>
      <w:r w:rsidR="0068130C">
        <w:t>6</w:t>
      </w:r>
      <w:r>
        <w:t xml:space="preserve">–35 </w:t>
      </w:r>
      <w:r w:rsidR="00900E5C">
        <w:t xml:space="preserve">(the Framework) </w:t>
      </w:r>
      <w:r w:rsidR="52A8CE77">
        <w:t>sets out an approach to</w:t>
      </w:r>
      <w:r>
        <w:t xml:space="preserve"> one of Australia’s most significant health challenges, chronic conditions. These conditions </w:t>
      </w:r>
      <w:r w:rsidR="52A8CE77">
        <w:t>account for</w:t>
      </w:r>
      <w:r>
        <w:t xml:space="preserve"> the majority of the </w:t>
      </w:r>
      <w:r w:rsidR="52A8CE77">
        <w:t xml:space="preserve">country’s </w:t>
      </w:r>
      <w:r>
        <w:t xml:space="preserve">disease burden and are associated with approximately 90% of all deaths. </w:t>
      </w:r>
      <w:r w:rsidR="52A8CE77">
        <w:t>Nearly two in five</w:t>
      </w:r>
      <w:r>
        <w:t xml:space="preserve"> Australians </w:t>
      </w:r>
      <w:r w:rsidR="11F549DF">
        <w:t xml:space="preserve">live with </w:t>
      </w:r>
      <w:r>
        <w:t xml:space="preserve">multiple chronic conditions, </w:t>
      </w:r>
      <w:r w:rsidR="11F549DF">
        <w:t xml:space="preserve">highlighting the need for </w:t>
      </w:r>
      <w:r>
        <w:t xml:space="preserve">a coordinated and forward-looking </w:t>
      </w:r>
      <w:r w:rsidR="11F549DF">
        <w:t>response</w:t>
      </w:r>
      <w:r>
        <w:t>.</w:t>
      </w:r>
    </w:p>
    <w:p w14:paraId="0EC6D4D2" w14:textId="5E3EC0A7" w:rsidR="00CF14A6" w:rsidRPr="00772BC3" w:rsidRDefault="2E59D179" w:rsidP="004B22A0">
      <w:r>
        <w:t xml:space="preserve">This </w:t>
      </w:r>
      <w:r w:rsidR="0BBE0ED7">
        <w:t>F</w:t>
      </w:r>
      <w:r>
        <w:t xml:space="preserve">ramework provides </w:t>
      </w:r>
      <w:r w:rsidR="3169DCF3">
        <w:t xml:space="preserve">high-level, overarching guidance to support </w:t>
      </w:r>
      <w:r>
        <w:t xml:space="preserve">a comprehensive, multisectoral </w:t>
      </w:r>
      <w:r w:rsidR="3169DCF3">
        <w:t xml:space="preserve">effort </w:t>
      </w:r>
      <w:r>
        <w:t xml:space="preserve">focused on prevention, early intervention and equitable health care. </w:t>
      </w:r>
      <w:r w:rsidR="3169DCF3">
        <w:t xml:space="preserve">It promotes </w:t>
      </w:r>
      <w:r>
        <w:t>collaboration across governments, sectors and communities</w:t>
      </w:r>
      <w:r w:rsidR="3169DCF3">
        <w:t xml:space="preserve"> </w:t>
      </w:r>
      <w:r>
        <w:t>to reduce the impact of chronic conditions and improve health and wellbeing for all Australians</w:t>
      </w:r>
      <w:r w:rsidR="5E4F9223">
        <w:t>.</w:t>
      </w:r>
    </w:p>
    <w:p w14:paraId="7CDF3F6C" w14:textId="2871AEE5" w:rsidR="00CF14A6" w:rsidRPr="00772BC3" w:rsidRDefault="2BA3908F" w:rsidP="00346C4A">
      <w:pPr>
        <w:sectPr w:rsidR="00CF14A6" w:rsidRPr="00772BC3" w:rsidSect="00CF14A6">
          <w:pgSz w:w="11906" w:h="16838"/>
          <w:pgMar w:top="1701" w:right="1418" w:bottom="1418" w:left="1418" w:header="709" w:footer="709" w:gutter="0"/>
          <w:pgNumType w:fmt="lowerRoman"/>
          <w:cols w:space="708"/>
          <w:docGrid w:linePitch="360"/>
        </w:sectPr>
      </w:pPr>
      <w:r>
        <w:t xml:space="preserve">The </w:t>
      </w:r>
      <w:r w:rsidR="794283E3">
        <w:t>F</w:t>
      </w:r>
      <w:r>
        <w:t xml:space="preserve">ramework </w:t>
      </w:r>
      <w:r w:rsidR="3169DCF3">
        <w:t>outlines shared objectives, principles and priority areas to guide the development of policies, strategies and services across all levels of government. It is primarily directed at policymakers and is designed to support consiste</w:t>
      </w:r>
      <w:r w:rsidR="610BDF61">
        <w:t>nt, evidence-based decision-making.</w:t>
      </w:r>
      <w:r w:rsidR="38B58B50">
        <w:t xml:space="preserve"> While it informs national efforts, it does not prescribe detailed actions or timelines. Instead, it provides a foundation for collective action and long-term reform across Australia’s health system.</w:t>
      </w:r>
    </w:p>
    <w:p w14:paraId="1B9108D9" w14:textId="2C4F5412" w:rsidR="00CF14A6" w:rsidRPr="00772BC3" w:rsidRDefault="4FB954EA" w:rsidP="00CF14A6">
      <w:pPr>
        <w:pStyle w:val="Heading1"/>
      </w:pPr>
      <w:bookmarkStart w:id="9" w:name="_Toc224557188"/>
      <w:r>
        <w:t xml:space="preserve">Framework on a </w:t>
      </w:r>
      <w:r w:rsidR="0E715E80">
        <w:t>p</w:t>
      </w:r>
      <w:r>
        <w:t>age</w:t>
      </w:r>
      <w:bookmarkEnd w:id="9"/>
    </w:p>
    <w:p w14:paraId="63B6A4AD" w14:textId="6BFB83CF" w:rsidR="00CF14A6" w:rsidRPr="00772BC3" w:rsidRDefault="1F2C2486" w:rsidP="00EE19B4">
      <w:pPr>
        <w:jc w:val="center"/>
      </w:pPr>
      <w:r>
        <w:rPr>
          <w:noProof/>
        </w:rPr>
        <w:drawing>
          <wp:inline distT="0" distB="0" distL="0" distR="0" wp14:anchorId="562F9CEC" wp14:editId="32E0E739">
            <wp:extent cx="5421725" cy="8081733"/>
            <wp:effectExtent l="0" t="0" r="0" b="0"/>
            <wp:docPr id="1402537622" name="Picture 1" desc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537622" name="Picture 1" descr="A screen shot of a chart&#10;&#10;AI-generated content may be incorrect."/>
                    <pic:cNvPicPr>
                      <a:picLocks noChangeAspect="1" noChangeArrowheads="1"/>
                    </pic:cNvPicPr>
                  </pic:nvPicPr>
                  <pic:blipFill>
                    <a:blip r:embed="rId25">
                      <a:extLst>
                        <a:ext uri="{28A0092B-C50C-407E-A947-70E740481C1C}">
                          <a14:useLocalDpi xmlns:a14="http://schemas.microsoft.com/office/drawing/2010/main"/>
                        </a:ext>
                      </a:extLst>
                    </a:blip>
                    <a:srcRect/>
                    <a:stretch>
                      <a:fillRect/>
                    </a:stretch>
                  </pic:blipFill>
                  <pic:spPr bwMode="auto">
                    <a:xfrm>
                      <a:off x="0" y="0"/>
                      <a:ext cx="5421725" cy="8081733"/>
                    </a:xfrm>
                    <a:prstGeom prst="rect">
                      <a:avLst/>
                    </a:prstGeom>
                    <a:noFill/>
                  </pic:spPr>
                </pic:pic>
              </a:graphicData>
            </a:graphic>
          </wp:inline>
        </w:drawing>
      </w:r>
    </w:p>
    <w:p w14:paraId="70D867B9" w14:textId="77777777" w:rsidR="00CF14A6" w:rsidRPr="00772BC3" w:rsidRDefault="00CF14A6" w:rsidP="00346C4A">
      <w:pPr>
        <w:sectPr w:rsidR="00CF14A6" w:rsidRPr="00772BC3" w:rsidSect="00CF14A6">
          <w:pgSz w:w="11906" w:h="16838"/>
          <w:pgMar w:top="1701" w:right="1418" w:bottom="1418" w:left="1418" w:header="709" w:footer="709" w:gutter="0"/>
          <w:pgNumType w:fmt="lowerRoman"/>
          <w:cols w:space="708"/>
          <w:docGrid w:linePitch="360"/>
        </w:sectPr>
      </w:pPr>
    </w:p>
    <w:p w14:paraId="39100D1B" w14:textId="797AB73D" w:rsidR="00CF14A6" w:rsidRPr="00772BC3" w:rsidRDefault="1B453A4E" w:rsidP="00CF14A6">
      <w:pPr>
        <w:pStyle w:val="Heading1"/>
      </w:pPr>
      <w:bookmarkStart w:id="10" w:name="_Toc224557189"/>
      <w:r>
        <w:t>Part 1: Introduction</w:t>
      </w:r>
      <w:bookmarkEnd w:id="10"/>
    </w:p>
    <w:p w14:paraId="03CC1205" w14:textId="77777777" w:rsidR="00365009" w:rsidRPr="00772BC3" w:rsidRDefault="00365009" w:rsidP="00365009">
      <w:r w:rsidRPr="00772BC3">
        <w:t>Chronic conditions are the leading cause of illness, disability and death in Australia. As our population ages, the impacts from chronic conditions on individuals, communities, the health system and society are growing.</w:t>
      </w:r>
    </w:p>
    <w:p w14:paraId="46DBFC9E" w14:textId="7C625718" w:rsidR="00365009" w:rsidRPr="00772BC3" w:rsidRDefault="256FBEEE" w:rsidP="00365009">
      <w:r>
        <w:t>This National Strategic Framework for Chronic Conditions 202</w:t>
      </w:r>
      <w:r w:rsidR="0068130C">
        <w:t>6</w:t>
      </w:r>
      <w:r>
        <w:t>–35 (the Framework) is a refreshed and updated version of the 2017–25 Framework. An independent review of the 2017–25 Framework provided recommendations for the development of this refreshed Framework.</w:t>
      </w:r>
      <w:r w:rsidR="2881DB3F" w:rsidRPr="7ED665B7">
        <w:rPr>
          <w:noProof/>
          <w:vertAlign w:val="superscript"/>
        </w:rPr>
        <w:t>1</w:t>
      </w:r>
      <w:r>
        <w:t xml:space="preserve"> In early 2024</w:t>
      </w:r>
      <w:r w:rsidR="1E92C864">
        <w:t>, the</w:t>
      </w:r>
      <w:r>
        <w:t xml:space="preserve"> </w:t>
      </w:r>
      <w:r w:rsidR="1E92C864">
        <w:t>Department of Health, Disability and Ageing (the Department)</w:t>
      </w:r>
      <w:r>
        <w:t xml:space="preserve"> received over 400 survey responses to an open consultation on the refresh. </w:t>
      </w:r>
    </w:p>
    <w:p w14:paraId="00771916" w14:textId="77777777" w:rsidR="00365009" w:rsidRPr="00772BC3" w:rsidRDefault="00365009" w:rsidP="00365009">
      <w:r w:rsidRPr="00772BC3">
        <w:t>The Framework provides national guidance for a multisectoral response in the prevention and management of chronic conditions. The Framework’s guidance is prioritised into areas that provide public health benefits for chronic conditions in general, rather than focusing on specific conditions. The Framework’s five Focus Areas provide opportunities for addressing chronic conditions in Australia.</w:t>
      </w:r>
    </w:p>
    <w:p w14:paraId="740A12BE" w14:textId="3AEBD4B3" w:rsidR="00365009" w:rsidRPr="00772BC3" w:rsidRDefault="00365009" w:rsidP="00365009">
      <w:r>
        <w:t>Health promotion and education empower people to self</w:t>
      </w:r>
      <w:r w:rsidR="3568FFE8">
        <w:t>-</w:t>
      </w:r>
      <w:r>
        <w:t>manage risk factors for developing chronic conditions and in managing conditions. Prevention is a focus of the Framework but recognises not all chronic conditions are preventable. Early diagnosis and intervention are important in limiting or slowing the impacts of conditions.</w:t>
      </w:r>
    </w:p>
    <w:p w14:paraId="417DF43E" w14:textId="27048913" w:rsidR="00365009" w:rsidRPr="00772BC3" w:rsidRDefault="00365009" w:rsidP="00365009">
      <w:r w:rsidRPr="00772BC3">
        <w:t>Continuity of care to ensure that people</w:t>
      </w:r>
      <w:r w:rsidR="00DB7C6F" w:rsidRPr="00772BC3">
        <w:t>’</w:t>
      </w:r>
      <w:r w:rsidRPr="00772BC3">
        <w:t>s journeys through the healthcare system are not fragmented and disrupted is especially important for those who live with more than one chronic condition.</w:t>
      </w:r>
    </w:p>
    <w:p w14:paraId="37D3AA0A" w14:textId="044B9F1D" w:rsidR="00CF14A6" w:rsidRPr="00772BC3" w:rsidRDefault="00365009" w:rsidP="00365009">
      <w:r w:rsidRPr="00772BC3">
        <w:t>Priority populations who experience disproportionately higher prevalence and impacts of chronic conditions require tailored approaches to achieve equ</w:t>
      </w:r>
      <w:r w:rsidR="00692FA3">
        <w:t>ity</w:t>
      </w:r>
      <w:r w:rsidRPr="00772BC3">
        <w:t xml:space="preserve"> of health care. This includes understanding the impacts </w:t>
      </w:r>
      <w:r w:rsidR="00216B76">
        <w:t xml:space="preserve">that </w:t>
      </w:r>
      <w:r w:rsidRPr="00772BC3">
        <w:t>the determinants of health have on risk factors for chronic conditions and accessing proper care. These determinants often require cross-sector collaboration to improve health outcomes.</w:t>
      </w:r>
    </w:p>
    <w:p w14:paraId="56AB56F1" w14:textId="41569B20" w:rsidR="00365009" w:rsidRPr="00772BC3" w:rsidRDefault="15A235D5" w:rsidP="00365009">
      <w:pPr>
        <w:pStyle w:val="Heading2"/>
      </w:pPr>
      <w:bookmarkStart w:id="11" w:name="_Toc224557190"/>
      <w:r>
        <w:t>What are chronic conditions?</w:t>
      </w:r>
      <w:bookmarkEnd w:id="11"/>
    </w:p>
    <w:p w14:paraId="535B48A3" w14:textId="55096C65" w:rsidR="00113C97" w:rsidRPr="00772BC3" w:rsidRDefault="005727C4" w:rsidP="005727C4">
      <w:r w:rsidRPr="00772BC3">
        <w:t>Chronic conditions include a broad range of long-term health conditions. There are many different types of chronic conditions and people can experience more than one chronic condition at the same time, known as multimorbidity. Chronic conditions can occur at various stages in people’s lives, although they become more common as we age. Chronic conditions have complex and multiple causes, both preventable and non-preventable.</w:t>
      </w:r>
    </w:p>
    <w:p w14:paraId="659043D8" w14:textId="77777777" w:rsidR="00113C97" w:rsidRPr="00A3583A" w:rsidRDefault="00113C97" w:rsidP="00A3583A">
      <w:r w:rsidRPr="00A3583A">
        <w:br w:type="page"/>
      </w:r>
    </w:p>
    <w:p w14:paraId="6FFE7F63" w14:textId="77777777" w:rsidR="005727C4" w:rsidRPr="00772BC3" w:rsidRDefault="005727C4" w:rsidP="003F68B8">
      <w:pPr>
        <w:pStyle w:val="Boxtype"/>
      </w:pPr>
      <w:r w:rsidRPr="00772BC3">
        <w:t>Types of chronic conditions include, but are not limited to:</w:t>
      </w:r>
    </w:p>
    <w:p w14:paraId="0381CB72" w14:textId="1CE79FED" w:rsidR="0572A79A" w:rsidRDefault="0572A79A" w:rsidP="0B3BCADA">
      <w:pPr>
        <w:pStyle w:val="Boxtype"/>
      </w:pPr>
      <w:r>
        <w:t>•</w:t>
      </w:r>
      <w:r>
        <w:tab/>
        <w:t>cancer</w:t>
      </w:r>
      <w:r>
        <w:br/>
        <w:t>•</w:t>
      </w:r>
      <w:r>
        <w:tab/>
        <w:t>heart, stroke and vascular disease</w:t>
      </w:r>
      <w:r>
        <w:br/>
        <w:t>•</w:t>
      </w:r>
      <w:r>
        <w:tab/>
        <w:t>chronic eye conditions</w:t>
      </w:r>
      <w:r>
        <w:br/>
        <w:t>•</w:t>
      </w:r>
      <w:r>
        <w:tab/>
        <w:t>diabetes</w:t>
      </w:r>
      <w:r>
        <w:br/>
        <w:t>•</w:t>
      </w:r>
      <w:r>
        <w:tab/>
        <w:t>obesity</w:t>
      </w:r>
      <w:r>
        <w:br/>
        <w:t>•</w:t>
      </w:r>
      <w:r>
        <w:tab/>
        <w:t>endometriosis</w:t>
      </w:r>
      <w:r w:rsidR="00E82F7E">
        <w:t xml:space="preserve"> and persistent pelvic pain </w:t>
      </w:r>
      <w:r w:rsidR="001C6A03">
        <w:t xml:space="preserve">related </w:t>
      </w:r>
      <w:r w:rsidR="00E82F7E">
        <w:t>conditions</w:t>
      </w:r>
      <w:r>
        <w:br/>
        <w:t>•</w:t>
      </w:r>
      <w:r>
        <w:tab/>
        <w:t>chronic kidney disease</w:t>
      </w:r>
      <w:r>
        <w:br/>
        <w:t>•</w:t>
      </w:r>
      <w:r>
        <w:tab/>
        <w:t>musculoskeletal conditions (such as arthritis, back pain and osteoporosis)</w:t>
      </w:r>
      <w:r>
        <w:br/>
        <w:t>•</w:t>
      </w:r>
      <w:r>
        <w:tab/>
        <w:t>neurological conditions (such as dementia)</w:t>
      </w:r>
      <w:r>
        <w:br/>
        <w:t>•</w:t>
      </w:r>
      <w:r>
        <w:tab/>
        <w:t>mental health conditions</w:t>
      </w:r>
      <w:r>
        <w:br/>
        <w:t>•</w:t>
      </w:r>
      <w:r>
        <w:tab/>
        <w:t>rare diseases*</w:t>
      </w:r>
      <w:r>
        <w:br/>
        <w:t>•</w:t>
      </w:r>
      <w:r>
        <w:tab/>
        <w:t>lung and respiratory conditions (such as asthma and chronic obstructive pulmonary disease)</w:t>
      </w:r>
      <w:r>
        <w:br/>
        <w:t>•</w:t>
      </w:r>
      <w:r>
        <w:tab/>
        <w:t>genetic conditions.</w:t>
      </w:r>
    </w:p>
    <w:p w14:paraId="0B348152" w14:textId="6423C4F8" w:rsidR="0572A79A" w:rsidRDefault="0572A79A" w:rsidP="4FD68A13">
      <w:pPr>
        <w:pStyle w:val="Boxtype"/>
        <w:rPr>
          <w:vertAlign w:val="superscript"/>
          <w:lang w:val="en-AU"/>
        </w:rPr>
      </w:pPr>
      <w:r>
        <w:t>* There are over 7,000 rare chronic conditions. Rare chronic conditions affect fewer than 5 in 10,000 people and 80% of rare chronic conditions have genetic causes.</w:t>
      </w:r>
      <w:r w:rsidR="13A91AD6" w:rsidRPr="3FA1224E">
        <w:rPr>
          <w:noProof/>
          <w:vertAlign w:val="superscript"/>
          <w:lang w:val="en-AU"/>
        </w:rPr>
        <w:t>2</w:t>
      </w:r>
    </w:p>
    <w:p w14:paraId="6B4F724A" w14:textId="77777777" w:rsidR="005727C4" w:rsidRPr="00772BC3" w:rsidRDefault="005727C4" w:rsidP="005727C4">
      <w:r w:rsidRPr="00772BC3">
        <w:t>The above elements comprise a broad definition of chronic conditions for the purposes of the Framework. This broad definition is intended to ensure that the Framework applies across a broad range of conditions without focusing on condition-specific guidance.</w:t>
      </w:r>
    </w:p>
    <w:p w14:paraId="23CA6EDD" w14:textId="49D2F5A1" w:rsidR="001B2778" w:rsidRPr="00772BC3" w:rsidRDefault="3309A2CE" w:rsidP="00BF4BCD">
      <w:pPr>
        <w:pStyle w:val="Heading2"/>
      </w:pPr>
      <w:bookmarkStart w:id="12" w:name="_Toc224557191"/>
      <w:r>
        <w:t>Chronic Conditions in Australia</w:t>
      </w:r>
      <w:bookmarkEnd w:id="12"/>
    </w:p>
    <w:p w14:paraId="66ECF628" w14:textId="2CAAA050" w:rsidR="001B2778" w:rsidRPr="00A3583A" w:rsidRDefault="006C0DD4" w:rsidP="00A3583A">
      <w:pPr>
        <w:jc w:val="center"/>
        <w:rPr>
          <w:vertAlign w:val="superscript"/>
        </w:rPr>
      </w:pPr>
      <w:r w:rsidRPr="00772BC3">
        <w:rPr>
          <w:noProof/>
        </w:rPr>
        <w:drawing>
          <wp:inline distT="0" distB="0" distL="0" distR="0" wp14:anchorId="18577F39" wp14:editId="62D7D4D0">
            <wp:extent cx="5756400" cy="2840400"/>
            <wp:effectExtent l="0" t="0" r="0" b="0"/>
            <wp:docPr id="1745648024" name="Picture 2" descr="Statistics on Chronic Conditions in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648024" name="Picture 2" descr="Statistics on Chronic Conditions in Australia"/>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5756400" cy="2840400"/>
                    </a:xfrm>
                    <a:prstGeom prst="rect">
                      <a:avLst/>
                    </a:prstGeom>
                    <a:noFill/>
                    <a:ln>
                      <a:noFill/>
                    </a:ln>
                  </pic:spPr>
                </pic:pic>
              </a:graphicData>
            </a:graphic>
          </wp:inline>
        </w:drawing>
      </w:r>
      <w:r w:rsidRPr="3FA1224E">
        <w:rPr>
          <w:rStyle w:val="FootnoteReference"/>
        </w:rPr>
        <w:endnoteReference w:id="2"/>
      </w:r>
    </w:p>
    <w:p w14:paraId="7742D439" w14:textId="1C2EDFBC" w:rsidR="005727C4" w:rsidRPr="00772BC3" w:rsidRDefault="00D6442D" w:rsidP="005727C4">
      <w:r>
        <w:t>P</w:t>
      </w:r>
      <w:r w:rsidR="005727C4" w:rsidRPr="00772BC3">
        <w:t>eople with chronic conditions can experience challenges, such as deterioration of health, loss of independence, social isolation, discrimination, stigma, disability, mental health issues, difficulty in participating in education and employment, difficulty in managing or contributing to family life and relationships, and overall lower quality of life.</w:t>
      </w:r>
      <w:r w:rsidR="0AA765CD" w:rsidRPr="3FA1224E">
        <w:rPr>
          <w:noProof/>
          <w:vertAlign w:val="superscript"/>
        </w:rPr>
        <w:t>3</w:t>
      </w:r>
    </w:p>
    <w:p w14:paraId="59D479A1" w14:textId="391668DC" w:rsidR="005727C4" w:rsidRPr="00772BC3" w:rsidRDefault="005727C4" w:rsidP="005727C4">
      <w:pPr>
        <w:rPr>
          <w:rStyle w:val="FootnoteReference"/>
        </w:rPr>
      </w:pPr>
      <w:r w:rsidRPr="00772BC3">
        <w:t>Chronic conditions are the most common and leading cause of illness, disability and premature death in Australia. The prevalence of chronic conditions is increasing. The prevalence of the population living with 2 or more chronic conditions (multimorbidity) has increased at a greater rate than the prevalence with 1 chronic condition (a 33% increase from 2007–08 to 2022, compared with an 18% increase for a single condition).</w:t>
      </w:r>
      <w:r w:rsidR="1D3AEE96" w:rsidRPr="3FA1224E">
        <w:rPr>
          <w:noProof/>
          <w:vertAlign w:val="superscript"/>
        </w:rPr>
        <w:t>4</w:t>
      </w:r>
      <w:r>
        <w:t xml:space="preserve"> Chronic conditions make up a significant proportion of the burden of disease,</w:t>
      </w:r>
      <w:r w:rsidRPr="3FA1224E">
        <w:rPr>
          <w:rStyle w:val="FootnoteReference"/>
        </w:rPr>
        <w:endnoteReference w:id="3"/>
      </w:r>
      <w:r>
        <w:t xml:space="preserve"> responsible for 91% of non-fatal burden and 78% of fatal burden.</w:t>
      </w:r>
      <w:r w:rsidR="179A6A74" w:rsidRPr="3FA1224E">
        <w:rPr>
          <w:noProof/>
          <w:vertAlign w:val="superscript"/>
        </w:rPr>
        <w:t>5</w:t>
      </w:r>
      <w:r w:rsidRPr="00772BC3">
        <w:t xml:space="preserve"> 90% of all deaths in 2022 had chronic conditions as an underlying or associated cause.</w:t>
      </w:r>
      <w:r w:rsidR="6EEA0106" w:rsidRPr="3FA1224E">
        <w:rPr>
          <w:noProof/>
          <w:vertAlign w:val="superscript"/>
        </w:rPr>
        <w:t>6</w:t>
      </w:r>
      <w:r w:rsidRPr="00772BC3">
        <w:t xml:space="preserve"> With a population who are older and living longer, the burden of chronic conditions continues to grow.</w:t>
      </w:r>
    </w:p>
    <w:p w14:paraId="474AF71F" w14:textId="3CAD8597" w:rsidR="005727C4" w:rsidRPr="00772BC3" w:rsidRDefault="005727C4" w:rsidP="005727C4">
      <w:r w:rsidRPr="00772BC3">
        <w:t>Being a carer for someone with chronic conditions can have significant health, economic and social impacts on a person. Women are more likely to be primary carers, placing them at greater risk of depression, financial stress, and poor physical health due to caring responsibilities. These impacts are often more pronounced for Aboriginal and Torres Strait Islander women who are carers and already fac</w:t>
      </w:r>
      <w:r w:rsidR="00BB5B43">
        <w:t>e</w:t>
      </w:r>
      <w:r w:rsidRPr="00772BC3">
        <w:t xml:space="preserve"> systemic disadvantage.</w:t>
      </w:r>
      <w:r w:rsidR="742300FF" w:rsidRPr="3FA1224E">
        <w:rPr>
          <w:noProof/>
          <w:vertAlign w:val="superscript"/>
        </w:rPr>
        <w:t>7</w:t>
      </w:r>
    </w:p>
    <w:p w14:paraId="21F72DBD" w14:textId="77777777" w:rsidR="005727C4" w:rsidRPr="00772BC3" w:rsidRDefault="005727C4" w:rsidP="00BC0CC7">
      <w:pPr>
        <w:pStyle w:val="Boxheading"/>
      </w:pPr>
      <w:r w:rsidRPr="00772BC3">
        <w:t>A NOTE ON THE REPORTING OF THE PREVALENCE OF CHRONIC CONDITIONS</w:t>
      </w:r>
    </w:p>
    <w:p w14:paraId="22A27E75" w14:textId="35CBDAE1" w:rsidR="005727C4" w:rsidRPr="00772BC3" w:rsidRDefault="3A4BDA9B" w:rsidP="00BC0CC7">
      <w:pPr>
        <w:pStyle w:val="Boxtype"/>
      </w:pPr>
      <w:r>
        <w:t xml:space="preserve">The previous (2017) version of the Framework used </w:t>
      </w:r>
      <w:r w:rsidR="52ED29E6">
        <w:t>Australian Institute of Health and Welfare (</w:t>
      </w:r>
      <w:r>
        <w:t>AIHW</w:t>
      </w:r>
      <w:r w:rsidR="52ED29E6">
        <w:t>)</w:t>
      </w:r>
      <w:r>
        <w:t xml:space="preserve"> reports using </w:t>
      </w:r>
      <w:r w:rsidR="7E57F8A8">
        <w:t>Australian Bureau of Statistics (</w:t>
      </w:r>
      <w:r>
        <w:t>ABS</w:t>
      </w:r>
      <w:r w:rsidR="7E57F8A8">
        <w:t>)</w:t>
      </w:r>
      <w:r>
        <w:t xml:space="preserve"> data on 8 selected chronic conditions to report that around 50% of people in Australia had at least one chronic condition. This refreshed </w:t>
      </w:r>
      <w:r w:rsidR="3F514CDA">
        <w:t>F</w:t>
      </w:r>
      <w:r>
        <w:t>ramework uses AIHW data on more (72) chronic conditions to show that 61% of people have at least one chronic condition.</w:t>
      </w:r>
      <w:r w:rsidR="72675F56" w:rsidRPr="3FA1224E">
        <w:rPr>
          <w:noProof/>
          <w:vertAlign w:val="superscript"/>
          <w:lang w:val="en-AU"/>
        </w:rPr>
        <w:t>8</w:t>
      </w:r>
      <w:r>
        <w:t xml:space="preserve"> This higher number is more likely to reflect the true prevalence of chronic conditions but may still underestimate them. Surveys that measure the prevalence of chronic conditions do not include places such as residential aged care facilities, hospitals, prisons, or people living in very remote parts of Australia — places that often have higher levels of chronic conditions.</w:t>
      </w:r>
    </w:p>
    <w:p w14:paraId="4EDA1D54" w14:textId="696393DB" w:rsidR="005727C4" w:rsidRPr="00772BC3" w:rsidRDefault="3309A2CE" w:rsidP="00D37904">
      <w:pPr>
        <w:pStyle w:val="Heading3"/>
      </w:pPr>
      <w:bookmarkStart w:id="13" w:name="_Toc224557192"/>
      <w:r>
        <w:t>Priority populations</w:t>
      </w:r>
      <w:bookmarkEnd w:id="13"/>
    </w:p>
    <w:p w14:paraId="20A3FCA7" w14:textId="5912BB23" w:rsidR="005727C4" w:rsidRPr="00772BC3" w:rsidRDefault="005727C4" w:rsidP="005727C4">
      <w:r w:rsidRPr="00772BC3">
        <w:t xml:space="preserve">Certain groups within the Australian population experience poorer health outcomes and a disproportionate burden of disease, often due to social and structural disadvantages. These groups are designated as ‘priority populations’ and include, but are not limited to, Aboriginal and Torres Strait Islander </w:t>
      </w:r>
      <w:r w:rsidR="381F9E6D">
        <w:t>people</w:t>
      </w:r>
      <w:r w:rsidR="5F99EE8F">
        <w:t>s</w:t>
      </w:r>
      <w:r w:rsidRPr="00772BC3">
        <w:t>, people from culturally and linguistically diverse (CALD) backgrounds, people with mental illness or disability, people living in remote, rural and regional areas, and people experiencing socio-economic disadvantage. Individuals may belong to more than one of these groups, compounding their health challenges. Addressing health inequities requires tailored approaches and shared decision-making to improve access to appropriate health care for prevention, early intervention and management of chronic conditions for priority populations.</w:t>
      </w:r>
    </w:p>
    <w:p w14:paraId="4E20640A" w14:textId="77777777" w:rsidR="005727C4" w:rsidRPr="00772BC3" w:rsidRDefault="005727C4" w:rsidP="00D37904">
      <w:pPr>
        <w:pStyle w:val="Boxtype"/>
      </w:pPr>
      <w:r w:rsidRPr="00772BC3">
        <w:t>Challenges and barriers for priority populations*:</w:t>
      </w:r>
    </w:p>
    <w:p w14:paraId="67616D58" w14:textId="63CDD23A" w:rsidR="005727C4" w:rsidRPr="00772BC3" w:rsidRDefault="005727C4" w:rsidP="00D37904">
      <w:pPr>
        <w:pStyle w:val="Boxtype"/>
      </w:pPr>
      <w:r w:rsidRPr="00772BC3">
        <w:rPr>
          <w:lang w:val="en-US"/>
        </w:rPr>
        <w:t>•</w:t>
      </w:r>
      <w:r w:rsidRPr="00772BC3">
        <w:tab/>
      </w:r>
      <w:r w:rsidRPr="00772BC3">
        <w:rPr>
          <w:lang w:val="en-US"/>
        </w:rPr>
        <w:t>systemic and interpersonal racism</w:t>
      </w:r>
      <w:r w:rsidR="001B2778" w:rsidRPr="00772BC3">
        <w:br/>
      </w:r>
      <w:r w:rsidRPr="00772BC3">
        <w:rPr>
          <w:lang w:val="en-US"/>
        </w:rPr>
        <w:t>•</w:t>
      </w:r>
      <w:r w:rsidRPr="00772BC3">
        <w:tab/>
      </w:r>
      <w:r w:rsidRPr="00772BC3">
        <w:rPr>
          <w:lang w:val="en-US"/>
        </w:rPr>
        <w:t>discrimination</w:t>
      </w:r>
      <w:r w:rsidR="001B2778" w:rsidRPr="00772BC3">
        <w:br/>
      </w:r>
      <w:r w:rsidRPr="00772BC3">
        <w:rPr>
          <w:lang w:val="en-US"/>
        </w:rPr>
        <w:t>•</w:t>
      </w:r>
      <w:r w:rsidRPr="00772BC3">
        <w:tab/>
      </w:r>
      <w:r w:rsidRPr="00772BC3">
        <w:rPr>
          <w:lang w:val="en-US"/>
        </w:rPr>
        <w:t>trauma</w:t>
      </w:r>
      <w:r w:rsidR="001B2778" w:rsidRPr="00772BC3">
        <w:br/>
      </w:r>
      <w:r w:rsidRPr="00772BC3">
        <w:rPr>
          <w:lang w:val="en-US"/>
        </w:rPr>
        <w:t>•</w:t>
      </w:r>
      <w:r w:rsidRPr="00772BC3">
        <w:tab/>
      </w:r>
      <w:r w:rsidRPr="00772BC3">
        <w:rPr>
          <w:lang w:val="en-US"/>
        </w:rPr>
        <w:t>stigma</w:t>
      </w:r>
      <w:r w:rsidR="001B2778" w:rsidRPr="00772BC3">
        <w:br/>
      </w:r>
      <w:r w:rsidRPr="00772BC3">
        <w:rPr>
          <w:lang w:val="en-US"/>
        </w:rPr>
        <w:t>•</w:t>
      </w:r>
      <w:r w:rsidRPr="00772BC3">
        <w:tab/>
      </w:r>
      <w:r w:rsidRPr="00772BC3">
        <w:rPr>
          <w:lang w:val="en-US"/>
        </w:rPr>
        <w:t>language barriers</w:t>
      </w:r>
      <w:r w:rsidR="00482DCF" w:rsidRPr="00772BC3">
        <w:br/>
      </w:r>
      <w:r w:rsidRPr="00772BC3">
        <w:rPr>
          <w:lang w:val="en-US"/>
        </w:rPr>
        <w:t>•</w:t>
      </w:r>
      <w:r w:rsidRPr="00772BC3">
        <w:tab/>
      </w:r>
      <w:r w:rsidRPr="00772BC3">
        <w:rPr>
          <w:lang w:val="en-US"/>
        </w:rPr>
        <w:t>remote locations</w:t>
      </w:r>
      <w:r w:rsidR="00482DCF" w:rsidRPr="00772BC3">
        <w:br/>
      </w:r>
      <w:r w:rsidRPr="00772BC3">
        <w:rPr>
          <w:lang w:val="en-US"/>
        </w:rPr>
        <w:t>•</w:t>
      </w:r>
      <w:r w:rsidRPr="00772BC3">
        <w:tab/>
      </w:r>
      <w:r w:rsidRPr="00772BC3">
        <w:rPr>
          <w:lang w:val="en-US"/>
        </w:rPr>
        <w:t>access to care</w:t>
      </w:r>
      <w:r w:rsidR="00482DCF" w:rsidRPr="00772BC3">
        <w:br/>
      </w:r>
      <w:r w:rsidRPr="00772BC3">
        <w:rPr>
          <w:lang w:val="en-US"/>
        </w:rPr>
        <w:t>•</w:t>
      </w:r>
      <w:r w:rsidRPr="00772BC3">
        <w:tab/>
      </w:r>
      <w:r w:rsidRPr="00772BC3">
        <w:rPr>
          <w:lang w:val="en-US"/>
        </w:rPr>
        <w:t>access to transport</w:t>
      </w:r>
      <w:r w:rsidR="00482DCF" w:rsidRPr="00772BC3">
        <w:br/>
      </w:r>
      <w:r w:rsidRPr="00772BC3">
        <w:rPr>
          <w:lang w:val="en-US"/>
        </w:rPr>
        <w:t>•</w:t>
      </w:r>
      <w:r w:rsidRPr="00772BC3">
        <w:tab/>
      </w:r>
      <w:r w:rsidRPr="00772BC3">
        <w:rPr>
          <w:lang w:val="en-US"/>
        </w:rPr>
        <w:t>homelessness</w:t>
      </w:r>
      <w:r w:rsidR="00482DCF" w:rsidRPr="00772BC3">
        <w:br/>
      </w:r>
      <w:r w:rsidRPr="00772BC3">
        <w:rPr>
          <w:lang w:val="en-US"/>
        </w:rPr>
        <w:t>•</w:t>
      </w:r>
      <w:r w:rsidRPr="00772BC3">
        <w:tab/>
      </w:r>
      <w:r w:rsidRPr="00772BC3">
        <w:rPr>
          <w:lang w:val="en-US"/>
        </w:rPr>
        <w:t>housing problems (including overcrowding, lack of amenities)</w:t>
      </w:r>
      <w:r w:rsidR="00482DCF" w:rsidRPr="00772BC3">
        <w:br/>
      </w:r>
      <w:r w:rsidRPr="00772BC3">
        <w:rPr>
          <w:lang w:val="en-US"/>
        </w:rPr>
        <w:t>•</w:t>
      </w:r>
      <w:r w:rsidRPr="00772BC3">
        <w:tab/>
      </w:r>
      <w:r w:rsidRPr="00772BC3">
        <w:rPr>
          <w:lang w:val="en-US"/>
        </w:rPr>
        <w:t>food access, availability and affordability</w:t>
      </w:r>
      <w:r w:rsidR="00482DCF" w:rsidRPr="00772BC3">
        <w:br/>
      </w:r>
      <w:r w:rsidRPr="00772BC3">
        <w:rPr>
          <w:lang w:val="en-US"/>
        </w:rPr>
        <w:t>•</w:t>
      </w:r>
      <w:r w:rsidRPr="00772BC3">
        <w:tab/>
      </w:r>
      <w:r w:rsidRPr="00772BC3">
        <w:rPr>
          <w:lang w:val="en-US"/>
        </w:rPr>
        <w:t>domestic, family and sexual violence</w:t>
      </w:r>
      <w:r w:rsidR="00482DCF" w:rsidRPr="00772BC3">
        <w:br/>
      </w:r>
      <w:r w:rsidRPr="00772BC3">
        <w:rPr>
          <w:lang w:val="en-US"/>
        </w:rPr>
        <w:t>•</w:t>
      </w:r>
      <w:r w:rsidRPr="00772BC3">
        <w:tab/>
      </w:r>
      <w:r w:rsidRPr="00772BC3">
        <w:rPr>
          <w:lang w:val="en-US"/>
        </w:rPr>
        <w:t>reliable digital environments</w:t>
      </w:r>
    </w:p>
    <w:p w14:paraId="1FACC294" w14:textId="77777777" w:rsidR="005727C4" w:rsidRPr="00772BC3" w:rsidRDefault="005727C4" w:rsidP="00D37904">
      <w:pPr>
        <w:pStyle w:val="Boxtype"/>
      </w:pPr>
      <w:r w:rsidRPr="00772BC3">
        <w:t>* This is not an exhaustive list of challenges and barriers. It provides a snapshot of the type of issues that may be experienced by some priority populations.</w:t>
      </w:r>
    </w:p>
    <w:p w14:paraId="41B17A0A" w14:textId="474639EE" w:rsidR="005727C4" w:rsidRPr="00772BC3" w:rsidRDefault="005727C4" w:rsidP="005727C4">
      <w:r w:rsidRPr="00772BC3">
        <w:t>Intersectionality describes how different aspects of an individual’s identity can overlap and have cumulative effects from multiple forms of systemic discrimination and marginalisation. Discrimination in society and systems, when combined with aspects of an individual’s identity can combine to create distinct disadvantage for some population groups (and advantage for other groups).</w:t>
      </w:r>
      <w:r w:rsidR="2F2953B7" w:rsidRPr="3FA1224E">
        <w:rPr>
          <w:noProof/>
          <w:vertAlign w:val="superscript"/>
        </w:rPr>
        <w:t>9</w:t>
      </w:r>
      <w:r w:rsidRPr="00772BC3">
        <w:t xml:space="preserve"> Intersectionality recognises that aspects of an individual’s identity are not independent and that one aspect alone, such as race, cannot explain the disadvantage that some populations experience. Intersectionality recognises that factors beyond the control of individuals, including determinants of health, have substantial effects on behaviour and health. Many of these factors require systemic change to have a positive impact on health.</w:t>
      </w:r>
    </w:p>
    <w:p w14:paraId="56A74ACB" w14:textId="4E083A1F" w:rsidR="00622362" w:rsidRPr="00772BC3" w:rsidRDefault="005727C4" w:rsidP="00A3583A">
      <w:r w:rsidRPr="00772BC3">
        <w:t>Enhancing and targeting support for priority populations, including discussion of intersectionality, is discussed in more detail in Focus Area 5.</w:t>
      </w:r>
    </w:p>
    <w:p w14:paraId="2EBFF79E" w14:textId="0BD4F539" w:rsidR="005727C4" w:rsidRPr="00772BC3" w:rsidRDefault="52149EB0" w:rsidP="00C06876">
      <w:pPr>
        <w:jc w:val="center"/>
      </w:pPr>
      <w:r>
        <w:rPr>
          <w:noProof/>
        </w:rPr>
        <w:drawing>
          <wp:inline distT="0" distB="0" distL="0" distR="0" wp14:anchorId="429D2100" wp14:editId="5A94A464">
            <wp:extent cx="5759450" cy="2934335"/>
            <wp:effectExtent l="0" t="0" r="0" b="0"/>
            <wp:docPr id="827256347" name="Picture 1" descr="Examples of priority groups and their inters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7256347" name="Picture 1" descr="Examples of priority groups and their intersections"/>
                    <pic:cNvPicPr/>
                  </pic:nvPicPr>
                  <pic:blipFill>
                    <a:blip r:embed="rId27"/>
                    <a:stretch>
                      <a:fillRect/>
                    </a:stretch>
                  </pic:blipFill>
                  <pic:spPr>
                    <a:xfrm>
                      <a:off x="0" y="0"/>
                      <a:ext cx="5759450" cy="2934335"/>
                    </a:xfrm>
                    <a:prstGeom prst="rect">
                      <a:avLst/>
                    </a:prstGeom>
                  </pic:spPr>
                </pic:pic>
              </a:graphicData>
            </a:graphic>
          </wp:inline>
        </w:drawing>
      </w:r>
    </w:p>
    <w:p w14:paraId="158B3727" w14:textId="76A35361" w:rsidR="005727C4" w:rsidRPr="00772BC3" w:rsidRDefault="3309A2CE" w:rsidP="009A7E15">
      <w:pPr>
        <w:pStyle w:val="Heading3"/>
      </w:pPr>
      <w:bookmarkStart w:id="14" w:name="_Toc224557193"/>
      <w:r>
        <w:t>Determinants of health</w:t>
      </w:r>
      <w:bookmarkEnd w:id="14"/>
    </w:p>
    <w:p w14:paraId="18CF82FA" w14:textId="6C293507" w:rsidR="005727C4" w:rsidRPr="00772BC3" w:rsidRDefault="005727C4" w:rsidP="005727C4">
      <w:pPr>
        <w:rPr>
          <w:rStyle w:val="FootnoteReference"/>
        </w:rPr>
      </w:pPr>
      <w:r>
        <w:t>The likelihood of developing chronic conditions and the impact those conditions have on the health of people are influenced by a variety of factors, known as the determinants of health. They are often beyond the control of individuals and the health system</w:t>
      </w:r>
      <w:r w:rsidR="53C1475B">
        <w:t>. This</w:t>
      </w:r>
      <w:r>
        <w:t>include</w:t>
      </w:r>
      <w:r w:rsidR="4CDAF665">
        <w:t>s</w:t>
      </w:r>
      <w:r>
        <w:t xml:space="preserve"> the social, cultural, environmental, structural, economic, biomedical, commercial, and digital environments in which we live, work, play, and age. Determinants of health have protective and adverse effects on individuals and can influence behaviours that impact on the risk of developing, and the management of, chronic conditions. </w:t>
      </w:r>
    </w:p>
    <w:p w14:paraId="6BE05FF3" w14:textId="03E43805" w:rsidR="005727C4" w:rsidRPr="00772BC3" w:rsidRDefault="14FC7090" w:rsidP="005727C4">
      <w:r>
        <w:t xml:space="preserve">The determinants of health are discussed in more detail in the </w:t>
      </w:r>
      <w:hyperlink r:id="rId28">
        <w:r w:rsidRPr="7ED665B7">
          <w:rPr>
            <w:rStyle w:val="Hyperlink"/>
          </w:rPr>
          <w:t>National Preventive Health Strategy 2021–2030</w:t>
        </w:r>
      </w:hyperlink>
      <w:r>
        <w:t xml:space="preserve"> and in an AIHW topic summary.</w:t>
      </w:r>
      <w:r w:rsidR="5A655C96" w:rsidRPr="3FA1224E">
        <w:rPr>
          <w:noProof/>
          <w:vertAlign w:val="superscript"/>
        </w:rPr>
        <w:t>1</w:t>
      </w:r>
      <w:r w:rsidR="7A039B28" w:rsidRPr="3FA1224E">
        <w:rPr>
          <w:noProof/>
          <w:vertAlign w:val="superscript"/>
        </w:rPr>
        <w:t>0</w:t>
      </w:r>
      <w:r>
        <w:t xml:space="preserve"> Most determinants of health require consideration beyond just the health sector. Collaboration across sectors, including beyond the health system, is vital to making a difference in the health of people living in Australia. More information on the determinants of health are provided in Appendix 1.</w:t>
      </w:r>
    </w:p>
    <w:p w14:paraId="19CDD0C9" w14:textId="6B8C5A31" w:rsidR="005727C4" w:rsidRPr="00772BC3" w:rsidRDefault="3309A2CE" w:rsidP="00081971">
      <w:pPr>
        <w:pStyle w:val="Heading3"/>
      </w:pPr>
      <w:bookmarkStart w:id="15" w:name="_Toc224557194"/>
      <w:r>
        <w:t>Impact on healthcare system</w:t>
      </w:r>
      <w:bookmarkEnd w:id="15"/>
    </w:p>
    <w:p w14:paraId="07CF6AE4" w14:textId="7A6B3F54" w:rsidR="005727C4" w:rsidRPr="00772BC3" w:rsidRDefault="005727C4" w:rsidP="005727C4">
      <w:pPr>
        <w:rPr>
          <w:vertAlign w:val="superscript"/>
        </w:rPr>
      </w:pPr>
      <w:r w:rsidRPr="00772BC3">
        <w:t>Most care for chronic conditions is provided in the primary healthcare setting.</w:t>
      </w:r>
      <w:r w:rsidR="0023629E" w:rsidRPr="3FA1224E">
        <w:rPr>
          <w:noProof/>
          <w:vertAlign w:val="superscript"/>
        </w:rPr>
        <w:t>1</w:t>
      </w:r>
      <w:r w:rsidR="27C7DCB4" w:rsidRPr="3FA1224E">
        <w:rPr>
          <w:noProof/>
          <w:vertAlign w:val="superscript"/>
        </w:rPr>
        <w:t>1</w:t>
      </w:r>
      <w:r w:rsidRPr="00772BC3">
        <w:t xml:space="preserve"> The increasing prevalence of chronic conditions will place more pressure on the primary care sector in Australia. Challenges with timeliness and continuity of care in primary care settings may increase the likelihood of individuals seeking care from hospitals. </w:t>
      </w:r>
      <w:r w:rsidR="00A83639">
        <w:t>I</w:t>
      </w:r>
      <w:r w:rsidR="00A83639" w:rsidRPr="00772BC3">
        <w:t>n 2021–22</w:t>
      </w:r>
      <w:r w:rsidR="00A83639">
        <w:t>,</w:t>
      </w:r>
      <w:r w:rsidR="00A83639" w:rsidRPr="00772BC3">
        <w:t xml:space="preserve"> </w:t>
      </w:r>
      <w:r w:rsidRPr="00772BC3">
        <w:t>55% of all hospitalisations w</w:t>
      </w:r>
      <w:r w:rsidR="00A83639">
        <w:t>ere</w:t>
      </w:r>
      <w:r w:rsidRPr="00772BC3">
        <w:t xml:space="preserve"> associated with chronic conditions, with average length of stay 2.3 times longer than for other hospitalisations (3.7 days, compared to 1.6 days). Hospitalisations associated with chronic conditions accounted for 74% of total patient days in 2021–22.</w:t>
      </w:r>
      <w:r w:rsidR="0023629E" w:rsidRPr="3FA1224E">
        <w:rPr>
          <w:noProof/>
          <w:vertAlign w:val="superscript"/>
        </w:rPr>
        <w:t>1</w:t>
      </w:r>
      <w:r w:rsidR="37FF9152" w:rsidRPr="3FA1224E">
        <w:rPr>
          <w:noProof/>
          <w:vertAlign w:val="superscript"/>
        </w:rPr>
        <w:t>2</w:t>
      </w:r>
    </w:p>
    <w:p w14:paraId="5EDD043F" w14:textId="1F16F02A" w:rsidR="000E445B" w:rsidRPr="00A3583A" w:rsidRDefault="005727C4" w:rsidP="00A3583A">
      <w:pPr>
        <w:rPr>
          <w:vertAlign w:val="superscript"/>
        </w:rPr>
      </w:pPr>
      <w:r w:rsidRPr="00772BC3">
        <w:t>Spending on chronic conditions in 2022–23 ($82 billion) accounted for almost half (48%) of all disease-specific expenditure. Total disease spending increased by $70.5 billion between 2013–14 and 2022–23, much of which was due to increased spending on chronic conditions ($38.2 billion).</w:t>
      </w:r>
      <w:r w:rsidR="0023629E" w:rsidRPr="3FA1224E">
        <w:rPr>
          <w:noProof/>
          <w:vertAlign w:val="superscript"/>
        </w:rPr>
        <w:t>1</w:t>
      </w:r>
      <w:r w:rsidR="6BA74A51" w:rsidRPr="3FA1224E">
        <w:rPr>
          <w:noProof/>
          <w:vertAlign w:val="superscript"/>
        </w:rPr>
        <w:t>3</w:t>
      </w:r>
    </w:p>
    <w:p w14:paraId="49EFF958" w14:textId="21335B24" w:rsidR="005727C4" w:rsidRPr="00772BC3" w:rsidRDefault="00122934" w:rsidP="00122934">
      <w:pPr>
        <w:jc w:val="center"/>
      </w:pPr>
      <w:r w:rsidRPr="00772BC3">
        <w:rPr>
          <w:noProof/>
        </w:rPr>
        <w:drawing>
          <wp:inline distT="0" distB="0" distL="0" distR="0" wp14:anchorId="4A3C4826" wp14:editId="583FD42F">
            <wp:extent cx="5759450" cy="1794929"/>
            <wp:effectExtent l="0" t="0" r="0" b="0"/>
            <wp:docPr id="1159137684" name="Picture 1" descr="Statistics on the Impact on the Healthcare Syste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137684" name="Picture 1" descr="Statistics on the Impact on the Healthcare System "/>
                    <pic:cNvPicPr/>
                  </pic:nvPicPr>
                  <pic:blipFill>
                    <a:blip r:embed="rId29">
                      <a:extLst>
                        <a:ext uri="{28A0092B-C50C-407E-A947-70E740481C1C}">
                          <a14:useLocalDpi xmlns:a14="http://schemas.microsoft.com/office/drawing/2010/main" val="0"/>
                        </a:ext>
                      </a:extLst>
                    </a:blip>
                    <a:stretch>
                      <a:fillRect/>
                    </a:stretch>
                  </pic:blipFill>
                  <pic:spPr>
                    <a:xfrm>
                      <a:off x="0" y="0"/>
                      <a:ext cx="5759450" cy="1794929"/>
                    </a:xfrm>
                    <a:prstGeom prst="rect">
                      <a:avLst/>
                    </a:prstGeom>
                  </pic:spPr>
                </pic:pic>
              </a:graphicData>
            </a:graphic>
          </wp:inline>
        </w:drawing>
      </w:r>
    </w:p>
    <w:p w14:paraId="163D76CB" w14:textId="1BE95961" w:rsidR="005727C4" w:rsidRPr="00772BC3" w:rsidRDefault="3309A2CE" w:rsidP="00410012">
      <w:pPr>
        <w:pStyle w:val="Heading2"/>
      </w:pPr>
      <w:bookmarkStart w:id="16" w:name="_Toc224557195"/>
      <w:r>
        <w:t>How should the Framework be used?</w:t>
      </w:r>
      <w:bookmarkEnd w:id="16"/>
    </w:p>
    <w:p w14:paraId="4F030AB5" w14:textId="77777777" w:rsidR="005727C4" w:rsidRPr="00772BC3" w:rsidRDefault="005727C4" w:rsidP="005727C4">
      <w:r w:rsidRPr="00772BC3">
        <w:t>The Framework offers a shared understanding of the issues posed by chronic conditions in Australia and provides evidence-based guidance for developing strategies, plans and activities to address these challenges. The Framework’s guidance does not focus on a single chronic condition, it encourages holistic and collaborative approaches for the prevention, diagnosis, early intervention, care, and management of conditions. The Framework should be read in partnership with other related policies, plans and strategies.</w:t>
      </w:r>
    </w:p>
    <w:p w14:paraId="42BEAE1A" w14:textId="1D0A2957" w:rsidR="005727C4" w:rsidRPr="00772BC3" w:rsidRDefault="005727C4" w:rsidP="005727C4">
      <w:r w:rsidRPr="00772BC3">
        <w:t>The Framework is primarily directed at government decision and policy makers at national, state</w:t>
      </w:r>
      <w:r w:rsidR="0069049C">
        <w:t>, territory</w:t>
      </w:r>
      <w:r w:rsidRPr="00772BC3">
        <w:t xml:space="preserve"> and local levels, enabling all levels of government to work together to provide </w:t>
      </w:r>
      <w:r w:rsidR="002746C3">
        <w:t>coordinated</w:t>
      </w:r>
      <w:r w:rsidRPr="00772BC3">
        <w:t xml:space="preserve"> leadership in the delivery of more effective and collaborative approaches to addressing the challenges of chronic conditions. The Framework’s Focus Areas represent the high-level priorities to take forward to address the Vision. The Focus Areas should be viewed as intersecting and overlapping pieces of guidance for the development of approaches targeting broader positive impacts on chronic conditions. </w:t>
      </w:r>
    </w:p>
    <w:p w14:paraId="2829E7F3" w14:textId="77777777" w:rsidR="005727C4" w:rsidRPr="00772BC3" w:rsidRDefault="005727C4" w:rsidP="005727C4">
      <w:r w:rsidRPr="00772BC3">
        <w:t>Non-government stakeholders can use the content of this Framework towards understanding issues related to chronic conditions and the guidance informing policy decision makers. The Focus Areas are a resource to guide non-government stakeholders to design initiatives supporting the prevention and management of chronic conditions.</w:t>
      </w:r>
    </w:p>
    <w:p w14:paraId="6AB41A36" w14:textId="77777777" w:rsidR="005727C4" w:rsidRPr="00772BC3" w:rsidRDefault="005727C4" w:rsidP="005727C4">
      <w:r w:rsidRPr="00772BC3">
        <w:t>Recognising the wider determinants of health, the Framework acknowledges that collaboration and partnerships across government, private sector, and non-government organisations is required.</w:t>
      </w:r>
    </w:p>
    <w:p w14:paraId="1A5E67A8" w14:textId="5B8F7E23" w:rsidR="005727C4" w:rsidRPr="00772BC3" w:rsidRDefault="3309A2CE" w:rsidP="00DD22FB">
      <w:pPr>
        <w:pStyle w:val="Heading2"/>
      </w:pPr>
      <w:bookmarkStart w:id="17" w:name="_Toc224557196"/>
      <w:r>
        <w:t>Vision</w:t>
      </w:r>
      <w:bookmarkEnd w:id="17"/>
    </w:p>
    <w:p w14:paraId="32BB49EF" w14:textId="77777777" w:rsidR="005727C4" w:rsidRPr="00772BC3" w:rsidRDefault="005727C4" w:rsidP="005727C4">
      <w:r w:rsidRPr="00772BC3">
        <w:t>All people living in Australia experience a healthier and improved quality of life through effective prevention, early detection and intervention, and management of all chronic conditions.</w:t>
      </w:r>
    </w:p>
    <w:p w14:paraId="56102E9D" w14:textId="655DE7EF" w:rsidR="005727C4" w:rsidRPr="00772BC3" w:rsidRDefault="3309A2CE" w:rsidP="00DD22FB">
      <w:pPr>
        <w:pStyle w:val="Heading2"/>
      </w:pPr>
      <w:bookmarkStart w:id="18" w:name="_Toc224557197"/>
      <w:r>
        <w:t>Purpose</w:t>
      </w:r>
      <w:bookmarkEnd w:id="18"/>
    </w:p>
    <w:p w14:paraId="45D9203D" w14:textId="77777777" w:rsidR="005727C4" w:rsidRPr="00772BC3" w:rsidRDefault="005727C4" w:rsidP="005727C4">
      <w:r w:rsidRPr="00772BC3">
        <w:t>To guide the development and prioritisation of policies, strategies, actions and services to address chronic conditions in Australia.</w:t>
      </w:r>
    </w:p>
    <w:p w14:paraId="35B6B0E2" w14:textId="0BCDB453" w:rsidR="005727C4" w:rsidRPr="00772BC3" w:rsidRDefault="3309A2CE" w:rsidP="00F70490">
      <w:pPr>
        <w:pStyle w:val="Heading2"/>
      </w:pPr>
      <w:bookmarkStart w:id="19" w:name="_Toc224557198"/>
      <w:r>
        <w:t>Guiding principles</w:t>
      </w:r>
      <w:bookmarkEnd w:id="19"/>
    </w:p>
    <w:p w14:paraId="3CAC9715" w14:textId="77777777" w:rsidR="005727C4" w:rsidRPr="00772BC3" w:rsidRDefault="005727C4" w:rsidP="005727C4">
      <w:r w:rsidRPr="00772BC3">
        <w:t>The Framework’s guiding principles have been important in developing the Framework and should be considered for initiatives that are developed under the Framework’s guidance.</w:t>
      </w:r>
    </w:p>
    <w:p w14:paraId="576469E5" w14:textId="68052718" w:rsidR="00F70490" w:rsidRPr="00772BC3" w:rsidRDefault="00A3583A" w:rsidP="00A3583A">
      <w:pPr>
        <w:pStyle w:val="Caption"/>
      </w:pPr>
      <w:bookmarkStart w:id="20" w:name="_Hlk203971027"/>
      <w:r>
        <w:t xml:space="preserve">Table </w:t>
      </w:r>
      <w:r>
        <w:fldChar w:fldCharType="begin"/>
      </w:r>
      <w:r>
        <w:instrText xml:space="preserve"> SEQ Table \* ARABIC </w:instrText>
      </w:r>
      <w:r>
        <w:fldChar w:fldCharType="separate"/>
      </w:r>
      <w:r w:rsidR="00F06202">
        <w:rPr>
          <w:noProof/>
        </w:rPr>
        <w:t>1</w:t>
      </w:r>
      <w:r>
        <w:fldChar w:fldCharType="end"/>
      </w:r>
      <w:r w:rsidR="00F70490" w:rsidRPr="00772BC3">
        <w:t>:</w:t>
      </w:r>
      <w:r w:rsidR="00785377" w:rsidRPr="00772BC3">
        <w:t xml:space="preserve"> Guiding principles</w:t>
      </w:r>
      <w:r w:rsidR="002C279D" w:rsidRPr="00772BC3">
        <w:t xml:space="preserve"> for</w:t>
      </w:r>
      <w:r w:rsidR="00C8599E" w:rsidRPr="00772BC3">
        <w:t xml:space="preserve"> the Framework</w:t>
      </w:r>
    </w:p>
    <w:tbl>
      <w:tblPr>
        <w:tblStyle w:val="DepartmentofHealthtable"/>
        <w:tblW w:w="0" w:type="auto"/>
        <w:tblLook w:val="04A0" w:firstRow="1" w:lastRow="0" w:firstColumn="1" w:lastColumn="0" w:noHBand="0" w:noVBand="1"/>
        <w:tblCaption w:val="Table 1: Guiding principles for the Framework "/>
        <w:tblDescription w:val="Table describes guiding principles of the Framework with brief descriptions. "/>
      </w:tblPr>
      <w:tblGrid>
        <w:gridCol w:w="2268"/>
        <w:gridCol w:w="6802"/>
      </w:tblGrid>
      <w:tr w:rsidR="00AB1073" w:rsidRPr="00772BC3" w14:paraId="49A52B3E" w14:textId="77777777" w:rsidTr="4FD68A1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68" w:type="dxa"/>
          </w:tcPr>
          <w:p w14:paraId="423F5F77" w14:textId="0D27F591" w:rsidR="00F70490" w:rsidRPr="00772BC3" w:rsidRDefault="00F70490">
            <w:pPr>
              <w:pStyle w:val="TableHeaderWhite"/>
            </w:pPr>
            <w:bookmarkStart w:id="21" w:name="_Hlk203726845"/>
            <w:r w:rsidRPr="00772BC3">
              <w:t>Guiding principle</w:t>
            </w:r>
          </w:p>
        </w:tc>
        <w:tc>
          <w:tcPr>
            <w:tcW w:w="6802" w:type="dxa"/>
          </w:tcPr>
          <w:p w14:paraId="15F09587" w14:textId="44749CB8" w:rsidR="00F70490" w:rsidRPr="00772BC3" w:rsidRDefault="00F70490">
            <w:pPr>
              <w:pStyle w:val="TableHeader"/>
              <w:cnfStyle w:val="100000000000" w:firstRow="1" w:lastRow="0" w:firstColumn="0" w:lastColumn="0" w:oddVBand="0" w:evenVBand="0" w:oddHBand="0" w:evenHBand="0" w:firstRowFirstColumn="0" w:firstRowLastColumn="0" w:lastRowFirstColumn="0" w:lastRowLastColumn="0"/>
            </w:pPr>
            <w:r w:rsidRPr="00772BC3">
              <w:t>Detail</w:t>
            </w:r>
          </w:p>
        </w:tc>
      </w:tr>
      <w:tr w:rsidR="00F70490" w:rsidRPr="00772BC3" w14:paraId="37C3B284" w14:textId="77777777" w:rsidTr="4FD68A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6078C323" w14:textId="486764A7" w:rsidR="00F70490" w:rsidRPr="00772BC3" w:rsidRDefault="00F70490" w:rsidP="00A3583A">
            <w:pPr>
              <w:pStyle w:val="Tabletextleft"/>
            </w:pPr>
            <w:r w:rsidRPr="00772BC3">
              <w:t>Equity</w:t>
            </w:r>
          </w:p>
        </w:tc>
        <w:tc>
          <w:tcPr>
            <w:tcW w:w="6802" w:type="dxa"/>
          </w:tcPr>
          <w:p w14:paraId="68EBC3CE" w14:textId="65807984" w:rsidR="00F70490" w:rsidRPr="00772BC3" w:rsidRDefault="00F70490" w:rsidP="00A3583A">
            <w:pPr>
              <w:pStyle w:val="Tabletextleft"/>
              <w:cnfStyle w:val="000000100000" w:firstRow="0" w:lastRow="0" w:firstColumn="0" w:lastColumn="0" w:oddVBand="0" w:evenVBand="0" w:oddHBand="1" w:evenHBand="0" w:firstRowFirstColumn="0" w:firstRowLastColumn="0" w:lastRowFirstColumn="0" w:lastRowLastColumn="0"/>
            </w:pPr>
            <w:r w:rsidRPr="00772BC3">
              <w:t>All people living in Australia, particularly those from underserved populations, have access to and receive safe, affordable, high quality health care to meet their individual needs irrespective of identity, background, personal circumstance and where they live.</w:t>
            </w:r>
          </w:p>
        </w:tc>
      </w:tr>
      <w:tr w:rsidR="00F70490" w:rsidRPr="00772BC3" w14:paraId="31408BA9" w14:textId="77777777" w:rsidTr="4FD68A1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69A45561" w14:textId="7C24FD6E" w:rsidR="00F70490" w:rsidRPr="00772BC3" w:rsidRDefault="00F70490" w:rsidP="00A3583A">
            <w:pPr>
              <w:pStyle w:val="Tabletextleft"/>
            </w:pPr>
            <w:r w:rsidRPr="00772BC3">
              <w:t>Collaboration, partnerships and shared responsibility</w:t>
            </w:r>
          </w:p>
        </w:tc>
        <w:tc>
          <w:tcPr>
            <w:tcW w:w="6802" w:type="dxa"/>
          </w:tcPr>
          <w:p w14:paraId="64126884" w14:textId="182E6677" w:rsidR="00F70490" w:rsidRPr="00772BC3" w:rsidRDefault="00EA77D8" w:rsidP="00A3583A">
            <w:pPr>
              <w:pStyle w:val="Tabletextleft"/>
              <w:cnfStyle w:val="000000010000" w:firstRow="0" w:lastRow="0" w:firstColumn="0" w:lastColumn="0" w:oddVBand="0" w:evenVBand="0" w:oddHBand="0" w:evenHBand="1" w:firstRowFirstColumn="0" w:firstRowLastColumn="0" w:lastRowFirstColumn="0" w:lastRowLastColumn="0"/>
            </w:pPr>
            <w:r w:rsidRPr="00772BC3">
              <w:t>Stakeholders identify linkages and seize opportunities to cooperate and partner responsibly, achieving greater impacts than working in isolation. All stakeholders have a shared responsibility in identifying work that could be undertaken to address the Focus Areas to ensure enhanced health outcomes for all people living in Australia.</w:t>
            </w:r>
          </w:p>
        </w:tc>
      </w:tr>
      <w:tr w:rsidR="00EA77D8" w:rsidRPr="00772BC3" w14:paraId="5DF4C026" w14:textId="77777777" w:rsidTr="4FD68A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1DD000E2" w14:textId="117C69B1" w:rsidR="00EA77D8" w:rsidRPr="00772BC3" w:rsidRDefault="00EA77D8" w:rsidP="00A3583A">
            <w:pPr>
              <w:pStyle w:val="Tabletextleft"/>
            </w:pPr>
            <w:r w:rsidRPr="00772BC3">
              <w:t>Evidence-based</w:t>
            </w:r>
          </w:p>
        </w:tc>
        <w:tc>
          <w:tcPr>
            <w:tcW w:w="6802" w:type="dxa"/>
          </w:tcPr>
          <w:p w14:paraId="4FBE98B2" w14:textId="0960290D" w:rsidR="00EA77D8" w:rsidRPr="00772BC3" w:rsidRDefault="00AF4722" w:rsidP="00A3583A">
            <w:pPr>
              <w:pStyle w:val="Tabletextleft"/>
              <w:cnfStyle w:val="000000100000" w:firstRow="0" w:lastRow="0" w:firstColumn="0" w:lastColumn="0" w:oddVBand="0" w:evenVBand="0" w:oddHBand="1" w:evenHBand="0" w:firstRowFirstColumn="0" w:firstRowLastColumn="0" w:lastRowFirstColumn="0" w:lastRowLastColumn="0"/>
            </w:pPr>
            <w:r w:rsidRPr="00772BC3">
              <w:t>Rigorous, relevant, and current evidence informs best practice and strengthens the knowledge base to effectively prevent and manage chronic conditions.</w:t>
            </w:r>
          </w:p>
        </w:tc>
      </w:tr>
      <w:tr w:rsidR="00AF4722" w:rsidRPr="00772BC3" w14:paraId="03A5ED6C" w14:textId="77777777" w:rsidTr="4FD68A1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52E97913" w14:textId="2D068A6F" w:rsidR="00AF4722" w:rsidRPr="00772BC3" w:rsidRDefault="00AF4722" w:rsidP="00A3583A">
            <w:pPr>
              <w:pStyle w:val="Tabletextleft"/>
            </w:pPr>
            <w:r w:rsidRPr="00772BC3">
              <w:t>Person-centred, multidisciplinary care</w:t>
            </w:r>
          </w:p>
        </w:tc>
        <w:tc>
          <w:tcPr>
            <w:tcW w:w="6802" w:type="dxa"/>
          </w:tcPr>
          <w:p w14:paraId="61D6AC89" w14:textId="1D81371D" w:rsidR="00AF4722" w:rsidRPr="00772BC3" w:rsidRDefault="00AF4722" w:rsidP="00A3583A">
            <w:pPr>
              <w:pStyle w:val="Tabletextleft"/>
              <w:cnfStyle w:val="000000010000" w:firstRow="0" w:lastRow="0" w:firstColumn="0" w:lastColumn="0" w:oddVBand="0" w:evenVBand="0" w:oddHBand="0" w:evenHBand="1" w:firstRowFirstColumn="0" w:firstRowLastColumn="0" w:lastRowFirstColumn="0" w:lastRowLastColumn="0"/>
            </w:pPr>
            <w:r w:rsidRPr="00772BC3">
              <w:t>Person-centred care focuses on the individual rather than the condition, or conditions, a person may be experiencing. It involves seeking out and understanding what is important to the individual, their families, carers, and support people. Person-centred care should consider the individual’s health goals, provide individualised care planning and consider treatment burden, particularly for people with multimorbidity. The health system is shaped to recognise and value the needs and choices of individuals, their carers and families, and prioritises the use of multidisciplinary teams across care sectors (primary care, specialists, allied health care, and private and public hospitals and health settings), with a focus on information sharing, to provide holistic, culturally safe and trauma-informed care and support.</w:t>
            </w:r>
          </w:p>
        </w:tc>
      </w:tr>
      <w:tr w:rsidR="00E1402A" w:rsidRPr="00772BC3" w14:paraId="0249AB87" w14:textId="77777777" w:rsidTr="4FD68A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3A31A720" w14:textId="3D1D53C0" w:rsidR="00E1402A" w:rsidRPr="00772BC3" w:rsidRDefault="00E1402A" w:rsidP="00A3583A">
            <w:pPr>
              <w:pStyle w:val="Tabletextleft"/>
            </w:pPr>
            <w:r w:rsidRPr="00772BC3">
              <w:t>Sustainability</w:t>
            </w:r>
          </w:p>
        </w:tc>
        <w:tc>
          <w:tcPr>
            <w:tcW w:w="6802" w:type="dxa"/>
          </w:tcPr>
          <w:p w14:paraId="1DE5570F" w14:textId="406A2D42" w:rsidR="00E1402A" w:rsidRPr="00772BC3" w:rsidRDefault="00E1402A" w:rsidP="00A3583A">
            <w:pPr>
              <w:pStyle w:val="Tabletextleft"/>
              <w:cnfStyle w:val="000000100000" w:firstRow="0" w:lastRow="0" w:firstColumn="0" w:lastColumn="0" w:oddVBand="0" w:evenVBand="0" w:oddHBand="1" w:evenHBand="0" w:firstRowFirstColumn="0" w:firstRowLastColumn="0" w:lastRowFirstColumn="0" w:lastRowLastColumn="0"/>
            </w:pPr>
            <w:r w:rsidRPr="00772BC3">
              <w:t>Strategic planning and responsible management of resources delivers long term improved health outcomes. Resources developed to aid in the prevention, diagnosis, early intervention, care and management of chronic conditions are well funded, ongoing, accessible, future-</w:t>
            </w:r>
            <w:r w:rsidR="0076718E">
              <w:t>focused</w:t>
            </w:r>
            <w:r w:rsidR="0076718E" w:rsidRPr="00772BC3">
              <w:t xml:space="preserve"> and</w:t>
            </w:r>
            <w:r w:rsidRPr="00772BC3">
              <w:t xml:space="preserve"> have positive impact on health and quality of life.</w:t>
            </w:r>
          </w:p>
        </w:tc>
      </w:tr>
      <w:tr w:rsidR="00E1402A" w:rsidRPr="00772BC3" w14:paraId="732110BF" w14:textId="77777777" w:rsidTr="4FD68A1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3E6E01A2" w14:textId="418640B6" w:rsidR="00E1402A" w:rsidRPr="00772BC3" w:rsidRDefault="00E1402A" w:rsidP="00A3583A">
            <w:pPr>
              <w:pStyle w:val="Tabletextleft"/>
            </w:pPr>
            <w:r w:rsidRPr="00772BC3">
              <w:t>Climate resilience</w:t>
            </w:r>
          </w:p>
        </w:tc>
        <w:tc>
          <w:tcPr>
            <w:tcW w:w="6802" w:type="dxa"/>
          </w:tcPr>
          <w:p w14:paraId="1D41748D" w14:textId="22EAC3C6" w:rsidR="00E1402A" w:rsidRPr="00772BC3" w:rsidRDefault="00E1402A" w:rsidP="00A3583A">
            <w:pPr>
              <w:pStyle w:val="Tabletextleft"/>
              <w:cnfStyle w:val="000000010000" w:firstRow="0" w:lastRow="0" w:firstColumn="0" w:lastColumn="0" w:oddVBand="0" w:evenVBand="0" w:oddHBand="0" w:evenHBand="1" w:firstRowFirstColumn="0" w:firstRowLastColumn="0" w:lastRowFirstColumn="0" w:lastRowLastColumn="0"/>
            </w:pPr>
            <w:r w:rsidRPr="00772BC3">
              <w:t>Models of care address the adverse health impacts of climate change, including extreme weather events, warmer temperatures and air pollution, and build community resilience, while also considering the environmental impacts of care provided.</w:t>
            </w:r>
          </w:p>
        </w:tc>
      </w:tr>
      <w:tr w:rsidR="00E1402A" w:rsidRPr="00772BC3" w14:paraId="71B5DBE3" w14:textId="77777777" w:rsidTr="4FD68A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5A5A600E" w14:textId="3D46918A" w:rsidR="00E1402A" w:rsidRPr="00772BC3" w:rsidRDefault="00E1402A" w:rsidP="00A3583A">
            <w:pPr>
              <w:pStyle w:val="Tabletextleft"/>
            </w:pPr>
            <w:r w:rsidRPr="00772BC3">
              <w:t>Accountability and transparency</w:t>
            </w:r>
          </w:p>
        </w:tc>
        <w:tc>
          <w:tcPr>
            <w:tcW w:w="6802" w:type="dxa"/>
          </w:tcPr>
          <w:p w14:paraId="5823D52C" w14:textId="55E129C9" w:rsidR="00E1402A" w:rsidRPr="00772BC3" w:rsidRDefault="00E1402A" w:rsidP="00A3583A">
            <w:pPr>
              <w:pStyle w:val="Tabletextleft"/>
              <w:cnfStyle w:val="000000100000" w:firstRow="0" w:lastRow="0" w:firstColumn="0" w:lastColumn="0" w:oddVBand="0" w:evenVBand="0" w:oddHBand="1" w:evenHBand="0" w:firstRowFirstColumn="0" w:firstRowLastColumn="0" w:lastRowFirstColumn="0" w:lastRowLastColumn="0"/>
            </w:pPr>
            <w:r w:rsidRPr="00772BC3">
              <w:t>Decisions and responsibilities are clear and accountable and achieve best value with public resources.</w:t>
            </w:r>
          </w:p>
        </w:tc>
      </w:tr>
    </w:tbl>
    <w:p w14:paraId="2EFC9C8C" w14:textId="0F7BA144" w:rsidR="005727C4" w:rsidRPr="00772BC3" w:rsidRDefault="3309A2CE" w:rsidP="000D11F6">
      <w:pPr>
        <w:pStyle w:val="Heading2"/>
      </w:pPr>
      <w:bookmarkStart w:id="22" w:name="_Toc224557199"/>
      <w:bookmarkEnd w:id="20"/>
      <w:bookmarkEnd w:id="21"/>
      <w:r>
        <w:t>Policy context</w:t>
      </w:r>
      <w:bookmarkEnd w:id="22"/>
    </w:p>
    <w:p w14:paraId="2C0E7EAD" w14:textId="77777777" w:rsidR="005727C4" w:rsidRPr="00772BC3" w:rsidRDefault="005727C4" w:rsidP="005727C4">
      <w:r w:rsidRPr="00772BC3">
        <w:t>The Framework sits within a broader health policy context in Australia and internationally.</w:t>
      </w:r>
    </w:p>
    <w:p w14:paraId="431E8831" w14:textId="3C0C6D32" w:rsidR="005727C4" w:rsidRPr="00772BC3" w:rsidRDefault="3309A2CE" w:rsidP="00FB3AE2">
      <w:pPr>
        <w:pStyle w:val="Heading3"/>
      </w:pPr>
      <w:bookmarkStart w:id="23" w:name="_Toc224557200"/>
      <w:r>
        <w:t>Australia</w:t>
      </w:r>
      <w:bookmarkEnd w:id="23"/>
    </w:p>
    <w:p w14:paraId="055B955F" w14:textId="0F811BFD" w:rsidR="005727C4" w:rsidRPr="00772BC3" w:rsidRDefault="005727C4" w:rsidP="005727C4">
      <w:r w:rsidRPr="00772BC3">
        <w:t xml:space="preserve">Since the publication of the Framework in 2017, </w:t>
      </w:r>
      <w:r w:rsidR="00CB6189" w:rsidRPr="00772BC3">
        <w:t xml:space="preserve">the Australian Government has introduced and updated </w:t>
      </w:r>
      <w:r w:rsidRPr="00772BC3">
        <w:t xml:space="preserve">numerous national policies and strategies relevant to chronic conditions. The refreshed Framework has been designed to </w:t>
      </w:r>
      <w:r w:rsidR="00E20C1A" w:rsidRPr="00772BC3">
        <w:t>align</w:t>
      </w:r>
      <w:r w:rsidRPr="00772BC3">
        <w:t xml:space="preserve"> with and reduce any duplication of health initiatives. </w:t>
      </w:r>
      <w:r w:rsidR="00E570D2" w:rsidRPr="00772BC3">
        <w:t>It complements</w:t>
      </w:r>
      <w:r w:rsidRPr="00772BC3">
        <w:t xml:space="preserve"> the direction and intent of related policies and strategies, which should be referred to in specific contexts. </w:t>
      </w:r>
    </w:p>
    <w:p w14:paraId="0AD622A9" w14:textId="05534829" w:rsidR="007873C9" w:rsidRPr="00772BC3" w:rsidRDefault="00C85622" w:rsidP="005727C4">
      <w:r w:rsidRPr="00772BC3">
        <w:t xml:space="preserve">The Government’s </w:t>
      </w:r>
      <w:hyperlink r:id="rId30" w:history="1">
        <w:r w:rsidR="00216F3E" w:rsidRPr="00772BC3">
          <w:rPr>
            <w:rStyle w:val="Hyperlink"/>
          </w:rPr>
          <w:t>Strengthening Medicare Taskforce Report</w:t>
        </w:r>
      </w:hyperlink>
      <w:r w:rsidR="004969EA" w:rsidRPr="00772BC3">
        <w:t xml:space="preserve"> sets </w:t>
      </w:r>
      <w:r w:rsidR="00997ABD" w:rsidRPr="00772BC3">
        <w:t>out a recommended pathway</w:t>
      </w:r>
      <w:r w:rsidR="00CC7E51" w:rsidRPr="00772BC3">
        <w:t xml:space="preserve"> </w:t>
      </w:r>
      <w:r w:rsidR="004969EA" w:rsidRPr="00772BC3">
        <w:t>for</w:t>
      </w:r>
      <w:r w:rsidR="00CC7E51" w:rsidRPr="00772BC3">
        <w:t xml:space="preserve"> </w:t>
      </w:r>
      <w:r w:rsidR="00E77C46" w:rsidRPr="00772BC3">
        <w:t>major</w:t>
      </w:r>
      <w:r w:rsidR="00CC7E51" w:rsidRPr="00772BC3">
        <w:t xml:space="preserve"> </w:t>
      </w:r>
      <w:r w:rsidR="00FB7145" w:rsidRPr="00772BC3">
        <w:t>health reform</w:t>
      </w:r>
      <w:r w:rsidR="00997ABD" w:rsidRPr="00772BC3">
        <w:t xml:space="preserve"> </w:t>
      </w:r>
      <w:r w:rsidR="00CC7E51" w:rsidRPr="00772BC3">
        <w:t xml:space="preserve">in Australia. </w:t>
      </w:r>
      <w:r w:rsidR="009D6B96" w:rsidRPr="00772BC3">
        <w:t>The report outlines a plan</w:t>
      </w:r>
      <w:r w:rsidR="00CC7E51" w:rsidRPr="00772BC3">
        <w:t xml:space="preserve"> to improve access to affordable, high-quality primary care by investing in multidisciplinary care teams, expanding bulk billing incentives, supporting digital health, and modernising Medicare.</w:t>
      </w:r>
      <w:r w:rsidR="007873C9" w:rsidRPr="00772BC3">
        <w:t xml:space="preserve"> These </w:t>
      </w:r>
      <w:r w:rsidR="00D81AB9" w:rsidRPr="00772BC3">
        <w:t>reforms</w:t>
      </w:r>
      <w:r w:rsidR="007873C9" w:rsidRPr="00772BC3">
        <w:t xml:space="preserve"> aim to </w:t>
      </w:r>
      <w:r w:rsidR="00D81AB9" w:rsidRPr="00772BC3">
        <w:t>ensure</w:t>
      </w:r>
      <w:r w:rsidR="007873C9" w:rsidRPr="00772BC3">
        <w:t xml:space="preserve"> people with chronic conditions </w:t>
      </w:r>
      <w:r w:rsidR="00D81AB9" w:rsidRPr="00772BC3">
        <w:t>receive timely, coordinated care</w:t>
      </w:r>
      <w:r w:rsidR="007873C9" w:rsidRPr="00772BC3">
        <w:t>.</w:t>
      </w:r>
      <w:r w:rsidR="00A546B7" w:rsidRPr="00772BC3">
        <w:t xml:space="preserve"> </w:t>
      </w:r>
      <w:r w:rsidR="00EC74DE" w:rsidRPr="00772BC3">
        <w:t xml:space="preserve">The Framework </w:t>
      </w:r>
      <w:r w:rsidR="00D81AB9" w:rsidRPr="00772BC3">
        <w:t>reinforces</w:t>
      </w:r>
      <w:r w:rsidR="00EC74DE" w:rsidRPr="00772BC3">
        <w:t xml:space="preserve"> </w:t>
      </w:r>
      <w:r w:rsidR="007873C9" w:rsidRPr="00772BC3">
        <w:t>t</w:t>
      </w:r>
      <w:r w:rsidR="00CC7E51" w:rsidRPr="00772BC3">
        <w:t xml:space="preserve">hese reforms </w:t>
      </w:r>
      <w:r w:rsidR="007873C9" w:rsidRPr="00772BC3">
        <w:t xml:space="preserve">by promoting early diagnosis, timely intervention, and </w:t>
      </w:r>
      <w:r w:rsidR="00D81AB9" w:rsidRPr="00772BC3">
        <w:t>better integration of</w:t>
      </w:r>
      <w:r w:rsidR="007873C9" w:rsidRPr="00772BC3">
        <w:t xml:space="preserve"> care across the health system.</w:t>
      </w:r>
    </w:p>
    <w:p w14:paraId="79FF40DF" w14:textId="73E94BD0" w:rsidR="001A42E9" w:rsidRPr="00772BC3" w:rsidRDefault="00772636" w:rsidP="009E67E9">
      <w:r w:rsidRPr="00772BC3">
        <w:t xml:space="preserve">The </w:t>
      </w:r>
      <w:hyperlink r:id="rId31" w:history="1">
        <w:r w:rsidRPr="00772BC3">
          <w:rPr>
            <w:rStyle w:val="Hyperlink"/>
          </w:rPr>
          <w:t>National Preventive Health Strategy 2021–2030</w:t>
        </w:r>
      </w:hyperlink>
      <w:r w:rsidRPr="00772BC3">
        <w:t xml:space="preserve"> </w:t>
      </w:r>
      <w:r w:rsidR="00837181" w:rsidRPr="00772BC3">
        <w:t xml:space="preserve">also </w:t>
      </w:r>
      <w:r w:rsidRPr="00772BC3">
        <w:t xml:space="preserve">supports </w:t>
      </w:r>
      <w:r w:rsidR="00F03FDD" w:rsidRPr="00772BC3">
        <w:t xml:space="preserve">this </w:t>
      </w:r>
      <w:r w:rsidR="00B71A51" w:rsidRPr="00772BC3">
        <w:t>direction</w:t>
      </w:r>
      <w:r w:rsidR="00F03FDD" w:rsidRPr="00772BC3">
        <w:t xml:space="preserve"> by focusing on keeping people healthy and preventing illness</w:t>
      </w:r>
      <w:r w:rsidR="00B71A51" w:rsidRPr="00772BC3">
        <w:t>. It</w:t>
      </w:r>
      <w:r w:rsidR="0066468C" w:rsidRPr="00772BC3">
        <w:t xml:space="preserve"> </w:t>
      </w:r>
      <w:r w:rsidRPr="00772BC3">
        <w:t>promot</w:t>
      </w:r>
      <w:r w:rsidR="00E40D25" w:rsidRPr="00772BC3">
        <w:t>es</w:t>
      </w:r>
      <w:r w:rsidRPr="00772BC3">
        <w:t xml:space="preserve"> healthier lifestyles</w:t>
      </w:r>
      <w:r w:rsidR="00E40D25" w:rsidRPr="00772BC3">
        <w:t xml:space="preserve"> and </w:t>
      </w:r>
      <w:r w:rsidRPr="00772BC3">
        <w:t xml:space="preserve">reducing risk factors, and </w:t>
      </w:r>
      <w:r w:rsidR="0066468C" w:rsidRPr="00772BC3">
        <w:t>encourag</w:t>
      </w:r>
      <w:r w:rsidR="00E40D25" w:rsidRPr="00772BC3">
        <w:t>es</w:t>
      </w:r>
      <w:r w:rsidR="0066468C" w:rsidRPr="00772BC3">
        <w:t xml:space="preserve"> early action to improve long-term health outcomes</w:t>
      </w:r>
      <w:r w:rsidRPr="00772BC3">
        <w:t xml:space="preserve">. </w:t>
      </w:r>
      <w:r w:rsidR="00980A12" w:rsidRPr="00772BC3">
        <w:t>The Strategy sets a clear goal: to increase proportion of Australians living healthier lives for longer. This aligns directly with the Framework’s emphasis on prevention and early intervention.</w:t>
      </w:r>
      <w:r w:rsidR="000567AB" w:rsidRPr="00772BC3">
        <w:t xml:space="preserve"> </w:t>
      </w:r>
      <w:r w:rsidR="00E75860" w:rsidRPr="00772BC3">
        <w:t>Together, these strategies reinforce the important of early intervention and coordinated care in reducing the impact of chronic conditions</w:t>
      </w:r>
      <w:r w:rsidR="00803903" w:rsidRPr="00772BC3">
        <w:t xml:space="preserve"> and improving health outcomes across the population</w:t>
      </w:r>
      <w:r w:rsidR="00E75860" w:rsidRPr="00772BC3">
        <w:t>.</w:t>
      </w:r>
    </w:p>
    <w:p w14:paraId="4B85D004" w14:textId="2F06A482" w:rsidR="00463CFF" w:rsidRPr="00772BC3" w:rsidRDefault="00463CFF" w:rsidP="00463CFF">
      <w:r w:rsidRPr="00772BC3">
        <w:t xml:space="preserve">Building on </w:t>
      </w:r>
      <w:r w:rsidR="006F77DE" w:rsidRPr="00772BC3">
        <w:t>these healthcare reforms</w:t>
      </w:r>
      <w:r w:rsidRPr="00772BC3">
        <w:t xml:space="preserve">, the </w:t>
      </w:r>
      <w:hyperlink r:id="rId32">
        <w:r w:rsidRPr="33FF8D3A">
          <w:rPr>
            <w:rStyle w:val="Hyperlink"/>
          </w:rPr>
          <w:t>Primary Health Care 10 Year Plan 2022–2032</w:t>
        </w:r>
      </w:hyperlink>
      <w:r w:rsidRPr="00772BC3">
        <w:t xml:space="preserve"> sets a long-term vision for a stronger, more connected and digitally enabled primary care system. It focuses on improving access, equity and integration of care, particularly for people with chronic conditions and those in rural and remote areas. The Plan also highlights the importance localised, person-centred care that is responsive to community needs.</w:t>
      </w:r>
    </w:p>
    <w:p w14:paraId="257E21A0" w14:textId="274551D6" w:rsidR="005727C4" w:rsidRPr="00772BC3" w:rsidRDefault="005727C4" w:rsidP="005727C4">
      <w:r w:rsidRPr="00772BC3">
        <w:t>Governments in Australia have</w:t>
      </w:r>
      <w:r w:rsidR="00A07A60" w:rsidRPr="00772BC3">
        <w:t xml:space="preserve"> also</w:t>
      </w:r>
      <w:r w:rsidRPr="00772BC3">
        <w:t xml:space="preserve"> committed to </w:t>
      </w:r>
      <w:r w:rsidR="00A07A60" w:rsidRPr="00772BC3">
        <w:t xml:space="preserve">the </w:t>
      </w:r>
      <w:hyperlink r:id="rId33">
        <w:r w:rsidR="7E977A77" w:rsidRPr="298D7415">
          <w:rPr>
            <w:rStyle w:val="Hyperlink"/>
          </w:rPr>
          <w:t>National Agreement on Closing the Gap</w:t>
        </w:r>
      </w:hyperlink>
      <w:r w:rsidR="00A07A60" w:rsidRPr="00772BC3">
        <w:t>, which includes</w:t>
      </w:r>
      <w:r w:rsidR="00FC2B5F" w:rsidRPr="00772BC3">
        <w:t xml:space="preserve"> 4</w:t>
      </w:r>
      <w:r w:rsidRPr="00772BC3">
        <w:t xml:space="preserve"> Priority Reforms and 17 socio-economic targets</w:t>
      </w:r>
      <w:r w:rsidR="00FC2B5F" w:rsidRPr="00772BC3">
        <w:t>. These</w:t>
      </w:r>
      <w:r w:rsidRPr="00772BC3">
        <w:t xml:space="preserve"> aim to enable Aboriginal and Torres Strait Islander </w:t>
      </w:r>
      <w:r w:rsidR="381F9E6D">
        <w:t>people</w:t>
      </w:r>
      <w:r w:rsidR="394AD26A">
        <w:t>s</w:t>
      </w:r>
      <w:r w:rsidRPr="00772BC3">
        <w:t xml:space="preserve"> and governments to work together to overcome inequality experienced by Aboriginal and Torres Strait Islander </w:t>
      </w:r>
      <w:r w:rsidR="09DA82D0">
        <w:t>peoples and</w:t>
      </w:r>
      <w:r w:rsidRPr="00772BC3">
        <w:t xml:space="preserve"> achieve life outcomes equal to all Australians. Th</w:t>
      </w:r>
      <w:r w:rsidR="00CA5123" w:rsidRPr="00772BC3">
        <w:t>e</w:t>
      </w:r>
      <w:r w:rsidRPr="00772BC3">
        <w:t xml:space="preserve"> Framework identifies opportunities </w:t>
      </w:r>
      <w:r w:rsidR="000B3E16" w:rsidRPr="00772BC3">
        <w:t xml:space="preserve">to align </w:t>
      </w:r>
      <w:r w:rsidR="00E33AF3" w:rsidRPr="00772BC3">
        <w:t>efforts</w:t>
      </w:r>
      <w:r w:rsidRPr="00772BC3">
        <w:t xml:space="preserve"> to address chronic conditions with the National Agreement</w:t>
      </w:r>
      <w:r w:rsidR="000454CA" w:rsidRPr="00772BC3">
        <w:t>,</w:t>
      </w:r>
      <w:r w:rsidRPr="00772BC3">
        <w:t xml:space="preserve"> particular</w:t>
      </w:r>
      <w:r w:rsidR="000454CA" w:rsidRPr="00772BC3">
        <w:t>ly through</w:t>
      </w:r>
      <w:r w:rsidRPr="00772BC3">
        <w:t xml:space="preserve"> Focus Area 5</w:t>
      </w:r>
      <w:r w:rsidR="000454CA" w:rsidRPr="00772BC3">
        <w:t>,</w:t>
      </w:r>
      <w:r w:rsidRPr="00772BC3">
        <w:t xml:space="preserve"> </w:t>
      </w:r>
      <w:r w:rsidR="00677290" w:rsidRPr="00772BC3">
        <w:t xml:space="preserve">which </w:t>
      </w:r>
      <w:r w:rsidRPr="00772BC3">
        <w:t xml:space="preserve">provides guidance on enhancing and targeting support for priority populations, including Aboriginal and Torres Strait Islander </w:t>
      </w:r>
      <w:r w:rsidR="381F9E6D">
        <w:t>people</w:t>
      </w:r>
      <w:r w:rsidR="79CACDE2">
        <w:t>s</w:t>
      </w:r>
      <w:r w:rsidRPr="00772BC3">
        <w:t>.</w:t>
      </w:r>
    </w:p>
    <w:p w14:paraId="72DCAEDE" w14:textId="31BB50CB" w:rsidR="005727C4" w:rsidRPr="00772BC3" w:rsidRDefault="3309A2CE" w:rsidP="00FB3AE2">
      <w:pPr>
        <w:pStyle w:val="Heading3"/>
      </w:pPr>
      <w:bookmarkStart w:id="24" w:name="_Toc224557201"/>
      <w:r>
        <w:t>International</w:t>
      </w:r>
      <w:bookmarkEnd w:id="24"/>
    </w:p>
    <w:p w14:paraId="479DC5A1" w14:textId="02DE5FAC" w:rsidR="005727C4" w:rsidRPr="00772BC3" w:rsidRDefault="005727C4" w:rsidP="005727C4">
      <w:r w:rsidRPr="00772BC3">
        <w:t>The escalating burden of chronic conditions is a global health issue. The World Health Organi</w:t>
      </w:r>
      <w:r w:rsidR="00042E1C" w:rsidRPr="00772BC3">
        <w:t>z</w:t>
      </w:r>
      <w:r w:rsidRPr="00772BC3">
        <w:t>ation (WHO) has extended its Global Action Plan for the Prevention and Control of Noncommunicable Diseases 2013–2020 to 2030.</w:t>
      </w:r>
      <w:r w:rsidR="0023629E" w:rsidRPr="00772BC3">
        <w:rPr>
          <w:noProof/>
          <w:vertAlign w:val="superscript"/>
        </w:rPr>
        <w:t>1</w:t>
      </w:r>
      <w:r w:rsidR="6CF8C0B3" w:rsidRPr="3FA1224E">
        <w:rPr>
          <w:noProof/>
          <w:vertAlign w:val="superscript"/>
        </w:rPr>
        <w:t>4</w:t>
      </w:r>
      <w:r w:rsidRPr="00772BC3">
        <w:t xml:space="preserve"> Australia has an international commitment to address chronic conditions in line with the Global Action Plan. Australia contributes to other international initiatives, providing input and ensuring alignment with international approaches. The Framework supports Australia’s international commitments. This includes alignment with key objectives such as strengthening multisectoral action and partnerships, and the development of people-centred primary health care.</w:t>
      </w:r>
    </w:p>
    <w:p w14:paraId="0AB39C0A" w14:textId="75FEFB34" w:rsidR="005727C4" w:rsidRPr="00772BC3" w:rsidRDefault="3309A2CE" w:rsidP="00D76F06">
      <w:pPr>
        <w:pStyle w:val="Heading1"/>
      </w:pPr>
      <w:bookmarkStart w:id="25" w:name="_Toc224557202"/>
      <w:r>
        <w:t xml:space="preserve">Part 2: Focus </w:t>
      </w:r>
      <w:r w:rsidR="7FD3F138">
        <w:t>A</w:t>
      </w:r>
      <w:r>
        <w:t>reas</w:t>
      </w:r>
      <w:bookmarkEnd w:id="25"/>
    </w:p>
    <w:p w14:paraId="2775EA5A" w14:textId="49F8E7BC" w:rsidR="005727C4" w:rsidRPr="00772BC3" w:rsidRDefault="005727C4" w:rsidP="005727C4">
      <w:r w:rsidRPr="00772BC3">
        <w:t>The 5 Focus Areas of the Framework provide direction and guidance on key areas of public health significance and can be developed to provide benefits for people, no matter what chronic condition they may have or be at risk of developing. Each Focus Area includes Action Priorities, which provide guidance for the development and prioritisation of plans, strategies and activities to support the prevention, early detection and intervention, care, and management of chronic conditions.</w:t>
      </w:r>
    </w:p>
    <w:p w14:paraId="73934282" w14:textId="5FD6A988" w:rsidR="00F82AFA" w:rsidRPr="00772BC3" w:rsidRDefault="00F06202" w:rsidP="00F06202">
      <w:pPr>
        <w:pStyle w:val="Caption"/>
      </w:pPr>
      <w:r>
        <w:t xml:space="preserve">Table </w:t>
      </w:r>
      <w:r>
        <w:fldChar w:fldCharType="begin"/>
      </w:r>
      <w:r>
        <w:instrText xml:space="preserve"> SEQ Table \* ARABIC </w:instrText>
      </w:r>
      <w:r>
        <w:fldChar w:fldCharType="separate"/>
      </w:r>
      <w:r>
        <w:rPr>
          <w:noProof/>
        </w:rPr>
        <w:t>2</w:t>
      </w:r>
      <w:r>
        <w:fldChar w:fldCharType="end"/>
      </w:r>
      <w:r w:rsidR="00F82AFA" w:rsidRPr="00772BC3">
        <w:t>:</w:t>
      </w:r>
      <w:r w:rsidR="008C4C1C" w:rsidRPr="00772BC3">
        <w:t xml:space="preserve"> Focus Areas and Action Priorities of the Framework</w:t>
      </w:r>
    </w:p>
    <w:tbl>
      <w:tblPr>
        <w:tblStyle w:val="DepartmentofHealthtable"/>
        <w:tblW w:w="0" w:type="auto"/>
        <w:tblLook w:val="04A0" w:firstRow="1" w:lastRow="0" w:firstColumn="1" w:lastColumn="0" w:noHBand="0" w:noVBand="1"/>
        <w:tblCaption w:val="Table 2: Focus Areas and Action Priorities of the Framework"/>
        <w:tblDescription w:val="Table lists focus areas and action priorities of the Framework"/>
      </w:tblPr>
      <w:tblGrid>
        <w:gridCol w:w="3261"/>
        <w:gridCol w:w="5809"/>
      </w:tblGrid>
      <w:tr w:rsidR="002C32E7" w:rsidRPr="00772BC3" w14:paraId="5D53AAC1" w14:textId="77777777" w:rsidTr="4FD68A1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261" w:type="dxa"/>
          </w:tcPr>
          <w:p w14:paraId="736B5DD3" w14:textId="208C4790" w:rsidR="00F82AFA" w:rsidRPr="00772BC3" w:rsidRDefault="001F1347">
            <w:pPr>
              <w:pStyle w:val="TableHeaderWhite"/>
            </w:pPr>
            <w:r w:rsidRPr="00772BC3">
              <w:t xml:space="preserve">Focus </w:t>
            </w:r>
            <w:r w:rsidR="00B70C87" w:rsidRPr="00772BC3">
              <w:t>A</w:t>
            </w:r>
            <w:r w:rsidRPr="00772BC3">
              <w:t>rea</w:t>
            </w:r>
          </w:p>
        </w:tc>
        <w:tc>
          <w:tcPr>
            <w:tcW w:w="5809" w:type="dxa"/>
          </w:tcPr>
          <w:p w14:paraId="78FB575E" w14:textId="40A216E9" w:rsidR="00F82AFA" w:rsidRPr="00772BC3" w:rsidRDefault="001F1347">
            <w:pPr>
              <w:pStyle w:val="TableHeader"/>
              <w:cnfStyle w:val="100000000000" w:firstRow="1" w:lastRow="0" w:firstColumn="0" w:lastColumn="0" w:oddVBand="0" w:evenVBand="0" w:oddHBand="0" w:evenHBand="0" w:firstRowFirstColumn="0" w:firstRowLastColumn="0" w:lastRowFirstColumn="0" w:lastRowLastColumn="0"/>
            </w:pPr>
            <w:r w:rsidRPr="00772BC3">
              <w:t xml:space="preserve">Action </w:t>
            </w:r>
            <w:r w:rsidR="00B70C87" w:rsidRPr="00772BC3">
              <w:t>P</w:t>
            </w:r>
            <w:r w:rsidRPr="00772BC3">
              <w:t>riorities</w:t>
            </w:r>
          </w:p>
        </w:tc>
      </w:tr>
      <w:tr w:rsidR="00F82AFA" w:rsidRPr="00772BC3" w14:paraId="3C96DA8E" w14:textId="77777777" w:rsidTr="4FD68A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tcPr>
          <w:p w14:paraId="6DCAA6D2" w14:textId="3052307B" w:rsidR="00F82AFA" w:rsidRPr="00772BC3" w:rsidRDefault="002C32E7" w:rsidP="00A3583A">
            <w:pPr>
              <w:pStyle w:val="Tabletextleft"/>
            </w:pPr>
            <w:r w:rsidRPr="00772BC3">
              <w:t>1. Health promotion and education supporting self-management of risk factors and conditions</w:t>
            </w:r>
          </w:p>
        </w:tc>
        <w:tc>
          <w:tcPr>
            <w:tcW w:w="5809" w:type="dxa"/>
          </w:tcPr>
          <w:p w14:paraId="59CB0992" w14:textId="77777777" w:rsidR="00F82AFA" w:rsidRPr="00772BC3" w:rsidRDefault="002C32E7" w:rsidP="00A3583A">
            <w:pPr>
              <w:pStyle w:val="Tabletextleft"/>
              <w:cnfStyle w:val="000000100000" w:firstRow="0" w:lastRow="0" w:firstColumn="0" w:lastColumn="0" w:oddVBand="0" w:evenVBand="0" w:oddHBand="1" w:evenHBand="0" w:firstRowFirstColumn="0" w:firstRowLastColumn="0" w:lastRowFirstColumn="0" w:lastRowLastColumn="0"/>
            </w:pPr>
            <w:r w:rsidRPr="00772BC3">
              <w:t>1.1 Creating enabling and supportive environments</w:t>
            </w:r>
          </w:p>
          <w:p w14:paraId="5D4388C5" w14:textId="77777777" w:rsidR="002C32E7" w:rsidRPr="00772BC3" w:rsidRDefault="002C32E7" w:rsidP="00A3583A">
            <w:pPr>
              <w:pStyle w:val="Tabletextleft"/>
              <w:cnfStyle w:val="000000100000" w:firstRow="0" w:lastRow="0" w:firstColumn="0" w:lastColumn="0" w:oddVBand="0" w:evenVBand="0" w:oddHBand="1" w:evenHBand="0" w:firstRowFirstColumn="0" w:firstRowLastColumn="0" w:lastRowFirstColumn="0" w:lastRowLastColumn="0"/>
            </w:pPr>
            <w:r w:rsidRPr="00772BC3">
              <w:t>1.2 Enhancing health literacy</w:t>
            </w:r>
          </w:p>
          <w:p w14:paraId="126EB809" w14:textId="02E2D5F2" w:rsidR="002C32E7" w:rsidRPr="00772BC3" w:rsidRDefault="002C32E7" w:rsidP="00A3583A">
            <w:pPr>
              <w:pStyle w:val="Tabletextleft"/>
              <w:cnfStyle w:val="000000100000" w:firstRow="0" w:lastRow="0" w:firstColumn="0" w:lastColumn="0" w:oddVBand="0" w:evenVBand="0" w:oddHBand="1" w:evenHBand="0" w:firstRowFirstColumn="0" w:firstRowLastColumn="0" w:lastRowFirstColumn="0" w:lastRowLastColumn="0"/>
            </w:pPr>
            <w:r w:rsidRPr="00772BC3">
              <w:t>1.3 Building community capacity for self-management support</w:t>
            </w:r>
          </w:p>
        </w:tc>
      </w:tr>
      <w:tr w:rsidR="00F82AFA" w:rsidRPr="00772BC3" w14:paraId="24B74FC2" w14:textId="77777777" w:rsidTr="4FD68A1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tcPr>
          <w:p w14:paraId="024B56A7" w14:textId="59BD5D2C" w:rsidR="00F82AFA" w:rsidRPr="00772BC3" w:rsidRDefault="00EE1070" w:rsidP="00A3583A">
            <w:pPr>
              <w:pStyle w:val="Tabletextleft"/>
            </w:pPr>
            <w:r w:rsidRPr="00772BC3">
              <w:t>2. Embedding prevention, early diagnosis and intervention in the continuum of care</w:t>
            </w:r>
          </w:p>
        </w:tc>
        <w:tc>
          <w:tcPr>
            <w:tcW w:w="5809" w:type="dxa"/>
          </w:tcPr>
          <w:p w14:paraId="5F6BC51C" w14:textId="77777777" w:rsidR="00F82AFA" w:rsidRPr="00772BC3" w:rsidRDefault="00EE1070" w:rsidP="00A3583A">
            <w:pPr>
              <w:pStyle w:val="Tabletextleft"/>
              <w:cnfStyle w:val="000000010000" w:firstRow="0" w:lastRow="0" w:firstColumn="0" w:lastColumn="0" w:oddVBand="0" w:evenVBand="0" w:oddHBand="0" w:evenHBand="1" w:firstRowFirstColumn="0" w:firstRowLastColumn="0" w:lastRowFirstColumn="0" w:lastRowLastColumn="0"/>
            </w:pPr>
            <w:r w:rsidRPr="00772BC3">
              <w:t>2.1 Early diagnosis and intervention</w:t>
            </w:r>
          </w:p>
          <w:p w14:paraId="1F47E8B6" w14:textId="74A7B75B" w:rsidR="00EE1070" w:rsidRPr="00772BC3" w:rsidRDefault="0067756E" w:rsidP="00A3583A">
            <w:pPr>
              <w:pStyle w:val="Tabletextleft"/>
              <w:cnfStyle w:val="000000010000" w:firstRow="0" w:lastRow="0" w:firstColumn="0" w:lastColumn="0" w:oddVBand="0" w:evenVBand="0" w:oddHBand="0" w:evenHBand="1" w:firstRowFirstColumn="0" w:firstRowLastColumn="0" w:lastRowFirstColumn="0" w:lastRowLastColumn="0"/>
            </w:pPr>
            <w:r w:rsidRPr="00772BC3">
              <w:t>2.2 Utilising digital technology and data</w:t>
            </w:r>
          </w:p>
        </w:tc>
      </w:tr>
      <w:tr w:rsidR="00F82AFA" w:rsidRPr="00772BC3" w14:paraId="17107654" w14:textId="77777777" w:rsidTr="4FD68A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tcPr>
          <w:p w14:paraId="277B9474" w14:textId="011F023B" w:rsidR="00F82AFA" w:rsidRPr="00772BC3" w:rsidRDefault="0067756E" w:rsidP="00A3583A">
            <w:pPr>
              <w:pStyle w:val="Tabletextleft"/>
            </w:pPr>
            <w:r w:rsidRPr="00772BC3">
              <w:t>3. Continuity of care</w:t>
            </w:r>
          </w:p>
        </w:tc>
        <w:tc>
          <w:tcPr>
            <w:tcW w:w="5809" w:type="dxa"/>
          </w:tcPr>
          <w:p w14:paraId="469FD1B2" w14:textId="77777777" w:rsidR="00F82AFA" w:rsidRPr="00772BC3" w:rsidRDefault="0067756E" w:rsidP="00A3583A">
            <w:pPr>
              <w:pStyle w:val="Tabletextleft"/>
              <w:cnfStyle w:val="000000100000" w:firstRow="0" w:lastRow="0" w:firstColumn="0" w:lastColumn="0" w:oddVBand="0" w:evenVBand="0" w:oddHBand="1" w:evenHBand="0" w:firstRowFirstColumn="0" w:firstRowLastColumn="0" w:lastRowFirstColumn="0" w:lastRowLastColumn="0"/>
            </w:pPr>
            <w:r w:rsidRPr="00772BC3">
              <w:t>3.1 Enhancing continuity of care</w:t>
            </w:r>
          </w:p>
          <w:p w14:paraId="58E75537" w14:textId="77777777" w:rsidR="0067756E" w:rsidRPr="00772BC3" w:rsidRDefault="0067756E" w:rsidP="00A3583A">
            <w:pPr>
              <w:pStyle w:val="Tabletextleft"/>
              <w:cnfStyle w:val="000000100000" w:firstRow="0" w:lastRow="0" w:firstColumn="0" w:lastColumn="0" w:oddVBand="0" w:evenVBand="0" w:oddHBand="1" w:evenHBand="0" w:firstRowFirstColumn="0" w:firstRowLastColumn="0" w:lastRowFirstColumn="0" w:lastRowLastColumn="0"/>
            </w:pPr>
            <w:r w:rsidRPr="00772BC3">
              <w:t>3.2</w:t>
            </w:r>
            <w:r w:rsidR="009F5D20" w:rsidRPr="00772BC3">
              <w:t xml:space="preserve"> Continuity of care across life stages and the health system</w:t>
            </w:r>
          </w:p>
          <w:p w14:paraId="4AFAEAD9" w14:textId="6A2DE6C1" w:rsidR="009F5D20" w:rsidRPr="00772BC3" w:rsidRDefault="009F5D20" w:rsidP="00A3583A">
            <w:pPr>
              <w:pStyle w:val="Tabletextleft"/>
              <w:cnfStyle w:val="000000100000" w:firstRow="0" w:lastRow="0" w:firstColumn="0" w:lastColumn="0" w:oddVBand="0" w:evenVBand="0" w:oddHBand="1" w:evenHBand="0" w:firstRowFirstColumn="0" w:firstRowLastColumn="0" w:lastRowFirstColumn="0" w:lastRowLastColumn="0"/>
            </w:pPr>
            <w:r w:rsidRPr="00772BC3">
              <w:t>3.3 Adherence to treatments</w:t>
            </w:r>
          </w:p>
        </w:tc>
      </w:tr>
      <w:tr w:rsidR="00F82AFA" w:rsidRPr="00772BC3" w14:paraId="0BF009B6" w14:textId="77777777" w:rsidTr="4FD68A1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tcPr>
          <w:p w14:paraId="6D9832C7" w14:textId="7BC9F153" w:rsidR="00F82AFA" w:rsidRPr="00772BC3" w:rsidRDefault="009F5D20" w:rsidP="00A3583A">
            <w:pPr>
              <w:pStyle w:val="Tabletextleft"/>
            </w:pPr>
            <w:r w:rsidRPr="00772BC3">
              <w:t>4. Managing multimorbidity</w:t>
            </w:r>
          </w:p>
        </w:tc>
        <w:tc>
          <w:tcPr>
            <w:tcW w:w="5809" w:type="dxa"/>
          </w:tcPr>
          <w:p w14:paraId="041BEE44" w14:textId="77777777" w:rsidR="00F82AFA" w:rsidRPr="00772BC3" w:rsidRDefault="009F5D20" w:rsidP="00A3583A">
            <w:pPr>
              <w:pStyle w:val="Tabletextleft"/>
              <w:cnfStyle w:val="000000010000" w:firstRow="0" w:lastRow="0" w:firstColumn="0" w:lastColumn="0" w:oddVBand="0" w:evenVBand="0" w:oddHBand="0" w:evenHBand="1" w:firstRowFirstColumn="0" w:firstRowLastColumn="0" w:lastRowFirstColumn="0" w:lastRowLastColumn="0"/>
            </w:pPr>
            <w:r w:rsidRPr="00772BC3">
              <w:t>4.1 Addressing fragmentation in health care</w:t>
            </w:r>
          </w:p>
          <w:p w14:paraId="02E0FA54" w14:textId="755CAFA1" w:rsidR="009F5D20" w:rsidRPr="00772BC3" w:rsidRDefault="009F5D20" w:rsidP="00A3583A">
            <w:pPr>
              <w:pStyle w:val="Tabletextleft"/>
              <w:cnfStyle w:val="000000010000" w:firstRow="0" w:lastRow="0" w:firstColumn="0" w:lastColumn="0" w:oddVBand="0" w:evenVBand="0" w:oddHBand="0" w:evenHBand="1" w:firstRowFirstColumn="0" w:firstRowLastColumn="0" w:lastRowFirstColumn="0" w:lastRowLastColumn="0"/>
            </w:pPr>
            <w:r w:rsidRPr="00772BC3">
              <w:t>4.2 Utilising digital health</w:t>
            </w:r>
          </w:p>
        </w:tc>
      </w:tr>
      <w:tr w:rsidR="00F82AFA" w:rsidRPr="00772BC3" w14:paraId="00CBE26A" w14:textId="77777777" w:rsidTr="4FD68A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tcPr>
          <w:p w14:paraId="12B15082" w14:textId="599E3B0A" w:rsidR="00F82AFA" w:rsidRPr="00772BC3" w:rsidRDefault="00094D34" w:rsidP="00A3583A">
            <w:pPr>
              <w:pStyle w:val="Tabletextleft"/>
            </w:pPr>
            <w:r w:rsidRPr="00772BC3">
              <w:t>5. Enhanced and targeted support for priority populations</w:t>
            </w:r>
          </w:p>
        </w:tc>
        <w:tc>
          <w:tcPr>
            <w:tcW w:w="5809" w:type="dxa"/>
          </w:tcPr>
          <w:p w14:paraId="11F591A5" w14:textId="77777777" w:rsidR="00F82AFA" w:rsidRPr="00772BC3" w:rsidRDefault="00094D34" w:rsidP="00A3583A">
            <w:pPr>
              <w:pStyle w:val="Tabletextleft"/>
              <w:cnfStyle w:val="000000100000" w:firstRow="0" w:lastRow="0" w:firstColumn="0" w:lastColumn="0" w:oddVBand="0" w:evenVBand="0" w:oddHBand="1" w:evenHBand="0" w:firstRowFirstColumn="0" w:firstRowLastColumn="0" w:lastRowFirstColumn="0" w:lastRowLastColumn="0"/>
            </w:pPr>
            <w:r w:rsidRPr="00772BC3">
              <w:t>5.1 Providing culturally safe, non-discriminatory and trauma-informed care</w:t>
            </w:r>
          </w:p>
          <w:p w14:paraId="44EFD64F" w14:textId="77777777" w:rsidR="00094D34" w:rsidRPr="00772BC3" w:rsidRDefault="00094D34" w:rsidP="00A3583A">
            <w:pPr>
              <w:pStyle w:val="Tabletextleft"/>
              <w:cnfStyle w:val="000000100000" w:firstRow="0" w:lastRow="0" w:firstColumn="0" w:lastColumn="0" w:oddVBand="0" w:evenVBand="0" w:oddHBand="1" w:evenHBand="0" w:firstRowFirstColumn="0" w:firstRowLastColumn="0" w:lastRowFirstColumn="0" w:lastRowLastColumn="0"/>
            </w:pPr>
            <w:r w:rsidRPr="00772BC3">
              <w:t>5.2 Improving access to appropriate information</w:t>
            </w:r>
          </w:p>
          <w:p w14:paraId="0EEBCA67" w14:textId="204CEF05" w:rsidR="00094D34" w:rsidRPr="00772BC3" w:rsidRDefault="00094D34" w:rsidP="00A3583A">
            <w:pPr>
              <w:pStyle w:val="Tabletextleft"/>
              <w:cnfStyle w:val="000000100000" w:firstRow="0" w:lastRow="0" w:firstColumn="0" w:lastColumn="0" w:oddVBand="0" w:evenVBand="0" w:oddHBand="1" w:evenHBand="0" w:firstRowFirstColumn="0" w:firstRowLastColumn="0" w:lastRowFirstColumn="0" w:lastRowLastColumn="0"/>
            </w:pPr>
            <w:r w:rsidRPr="00772BC3">
              <w:t>5.3 Improving access to healthcare services</w:t>
            </w:r>
          </w:p>
          <w:p w14:paraId="376A36FA" w14:textId="55F26D2B" w:rsidR="00094D34" w:rsidRPr="00772BC3" w:rsidRDefault="00094D34" w:rsidP="00A3583A">
            <w:pPr>
              <w:pStyle w:val="Tabletextleft"/>
              <w:cnfStyle w:val="000000100000" w:firstRow="0" w:lastRow="0" w:firstColumn="0" w:lastColumn="0" w:oddVBand="0" w:evenVBand="0" w:oddHBand="1" w:evenHBand="0" w:firstRowFirstColumn="0" w:firstRowLastColumn="0" w:lastRowFirstColumn="0" w:lastRowLastColumn="0"/>
            </w:pPr>
            <w:r w:rsidRPr="00772BC3">
              <w:t>5.4 Addressing compounding impacts associated with intersectionality</w:t>
            </w:r>
          </w:p>
        </w:tc>
      </w:tr>
    </w:tbl>
    <w:p w14:paraId="3A081FC4" w14:textId="4A45423A" w:rsidR="005727C4" w:rsidRPr="00772BC3" w:rsidRDefault="005727C4" w:rsidP="005727C4">
      <w:r w:rsidRPr="00772BC3">
        <w:t xml:space="preserve">The Focus Areas complement the Australian Government’s commitment to building a stronger primary care system. Primary </w:t>
      </w:r>
      <w:r>
        <w:t>healthcare</w:t>
      </w:r>
      <w:r w:rsidRPr="00772BC3">
        <w:t xml:space="preserve"> providers deliver critical preventive health interventions, identify risk factors and provide coordinated support to slow or reverse the progression of illness. Primary healthcare investment (including strengthening and supporting the health workforce) can ease the pressure on tertiary health care and lessen the overall burden of chronic conditions.</w:t>
      </w:r>
    </w:p>
    <w:p w14:paraId="64B780B0" w14:textId="20597BB4" w:rsidR="005727C4" w:rsidRPr="00772BC3" w:rsidRDefault="005727C4" w:rsidP="005727C4">
      <w:r w:rsidRPr="00772BC3">
        <w:t xml:space="preserve">Prevention remains an important focus of the primary care system. The Framework provides guidance on prevention in the context of chronic conditions and encourages alignment and consideration of the </w:t>
      </w:r>
      <w:hyperlink r:id="rId34" w:history="1">
        <w:r w:rsidRPr="00772BC3">
          <w:rPr>
            <w:rStyle w:val="Hyperlink"/>
          </w:rPr>
          <w:t>National Preventive Health Strategy 2021–2030</w:t>
        </w:r>
      </w:hyperlink>
      <w:r w:rsidRPr="00772BC3">
        <w:t xml:space="preserve"> as part of this activity.</w:t>
      </w:r>
    </w:p>
    <w:p w14:paraId="771DAF33" w14:textId="15918AA6" w:rsidR="005727C4" w:rsidRPr="00772BC3" w:rsidRDefault="3309A2CE" w:rsidP="006A39A4">
      <w:pPr>
        <w:pStyle w:val="Heading2"/>
      </w:pPr>
      <w:bookmarkStart w:id="26" w:name="_Toc224557203"/>
      <w:r>
        <w:t>Focus Area 1: Health promotion and education supporting prevention and self-management of risk factors and condition(s)</w:t>
      </w:r>
      <w:bookmarkEnd w:id="26"/>
    </w:p>
    <w:p w14:paraId="48D7376E" w14:textId="2F67CDFF" w:rsidR="005727C4" w:rsidRPr="00772BC3" w:rsidRDefault="3309A2CE" w:rsidP="00F853C4">
      <w:pPr>
        <w:pStyle w:val="Heading3"/>
      </w:pPr>
      <w:bookmarkStart w:id="27" w:name="_Toc224557204"/>
      <w:r>
        <w:t>Why this is important</w:t>
      </w:r>
      <w:bookmarkEnd w:id="27"/>
    </w:p>
    <w:p w14:paraId="6D629601" w14:textId="6B14D5D0" w:rsidR="005727C4" w:rsidRPr="00772BC3" w:rsidRDefault="005727C4" w:rsidP="005727C4">
      <w:r w:rsidRPr="00772BC3">
        <w:t>Health promotion and education can support efforts to prevent and reduce the risk of developing chronic conditions. The goal of health promotion is to empower individuals and communities to make healthy choices and create conditions that support wellbeing.</w:t>
      </w:r>
      <w:r w:rsidR="0023629E" w:rsidRPr="00772BC3">
        <w:rPr>
          <w:noProof/>
          <w:vertAlign w:val="superscript"/>
        </w:rPr>
        <w:t>1</w:t>
      </w:r>
      <w:r w:rsidR="0512FB1F" w:rsidRPr="3FA1224E">
        <w:rPr>
          <w:noProof/>
          <w:vertAlign w:val="superscript"/>
        </w:rPr>
        <w:t>5</w:t>
      </w:r>
      <w:r w:rsidRPr="00772BC3">
        <w:t xml:space="preserve"> The promotion of environments that enable individuals and communities to manage risk factors, such as modifiable behaviours, and to have equitable access to health care are vital.</w:t>
      </w:r>
    </w:p>
    <w:p w14:paraId="7A219354" w14:textId="5FC007EF" w:rsidR="005727C4" w:rsidRPr="00772BC3" w:rsidRDefault="005727C4" w:rsidP="005727C4">
      <w:r w:rsidRPr="00772BC3">
        <w:t>Health literacy is a structural barrier that inhibits equitable access to health-supporting behaviours and health care.</w:t>
      </w:r>
      <w:r w:rsidR="0023629E" w:rsidRPr="00772BC3">
        <w:rPr>
          <w:noProof/>
          <w:vertAlign w:val="superscript"/>
        </w:rPr>
        <w:t>1</w:t>
      </w:r>
      <w:r w:rsidR="02AC87FB" w:rsidRPr="3FA1224E">
        <w:rPr>
          <w:noProof/>
          <w:vertAlign w:val="superscript"/>
        </w:rPr>
        <w:t>6</w:t>
      </w:r>
      <w:r w:rsidRPr="00772BC3">
        <w:t xml:space="preserve"> Low health literacy has an impact on the ability of everyone involved in health care to give and receive, interpret, and act on information. Health literacy plays a critical role in health promotion and education, shared decision-making, and the ability of people to effectively self-manage their condition(s). Community environments can also play an important role in enabling people to effectively self-manage chronic conditions.</w:t>
      </w:r>
    </w:p>
    <w:p w14:paraId="2E216221" w14:textId="70338D96" w:rsidR="00F853C4" w:rsidRPr="00772BC3" w:rsidRDefault="00F06202" w:rsidP="00F06202">
      <w:pPr>
        <w:pStyle w:val="Caption"/>
      </w:pPr>
      <w:r>
        <w:t xml:space="preserve">Table </w:t>
      </w:r>
      <w:r>
        <w:fldChar w:fldCharType="begin"/>
      </w:r>
      <w:r>
        <w:instrText xml:space="preserve"> SEQ Table \* ARABIC </w:instrText>
      </w:r>
      <w:r>
        <w:fldChar w:fldCharType="separate"/>
      </w:r>
      <w:r>
        <w:rPr>
          <w:noProof/>
        </w:rPr>
        <w:t>3</w:t>
      </w:r>
      <w:r>
        <w:fldChar w:fldCharType="end"/>
      </w:r>
      <w:r w:rsidR="00F853C4" w:rsidRPr="00772BC3">
        <w:t xml:space="preserve">: Action </w:t>
      </w:r>
      <w:r w:rsidR="0032096B" w:rsidRPr="00772BC3">
        <w:t>P</w:t>
      </w:r>
      <w:r w:rsidR="00F853C4" w:rsidRPr="00772BC3">
        <w:t>riorities for health promotion and education supporting self-management of condition(s)</w:t>
      </w:r>
    </w:p>
    <w:tbl>
      <w:tblPr>
        <w:tblStyle w:val="DepartmentofHealthtable"/>
        <w:tblW w:w="0" w:type="auto"/>
        <w:tblLook w:val="04A0" w:firstRow="1" w:lastRow="0" w:firstColumn="1" w:lastColumn="0" w:noHBand="0" w:noVBand="1"/>
        <w:tblCaption w:val="Table 3: Action Priorities for health promotion and education supporting self-management of conditio"/>
        <w:tblDescription w:val="Table lists action priorities for health promotion and education supporting self-management of condition(s)"/>
      </w:tblPr>
      <w:tblGrid>
        <w:gridCol w:w="3261"/>
        <w:gridCol w:w="5809"/>
      </w:tblGrid>
      <w:tr w:rsidR="00AB1073" w:rsidRPr="00772BC3" w14:paraId="58A1A625" w14:textId="77777777" w:rsidTr="4FD68A1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261" w:type="dxa"/>
          </w:tcPr>
          <w:p w14:paraId="51BE5006" w14:textId="025CE5BA" w:rsidR="00F853C4" w:rsidRPr="00772BC3" w:rsidRDefault="00F853C4">
            <w:pPr>
              <w:pStyle w:val="TableHeaderWhite"/>
            </w:pPr>
            <w:r w:rsidRPr="00772BC3">
              <w:t xml:space="preserve">Focus </w:t>
            </w:r>
            <w:r w:rsidR="00AE35D6" w:rsidRPr="00772BC3">
              <w:t>A</w:t>
            </w:r>
            <w:r w:rsidRPr="00772BC3">
              <w:t>rea</w:t>
            </w:r>
          </w:p>
        </w:tc>
        <w:tc>
          <w:tcPr>
            <w:tcW w:w="5809" w:type="dxa"/>
          </w:tcPr>
          <w:p w14:paraId="0D10CD53" w14:textId="40E5C000" w:rsidR="00F853C4" w:rsidRPr="00772BC3" w:rsidRDefault="00F853C4">
            <w:pPr>
              <w:pStyle w:val="TableHeader"/>
              <w:cnfStyle w:val="100000000000" w:firstRow="1" w:lastRow="0" w:firstColumn="0" w:lastColumn="0" w:oddVBand="0" w:evenVBand="0" w:oddHBand="0" w:evenHBand="0" w:firstRowFirstColumn="0" w:firstRowLastColumn="0" w:lastRowFirstColumn="0" w:lastRowLastColumn="0"/>
            </w:pPr>
            <w:r w:rsidRPr="00772BC3">
              <w:t xml:space="preserve">Action </w:t>
            </w:r>
            <w:r w:rsidR="00AE35D6" w:rsidRPr="00772BC3">
              <w:t>P</w:t>
            </w:r>
            <w:r w:rsidRPr="00772BC3">
              <w:t>riorities</w:t>
            </w:r>
          </w:p>
        </w:tc>
      </w:tr>
      <w:tr w:rsidR="00F853C4" w:rsidRPr="00772BC3" w14:paraId="5B2C430B" w14:textId="77777777" w:rsidTr="4FD68A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tcPr>
          <w:p w14:paraId="4C6FADBC" w14:textId="77777777" w:rsidR="00F853C4" w:rsidRPr="00772BC3" w:rsidRDefault="00F853C4" w:rsidP="00A3583A">
            <w:pPr>
              <w:pStyle w:val="Tabletextleft"/>
            </w:pPr>
            <w:r w:rsidRPr="00772BC3">
              <w:t>1. Health promotion and education supporting self-management of risk factors and conditions</w:t>
            </w:r>
          </w:p>
        </w:tc>
        <w:tc>
          <w:tcPr>
            <w:tcW w:w="5809" w:type="dxa"/>
          </w:tcPr>
          <w:p w14:paraId="7368EC65" w14:textId="77777777" w:rsidR="00F853C4" w:rsidRPr="00772BC3" w:rsidRDefault="00F853C4" w:rsidP="00A3583A">
            <w:pPr>
              <w:pStyle w:val="Tabletextleft"/>
              <w:cnfStyle w:val="000000100000" w:firstRow="0" w:lastRow="0" w:firstColumn="0" w:lastColumn="0" w:oddVBand="0" w:evenVBand="0" w:oddHBand="1" w:evenHBand="0" w:firstRowFirstColumn="0" w:firstRowLastColumn="0" w:lastRowFirstColumn="0" w:lastRowLastColumn="0"/>
            </w:pPr>
            <w:r w:rsidRPr="00772BC3">
              <w:t>1.1 Creating enabling and supportive environments</w:t>
            </w:r>
          </w:p>
          <w:p w14:paraId="1B41DC80" w14:textId="77777777" w:rsidR="00F853C4" w:rsidRPr="00772BC3" w:rsidRDefault="00F853C4" w:rsidP="00A3583A">
            <w:pPr>
              <w:pStyle w:val="Tabletextleft"/>
              <w:cnfStyle w:val="000000100000" w:firstRow="0" w:lastRow="0" w:firstColumn="0" w:lastColumn="0" w:oddVBand="0" w:evenVBand="0" w:oddHBand="1" w:evenHBand="0" w:firstRowFirstColumn="0" w:firstRowLastColumn="0" w:lastRowFirstColumn="0" w:lastRowLastColumn="0"/>
            </w:pPr>
            <w:r w:rsidRPr="00772BC3">
              <w:t>1.2 Enhancing health literacy</w:t>
            </w:r>
          </w:p>
          <w:p w14:paraId="48B4CD14" w14:textId="77777777" w:rsidR="00F853C4" w:rsidRPr="00772BC3" w:rsidRDefault="00F853C4" w:rsidP="00A3583A">
            <w:pPr>
              <w:pStyle w:val="Tabletextleft"/>
              <w:cnfStyle w:val="000000100000" w:firstRow="0" w:lastRow="0" w:firstColumn="0" w:lastColumn="0" w:oddVBand="0" w:evenVBand="0" w:oddHBand="1" w:evenHBand="0" w:firstRowFirstColumn="0" w:firstRowLastColumn="0" w:lastRowFirstColumn="0" w:lastRowLastColumn="0"/>
            </w:pPr>
            <w:r w:rsidRPr="00772BC3">
              <w:t>1.3 Building community capacity for self-management support</w:t>
            </w:r>
          </w:p>
        </w:tc>
      </w:tr>
    </w:tbl>
    <w:p w14:paraId="1C01EA6B" w14:textId="72DD1C6D" w:rsidR="005727C4" w:rsidRPr="00772BC3" w:rsidRDefault="3309A2CE" w:rsidP="006F5DAC">
      <w:pPr>
        <w:pStyle w:val="Heading4"/>
      </w:pPr>
      <w:r>
        <w:t>Action Priority 1.1 Creating enabling and supportive environments</w:t>
      </w:r>
    </w:p>
    <w:p w14:paraId="108AD61A" w14:textId="1E9203CA" w:rsidR="005727C4" w:rsidRPr="00772BC3" w:rsidRDefault="005727C4" w:rsidP="005727C4">
      <w:r w:rsidRPr="00772BC3">
        <w:t>Prevention is a key focus for Australia’s health system. Around 36% of the burden of disease in Australia,</w:t>
      </w:r>
      <w:r w:rsidR="0023629E" w:rsidRPr="00772BC3">
        <w:rPr>
          <w:noProof/>
          <w:vertAlign w:val="superscript"/>
        </w:rPr>
        <w:t>1</w:t>
      </w:r>
      <w:r w:rsidR="36AC40FD" w:rsidRPr="3FA1224E">
        <w:rPr>
          <w:noProof/>
          <w:vertAlign w:val="superscript"/>
        </w:rPr>
        <w:t>7</w:t>
      </w:r>
      <w:r w:rsidRPr="00772BC3">
        <w:t xml:space="preserve"> and 49% for Aboriginal and Torres Strait Islander </w:t>
      </w:r>
      <w:r>
        <w:t>people</w:t>
      </w:r>
      <w:r w:rsidR="0C85505D">
        <w:t>s</w:t>
      </w:r>
      <w:r w:rsidRPr="00772BC3">
        <w:t>,</w:t>
      </w:r>
      <w:r w:rsidR="0023629E" w:rsidRPr="00772BC3">
        <w:rPr>
          <w:noProof/>
          <w:vertAlign w:val="superscript"/>
        </w:rPr>
        <w:t>1</w:t>
      </w:r>
      <w:r w:rsidR="2360CA86" w:rsidRPr="3FA1224E">
        <w:rPr>
          <w:noProof/>
          <w:vertAlign w:val="superscript"/>
        </w:rPr>
        <w:t>8</w:t>
      </w:r>
      <w:r w:rsidRPr="00772BC3">
        <w:t xml:space="preserve"> is potentially preventable through addressing modifiable risk factors such as physical inactivity, dietary risks, and </w:t>
      </w:r>
      <w:r w:rsidR="00A4494C" w:rsidRPr="00772BC3">
        <w:t xml:space="preserve">harmful </w:t>
      </w:r>
      <w:r w:rsidRPr="00772BC3">
        <w:t>alcohol, tobacco and other drug use. Determinants of health impact the capacity of people to make changes to modifiable risk factors and are often outside the control of individuals. Efforts to address determinants of health should be prioritised to promote environments that support communities and individuals in risk reduction behaviours and accessing health care to manage chronic conditions.</w:t>
      </w:r>
    </w:p>
    <w:p w14:paraId="4DFC395F" w14:textId="7D683154" w:rsidR="001E2363" w:rsidRPr="00772BC3" w:rsidRDefault="001E2363" w:rsidP="005727C4">
      <w:r w:rsidRPr="00772BC3">
        <w:t xml:space="preserve">The National Preventive Health Strategy 2021–2030 highlights the importance of </w:t>
      </w:r>
      <w:r w:rsidR="006871A0" w:rsidRPr="00772BC3">
        <w:t>creating environments that support</w:t>
      </w:r>
      <w:r w:rsidR="00B6620F" w:rsidRPr="00772BC3">
        <w:t xml:space="preserve"> healthier living</w:t>
      </w:r>
      <w:r w:rsidR="00DF39E6" w:rsidRPr="00772BC3">
        <w:t>.</w:t>
      </w:r>
      <w:r w:rsidR="00E15B65" w:rsidRPr="00772BC3">
        <w:t xml:space="preserve"> This includes addressing the </w:t>
      </w:r>
      <w:r w:rsidR="00797E19" w:rsidRPr="00772BC3">
        <w:t>built environment</w:t>
      </w:r>
      <w:r w:rsidR="009B245D" w:rsidRPr="00772BC3">
        <w:t xml:space="preserve"> and liveability of communities</w:t>
      </w:r>
      <w:r w:rsidR="00E15B65" w:rsidRPr="00772BC3">
        <w:t>, which play a role in shaping health behaviours</w:t>
      </w:r>
      <w:r w:rsidR="00401036" w:rsidRPr="00772BC3">
        <w:t xml:space="preserve">. Key </w:t>
      </w:r>
      <w:r w:rsidR="0003383B" w:rsidRPr="00772BC3">
        <w:t>elements</w:t>
      </w:r>
      <w:r w:rsidR="00401036" w:rsidRPr="00772BC3">
        <w:t xml:space="preserve"> include urban design</w:t>
      </w:r>
      <w:r w:rsidR="009B245D" w:rsidRPr="00772BC3">
        <w:t xml:space="preserve">, </w:t>
      </w:r>
      <w:r w:rsidR="008F7E40" w:rsidRPr="00772BC3">
        <w:t>walkability</w:t>
      </w:r>
      <w:r w:rsidR="004C17F7" w:rsidRPr="00772BC3">
        <w:t xml:space="preserve">, </w:t>
      </w:r>
      <w:r w:rsidR="00401036" w:rsidRPr="00772BC3">
        <w:t>access to reliable public transport, safe and inclusive green and open spaces</w:t>
      </w:r>
      <w:r w:rsidR="001B1255" w:rsidRPr="00772BC3">
        <w:t>,</w:t>
      </w:r>
      <w:r w:rsidR="00401036" w:rsidRPr="00772BC3">
        <w:t xml:space="preserve"> and food environments that make nutritious options more available and affordable. </w:t>
      </w:r>
      <w:r w:rsidR="00F0054B" w:rsidRPr="00772BC3">
        <w:t>In addition to physical surroundings, social determinants such as housing quality, working conditions, social support, an</w:t>
      </w:r>
      <w:r w:rsidR="00CB295E" w:rsidRPr="00772BC3">
        <w:t xml:space="preserve">d opportunities for community participation influence people’s ability to live healthy lives. Supportive social networks and safe, stable living conditions </w:t>
      </w:r>
      <w:r w:rsidR="00744804" w:rsidRPr="00772BC3">
        <w:t>enable</w:t>
      </w:r>
      <w:r w:rsidR="00CB295E" w:rsidRPr="00772BC3">
        <w:t xml:space="preserve"> individuals</w:t>
      </w:r>
      <w:r w:rsidR="005542C3" w:rsidRPr="00772BC3">
        <w:t xml:space="preserve"> </w:t>
      </w:r>
      <w:r w:rsidR="00744804" w:rsidRPr="00772BC3">
        <w:t xml:space="preserve">to </w:t>
      </w:r>
      <w:r w:rsidR="005542C3" w:rsidRPr="00772BC3">
        <w:t>maintain healthy routines.</w:t>
      </w:r>
    </w:p>
    <w:p w14:paraId="38D3E332" w14:textId="17F0B93B" w:rsidR="00277C9B" w:rsidRPr="00772BC3" w:rsidRDefault="00277C9B" w:rsidP="005727C4">
      <w:r w:rsidRPr="00772BC3">
        <w:t xml:space="preserve">Commercial determinants also affect health behaviour and outcomes. These include the marketing and advertising of unhealthy products, such as </w:t>
      </w:r>
      <w:r w:rsidR="004F5BD5" w:rsidRPr="00772BC3">
        <w:t xml:space="preserve">fast food, </w:t>
      </w:r>
      <w:r w:rsidRPr="00772BC3">
        <w:t>alcohol and tobacco, as well as the supply cha</w:t>
      </w:r>
      <w:r w:rsidR="003A7BB1" w:rsidRPr="00772BC3">
        <w:t>ins</w:t>
      </w:r>
      <w:r w:rsidRPr="00772BC3">
        <w:t xml:space="preserve"> that determine their availability and affordability. These influences can undermine public health efforts and contribute to the development of chronic conditions.</w:t>
      </w:r>
    </w:p>
    <w:p w14:paraId="39446502" w14:textId="01477226" w:rsidR="005727C4" w:rsidRPr="00772BC3" w:rsidRDefault="1159D4FD" w:rsidP="005727C4">
      <w:r>
        <w:t>Rising temperatures,  air pollution</w:t>
      </w:r>
      <w:r w:rsidR="2AC12A09">
        <w:t xml:space="preserve"> </w:t>
      </w:r>
      <w:r>
        <w:t xml:space="preserve">and </w:t>
      </w:r>
      <w:r w:rsidR="44EAD48E">
        <w:t>more frequent</w:t>
      </w:r>
      <w:r>
        <w:t xml:space="preserve"> climate-related events can </w:t>
      </w:r>
      <w:r w:rsidR="2D1E55E4">
        <w:t xml:space="preserve">worsen health outcomes and </w:t>
      </w:r>
      <w:r w:rsidR="58C0EE58">
        <w:t>disrupt access to care</w:t>
      </w:r>
      <w:r w:rsidR="63558780">
        <w:t xml:space="preserve">. This can </w:t>
      </w:r>
      <w:r w:rsidR="4CDBF048">
        <w:t xml:space="preserve">particularly </w:t>
      </w:r>
      <w:r w:rsidR="72237020">
        <w:t xml:space="preserve">effect </w:t>
      </w:r>
      <w:r w:rsidR="4CDBF048">
        <w:t xml:space="preserve"> people living with chronic conditions and those in rural and remote communities</w:t>
      </w:r>
      <w:r>
        <w:t xml:space="preserve">. </w:t>
      </w:r>
      <w:r w:rsidR="63D3A34E">
        <w:t>T</w:t>
      </w:r>
      <w:r>
        <w:t>he National Health and Climate Strategy outlines a plan to strengthen the climate resilience of Australia’s health system.</w:t>
      </w:r>
      <w:r w:rsidR="47162122">
        <w:t xml:space="preserve"> Other examples and impacts of the determinants of health are described in Appendix 1.</w:t>
      </w:r>
    </w:p>
    <w:p w14:paraId="0FE3D519" w14:textId="6512BC7C" w:rsidR="005727C4" w:rsidRPr="00772BC3" w:rsidRDefault="3309A2CE" w:rsidP="00E43C29">
      <w:pPr>
        <w:pStyle w:val="Heading4"/>
      </w:pPr>
      <w:r>
        <w:t>Action Priority 1.2 Enhancing health literacy</w:t>
      </w:r>
    </w:p>
    <w:p w14:paraId="78FA3454" w14:textId="0AD3D2E1" w:rsidR="005727C4" w:rsidRPr="00772BC3" w:rsidRDefault="005727C4" w:rsidP="005727C4">
      <w:r w:rsidRPr="00772BC3">
        <w:t>Health literacy relates to both an individual and to the healthcare environment.</w:t>
      </w:r>
      <w:r w:rsidR="405B53A9" w:rsidRPr="3FA1224E">
        <w:rPr>
          <w:noProof/>
          <w:vertAlign w:val="superscript"/>
        </w:rPr>
        <w:t>19</w:t>
      </w:r>
      <w:r w:rsidRPr="00772BC3">
        <w:t xml:space="preserve"> Addressing health literacy requires strategies to build both the capacity of individuals to make informed choices and also the capacity of the health system to support this. Efforts to improve health literacy should consider identified Action Priorities.</w:t>
      </w:r>
    </w:p>
    <w:p w14:paraId="31B662BE" w14:textId="77777777" w:rsidR="005727C4" w:rsidRPr="00A3583A" w:rsidRDefault="005727C4" w:rsidP="00A3583A">
      <w:pPr>
        <w:pStyle w:val="Heading5"/>
      </w:pPr>
      <w:r w:rsidRPr="00A3583A">
        <w:t>Individuals</w:t>
      </w:r>
    </w:p>
    <w:p w14:paraId="3CF6DFFA" w14:textId="77777777" w:rsidR="005727C4" w:rsidRPr="00772BC3" w:rsidRDefault="005727C4" w:rsidP="005727C4">
      <w:r w:rsidRPr="00772BC3">
        <w:t>For individuals, health literacy relates to the ability to assess, understand, and apply information to make good decisions and actions about their personal health and health care. Health literacy activities should also consider how people may access health promotion and education information.</w:t>
      </w:r>
    </w:p>
    <w:p w14:paraId="73278A32" w14:textId="227A62DB" w:rsidR="005727C4" w:rsidRPr="00772BC3" w:rsidRDefault="005727C4" w:rsidP="005727C4">
      <w:r w:rsidRPr="00772BC3">
        <w:t>Digital health literacy is increasingly important as digital technology grows in Australia’s healthcare system. Enhanced digital literacy empowers consumers in the self-management of conditions with tools including My Health Record and electronic prescriptions. Initiatives to enhance digital health literacy should consider and build upon existing resources, such as the Good Things Foundation’s work on closing the digital divide.</w:t>
      </w:r>
      <w:r w:rsidR="0023629E" w:rsidRPr="3FA1224E">
        <w:rPr>
          <w:noProof/>
          <w:vertAlign w:val="superscript"/>
        </w:rPr>
        <w:t>2</w:t>
      </w:r>
      <w:r w:rsidR="0D92B6B7" w:rsidRPr="3FA1224E">
        <w:rPr>
          <w:noProof/>
          <w:vertAlign w:val="superscript"/>
        </w:rPr>
        <w:t>0</w:t>
      </w:r>
    </w:p>
    <w:p w14:paraId="4EEDA10A" w14:textId="539455D8" w:rsidR="005727C4" w:rsidRPr="00A3583A" w:rsidRDefault="005727C4" w:rsidP="00A3583A">
      <w:pPr>
        <w:pStyle w:val="Heading5"/>
      </w:pPr>
      <w:r w:rsidRPr="00A3583A">
        <w:t>Healthcare environment</w:t>
      </w:r>
    </w:p>
    <w:p w14:paraId="0D47E6A9" w14:textId="3428EC58" w:rsidR="005727C4" w:rsidRPr="00772BC3" w:rsidRDefault="005727C4" w:rsidP="005727C4">
      <w:r w:rsidRPr="00772BC3">
        <w:t xml:space="preserve">The health literacy environment relates to the infrastructure, policies, processes, materials, people and relationships that make up the health system and have an impact on individual health literacy. A key element of building the capacity of the health system is providing support for </w:t>
      </w:r>
      <w:r>
        <w:t>healthcare</w:t>
      </w:r>
      <w:r w:rsidRPr="00772BC3">
        <w:t xml:space="preserve"> providers. </w:t>
      </w:r>
      <w:r>
        <w:t>Healthcare</w:t>
      </w:r>
      <w:r w:rsidRPr="00772BC3">
        <w:t xml:space="preserve"> providers should be trained and skilled in the delivery of health information that supports client comprehension and ability to make informed choices about their own care. </w:t>
      </w:r>
      <w:r>
        <w:t>Healthcare</w:t>
      </w:r>
      <w:r w:rsidRPr="00772BC3">
        <w:t xml:space="preserve"> providers should also be trained and skilled in building trust and providing a shared decision-making environment with clients to clearly understand client goals. </w:t>
      </w:r>
      <w:r>
        <w:t>Healthcare</w:t>
      </w:r>
      <w:r w:rsidRPr="00772BC3">
        <w:t xml:space="preserve"> providers must be cognisant of potential bias and discrimination that may hinder diagnoses and provision of adequate care, particularly for priority populations.</w:t>
      </w:r>
    </w:p>
    <w:p w14:paraId="1A6895B2" w14:textId="5C77110A" w:rsidR="005727C4" w:rsidRPr="00772BC3" w:rsidRDefault="3309A2CE" w:rsidP="00600A6F">
      <w:pPr>
        <w:pStyle w:val="Heading4"/>
      </w:pPr>
      <w:r>
        <w:t>Action Priority 1.3 Building community capacity for self-management support</w:t>
      </w:r>
    </w:p>
    <w:p w14:paraId="39439F43" w14:textId="55865DDC" w:rsidR="005727C4" w:rsidRPr="00772BC3" w:rsidRDefault="005727C4" w:rsidP="005727C4">
      <w:r w:rsidRPr="00772BC3">
        <w:t xml:space="preserve">Effective self-management should supplement or complement other efforts to improve chronic conditions health care, such as person-centred, multidisciplinary care and continuity of care. People should not be left to self-manage conditions in the absence of appropriate care. People should be empowered to share in decision-making and goal setting with their </w:t>
      </w:r>
      <w:r>
        <w:t>healthcare</w:t>
      </w:r>
      <w:r w:rsidRPr="00772BC3">
        <w:t xml:space="preserve"> provider.</w:t>
      </w:r>
      <w:r w:rsidR="0023629E" w:rsidRPr="00772BC3">
        <w:rPr>
          <w:noProof/>
          <w:vertAlign w:val="superscript"/>
        </w:rPr>
        <w:t>2</w:t>
      </w:r>
      <w:r w:rsidR="40D20CC3" w:rsidRPr="3FA1224E">
        <w:rPr>
          <w:noProof/>
          <w:vertAlign w:val="superscript"/>
        </w:rPr>
        <w:t>1</w:t>
      </w:r>
      <w:r w:rsidRPr="00772BC3">
        <w:t xml:space="preserve"> Empowering people is more effective in improving health outcomes than just providing information or advice.</w:t>
      </w:r>
      <w:r w:rsidR="0023629E" w:rsidRPr="3FA1224E">
        <w:rPr>
          <w:noProof/>
          <w:vertAlign w:val="superscript"/>
        </w:rPr>
        <w:t>2</w:t>
      </w:r>
      <w:r w:rsidR="667ED7C8" w:rsidRPr="3FA1224E">
        <w:rPr>
          <w:noProof/>
          <w:vertAlign w:val="superscript"/>
        </w:rPr>
        <w:t>2</w:t>
      </w:r>
    </w:p>
    <w:p w14:paraId="72419FC2" w14:textId="016692BE" w:rsidR="005727C4" w:rsidRPr="00772BC3" w:rsidRDefault="005727C4" w:rsidP="005727C4">
      <w:r w:rsidRPr="00772BC3">
        <w:t>Strong community engagement is important for enhancing health literacy and enabling communities to build capacity for self-management of chronic conditions. Communities can shape health promotion and educational resources appropriate to their specific circumstances. Co-design and incorporating lived experience into the development of initiatives that are aimed at building capacity in communities is vital. Community leaders and champions can raise awareness and drive efforts to build capacity and have demonstrated real positive impacts on communities.</w:t>
      </w:r>
    </w:p>
    <w:p w14:paraId="5A9ACE2F" w14:textId="77777777" w:rsidR="005727C4" w:rsidRPr="00772BC3" w:rsidRDefault="005727C4" w:rsidP="005727C4">
      <w:r w:rsidRPr="00772BC3">
        <w:t>Self-management should be assisted by material being available in different languages, in simple to read formats (including ‘Easy Read’), and the availability of interpreting services. It is equally important for initiatives to be culturally safe and appropriate for the communities they are intended to assist.</w:t>
      </w:r>
    </w:p>
    <w:p w14:paraId="7FE4D2E3" w14:textId="77777777" w:rsidR="005727C4" w:rsidRPr="00772BC3" w:rsidRDefault="005727C4" w:rsidP="005727C4">
      <w:r w:rsidRPr="00772BC3">
        <w:t xml:space="preserve">Communities can provide ready access to resources including helplines, hubs, and care and navigation supports to support self-management. Community-led evaluation will help ensure health promotion and self-management remain relevant, effective and responsive to the needs of the communities they aim to support. </w:t>
      </w:r>
    </w:p>
    <w:p w14:paraId="7D046DC2" w14:textId="7F697182" w:rsidR="005727C4" w:rsidRPr="00772BC3" w:rsidRDefault="005727C4" w:rsidP="005727C4">
      <w:r w:rsidRPr="00772BC3">
        <w:t>Participation in leisure and recreational activities can aid in chronic condition self-management by supporting a person’s physical, mental and social wellbeing following the onset of a chronic condition. This is particularly relevant for populations in rural and remote areas where formal rehabilitation services may be limited, but diverse community-based leisure opportunities exist.</w:t>
      </w:r>
      <w:r w:rsidR="0023629E" w:rsidRPr="3FA1224E">
        <w:rPr>
          <w:noProof/>
          <w:vertAlign w:val="superscript"/>
        </w:rPr>
        <w:t>2</w:t>
      </w:r>
      <w:r w:rsidR="4E2CC09F" w:rsidRPr="3FA1224E">
        <w:rPr>
          <w:noProof/>
          <w:vertAlign w:val="superscript"/>
        </w:rPr>
        <w:t>3</w:t>
      </w:r>
    </w:p>
    <w:p w14:paraId="7DF8C168" w14:textId="77777777" w:rsidR="00600A6F" w:rsidRPr="00A3583A" w:rsidRDefault="00600A6F" w:rsidP="00A3583A">
      <w:r w:rsidRPr="00772BC3">
        <w:br w:type="page"/>
      </w:r>
    </w:p>
    <w:p w14:paraId="2DF3B2CC" w14:textId="56DE07A4" w:rsidR="005727C4" w:rsidRPr="00772BC3" w:rsidRDefault="3309A2CE" w:rsidP="00600A6F">
      <w:pPr>
        <w:pStyle w:val="Heading2"/>
      </w:pPr>
      <w:bookmarkStart w:id="28" w:name="_Toc224557205"/>
      <w:r>
        <w:t>Focus Area 2: Embedding early diagnosis and intervention in the continuum of care</w:t>
      </w:r>
      <w:bookmarkEnd w:id="28"/>
    </w:p>
    <w:p w14:paraId="791F17BE" w14:textId="5E123802" w:rsidR="005727C4" w:rsidRPr="00772BC3" w:rsidRDefault="3309A2CE" w:rsidP="00600A6F">
      <w:pPr>
        <w:pStyle w:val="Heading3"/>
      </w:pPr>
      <w:bookmarkStart w:id="29" w:name="_Toc224557206"/>
      <w:r>
        <w:t>Why this is important</w:t>
      </w:r>
      <w:bookmarkEnd w:id="29"/>
    </w:p>
    <w:p w14:paraId="0D9E872C" w14:textId="3CB5CA12" w:rsidR="00212627" w:rsidRPr="00A3583A" w:rsidRDefault="005727C4" w:rsidP="00A3583A">
      <w:r w:rsidRPr="00772BC3">
        <w:t>Early diagnosis and intervention are vital to ensuring that chronic conditions can be managed as early as possible in their progression. Some chronic conditions are not preventable due to factors such as genetics and the normal process of ageing. Early diagnosis and effective intervention are therefore particularly important for people who live with non-preventable chronic conditions. Early intervention can improve immediate health outcomes and quality of life. It also has long-term benefits, including reducing the severity of condition progression, enhancing independence for individuals, and decreasing long-term costs on the healthcare system. Utilising digital technologies and data can play a key role in improving early diagnosis and intervention.</w:t>
      </w:r>
    </w:p>
    <w:p w14:paraId="54498E36" w14:textId="2059891F" w:rsidR="00600A6F" w:rsidRPr="00772BC3" w:rsidRDefault="00F06202" w:rsidP="00F06202">
      <w:pPr>
        <w:pStyle w:val="Caption"/>
      </w:pPr>
      <w:r>
        <w:t xml:space="preserve">Table </w:t>
      </w:r>
      <w:r>
        <w:fldChar w:fldCharType="begin"/>
      </w:r>
      <w:r>
        <w:instrText xml:space="preserve"> SEQ Table \* ARABIC </w:instrText>
      </w:r>
      <w:r>
        <w:fldChar w:fldCharType="separate"/>
      </w:r>
      <w:r>
        <w:rPr>
          <w:noProof/>
        </w:rPr>
        <w:t>4</w:t>
      </w:r>
      <w:r>
        <w:fldChar w:fldCharType="end"/>
      </w:r>
      <w:r w:rsidR="00600A6F" w:rsidRPr="00772BC3">
        <w:t xml:space="preserve">: Action </w:t>
      </w:r>
      <w:r w:rsidR="00863C45" w:rsidRPr="00772BC3">
        <w:t>P</w:t>
      </w:r>
      <w:r w:rsidR="00600A6F" w:rsidRPr="00772BC3">
        <w:t>riorities for embedding prevention, early detection and intervention in the continuum of care</w:t>
      </w:r>
    </w:p>
    <w:tbl>
      <w:tblPr>
        <w:tblStyle w:val="DepartmentofHealthtable"/>
        <w:tblW w:w="0" w:type="auto"/>
        <w:tblLook w:val="04A0" w:firstRow="1" w:lastRow="0" w:firstColumn="1" w:lastColumn="0" w:noHBand="0" w:noVBand="1"/>
        <w:tblCaption w:val="Table 4: Action Priorities for embedding prevention, early detection and intervention in the continu"/>
        <w:tblDescription w:val="Table lists action priorities for embedding prevention, early detection and intervention in the continuum of care"/>
      </w:tblPr>
      <w:tblGrid>
        <w:gridCol w:w="3261"/>
        <w:gridCol w:w="5809"/>
      </w:tblGrid>
      <w:tr w:rsidR="00AB1073" w:rsidRPr="00772BC3" w14:paraId="5268237D" w14:textId="77777777" w:rsidTr="4FD68A1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261" w:type="dxa"/>
          </w:tcPr>
          <w:p w14:paraId="24E18B0E" w14:textId="6ADEB614" w:rsidR="00600A6F" w:rsidRPr="00772BC3" w:rsidRDefault="00600A6F">
            <w:pPr>
              <w:pStyle w:val="TableHeaderWhite"/>
            </w:pPr>
            <w:r w:rsidRPr="00772BC3">
              <w:t xml:space="preserve">Focus </w:t>
            </w:r>
            <w:r w:rsidR="005662B3" w:rsidRPr="00772BC3">
              <w:t>A</w:t>
            </w:r>
            <w:r w:rsidRPr="00772BC3">
              <w:t>rea</w:t>
            </w:r>
          </w:p>
        </w:tc>
        <w:tc>
          <w:tcPr>
            <w:tcW w:w="5809" w:type="dxa"/>
          </w:tcPr>
          <w:p w14:paraId="7BA05EF7" w14:textId="7CFC0ABC" w:rsidR="00600A6F" w:rsidRPr="00772BC3" w:rsidRDefault="00600A6F">
            <w:pPr>
              <w:pStyle w:val="TableHeader"/>
              <w:cnfStyle w:val="100000000000" w:firstRow="1" w:lastRow="0" w:firstColumn="0" w:lastColumn="0" w:oddVBand="0" w:evenVBand="0" w:oddHBand="0" w:evenHBand="0" w:firstRowFirstColumn="0" w:firstRowLastColumn="0" w:lastRowFirstColumn="0" w:lastRowLastColumn="0"/>
            </w:pPr>
            <w:r w:rsidRPr="00772BC3">
              <w:t xml:space="preserve">Action </w:t>
            </w:r>
            <w:r w:rsidR="005662B3" w:rsidRPr="00772BC3">
              <w:t>P</w:t>
            </w:r>
            <w:r w:rsidRPr="00772BC3">
              <w:t>riorities</w:t>
            </w:r>
          </w:p>
        </w:tc>
      </w:tr>
      <w:tr w:rsidR="00600A6F" w:rsidRPr="00772BC3" w14:paraId="149E1954" w14:textId="77777777" w:rsidTr="4FD68A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tcPr>
          <w:p w14:paraId="3B797137" w14:textId="77777777" w:rsidR="00600A6F" w:rsidRPr="00772BC3" w:rsidRDefault="00600A6F" w:rsidP="00A3583A">
            <w:pPr>
              <w:pStyle w:val="Tabletextleft"/>
            </w:pPr>
            <w:r w:rsidRPr="00772BC3">
              <w:t>2. Embedding prevention, early diagnosis and intervention in the continuum of care</w:t>
            </w:r>
          </w:p>
        </w:tc>
        <w:tc>
          <w:tcPr>
            <w:tcW w:w="5809" w:type="dxa"/>
          </w:tcPr>
          <w:p w14:paraId="3CF92EB6" w14:textId="77777777" w:rsidR="00600A6F" w:rsidRPr="00772BC3" w:rsidRDefault="00600A6F" w:rsidP="00A3583A">
            <w:pPr>
              <w:pStyle w:val="Tabletextleft"/>
              <w:cnfStyle w:val="000000100000" w:firstRow="0" w:lastRow="0" w:firstColumn="0" w:lastColumn="0" w:oddVBand="0" w:evenVBand="0" w:oddHBand="1" w:evenHBand="0" w:firstRowFirstColumn="0" w:firstRowLastColumn="0" w:lastRowFirstColumn="0" w:lastRowLastColumn="0"/>
            </w:pPr>
            <w:r w:rsidRPr="00772BC3">
              <w:t>2.1 Early diagnosis and intervention</w:t>
            </w:r>
          </w:p>
          <w:p w14:paraId="3E81CCE4" w14:textId="77777777" w:rsidR="00600A6F" w:rsidRPr="00772BC3" w:rsidRDefault="00600A6F" w:rsidP="00A3583A">
            <w:pPr>
              <w:pStyle w:val="Tabletextleft"/>
              <w:cnfStyle w:val="000000100000" w:firstRow="0" w:lastRow="0" w:firstColumn="0" w:lastColumn="0" w:oddVBand="0" w:evenVBand="0" w:oddHBand="1" w:evenHBand="0" w:firstRowFirstColumn="0" w:firstRowLastColumn="0" w:lastRowFirstColumn="0" w:lastRowLastColumn="0"/>
            </w:pPr>
            <w:r w:rsidRPr="00772BC3">
              <w:t>2.2 Utilising digital technology and data</w:t>
            </w:r>
          </w:p>
        </w:tc>
      </w:tr>
    </w:tbl>
    <w:p w14:paraId="7F4C1D26" w14:textId="0B539BFF" w:rsidR="005727C4" w:rsidRPr="00772BC3" w:rsidRDefault="3309A2CE" w:rsidP="00DC117B">
      <w:pPr>
        <w:pStyle w:val="Heading4"/>
      </w:pPr>
      <w:r>
        <w:t>Action Priority 2.1 Early diagnosis and intervention</w:t>
      </w:r>
    </w:p>
    <w:p w14:paraId="26072E32" w14:textId="0B3497B8" w:rsidR="005727C4" w:rsidRPr="00772BC3" w:rsidRDefault="005727C4" w:rsidP="005727C4">
      <w:r w:rsidRPr="00772BC3">
        <w:t xml:space="preserve">Early diagnosis and intervention are influenced by awareness and knowledge of certain conditions by the health workforce, particularly for conditions that can be difficult to diagnose (such as pelvic pain related conditions and rare conditions). Relevant ongoing education and training of the health workforce, along with awareness raising initiatives for </w:t>
      </w:r>
      <w:r>
        <w:t>healthcare</w:t>
      </w:r>
      <w:r w:rsidRPr="00772BC3">
        <w:t xml:space="preserve"> </w:t>
      </w:r>
      <w:r w:rsidR="3913A880">
        <w:t>providers</w:t>
      </w:r>
      <w:r w:rsidRPr="00772BC3">
        <w:t xml:space="preserve"> can assist in diagnosing chronic conditions and provide opportunities for appropriate early intervention.</w:t>
      </w:r>
    </w:p>
    <w:p w14:paraId="44F6212E" w14:textId="4959A1B9" w:rsidR="004F772C" w:rsidRPr="00772BC3" w:rsidRDefault="00564829" w:rsidP="005727C4">
      <w:r>
        <w:t>Mental health</w:t>
      </w:r>
      <w:r w:rsidR="009D19A0">
        <w:t xml:space="preserve"> conditions</w:t>
      </w:r>
      <w:r>
        <w:t xml:space="preserve"> </w:t>
      </w:r>
      <w:r w:rsidR="009D19A0">
        <w:t>are</w:t>
      </w:r>
      <w:r>
        <w:t xml:space="preserve"> a consideration </w:t>
      </w:r>
      <w:r w:rsidR="009D19A0">
        <w:t>for</w:t>
      </w:r>
      <w:r>
        <w:t xml:space="preserve"> early intervention</w:t>
      </w:r>
      <w:r w:rsidR="009D19A0">
        <w:t>, especially when they</w:t>
      </w:r>
      <w:r w:rsidR="000818CB">
        <w:t xml:space="preserve"> </w:t>
      </w:r>
      <w:r w:rsidR="009D19A0">
        <w:t xml:space="preserve">occur </w:t>
      </w:r>
      <w:r w:rsidR="000818CB">
        <w:t xml:space="preserve">alongside </w:t>
      </w:r>
      <w:r w:rsidR="009D19A0">
        <w:t>with chronic physical conditions</w:t>
      </w:r>
      <w:r>
        <w:t xml:space="preserve">. </w:t>
      </w:r>
      <w:r w:rsidR="00665498">
        <w:t>Around</w:t>
      </w:r>
      <w:r w:rsidR="004F772C">
        <w:t xml:space="preserve"> 1.7 million </w:t>
      </w:r>
      <w:r w:rsidR="0065609B">
        <w:t>adults</w:t>
      </w:r>
      <w:r w:rsidR="004F772C">
        <w:t xml:space="preserve"> in Australia (8% of the population) </w:t>
      </w:r>
      <w:r w:rsidR="009D04A8">
        <w:t>are living with both</w:t>
      </w:r>
      <w:r w:rsidR="006F795D">
        <w:t xml:space="preserve"> a </w:t>
      </w:r>
      <w:r w:rsidR="004F772C">
        <w:t xml:space="preserve">mental </w:t>
      </w:r>
      <w:r w:rsidR="00993F22">
        <w:t>health condition</w:t>
      </w:r>
      <w:r w:rsidR="004F772C">
        <w:t xml:space="preserve"> and a long-term physical health condition.</w:t>
      </w:r>
      <w:r w:rsidR="004F772C" w:rsidRPr="41C32FAC">
        <w:rPr>
          <w:noProof/>
          <w:vertAlign w:val="superscript"/>
        </w:rPr>
        <w:t>2</w:t>
      </w:r>
      <w:r w:rsidR="7B4654AD" w:rsidRPr="3FA1224E">
        <w:rPr>
          <w:noProof/>
          <w:vertAlign w:val="superscript"/>
        </w:rPr>
        <w:t>4</w:t>
      </w:r>
      <w:r w:rsidR="004F772C">
        <w:t xml:space="preserve"> People with </w:t>
      </w:r>
      <w:r w:rsidR="00993F22">
        <w:t xml:space="preserve">a </w:t>
      </w:r>
      <w:r w:rsidR="004F772C">
        <w:t xml:space="preserve">mental </w:t>
      </w:r>
      <w:r w:rsidR="00993F22">
        <w:t>condition</w:t>
      </w:r>
      <w:r w:rsidR="004F772C">
        <w:t xml:space="preserve"> </w:t>
      </w:r>
      <w:r w:rsidR="001D440F">
        <w:t>often have</w:t>
      </w:r>
      <w:r w:rsidR="004F772C">
        <w:t xml:space="preserve"> poorer physical health than the general population, highlighting the </w:t>
      </w:r>
      <w:r w:rsidR="550B9745">
        <w:t>two-way</w:t>
      </w:r>
      <w:r w:rsidR="004F772C">
        <w:t xml:space="preserve"> relationship between mental and physical health.</w:t>
      </w:r>
      <w:r w:rsidR="004F772C" w:rsidRPr="3FA1224E">
        <w:rPr>
          <w:noProof/>
          <w:vertAlign w:val="superscript"/>
        </w:rPr>
        <w:t>2</w:t>
      </w:r>
      <w:r w:rsidR="197C8803" w:rsidRPr="3FA1224E">
        <w:rPr>
          <w:noProof/>
          <w:vertAlign w:val="superscript"/>
        </w:rPr>
        <w:t>5</w:t>
      </w:r>
      <w:r w:rsidR="004F772C">
        <w:t xml:space="preserve"> Mental health conditions </w:t>
      </w:r>
      <w:r w:rsidR="008F5177">
        <w:t xml:space="preserve">may precede, result from, or share </w:t>
      </w:r>
      <w:r w:rsidR="004F772C">
        <w:t>risk factors and comorbidities</w:t>
      </w:r>
      <w:r w:rsidR="008F5177">
        <w:t xml:space="preserve"> with </w:t>
      </w:r>
      <w:r w:rsidR="00B75405">
        <w:t>chronic physical conditions</w:t>
      </w:r>
      <w:r w:rsidR="004F772C">
        <w:t>.</w:t>
      </w:r>
      <w:r w:rsidR="004F772C" w:rsidRPr="3FA1224E">
        <w:rPr>
          <w:noProof/>
          <w:vertAlign w:val="superscript"/>
        </w:rPr>
        <w:t>2</w:t>
      </w:r>
      <w:r w:rsidR="1FF08544" w:rsidRPr="3FA1224E">
        <w:rPr>
          <w:noProof/>
          <w:vertAlign w:val="superscript"/>
        </w:rPr>
        <w:t>6</w:t>
      </w:r>
      <w:r w:rsidR="004F772C">
        <w:t xml:space="preserve"> </w:t>
      </w:r>
      <w:r w:rsidR="00396BFD">
        <w:t>Acting early to identify and manage mental health conditions can lead to better</w:t>
      </w:r>
      <w:r w:rsidR="00011119">
        <w:t xml:space="preserve"> overall heal</w:t>
      </w:r>
      <w:r w:rsidR="000D7169">
        <w:t>th outcomes</w:t>
      </w:r>
      <w:r w:rsidR="0013714B">
        <w:t>.</w:t>
      </w:r>
    </w:p>
    <w:p w14:paraId="7C840382" w14:textId="5F7BBDCF" w:rsidR="005727C4" w:rsidRPr="00772BC3" w:rsidRDefault="005727C4" w:rsidP="005727C4">
      <w:r w:rsidRPr="00772BC3">
        <w:t xml:space="preserve">Electronic clinical decision support (eCDS) tools could play an integral role in early diagnosis and intervention (as well as care and management) of chronic conditions by </w:t>
      </w:r>
      <w:r>
        <w:t>healthcare</w:t>
      </w:r>
      <w:r w:rsidRPr="00772BC3">
        <w:t xml:space="preserve"> </w:t>
      </w:r>
      <w:r w:rsidR="55A1D199">
        <w:t>providers</w:t>
      </w:r>
      <w:r w:rsidRPr="00772BC3">
        <w:t xml:space="preserve">. eCDS tools can be incorporated into software used by </w:t>
      </w:r>
      <w:r>
        <w:t>healthcare</w:t>
      </w:r>
      <w:r w:rsidRPr="00772BC3">
        <w:t xml:space="preserve"> </w:t>
      </w:r>
      <w:r w:rsidR="3B023396">
        <w:t>providers.</w:t>
      </w:r>
      <w:r w:rsidRPr="00772BC3">
        <w:t xml:space="preserve"> These tools may include prompts and clinical guidance to help raise awareness and support adherence to evidence-based protocols for providing appropriate care for individuals.</w:t>
      </w:r>
    </w:p>
    <w:p w14:paraId="6F87A023" w14:textId="77777777" w:rsidR="005727C4" w:rsidRPr="00A3583A" w:rsidRDefault="005727C4" w:rsidP="00A3583A">
      <w:pPr>
        <w:pStyle w:val="Heading5"/>
      </w:pPr>
      <w:r w:rsidRPr="00A3583A">
        <w:t>Chronic conditions risk assessment and prediction tools</w:t>
      </w:r>
    </w:p>
    <w:p w14:paraId="4117601E" w14:textId="7A8123FF" w:rsidR="005727C4" w:rsidRPr="00772BC3" w:rsidRDefault="005727C4" w:rsidP="005727C4">
      <w:r w:rsidRPr="00772BC3">
        <w:t xml:space="preserve">Developing approaches that address chronic conditions in general, rather than taking a condition-specific approach, should be explored. This includes developing risk assessment tools that can be applied to more than one chronic condition. Shared predictors across existing risk assessment tools (sociodemographic factors, anthropometric measurements, modifiable lifestyle risk factors, and medical history) present opportunities to expand on these common elements and strengthen linkages to risk of developing various chronic conditions and/or chronic conditions with overlapping risk factors. The development of common risk assessment tools should consider the number of questions, user friendliness, evidence-based information, partnership with Aboriginal and Torres Strait Islander and other communities, and how to provide results that guide future action (such as directing an individual to a </w:t>
      </w:r>
      <w:r>
        <w:t>healthcare</w:t>
      </w:r>
      <w:r w:rsidRPr="00772BC3">
        <w:t xml:space="preserve"> professional and/or making lifestyle adjustments). Risk assessment tools can be self-administered by individuals or be administered by a health professional in consultation with an individual.</w:t>
      </w:r>
    </w:p>
    <w:p w14:paraId="3FCE9BED" w14:textId="26AD997B" w:rsidR="00657A1C" w:rsidRPr="00A3583A" w:rsidRDefault="005727C4" w:rsidP="00A3583A">
      <w:r w:rsidRPr="00A3583A">
        <w:t>Risk prediction tools are useful for providing insights into early diagnosis and population-based risk identification. Policy makers may use population-based risk prediction models for insight into which population groups may be at increased risk for developing particular chronic conditions. These models can be used to inform appropriate prevention and risk reduction strategies, including opportunistic and population-based screening programs.</w:t>
      </w:r>
      <w:r w:rsidR="002453F7" w:rsidRPr="00A3583A">
        <w:t>2</w:t>
      </w:r>
      <w:r w:rsidR="1D11BB9B" w:rsidRPr="00A3583A">
        <w:t>7</w:t>
      </w:r>
      <w:r w:rsidRPr="00A3583A">
        <w:t xml:space="preserve"> Risk prediction tools require robust data collection and validation, along with comprehensive training to ensure healthcare </w:t>
      </w:r>
      <w:r w:rsidR="3812F99B" w:rsidRPr="00A3583A">
        <w:t xml:space="preserve">providers </w:t>
      </w:r>
      <w:r w:rsidRPr="00A3583A">
        <w:t>can apply them effectively.</w:t>
      </w:r>
      <w:r w:rsidR="002453F7" w:rsidRPr="00A3583A">
        <w:rPr>
          <w:vertAlign w:val="superscript"/>
        </w:rPr>
        <w:t>2</w:t>
      </w:r>
      <w:r w:rsidR="14CF96F1" w:rsidRPr="00A3583A">
        <w:rPr>
          <w:vertAlign w:val="superscript"/>
        </w:rPr>
        <w:t>8</w:t>
      </w:r>
    </w:p>
    <w:p w14:paraId="7F001081" w14:textId="4C93090A" w:rsidR="005727C4" w:rsidRPr="00A3583A" w:rsidRDefault="005727C4" w:rsidP="00A3583A">
      <w:pPr>
        <w:pStyle w:val="Heading5"/>
      </w:pPr>
      <w:r w:rsidRPr="00A3583A">
        <w:t>Management of flare ups</w:t>
      </w:r>
    </w:p>
    <w:p w14:paraId="40861B53" w14:textId="02D00F49" w:rsidR="005727C4" w:rsidRPr="00772BC3" w:rsidRDefault="005727C4" w:rsidP="005727C4">
      <w:r w:rsidRPr="00772BC3">
        <w:t xml:space="preserve">Chronic conditions can ‘flare-up’, where symptoms of a condition that has been present for some time can suddenly worsen. The severity and duration of flare-ups varies. Flare-ups can be painful and debilitating. Management plans are important for people living with chronic conditions, and can assist in identifying warning signs, actions to take to alleviate or manage symptoms, treatment adjustments, and when medical assistance is required. </w:t>
      </w:r>
      <w:r>
        <w:t>Healthcare</w:t>
      </w:r>
      <w:r w:rsidRPr="00772BC3">
        <w:t xml:space="preserve"> providers should encourage the shared development of management plans with individuals who are living with conditions that may be subject to flare-ups. The impact of flare-ups on mental health should also be incorporated into management plans. The development of support resources for flare-ups for chronic conditions should be encouraged.</w:t>
      </w:r>
    </w:p>
    <w:p w14:paraId="7FF894D3" w14:textId="4EEF34D5" w:rsidR="000C1DD9" w:rsidRPr="00A3583A" w:rsidRDefault="000C1DD9" w:rsidP="00A3583A">
      <w:pPr>
        <w:pStyle w:val="Heading5"/>
      </w:pPr>
      <w:r w:rsidRPr="00A3583A">
        <w:t>Management of mental health</w:t>
      </w:r>
    </w:p>
    <w:p w14:paraId="301E5247" w14:textId="44A4C693" w:rsidR="00043C4F" w:rsidRPr="00772BC3" w:rsidRDefault="00043C4F" w:rsidP="00043C4F">
      <w:r w:rsidRPr="00772BC3">
        <w:t>Poor mental health can increase the risk of developing multiple chronic conditions,</w:t>
      </w:r>
      <w:r w:rsidR="7663355F" w:rsidRPr="3FA1224E">
        <w:rPr>
          <w:vertAlign w:val="superscript"/>
        </w:rPr>
        <w:t>29</w:t>
      </w:r>
      <w:r w:rsidRPr="00772BC3">
        <w:t xml:space="preserve"> while living with a chronic condition may exacerbate mental health challenges. Preventive mental health measures and early intervention can help reduce the risk of both the onset and progression of chronic conditions. Likewise, effective management of physical health conditions can support improved mental health.</w:t>
      </w:r>
      <w:r w:rsidR="002453F7" w:rsidRPr="00772BC3">
        <w:rPr>
          <w:vertAlign w:val="superscript"/>
        </w:rPr>
        <w:t xml:space="preserve"> </w:t>
      </w:r>
      <w:r w:rsidR="002453F7" w:rsidRPr="3FA1224E">
        <w:rPr>
          <w:vertAlign w:val="superscript"/>
        </w:rPr>
        <w:t>3</w:t>
      </w:r>
      <w:r w:rsidR="0FC02B4F" w:rsidRPr="3FA1224E">
        <w:rPr>
          <w:vertAlign w:val="superscript"/>
        </w:rPr>
        <w:t>0</w:t>
      </w:r>
      <w:r w:rsidRPr="00772BC3">
        <w:t xml:space="preserve"> Addressing this interconnectedness requires a coordinated approach to care that integrates both physical and mental health services.</w:t>
      </w:r>
    </w:p>
    <w:p w14:paraId="6F666534" w14:textId="0062C9DA" w:rsidR="00D710B4" w:rsidRPr="00772BC3" w:rsidRDefault="00043C4F" w:rsidP="00043C4F">
      <w:r w:rsidRPr="00772BC3">
        <w:t>Closing the divide between physical and mental health is essential. Action Priority 4.1 provides guidance on integrated approaches, and the Department</w:t>
      </w:r>
      <w:r w:rsidR="00DF4BCF">
        <w:t xml:space="preserve"> of Health, Disability and Ageing</w:t>
      </w:r>
      <w:r w:rsidRPr="00772BC3">
        <w:t xml:space="preserve">’s website provides access to national mental health policies and plans that should be considered alongside this Framework. Strengthening relationships among </w:t>
      </w:r>
      <w:r w:rsidR="269362ED">
        <w:t>providers,</w:t>
      </w:r>
      <w:r w:rsidRPr="00772BC3">
        <w:t xml:space="preserve"> patients and caregivers is key to enhancing care coordination.</w:t>
      </w:r>
    </w:p>
    <w:p w14:paraId="73D31FBB" w14:textId="3F59A2F5" w:rsidR="005727C4" w:rsidRPr="00772BC3" w:rsidRDefault="3309A2CE" w:rsidP="00DC117B">
      <w:pPr>
        <w:pStyle w:val="Heading4"/>
      </w:pPr>
      <w:r>
        <w:t>Action Priority 2.2 Utilising digital technology and data</w:t>
      </w:r>
    </w:p>
    <w:p w14:paraId="05754E4F" w14:textId="54A73799" w:rsidR="005727C4" w:rsidRPr="00772BC3" w:rsidRDefault="005727C4" w:rsidP="005727C4">
      <w:r w:rsidRPr="00772BC3">
        <w:t>The Productivity Commission notes that enhancing the integration of digital technology within the healthcare sector could result in annual savings exceeding $5 billion</w:t>
      </w:r>
      <w:r w:rsidR="00C05295">
        <w:t>. This could lead to</w:t>
      </w:r>
      <w:r w:rsidRPr="00772BC3">
        <w:t xml:space="preserve"> shorter hospital stays, fewer duplicated tests, and increased time that </w:t>
      </w:r>
      <w:r>
        <w:t>healthcare</w:t>
      </w:r>
      <w:r w:rsidRPr="00772BC3">
        <w:t xml:space="preserve"> </w:t>
      </w:r>
      <w:r w:rsidR="5FDB4AE1">
        <w:t xml:space="preserve">providers </w:t>
      </w:r>
      <w:r>
        <w:t>can</w:t>
      </w:r>
      <w:r w:rsidRPr="00772BC3">
        <w:t xml:space="preserve"> dedicate to person-centred care.</w:t>
      </w:r>
      <w:r w:rsidR="0023629E" w:rsidRPr="3FA1224E">
        <w:rPr>
          <w:noProof/>
          <w:vertAlign w:val="superscript"/>
        </w:rPr>
        <w:t>3</w:t>
      </w:r>
      <w:r w:rsidR="09DF0FCC" w:rsidRPr="3FA1224E">
        <w:rPr>
          <w:noProof/>
          <w:vertAlign w:val="superscript"/>
        </w:rPr>
        <w:t>1</w:t>
      </w:r>
    </w:p>
    <w:p w14:paraId="0049EC78" w14:textId="2E0CC6EB" w:rsidR="005727C4" w:rsidRPr="00772BC3" w:rsidRDefault="005727C4" w:rsidP="005727C4">
      <w:r w:rsidRPr="00772BC3">
        <w:t>Incorporating the principles of co-design, equity, and addressing system-level factors when designing digital health initiatives must be considered.</w:t>
      </w:r>
      <w:r w:rsidR="0023629E" w:rsidRPr="3FA1224E">
        <w:rPr>
          <w:noProof/>
          <w:vertAlign w:val="superscript"/>
        </w:rPr>
        <w:t>3</w:t>
      </w:r>
      <w:r w:rsidR="3DA1EA1F" w:rsidRPr="3FA1224E">
        <w:rPr>
          <w:noProof/>
          <w:vertAlign w:val="superscript"/>
        </w:rPr>
        <w:t>2</w:t>
      </w:r>
      <w:r w:rsidRPr="00772BC3">
        <w:t xml:space="preserve"> Development of initiatives in Aboriginal and Torres Strait Islander contexts must emphasise community partnership, ownership, and control over their own data and research at a regional level.</w:t>
      </w:r>
    </w:p>
    <w:p w14:paraId="2F015AD0" w14:textId="77777777" w:rsidR="005727C4" w:rsidRPr="00A3583A" w:rsidRDefault="005727C4" w:rsidP="00A3583A">
      <w:pPr>
        <w:pStyle w:val="Heading5"/>
      </w:pPr>
      <w:r w:rsidRPr="00A3583A">
        <w:t>Social media and mobile health</w:t>
      </w:r>
    </w:p>
    <w:p w14:paraId="62059F46" w14:textId="3B37F326" w:rsidR="005727C4" w:rsidRPr="00772BC3" w:rsidRDefault="005727C4" w:rsidP="005727C4">
      <w:r w:rsidRPr="00772BC3">
        <w:t>The use of digital technology may encompass the use of social media for public health campaigns and more targeted mobile health (mHealth) applications. mHealth applications include the use of smartphones, sensors, personal digital assistants, wireless monitoring devices, or other wireless devices for the purposes of health promotion and medical assessment/treatment. mHealth applications can provide more targeted information and functionality aimed at modifying behaviour to promote health and manage chronic conditions. Effectiveness of approaches using digital technology should be assessed on longer-term measures for improving health outcomes, rather than media engagement and immediate responses.</w:t>
      </w:r>
      <w:r w:rsidR="0023629E" w:rsidRPr="3FA1224E">
        <w:rPr>
          <w:noProof/>
          <w:vertAlign w:val="superscript"/>
        </w:rPr>
        <w:t>3</w:t>
      </w:r>
      <w:r w:rsidR="4ACB1E0B" w:rsidRPr="3FA1224E">
        <w:rPr>
          <w:noProof/>
          <w:vertAlign w:val="superscript"/>
        </w:rPr>
        <w:t>3</w:t>
      </w:r>
    </w:p>
    <w:p w14:paraId="0CBC341F" w14:textId="77777777" w:rsidR="005727C4" w:rsidRPr="00A3583A" w:rsidRDefault="005727C4" w:rsidP="00A3583A">
      <w:pPr>
        <w:pStyle w:val="Heading5"/>
      </w:pPr>
      <w:r w:rsidRPr="00A3583A">
        <w:t>Multimorbidity trajectory modelling</w:t>
      </w:r>
    </w:p>
    <w:p w14:paraId="2B284E1F" w14:textId="493833E0" w:rsidR="005727C4" w:rsidRPr="00772BC3" w:rsidRDefault="005727C4" w:rsidP="005727C4">
      <w:r w:rsidRPr="00772BC3">
        <w:t xml:space="preserve">The trajectories of multimorbidity in older adults can provide valuable insights into current and future health trends of ageing populations. </w:t>
      </w:r>
      <w:r>
        <w:t>Healthcare</w:t>
      </w:r>
      <w:r w:rsidRPr="00772BC3">
        <w:t xml:space="preserve"> </w:t>
      </w:r>
      <w:r w:rsidR="776F8F62">
        <w:t xml:space="preserve">providers </w:t>
      </w:r>
      <w:r>
        <w:t>may</w:t>
      </w:r>
      <w:r w:rsidRPr="00772BC3">
        <w:t xml:space="preserve"> use these trajectories to identify individuals on a path to developing chronic conditions. Once identified, possible interventions can be recommended to shift the person towards a healthier trajectory.</w:t>
      </w:r>
      <w:r w:rsidR="0023629E" w:rsidRPr="3FA1224E">
        <w:rPr>
          <w:noProof/>
          <w:vertAlign w:val="superscript"/>
        </w:rPr>
        <w:t>3</w:t>
      </w:r>
      <w:r w:rsidR="57B50571" w:rsidRPr="3FA1224E">
        <w:rPr>
          <w:noProof/>
          <w:vertAlign w:val="superscript"/>
        </w:rPr>
        <w:t>4</w:t>
      </w:r>
      <w:r w:rsidRPr="00772BC3">
        <w:t xml:space="preserve"> Trajectory modelling for other cohorts should be explored.</w:t>
      </w:r>
    </w:p>
    <w:p w14:paraId="4449D254" w14:textId="77777777" w:rsidR="005727C4" w:rsidRPr="00A3583A" w:rsidRDefault="005727C4" w:rsidP="00A3583A">
      <w:pPr>
        <w:pStyle w:val="Heading5"/>
      </w:pPr>
      <w:r w:rsidRPr="00A3583A">
        <w:t>Artificial intelligence-based tools</w:t>
      </w:r>
    </w:p>
    <w:p w14:paraId="0659C256" w14:textId="0C2AF703" w:rsidR="005727C4" w:rsidRPr="00772BC3" w:rsidRDefault="005727C4" w:rsidP="005727C4">
      <w:r w:rsidRPr="00772BC3">
        <w:t>The use of artificial intelligence-based tools could advance early chronic condition detection and individualised health care. Artificial intelligence-based tools might be used to predict the risk of developing chronic conditions. These tools would leverage extensive data from hospitals and online medical systems. This is a rapidly evolving area and faces real-world application challenges, including access to data, data variability, the potential for overdiagnosis, the need for comprehensive, real-time validation, and building trust with stakeholders in relation to the technology.</w:t>
      </w:r>
      <w:r w:rsidR="0023629E" w:rsidRPr="3FA1224E">
        <w:rPr>
          <w:noProof/>
          <w:vertAlign w:val="superscript"/>
        </w:rPr>
        <w:t>3</w:t>
      </w:r>
      <w:r w:rsidR="77E53BC9" w:rsidRPr="3FA1224E">
        <w:rPr>
          <w:noProof/>
          <w:vertAlign w:val="superscript"/>
        </w:rPr>
        <w:t>5</w:t>
      </w:r>
    </w:p>
    <w:p w14:paraId="7E62C6C4" w14:textId="77777777" w:rsidR="00DC117B" w:rsidRPr="00A3583A" w:rsidRDefault="00DC117B" w:rsidP="00A3583A">
      <w:r w:rsidRPr="00772BC3">
        <w:br w:type="page"/>
      </w:r>
    </w:p>
    <w:p w14:paraId="3C811D9B" w14:textId="1D411D14" w:rsidR="005727C4" w:rsidRPr="00772BC3" w:rsidRDefault="3309A2CE" w:rsidP="00DC117B">
      <w:pPr>
        <w:pStyle w:val="Heading2"/>
      </w:pPr>
      <w:bookmarkStart w:id="30" w:name="_Toc224557207"/>
      <w:r>
        <w:t>Focus Area 3: Continuity of care</w:t>
      </w:r>
      <w:bookmarkEnd w:id="30"/>
    </w:p>
    <w:p w14:paraId="40599E46" w14:textId="26530DD1" w:rsidR="005727C4" w:rsidRPr="00772BC3" w:rsidRDefault="3309A2CE" w:rsidP="00DC117B">
      <w:pPr>
        <w:pStyle w:val="Heading3"/>
      </w:pPr>
      <w:bookmarkStart w:id="31" w:name="_Toc224557208"/>
      <w:r>
        <w:t>Why this is important</w:t>
      </w:r>
      <w:bookmarkEnd w:id="31"/>
    </w:p>
    <w:p w14:paraId="4919AA89" w14:textId="7402CE0F" w:rsidR="005727C4" w:rsidRPr="00772BC3" w:rsidRDefault="005727C4" w:rsidP="005727C4">
      <w:r w:rsidRPr="00772BC3">
        <w:t>Good continuity of care has been shown to result in positive experiences, greater satisfaction and increased treatment adherence for individuals.</w:t>
      </w:r>
      <w:r w:rsidR="0023629E" w:rsidRPr="3FA1224E">
        <w:rPr>
          <w:noProof/>
          <w:vertAlign w:val="superscript"/>
        </w:rPr>
        <w:t>3</w:t>
      </w:r>
      <w:r w:rsidR="128D93C6" w:rsidRPr="3FA1224E">
        <w:rPr>
          <w:noProof/>
          <w:vertAlign w:val="superscript"/>
        </w:rPr>
        <w:t>6</w:t>
      </w:r>
      <w:r w:rsidRPr="00772BC3">
        <w:t xml:space="preserve"> Continuity of care has also been linked with fewer hospital admissions and lower mortality.</w:t>
      </w:r>
      <w:r w:rsidR="0023629E" w:rsidRPr="3FA1224E">
        <w:rPr>
          <w:noProof/>
          <w:vertAlign w:val="superscript"/>
        </w:rPr>
        <w:t>3</w:t>
      </w:r>
      <w:r w:rsidR="0C92D52E" w:rsidRPr="3FA1224E">
        <w:rPr>
          <w:noProof/>
          <w:vertAlign w:val="superscript"/>
        </w:rPr>
        <w:t>7</w:t>
      </w:r>
    </w:p>
    <w:p w14:paraId="78B03211" w14:textId="77777777" w:rsidR="005727C4" w:rsidRPr="00772BC3" w:rsidRDefault="005727C4" w:rsidP="005727C4">
      <w:r w:rsidRPr="00772BC3">
        <w:t xml:space="preserve">Continuity of care can be challenging for people with chronic conditions. Chronic conditions can develop and progress across different stages of the life. Care might be required across different areas of the health system, including moving across different GPs, allied health, private health, specialists, hospitals, and aged care, and into palliative care. </w:t>
      </w:r>
    </w:p>
    <w:p w14:paraId="1A7DB063" w14:textId="2AA7FBA7" w:rsidR="005727C4" w:rsidRPr="00772BC3" w:rsidRDefault="005727C4" w:rsidP="005727C4">
      <w:r w:rsidRPr="00772BC3">
        <w:t xml:space="preserve">Non-adherence, where individuals do not or are unable to undertake their treatments, as prescribed by </w:t>
      </w:r>
      <w:r>
        <w:t>healthcare</w:t>
      </w:r>
      <w:r w:rsidRPr="00772BC3">
        <w:t xml:space="preserve"> providers, can impact on continuity of care and effective management of chronic conditions. Supporting better medication adherence and timely adjustments to treatment when health goals are not met can improve health outcomes and reduce avoidable complications and hospital admissions from poorly controlled chronic conditions.</w:t>
      </w:r>
      <w:r w:rsidR="0023629E" w:rsidRPr="3FA1224E">
        <w:rPr>
          <w:noProof/>
          <w:vertAlign w:val="superscript"/>
        </w:rPr>
        <w:t>3</w:t>
      </w:r>
      <w:r w:rsidR="4269EC38" w:rsidRPr="3FA1224E">
        <w:rPr>
          <w:noProof/>
          <w:vertAlign w:val="superscript"/>
        </w:rPr>
        <w:t>8</w:t>
      </w:r>
    </w:p>
    <w:p w14:paraId="0A05C322" w14:textId="1B71D23B" w:rsidR="000F18A6" w:rsidRPr="00772BC3" w:rsidRDefault="00F06202" w:rsidP="00F06202">
      <w:pPr>
        <w:pStyle w:val="Caption"/>
      </w:pPr>
      <w:r>
        <w:t xml:space="preserve">Table </w:t>
      </w:r>
      <w:r>
        <w:fldChar w:fldCharType="begin"/>
      </w:r>
      <w:r>
        <w:instrText xml:space="preserve"> SEQ Table \* ARABIC </w:instrText>
      </w:r>
      <w:r>
        <w:fldChar w:fldCharType="separate"/>
      </w:r>
      <w:r>
        <w:rPr>
          <w:noProof/>
        </w:rPr>
        <w:t>5</w:t>
      </w:r>
      <w:r>
        <w:fldChar w:fldCharType="end"/>
      </w:r>
      <w:r w:rsidR="000F18A6" w:rsidRPr="00772BC3">
        <w:t xml:space="preserve">: Action </w:t>
      </w:r>
      <w:r w:rsidR="00863C45" w:rsidRPr="00772BC3">
        <w:t>P</w:t>
      </w:r>
      <w:r w:rsidR="000F18A6" w:rsidRPr="00772BC3">
        <w:t>riorities for continuity of care</w:t>
      </w:r>
    </w:p>
    <w:tbl>
      <w:tblPr>
        <w:tblStyle w:val="DepartmentofHealthtable"/>
        <w:tblW w:w="0" w:type="auto"/>
        <w:tblLook w:val="04A0" w:firstRow="1" w:lastRow="0" w:firstColumn="1" w:lastColumn="0" w:noHBand="0" w:noVBand="1"/>
        <w:tblCaption w:val="Table 5: Action Priorities for continuity of care"/>
        <w:tblDescription w:val="Table lists the action priorities for continuity of care"/>
      </w:tblPr>
      <w:tblGrid>
        <w:gridCol w:w="3261"/>
        <w:gridCol w:w="5809"/>
      </w:tblGrid>
      <w:tr w:rsidR="00AB1073" w:rsidRPr="00772BC3" w14:paraId="704C2949" w14:textId="77777777" w:rsidTr="4FD68A1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261" w:type="dxa"/>
          </w:tcPr>
          <w:p w14:paraId="1A1BAF31" w14:textId="7BCC8732" w:rsidR="000F18A6" w:rsidRPr="00772BC3" w:rsidRDefault="000F18A6">
            <w:pPr>
              <w:pStyle w:val="TableHeaderWhite"/>
            </w:pPr>
            <w:r w:rsidRPr="00772BC3">
              <w:t xml:space="preserve">Focus </w:t>
            </w:r>
            <w:r w:rsidR="00635518" w:rsidRPr="00772BC3">
              <w:t>A</w:t>
            </w:r>
            <w:r w:rsidRPr="00772BC3">
              <w:t>rea</w:t>
            </w:r>
          </w:p>
        </w:tc>
        <w:tc>
          <w:tcPr>
            <w:tcW w:w="5809" w:type="dxa"/>
          </w:tcPr>
          <w:p w14:paraId="331CBB5A" w14:textId="706B8F22" w:rsidR="000F18A6" w:rsidRPr="00772BC3" w:rsidRDefault="000F18A6">
            <w:pPr>
              <w:pStyle w:val="TableHeader"/>
              <w:cnfStyle w:val="100000000000" w:firstRow="1" w:lastRow="0" w:firstColumn="0" w:lastColumn="0" w:oddVBand="0" w:evenVBand="0" w:oddHBand="0" w:evenHBand="0" w:firstRowFirstColumn="0" w:firstRowLastColumn="0" w:lastRowFirstColumn="0" w:lastRowLastColumn="0"/>
            </w:pPr>
            <w:r w:rsidRPr="00772BC3">
              <w:t xml:space="preserve">Action </w:t>
            </w:r>
            <w:r w:rsidR="00635518" w:rsidRPr="00772BC3">
              <w:t>P</w:t>
            </w:r>
            <w:r w:rsidRPr="00772BC3">
              <w:t>riorities</w:t>
            </w:r>
          </w:p>
        </w:tc>
      </w:tr>
      <w:tr w:rsidR="000F18A6" w:rsidRPr="00772BC3" w14:paraId="5DC5B2A2" w14:textId="77777777" w:rsidTr="4FD68A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tcPr>
          <w:p w14:paraId="370DA7A8" w14:textId="77777777" w:rsidR="000F18A6" w:rsidRPr="00772BC3" w:rsidRDefault="000F18A6" w:rsidP="00A3583A">
            <w:pPr>
              <w:pStyle w:val="Tabletextleft"/>
            </w:pPr>
            <w:r w:rsidRPr="00772BC3">
              <w:t>3. Continuity of care</w:t>
            </w:r>
          </w:p>
        </w:tc>
        <w:tc>
          <w:tcPr>
            <w:tcW w:w="5809" w:type="dxa"/>
          </w:tcPr>
          <w:p w14:paraId="21E5B3F8" w14:textId="77777777" w:rsidR="000F18A6" w:rsidRPr="00772BC3" w:rsidRDefault="000F18A6" w:rsidP="00A3583A">
            <w:pPr>
              <w:pStyle w:val="Tabletextleft"/>
              <w:cnfStyle w:val="000000100000" w:firstRow="0" w:lastRow="0" w:firstColumn="0" w:lastColumn="0" w:oddVBand="0" w:evenVBand="0" w:oddHBand="1" w:evenHBand="0" w:firstRowFirstColumn="0" w:firstRowLastColumn="0" w:lastRowFirstColumn="0" w:lastRowLastColumn="0"/>
            </w:pPr>
            <w:r w:rsidRPr="00772BC3">
              <w:t>3.1 Enhancing continuity of care</w:t>
            </w:r>
          </w:p>
          <w:p w14:paraId="04360611" w14:textId="77777777" w:rsidR="000F18A6" w:rsidRPr="00772BC3" w:rsidRDefault="000F18A6" w:rsidP="00A3583A">
            <w:pPr>
              <w:pStyle w:val="Tabletextleft"/>
              <w:cnfStyle w:val="000000100000" w:firstRow="0" w:lastRow="0" w:firstColumn="0" w:lastColumn="0" w:oddVBand="0" w:evenVBand="0" w:oddHBand="1" w:evenHBand="0" w:firstRowFirstColumn="0" w:firstRowLastColumn="0" w:lastRowFirstColumn="0" w:lastRowLastColumn="0"/>
            </w:pPr>
            <w:r w:rsidRPr="00772BC3">
              <w:t>3.2 Continuity of care across life stages and the health system</w:t>
            </w:r>
          </w:p>
          <w:p w14:paraId="27936CE7" w14:textId="77777777" w:rsidR="000F18A6" w:rsidRPr="00772BC3" w:rsidRDefault="000F18A6" w:rsidP="00A3583A">
            <w:pPr>
              <w:pStyle w:val="Tabletextleft"/>
              <w:cnfStyle w:val="000000100000" w:firstRow="0" w:lastRow="0" w:firstColumn="0" w:lastColumn="0" w:oddVBand="0" w:evenVBand="0" w:oddHBand="1" w:evenHBand="0" w:firstRowFirstColumn="0" w:firstRowLastColumn="0" w:lastRowFirstColumn="0" w:lastRowLastColumn="0"/>
            </w:pPr>
            <w:r w:rsidRPr="00772BC3">
              <w:t>3.3 Adherence to treatments</w:t>
            </w:r>
          </w:p>
        </w:tc>
      </w:tr>
    </w:tbl>
    <w:p w14:paraId="32DE4829" w14:textId="6B84A3FE" w:rsidR="005727C4" w:rsidRPr="00772BC3" w:rsidRDefault="3309A2CE" w:rsidP="00684FEC">
      <w:pPr>
        <w:pStyle w:val="Heading4"/>
      </w:pPr>
      <w:r>
        <w:t>Action Priority 3.1 Enhancing continuity of care</w:t>
      </w:r>
    </w:p>
    <w:p w14:paraId="148318E0" w14:textId="77777777" w:rsidR="005727C4" w:rsidRPr="00A3583A" w:rsidRDefault="005727C4" w:rsidP="00A3583A">
      <w:pPr>
        <w:pStyle w:val="Heading5"/>
      </w:pPr>
      <w:r w:rsidRPr="00A3583A">
        <w:t>Principles for safe and high-quality transitions of care</w:t>
      </w:r>
    </w:p>
    <w:p w14:paraId="045E03E6" w14:textId="726A6F30" w:rsidR="005727C4" w:rsidRPr="00772BC3" w:rsidRDefault="005727C4" w:rsidP="005727C4">
      <w:r>
        <w:t xml:space="preserve">The Australian Commission on Safety and Quality in Health Care’s </w:t>
      </w:r>
      <w:hyperlink r:id="rId35">
        <w:r w:rsidRPr="3FA1224E">
          <w:rPr>
            <w:rStyle w:val="Hyperlink"/>
          </w:rPr>
          <w:t>Principles for safe and high-quality transitions of care</w:t>
        </w:r>
      </w:hyperlink>
      <w:r>
        <w:t xml:space="preserve"> </w:t>
      </w:r>
      <w:r w:rsidR="000B1E45">
        <w:t>(</w:t>
      </w:r>
      <w:r w:rsidR="00B93731">
        <w:t xml:space="preserve">Principles) </w:t>
      </w:r>
      <w:r>
        <w:t>provide national-level guidance on transitions of care.</w:t>
      </w:r>
      <w:r w:rsidRPr="3FA1224E">
        <w:rPr>
          <w:rStyle w:val="FootnoteReference"/>
        </w:rPr>
        <w:endnoteReference w:id="4"/>
      </w:r>
      <w:r>
        <w:t xml:space="preserve"> These principles should be followed during development of approaches to improve continuity of care in the context of transitioning between different areas of the healthcare system.    </w:t>
      </w:r>
    </w:p>
    <w:p w14:paraId="25C83CB6" w14:textId="77777777" w:rsidR="005727C4" w:rsidRPr="00A3583A" w:rsidRDefault="005727C4" w:rsidP="00A3583A">
      <w:pPr>
        <w:pStyle w:val="Heading5"/>
      </w:pPr>
      <w:r w:rsidRPr="00A3583A">
        <w:t>Key elements for enhancing continuity of care</w:t>
      </w:r>
    </w:p>
    <w:p w14:paraId="4A4DB4B2" w14:textId="474CE08F" w:rsidR="0062375E" w:rsidRPr="00772BC3" w:rsidRDefault="005727C4" w:rsidP="005727C4">
      <w:pPr>
        <w:rPr>
          <w:rStyle w:val="FootnoteReference"/>
        </w:rPr>
      </w:pPr>
      <w:r w:rsidRPr="00772BC3">
        <w:t>Initiatives aimed at enhancing continuity of care for people living with chronic conditions should consider focusing on:</w:t>
      </w:r>
    </w:p>
    <w:p w14:paraId="29C47C42" w14:textId="77777777" w:rsidR="0062375E" w:rsidRPr="00772BC3" w:rsidRDefault="005727C4" w:rsidP="009F35B0">
      <w:pPr>
        <w:pStyle w:val="ListBullet"/>
      </w:pPr>
      <w:r w:rsidRPr="00772BC3">
        <w:t>communication and information sharing</w:t>
      </w:r>
    </w:p>
    <w:p w14:paraId="0145F125" w14:textId="77777777" w:rsidR="0062375E" w:rsidRPr="00772BC3" w:rsidRDefault="005727C4" w:rsidP="009F35B0">
      <w:pPr>
        <w:pStyle w:val="ListBullet"/>
      </w:pPr>
      <w:r w:rsidRPr="00772BC3">
        <w:t>collaboration and team-based care</w:t>
      </w:r>
    </w:p>
    <w:p w14:paraId="39C7B408" w14:textId="7843F92F" w:rsidR="005727C4" w:rsidRPr="00772BC3" w:rsidRDefault="005727C4" w:rsidP="009F35B0">
      <w:pPr>
        <w:pStyle w:val="ListBullet"/>
      </w:pPr>
      <w:r w:rsidRPr="00772BC3">
        <w:t>system and system level integration and coordination.</w:t>
      </w:r>
    </w:p>
    <w:p w14:paraId="3D52680E" w14:textId="77777777" w:rsidR="005727C4" w:rsidRPr="00A3583A" w:rsidRDefault="005727C4" w:rsidP="00A3583A">
      <w:pPr>
        <w:pStyle w:val="Heading5"/>
      </w:pPr>
      <w:r w:rsidRPr="00A3583A">
        <w:t>Communication and information sharing (information continuity)</w:t>
      </w:r>
    </w:p>
    <w:p w14:paraId="1D6EB010" w14:textId="096E0638" w:rsidR="005727C4" w:rsidRPr="00772BC3" w:rsidRDefault="005727C4" w:rsidP="005727C4">
      <w:r w:rsidRPr="00772BC3">
        <w:t xml:space="preserve">Information sharing between </w:t>
      </w:r>
      <w:r>
        <w:t>healthcare</w:t>
      </w:r>
      <w:r w:rsidR="56BA297E">
        <w:t xml:space="preserve"> providers </w:t>
      </w:r>
      <w:r w:rsidRPr="00772BC3">
        <w:t xml:space="preserve">should be prioritised when developing continuity of care initiatives. </w:t>
      </w:r>
    </w:p>
    <w:p w14:paraId="5BC02DC0" w14:textId="77777777" w:rsidR="00595C5B" w:rsidRPr="00772BC3" w:rsidRDefault="005727C4" w:rsidP="005727C4">
      <w:r w:rsidRPr="00772BC3">
        <w:t>In addition, in the context of continuity of care, the following should be considered:</w:t>
      </w:r>
    </w:p>
    <w:p w14:paraId="2DBA932D" w14:textId="5CF14FEF" w:rsidR="00595C5B" w:rsidRPr="00772BC3" w:rsidRDefault="005727C4" w:rsidP="005727C4">
      <w:pPr>
        <w:pStyle w:val="ListBullet"/>
      </w:pPr>
      <w:r w:rsidRPr="00772BC3">
        <w:t xml:space="preserve">information sharing arrangements (including data access) and communication between </w:t>
      </w:r>
      <w:r>
        <w:t>healthcare</w:t>
      </w:r>
      <w:r w:rsidRPr="00772BC3">
        <w:t xml:space="preserve"> </w:t>
      </w:r>
      <w:r w:rsidR="58D73D78">
        <w:t xml:space="preserve">providers </w:t>
      </w:r>
      <w:r w:rsidRPr="00772BC3">
        <w:t>(including referral systems)</w:t>
      </w:r>
    </w:p>
    <w:p w14:paraId="6A8B8482" w14:textId="77777777" w:rsidR="00595C5B" w:rsidRPr="00772BC3" w:rsidRDefault="005727C4" w:rsidP="005727C4">
      <w:pPr>
        <w:pStyle w:val="ListBullet"/>
      </w:pPr>
      <w:r w:rsidRPr="00772BC3">
        <w:t>warm handover processes between clinical services</w:t>
      </w:r>
    </w:p>
    <w:p w14:paraId="71D9ACBA" w14:textId="77777777" w:rsidR="00595C5B" w:rsidRPr="00772BC3" w:rsidRDefault="005727C4" w:rsidP="005727C4">
      <w:pPr>
        <w:pStyle w:val="ListBullet"/>
      </w:pPr>
      <w:r w:rsidRPr="00772BC3">
        <w:t>detailed documentation to prevent knowledge loss</w:t>
      </w:r>
    </w:p>
    <w:p w14:paraId="264F28FC" w14:textId="30946981" w:rsidR="005727C4" w:rsidRPr="00772BC3" w:rsidRDefault="005727C4" w:rsidP="005727C4">
      <w:pPr>
        <w:pStyle w:val="ListBullet"/>
      </w:pPr>
      <w:r w:rsidRPr="00772BC3">
        <w:t>introducing effective shared decision-making.</w:t>
      </w:r>
      <w:r w:rsidR="7C530342" w:rsidRPr="3FA1224E">
        <w:rPr>
          <w:noProof/>
          <w:vertAlign w:val="superscript"/>
        </w:rPr>
        <w:t>39</w:t>
      </w:r>
    </w:p>
    <w:p w14:paraId="45E40312" w14:textId="19700380" w:rsidR="005727C4" w:rsidRPr="00772BC3" w:rsidRDefault="005727C4" w:rsidP="005727C4">
      <w:r w:rsidRPr="00772BC3">
        <w:t xml:space="preserve">Health information sharing between </w:t>
      </w:r>
      <w:r>
        <w:t>healthcare</w:t>
      </w:r>
      <w:r w:rsidRPr="00772BC3">
        <w:t xml:space="preserve"> providers ensures that individuals experience continuity of care on their pathway through the health system. Ensuring that </w:t>
      </w:r>
      <w:r>
        <w:t>healthcare</w:t>
      </w:r>
      <w:r w:rsidRPr="00772BC3">
        <w:t xml:space="preserve"> providers have access to up-to-date and complete medical history of an individual assists </w:t>
      </w:r>
      <w:r>
        <w:t>healthcare</w:t>
      </w:r>
      <w:r w:rsidRPr="00772BC3">
        <w:t xml:space="preserve"> providers to assess the needs and treatment options for people with chronic conditions.</w:t>
      </w:r>
    </w:p>
    <w:p w14:paraId="575693DE" w14:textId="46C3F413" w:rsidR="005727C4" w:rsidRPr="00772BC3" w:rsidRDefault="005727C4" w:rsidP="005727C4">
      <w:r w:rsidRPr="00772BC3">
        <w:t xml:space="preserve">Electronic medical records are essential for supporting continuity of care for people with chronic conditions. Programs such as MyMedicare and My Health Record help share important health information between </w:t>
      </w:r>
      <w:r>
        <w:t>healthcare</w:t>
      </w:r>
      <w:r w:rsidRPr="00772BC3">
        <w:t xml:space="preserve"> providers. This enables coordinated and consistent care across different settings. However, some individuals are concerned about sharing personal health data. Building trust in digital health systems requires clear communication about the benefits of data sharing, strong privacy safeguards, and giving individuals control over their information. </w:t>
      </w:r>
      <w:r>
        <w:t>Healthcare</w:t>
      </w:r>
      <w:r w:rsidRPr="00772BC3">
        <w:t xml:space="preserve"> providers must also be transparent and accountable in how they manage data.</w:t>
      </w:r>
      <w:r w:rsidR="0023629E" w:rsidRPr="3FA1224E">
        <w:rPr>
          <w:noProof/>
          <w:vertAlign w:val="superscript"/>
        </w:rPr>
        <w:t>4</w:t>
      </w:r>
      <w:r w:rsidR="1679042B" w:rsidRPr="3FA1224E">
        <w:rPr>
          <w:noProof/>
          <w:vertAlign w:val="superscript"/>
        </w:rPr>
        <w:t>0</w:t>
      </w:r>
    </w:p>
    <w:p w14:paraId="2F738CAF" w14:textId="77777777" w:rsidR="005727C4" w:rsidRPr="00772BC3" w:rsidRDefault="005727C4" w:rsidP="005727C4">
      <w:r w:rsidRPr="00772BC3">
        <w:t>State and territory governments play a key role in developing and implementing electronic or digital medical record systems, particularly in public hospitals and health services. These systems must also connect to primary health care, specialists and private hospitals to ensure continuity of care, so that people receive seamless care across different settings.</w:t>
      </w:r>
    </w:p>
    <w:p w14:paraId="7EE8D1AA" w14:textId="77777777" w:rsidR="005727C4" w:rsidRPr="00A3583A" w:rsidRDefault="005727C4" w:rsidP="00A3583A">
      <w:pPr>
        <w:pStyle w:val="Heading5"/>
      </w:pPr>
      <w:r w:rsidRPr="00A3583A">
        <w:t>Collaboration and team-based care (relational continuity)</w:t>
      </w:r>
    </w:p>
    <w:p w14:paraId="44C05A86" w14:textId="0CA918CB" w:rsidR="005727C4" w:rsidRPr="00772BC3" w:rsidRDefault="005727C4" w:rsidP="005727C4">
      <w:r w:rsidRPr="00772BC3">
        <w:t xml:space="preserve">Multidisciplinary care is a key element that contributes to continuity of care. Multidisciplinary teams can comprise teams of </w:t>
      </w:r>
      <w:r w:rsidR="6C247B6C">
        <w:t xml:space="preserve">providers </w:t>
      </w:r>
      <w:r>
        <w:t>suited</w:t>
      </w:r>
      <w:r w:rsidRPr="00772BC3">
        <w:t xml:space="preserve"> to managing the specific health conditions being addressed, as well as coordinators that can help to ensure care remains person-centred. Regular contact between team members working in primary and secondary care services and between public and private health services can support swift transitions between care levels and enhance outcomes and continuity of care.</w:t>
      </w:r>
      <w:r w:rsidR="0023629E" w:rsidRPr="3FA1224E">
        <w:rPr>
          <w:noProof/>
          <w:vertAlign w:val="superscript"/>
        </w:rPr>
        <w:t>4</w:t>
      </w:r>
      <w:r w:rsidR="56F5AA0A" w:rsidRPr="3FA1224E">
        <w:rPr>
          <w:noProof/>
          <w:vertAlign w:val="superscript"/>
        </w:rPr>
        <w:t>1</w:t>
      </w:r>
      <w:r w:rsidR="004726A6" w:rsidRPr="00772BC3">
        <w:t xml:space="preserve"> </w:t>
      </w:r>
      <w:r w:rsidRPr="00772BC3">
        <w:t xml:space="preserve">Multidisciplinary care should also ensure there are clear referral pathways to streamline processes for individuals and assist </w:t>
      </w:r>
      <w:r>
        <w:t>healthcare</w:t>
      </w:r>
      <w:r w:rsidRPr="00772BC3">
        <w:t xml:space="preserve"> providers in understanding and communicating all services available to support individuals. </w:t>
      </w:r>
    </w:p>
    <w:p w14:paraId="225D9296" w14:textId="4E28CE9B" w:rsidR="005727C4" w:rsidRPr="00772BC3" w:rsidRDefault="005727C4" w:rsidP="005727C4">
      <w:r w:rsidRPr="00772BC3">
        <w:t>Primary care networks can work to support multidisciplinary care for people living with chronic conditions. Co-location of primary healthcare providers can facilitate accessibility for individuals</w:t>
      </w:r>
      <w:r w:rsidR="002A71DE">
        <w:t>,</w:t>
      </w:r>
      <w:r w:rsidRPr="00772BC3">
        <w:t xml:space="preserve"> while also encouraging collaboration and information sharing between providers. Primary care networks can improve continuity of care by allocating resources for primary care coordinators and implementation of interoperable electronic medical records systems. Chronic conditions registries in primary care networks may also assist in tracking of process and clinical outcome indicators and provide reminders to primary care coordinators to ensure individuals are progressing according to agreed care plans.</w:t>
      </w:r>
      <w:r w:rsidR="0023629E" w:rsidRPr="3FA1224E">
        <w:rPr>
          <w:noProof/>
          <w:vertAlign w:val="superscript"/>
        </w:rPr>
        <w:t>4</w:t>
      </w:r>
      <w:r w:rsidR="57C0F88A" w:rsidRPr="3FA1224E">
        <w:rPr>
          <w:noProof/>
          <w:vertAlign w:val="superscript"/>
        </w:rPr>
        <w:t>2</w:t>
      </w:r>
    </w:p>
    <w:p w14:paraId="7ACD380A" w14:textId="0E8AE641" w:rsidR="005727C4" w:rsidRPr="00772BC3" w:rsidRDefault="005727C4" w:rsidP="005727C4">
      <w:r w:rsidRPr="00772BC3">
        <w:t>Finally, community care organisations can improve relational continuity, streamline flexible care delivery, timely communication, cultural safety, and information exchange.</w:t>
      </w:r>
      <w:r w:rsidR="0023629E" w:rsidRPr="3FA1224E">
        <w:rPr>
          <w:noProof/>
          <w:vertAlign w:val="superscript"/>
        </w:rPr>
        <w:t>4</w:t>
      </w:r>
      <w:r w:rsidR="557D1788" w:rsidRPr="3FA1224E">
        <w:rPr>
          <w:noProof/>
          <w:vertAlign w:val="superscript"/>
        </w:rPr>
        <w:t>3</w:t>
      </w:r>
    </w:p>
    <w:p w14:paraId="2DEBD6A3" w14:textId="77777777" w:rsidR="005727C4" w:rsidRPr="00A3583A" w:rsidRDefault="005727C4" w:rsidP="00A3583A">
      <w:pPr>
        <w:pStyle w:val="Heading5"/>
      </w:pPr>
      <w:r w:rsidRPr="00A3583A">
        <w:t>System and system-level integration and coordination (management continuity)</w:t>
      </w:r>
    </w:p>
    <w:p w14:paraId="4B96008F" w14:textId="3FA333CD" w:rsidR="005727C4" w:rsidRPr="00772BC3" w:rsidRDefault="005727C4" w:rsidP="005727C4">
      <w:r>
        <w:t>System</w:t>
      </w:r>
      <w:r w:rsidR="008A5CD3">
        <w:t>-</w:t>
      </w:r>
      <w:r>
        <w:t>level integration and coordination can enhance continuity of care by focusing on care coordination across sectors and consideration about how and when to use limited resources for best effect. Involving the community and developing the workforce (both public and private sector) should be through a planned and inclusive approach</w:t>
      </w:r>
      <w:r w:rsidR="006F0246">
        <w:t>.</w:t>
      </w:r>
      <w:r w:rsidR="0023629E" w:rsidRPr="3FA1224E">
        <w:rPr>
          <w:noProof/>
          <w:vertAlign w:val="superscript"/>
        </w:rPr>
        <w:t>4</w:t>
      </w:r>
      <w:r w:rsidR="2A7C4604" w:rsidRPr="3FA1224E">
        <w:rPr>
          <w:noProof/>
          <w:vertAlign w:val="superscript"/>
        </w:rPr>
        <w:t>4</w:t>
      </w:r>
    </w:p>
    <w:p w14:paraId="54A04384" w14:textId="77777777" w:rsidR="005727C4" w:rsidRPr="00772BC3" w:rsidRDefault="005727C4" w:rsidP="005727C4">
      <w:r w:rsidRPr="00772BC3">
        <w:t xml:space="preserve">Health system navigation services are a valuable example of system-level integration and care coordination. Navigation services support people living with chronic conditions who need to access multiple health services and advice from different care providers. These services are particularly beneficial for people with low health literacy, language or communication barriers, lack of experience with the health system, cognitive or intellectual disability, cultural safety barriers, and socio-economic disadvantage. </w:t>
      </w:r>
    </w:p>
    <w:p w14:paraId="234B096E" w14:textId="219ABA6F" w:rsidR="005727C4" w:rsidRPr="00772BC3" w:rsidRDefault="003B7ED8" w:rsidP="005727C4">
      <w:r>
        <w:t xml:space="preserve">GP </w:t>
      </w:r>
      <w:r w:rsidR="005727C4" w:rsidRPr="00772BC3">
        <w:t xml:space="preserve">Chronic </w:t>
      </w:r>
      <w:r>
        <w:t>C</w:t>
      </w:r>
      <w:r w:rsidR="005727C4" w:rsidRPr="00772BC3">
        <w:t xml:space="preserve">ondition </w:t>
      </w:r>
      <w:r>
        <w:t>M</w:t>
      </w:r>
      <w:r w:rsidR="005727C4" w:rsidRPr="00772BC3">
        <w:t xml:space="preserve">anagement </w:t>
      </w:r>
      <w:r>
        <w:t>P</w:t>
      </w:r>
      <w:r w:rsidR="005727C4" w:rsidRPr="00772BC3">
        <w:t xml:space="preserve">lans are an example of Medicare Benefits Schedule (MBS) items, subsidised by the Australian Government, that support coordination between an individual’s usual medical practitioner and other </w:t>
      </w:r>
      <w:r w:rsidR="005727C4">
        <w:t>healthcare</w:t>
      </w:r>
      <w:r w:rsidR="005727C4" w:rsidRPr="00772BC3">
        <w:t xml:space="preserve"> providers, such as allied health providers.</w:t>
      </w:r>
    </w:p>
    <w:p w14:paraId="10B578B6" w14:textId="77777777" w:rsidR="005727C4" w:rsidRPr="00A3583A" w:rsidRDefault="005727C4" w:rsidP="00A3583A">
      <w:pPr>
        <w:pStyle w:val="Heading5"/>
      </w:pPr>
      <w:r w:rsidRPr="00A3583A">
        <w:t>Continuity of care during health emergencies</w:t>
      </w:r>
    </w:p>
    <w:p w14:paraId="763A0AB7" w14:textId="77777777" w:rsidR="004623D1" w:rsidRPr="00772BC3" w:rsidRDefault="005727C4" w:rsidP="005727C4">
      <w:r w:rsidRPr="00772BC3">
        <w:t>The impacts and adjustments made during the COVID-19 pandemic can provide insights on possible future approaches to managing health emergency responses (including those caused by pandemics and/or climate-related disasters). Minimising disruption of care for people with chronic conditions could be supported by some of the following broad approaches:</w:t>
      </w:r>
    </w:p>
    <w:p w14:paraId="7E6C7AD7" w14:textId="77777777" w:rsidR="004623D1" w:rsidRPr="00772BC3" w:rsidRDefault="005727C4">
      <w:pPr>
        <w:pStyle w:val="ListBullet"/>
      </w:pPr>
      <w:r w:rsidRPr="00772BC3">
        <w:t>using telehealth and telemedicine where possible</w:t>
      </w:r>
    </w:p>
    <w:p w14:paraId="204AD3B7" w14:textId="71D23E56" w:rsidR="004623D1" w:rsidRPr="00772BC3" w:rsidRDefault="005727C4" w:rsidP="005727C4">
      <w:pPr>
        <w:pStyle w:val="ListBullet"/>
      </w:pPr>
      <w:r w:rsidRPr="00772BC3">
        <w:t>enhancing self-management support by primary care teams and private health programs through telehealth consultations, educational resources, and tool</w:t>
      </w:r>
      <w:r w:rsidR="00EF100E">
        <w:t>s</w:t>
      </w:r>
      <w:r w:rsidRPr="00772BC3">
        <w:t xml:space="preserve"> and resources to monitor vital signs, symptoms, and medication adherence at home</w:t>
      </w:r>
    </w:p>
    <w:p w14:paraId="43107919" w14:textId="77777777" w:rsidR="004623D1" w:rsidRPr="00772BC3" w:rsidRDefault="005727C4" w:rsidP="005727C4">
      <w:pPr>
        <w:pStyle w:val="ListBullet"/>
      </w:pPr>
      <w:r w:rsidRPr="00772BC3">
        <w:t>prioritising continuity of care for regional and remote communities, including Aboriginal and Torres Strait Islander communities, and proactive care for at-risk individuals</w:t>
      </w:r>
    </w:p>
    <w:p w14:paraId="2B56695B" w14:textId="77777777" w:rsidR="004623D1" w:rsidRPr="00772BC3" w:rsidRDefault="005727C4" w:rsidP="005727C4">
      <w:pPr>
        <w:pStyle w:val="ListBullet"/>
      </w:pPr>
      <w:r w:rsidRPr="00772BC3">
        <w:t>ensuring medication supply to minimise disruption</w:t>
      </w:r>
    </w:p>
    <w:p w14:paraId="61F52FFC" w14:textId="47EF0AB7" w:rsidR="005727C4" w:rsidRPr="00772BC3" w:rsidRDefault="005727C4" w:rsidP="005727C4">
      <w:pPr>
        <w:pStyle w:val="ListBullet"/>
      </w:pPr>
      <w:r w:rsidRPr="00772BC3">
        <w:t>improving infrastructure and resourcing for chronic condition management during health emergencies through additional recruitment and training, and collaboration with private and community health providers.</w:t>
      </w:r>
      <w:r w:rsidR="0023629E" w:rsidRPr="3FA1224E">
        <w:rPr>
          <w:noProof/>
          <w:vertAlign w:val="superscript"/>
        </w:rPr>
        <w:t>4</w:t>
      </w:r>
      <w:r w:rsidR="54FACEAF" w:rsidRPr="3FA1224E">
        <w:rPr>
          <w:noProof/>
          <w:vertAlign w:val="superscript"/>
        </w:rPr>
        <w:t>5</w:t>
      </w:r>
    </w:p>
    <w:p w14:paraId="163ECB37" w14:textId="387AF8E1" w:rsidR="005727C4" w:rsidRPr="00772BC3" w:rsidRDefault="3309A2CE" w:rsidP="0043360E">
      <w:pPr>
        <w:pStyle w:val="Heading4"/>
      </w:pPr>
      <w:r>
        <w:t xml:space="preserve">Action Priority 3.2 Continuity of care across life stages and </w:t>
      </w:r>
      <w:r w:rsidR="00B92870">
        <w:t>the health system</w:t>
      </w:r>
    </w:p>
    <w:p w14:paraId="0206A958" w14:textId="60AAA6E1" w:rsidR="005727C4" w:rsidRPr="00772BC3" w:rsidRDefault="005727C4" w:rsidP="005727C4">
      <w:r w:rsidRPr="00772BC3">
        <w:t>Providing continuity of care across life stages requires care coordination that adapts delivery and tailors information according to an individual’s circumstances, resources and needs.</w:t>
      </w:r>
      <w:r w:rsidR="0023629E" w:rsidRPr="3FA1224E">
        <w:rPr>
          <w:noProof/>
          <w:vertAlign w:val="superscript"/>
        </w:rPr>
        <w:t>4</w:t>
      </w:r>
      <w:r w:rsidR="4C764100" w:rsidRPr="3FA1224E">
        <w:rPr>
          <w:noProof/>
          <w:vertAlign w:val="superscript"/>
        </w:rPr>
        <w:t>6</w:t>
      </w:r>
      <w:r w:rsidRPr="00772BC3">
        <w:t xml:space="preserve"> Continuity of care for people with chronic conditions can be challenging when transitioning across key life stages.</w:t>
      </w:r>
    </w:p>
    <w:p w14:paraId="549B3676" w14:textId="0DD0E919" w:rsidR="005727C4" w:rsidRPr="00772BC3" w:rsidRDefault="14FC7090" w:rsidP="005727C4">
      <w:r>
        <w:t>Although this Action Priority focuses on continuity of care across life stages and the health system, the provision of age-appropriate care is always important to consider</w:t>
      </w:r>
      <w:r w:rsidR="16C7006F">
        <w:t>. This should be done</w:t>
      </w:r>
      <w:r>
        <w:t xml:space="preserve"> alongside the guidance provided below. Chronic conditions can develop at any stage of life. Healthcare providers should be cognisant of age-appropriate care to ensure optimal diagnosis and treatment methods are utilised, and that communication and engagement are considered. </w:t>
      </w:r>
    </w:p>
    <w:p w14:paraId="61852E20" w14:textId="77777777" w:rsidR="005727C4" w:rsidRPr="00A3583A" w:rsidRDefault="005727C4" w:rsidP="00A3583A">
      <w:pPr>
        <w:pStyle w:val="Heading5"/>
      </w:pPr>
      <w:r w:rsidRPr="00A3583A">
        <w:t>Transitioning from paediatric to adult care</w:t>
      </w:r>
    </w:p>
    <w:p w14:paraId="4D4769A0" w14:textId="228B1204" w:rsidR="005727C4" w:rsidRPr="00772BC3" w:rsidRDefault="005727C4" w:rsidP="005727C4">
      <w:r w:rsidRPr="00772BC3">
        <w:t xml:space="preserve">Young people with complex healthcare needs may face challenges when transitioning to adult care. Improved transitions should be prioritised. Transition preparation planning and education is important to increase youth autonomy while recognising parent/carer roles. Collaborative educational programs between paediatric and adult care providers can enhance capacity of care for youth across diverse clinical settings. A national approach that is co-designed with youth and their families/carers and </w:t>
      </w:r>
      <w:r>
        <w:t>healthcare</w:t>
      </w:r>
      <w:r w:rsidRPr="00772BC3">
        <w:t xml:space="preserve"> providers would further enhance this effort. Flexible funding and age cut-offs can assist in providing individualised timing for transitions to adult care. </w:t>
      </w:r>
    </w:p>
    <w:p w14:paraId="47ABFD76" w14:textId="77777777" w:rsidR="005727C4" w:rsidRPr="00A3583A" w:rsidRDefault="005727C4" w:rsidP="00A3583A">
      <w:pPr>
        <w:pStyle w:val="Heading5"/>
      </w:pPr>
      <w:r w:rsidRPr="00A3583A">
        <w:t>Pregnancy</w:t>
      </w:r>
    </w:p>
    <w:p w14:paraId="2C2765A5" w14:textId="23C5033F" w:rsidR="005727C4" w:rsidRPr="00772BC3" w:rsidRDefault="005727C4" w:rsidP="005727C4">
      <w:r w:rsidRPr="00772BC3">
        <w:t>Pregnancy planning is important for people with chronic conditions to support preconception health optimisation.</w:t>
      </w:r>
      <w:r w:rsidR="0023629E" w:rsidRPr="00772BC3">
        <w:rPr>
          <w:noProof/>
          <w:vertAlign w:val="superscript"/>
        </w:rPr>
        <w:t>4</w:t>
      </w:r>
      <w:r w:rsidR="6039C0B6" w:rsidRPr="3FA1224E">
        <w:rPr>
          <w:noProof/>
          <w:vertAlign w:val="superscript"/>
        </w:rPr>
        <w:t>7</w:t>
      </w:r>
      <w:r w:rsidRPr="00772BC3">
        <w:t xml:space="preserve"> The </w:t>
      </w:r>
      <w:hyperlink r:id="rId36" w:anchor="/guideline/jm83RE">
        <w:r w:rsidRPr="6071B787">
          <w:rPr>
            <w:rStyle w:val="Hyperlink"/>
          </w:rPr>
          <w:t>Australian Pregnancy Care Guidelines</w:t>
        </w:r>
      </w:hyperlink>
      <w:r w:rsidRPr="00772BC3">
        <w:t xml:space="preserve"> do not currently address preconception or specific needs for people with chronic conditions as this may require specialised care tailored to their specific needs. Improving access to information about how chronic conditions can affect pregnancy and how to optimise health prior to conception, will assist people. Information can be provided by </w:t>
      </w:r>
      <w:r>
        <w:t>healthcare</w:t>
      </w:r>
      <w:r w:rsidRPr="00772BC3">
        <w:t xml:space="preserve"> </w:t>
      </w:r>
      <w:r w:rsidR="746ECA1F">
        <w:t>providers,</w:t>
      </w:r>
      <w:r w:rsidRPr="00772BC3">
        <w:t xml:space="preserve"> online resources, support groups, and the experiences of other people with similar conditions. Mental and emotional wellbeing, in addition to physical health, should also be prioritised. Immunisation history prior to conception and during pregnancy can also guide appropriate measures to protect mother and baby.</w:t>
      </w:r>
    </w:p>
    <w:p w14:paraId="7E73333E" w14:textId="4613798C" w:rsidR="005727C4" w:rsidRPr="00772BC3" w:rsidRDefault="005727C4" w:rsidP="005727C4">
      <w:r w:rsidRPr="00772BC3">
        <w:t xml:space="preserve">The effect of pregnancy and childbirth on chronic conditions should also be considered and relevant information provided. For Aboriginal and Torres Strait Islander </w:t>
      </w:r>
      <w:r>
        <w:t>people</w:t>
      </w:r>
      <w:r w:rsidR="400C8BD3">
        <w:t>s</w:t>
      </w:r>
      <w:r w:rsidRPr="00772BC3">
        <w:t xml:space="preserve">, guidance in Focus Area 5 should be incorporated into pregnancy care to provide culturally safe and non-discriminatory environments to ensure children are born healthy and strong. </w:t>
      </w:r>
    </w:p>
    <w:p w14:paraId="2481DC98" w14:textId="77777777" w:rsidR="005727C4" w:rsidRPr="00A3583A" w:rsidRDefault="005727C4" w:rsidP="00A3583A">
      <w:pPr>
        <w:pStyle w:val="Heading5"/>
      </w:pPr>
      <w:r w:rsidRPr="00A3583A">
        <w:t>Perimenopause and Menopause</w:t>
      </w:r>
    </w:p>
    <w:p w14:paraId="24F86B7E" w14:textId="2534B146" w:rsidR="005727C4" w:rsidRPr="00772BC3" w:rsidRDefault="005727C4" w:rsidP="005727C4">
      <w:r w:rsidRPr="00772BC3">
        <w:t xml:space="preserve">Perimenopause and menopause are key transition periods in life. In addition to managing symptoms of perimenopause and menopause, this stage of life also presents an opportunity to prioritise early intervention for other chronic conditions that may be more likely to be experienced during or after menopause. </w:t>
      </w:r>
      <w:r>
        <w:t>Healthcare</w:t>
      </w:r>
      <w:r w:rsidRPr="00772BC3">
        <w:t xml:space="preserve"> providers should include consideration of the risk of developing chronic conditions such as cardiovascular disease and osteoporosis and ensure that appropriate diagnostic measures are considered, early intervention is prioritised, and that any behavioural modifications are explored. Consideration should also be given to the potential for flare-ups of existing chronic conditions and/or exacerbation of menopause symptoms due to existing chronic conditions. </w:t>
      </w:r>
    </w:p>
    <w:p w14:paraId="6940840F" w14:textId="4F8AE11D" w:rsidR="005727C4" w:rsidRPr="00A3583A" w:rsidRDefault="005727C4" w:rsidP="00A3583A">
      <w:pPr>
        <w:pStyle w:val="Heading5"/>
      </w:pPr>
      <w:r w:rsidRPr="00A3583A">
        <w:t>Healthy ageing</w:t>
      </w:r>
    </w:p>
    <w:p w14:paraId="6B1711A2" w14:textId="581A3A63" w:rsidR="005727C4" w:rsidRPr="00772BC3" w:rsidRDefault="005727C4" w:rsidP="005727C4">
      <w:r w:rsidRPr="00772BC3">
        <w:t>Chronic conditions become more common with increasing age, affecting 94% of Australians 85 years and over.</w:t>
      </w:r>
      <w:r w:rsidR="0023629E" w:rsidRPr="3FA1224E">
        <w:rPr>
          <w:noProof/>
          <w:vertAlign w:val="superscript"/>
        </w:rPr>
        <w:t>4</w:t>
      </w:r>
      <w:r w:rsidR="0F9759BD" w:rsidRPr="3FA1224E">
        <w:rPr>
          <w:noProof/>
          <w:vertAlign w:val="superscript"/>
        </w:rPr>
        <w:t>8</w:t>
      </w:r>
      <w:r w:rsidRPr="00772BC3">
        <w:t xml:space="preserve"> Supporting older people to manage these conditions while maintaining independence is essential to health</w:t>
      </w:r>
      <w:r w:rsidR="008D0D8E">
        <w:t>y</w:t>
      </w:r>
      <w:r w:rsidRPr="00772BC3">
        <w:t xml:space="preserve"> ageing. This includes access to coordinated care, support for daily living, and services that help people remain in their homes and communities for longer.</w:t>
      </w:r>
    </w:p>
    <w:p w14:paraId="6F0C5A0D" w14:textId="2BD7F9C9" w:rsidR="005727C4" w:rsidRPr="00772BC3" w:rsidRDefault="005727C4" w:rsidP="005727C4">
      <w:r w:rsidRPr="00772BC3">
        <w:t>Continuity of care is especially important for older people with chronic conditions who often interact with multiple parts of the health system.</w:t>
      </w:r>
      <w:r w:rsidR="6FC28C40" w:rsidRPr="3FA1224E">
        <w:rPr>
          <w:noProof/>
          <w:vertAlign w:val="superscript"/>
        </w:rPr>
        <w:t>49</w:t>
      </w:r>
      <w:r w:rsidRPr="00772BC3">
        <w:t xml:space="preserve"> In-home aged care providers can play an important role in supporting older people with chronic conditions to source clinical care, assistive technology, and home modifications to support their health goals. Supporting older people to live independently in their homes is an Australian Government priority which is also supported through the </w:t>
      </w:r>
      <w:r w:rsidR="00297657">
        <w:t xml:space="preserve">Commonwealth </w:t>
      </w:r>
      <w:hyperlink r:id="rId37" w:history="1">
        <w:r w:rsidRPr="00772BC3">
          <w:rPr>
            <w:rStyle w:val="Hyperlink"/>
          </w:rPr>
          <w:t xml:space="preserve">Support at Home </w:t>
        </w:r>
        <w:r w:rsidR="0058081A">
          <w:rPr>
            <w:rStyle w:val="Hyperlink"/>
          </w:rPr>
          <w:t>P</w:t>
        </w:r>
        <w:r w:rsidRPr="00772BC3">
          <w:rPr>
            <w:rStyle w:val="Hyperlink"/>
          </w:rPr>
          <w:t>rogram</w:t>
        </w:r>
      </w:hyperlink>
      <w:r w:rsidR="0078593B">
        <w:t>.</w:t>
      </w:r>
      <w:r w:rsidR="00297657">
        <w:t xml:space="preserve"> </w:t>
      </w:r>
    </w:p>
    <w:p w14:paraId="47E79BA2" w14:textId="77777777" w:rsidR="005727C4" w:rsidRPr="00A3583A" w:rsidRDefault="005727C4" w:rsidP="00A3583A">
      <w:pPr>
        <w:pStyle w:val="Heading5"/>
      </w:pPr>
      <w:r w:rsidRPr="00A3583A">
        <w:t>Advance care planning</w:t>
      </w:r>
    </w:p>
    <w:p w14:paraId="1B4A79E2" w14:textId="17964C4B" w:rsidR="005727C4" w:rsidRPr="00772BC3" w:rsidRDefault="005727C4" w:rsidP="005727C4">
      <w:r w:rsidRPr="00772BC3">
        <w:t>There may be times during a chronic condition journey when an individual is unable to make informed decisions for themselves in relation to the care they receive. Advance care planning documents a person’s values, beliefs and preferences to guide decision-making at a future time when that person cannot make or communicate their decisions.</w:t>
      </w:r>
      <w:r w:rsidR="00355A73" w:rsidRPr="00772BC3">
        <w:rPr>
          <w:noProof/>
          <w:vertAlign w:val="superscript"/>
        </w:rPr>
        <w:t>5</w:t>
      </w:r>
      <w:r w:rsidR="47406808" w:rsidRPr="3FA1224E">
        <w:rPr>
          <w:noProof/>
          <w:vertAlign w:val="superscript"/>
        </w:rPr>
        <w:t>0</w:t>
      </w:r>
      <w:r w:rsidRPr="00772BC3">
        <w:t xml:space="preserve"> This ensures care follows an individual’s preferences and helps family and carers to make decisions about care.</w:t>
      </w:r>
    </w:p>
    <w:p w14:paraId="13329963" w14:textId="77777777" w:rsidR="005727C4" w:rsidRPr="00A3583A" w:rsidRDefault="005727C4" w:rsidP="00A3583A">
      <w:pPr>
        <w:pStyle w:val="Heading5"/>
      </w:pPr>
      <w:r w:rsidRPr="00A3583A">
        <w:t>End-of-life/Palliative care</w:t>
      </w:r>
    </w:p>
    <w:p w14:paraId="17332CFB" w14:textId="7BF99C87" w:rsidR="005727C4" w:rsidRPr="00772BC3" w:rsidRDefault="005727C4" w:rsidP="005727C4">
      <w:r w:rsidRPr="00772BC3">
        <w:t>Palliative care is person- and family-centred treatment, care and support for people living with a life-limiting illness. Among Australians 40 years and over who died from predictable deaths (not sudden deaths) in 2019–20, 80% may have benefited from receiving palliative care in the last year of life, based on conditions that generated a need for palliative care.</w:t>
      </w:r>
      <w:r w:rsidR="009E38E0" w:rsidRPr="00772BC3">
        <w:rPr>
          <w:noProof/>
          <w:vertAlign w:val="superscript"/>
        </w:rPr>
        <w:t>5</w:t>
      </w:r>
      <w:r w:rsidR="6CD94DAA" w:rsidRPr="3FA1224E">
        <w:rPr>
          <w:noProof/>
          <w:vertAlign w:val="superscript"/>
        </w:rPr>
        <w:t>1</w:t>
      </w:r>
      <w:r w:rsidRPr="00772BC3">
        <w:t xml:space="preserve"> 78% of these predictable deaths involved chronic conditions such as cancer, chronic obstructive pulmonary disease, organ failure and dementia. Early access to high-quality palliative care improves the quality of life of individuals, their families and carers.</w:t>
      </w:r>
    </w:p>
    <w:p w14:paraId="21514DA3" w14:textId="77777777" w:rsidR="005727C4" w:rsidRPr="00A3583A" w:rsidRDefault="005727C4" w:rsidP="00A3583A">
      <w:pPr>
        <w:pStyle w:val="Heading5"/>
      </w:pPr>
      <w:r w:rsidRPr="00A3583A">
        <w:t>Transitioning between healthcare sectors</w:t>
      </w:r>
    </w:p>
    <w:p w14:paraId="471C1F63" w14:textId="31F6EB98" w:rsidR="005727C4" w:rsidRPr="00772BC3" w:rsidRDefault="005727C4" w:rsidP="005727C4">
      <w:r w:rsidRPr="00772BC3">
        <w:t>Continuity of care can be improved by considering the transition points between care sectors as a condition progresses. For example, when transitioning from hospital to home it is important to incorporate appropriate discharge planning to ensure that consumers have consistent care provision, support and follow-up. This requires collaboration and planning between hospital and primary care sectors and is facilitated by having established trusted relationships, pathways and shared responsibilities between care sectors. Discharge planning can be particularly important for priority populations who may experience challenges in accessing appropriate primary care.</w:t>
      </w:r>
      <w:r w:rsidR="005C3482" w:rsidRPr="3FA1224E">
        <w:rPr>
          <w:noProof/>
          <w:vertAlign w:val="superscript"/>
        </w:rPr>
        <w:t>5</w:t>
      </w:r>
      <w:r w:rsidR="12340536" w:rsidRPr="3FA1224E">
        <w:rPr>
          <w:noProof/>
          <w:vertAlign w:val="superscript"/>
        </w:rPr>
        <w:t>2</w:t>
      </w:r>
    </w:p>
    <w:p w14:paraId="1CECE325" w14:textId="6F268D7B" w:rsidR="005727C4" w:rsidRPr="00772BC3" w:rsidRDefault="005606E3" w:rsidP="005727C4">
      <w:r>
        <w:t xml:space="preserve">GP </w:t>
      </w:r>
      <w:r w:rsidR="005727C4" w:rsidRPr="00772BC3">
        <w:t>Chronic c</w:t>
      </w:r>
      <w:r w:rsidR="00CF0B65">
        <w:t>C</w:t>
      </w:r>
      <w:r w:rsidR="005727C4" w:rsidRPr="00772BC3">
        <w:t xml:space="preserve">ondition </w:t>
      </w:r>
      <w:r w:rsidR="00BF3407">
        <w:t>M</w:t>
      </w:r>
      <w:r w:rsidR="005727C4" w:rsidRPr="00772BC3">
        <w:t xml:space="preserve">anagement </w:t>
      </w:r>
      <w:r w:rsidR="00BF3407">
        <w:t>P</w:t>
      </w:r>
      <w:r w:rsidR="005727C4" w:rsidRPr="00772BC3">
        <w:t xml:space="preserve">lans are an example of MBS items that support transitioning between an individual’s usual medical practitioner and other </w:t>
      </w:r>
      <w:r w:rsidR="005727C4">
        <w:t>healthcare</w:t>
      </w:r>
      <w:r w:rsidR="005727C4" w:rsidRPr="00772BC3">
        <w:t xml:space="preserve"> providers, such as allied health providers. Similarly, private healthcare chronic condition management plans can extend and complement care provided by Medicare-funded programs for those individuals who have access to private health insurance. </w:t>
      </w:r>
    </w:p>
    <w:p w14:paraId="46D2D589" w14:textId="77777777" w:rsidR="005727C4" w:rsidRPr="00772BC3" w:rsidRDefault="005727C4" w:rsidP="005727C4">
      <w:r w:rsidRPr="00772BC3">
        <w:t>Hospital in the Home (HITH) programs, delivered by jurisdictions, also support continuity of care during transitions from hospital to home by providing acute care in familiar surroundings. These programs help reduce the length of hospital stays or avoid admissions altogether, lower the risk of hospital-related adverse events, and improve access to social support, while maintaining high-quality clinical care. HITH teams coordinate with other healthcare providers to ensure treatment plans are followed after discharge, helping to maintain consistent care for people with chronic conditions.</w:t>
      </w:r>
    </w:p>
    <w:p w14:paraId="2156D378" w14:textId="7F4D8A26" w:rsidR="005727C4" w:rsidRPr="00772BC3" w:rsidRDefault="3309A2CE" w:rsidP="00993B49">
      <w:pPr>
        <w:pStyle w:val="Heading4"/>
      </w:pPr>
      <w:r>
        <w:t>Action Priority 3.3 Adherence to treatments</w:t>
      </w:r>
    </w:p>
    <w:p w14:paraId="1E109635" w14:textId="3AEFE4E0" w:rsidR="00AC011D" w:rsidRPr="00772BC3" w:rsidRDefault="005727C4" w:rsidP="00A3583A">
      <w:r w:rsidRPr="00772BC3">
        <w:t>Effective management of chronic conditions often relies on treatments, including pharmacological and other therapies, that aim to prevent progression and alleviate symptoms. However, their effectiveness depends on how consistently individuals adhere to prescribed regimens. Non-adherence to treatments can have significant impacts on the prevention and management of chronic conditions. Initiatives should consider five general factors that impact on non-adherence:</w:t>
      </w:r>
    </w:p>
    <w:p w14:paraId="3F5369DC" w14:textId="7328EA02" w:rsidR="00E44533" w:rsidRPr="00772BC3" w:rsidRDefault="00F06202" w:rsidP="00F06202">
      <w:pPr>
        <w:pStyle w:val="Caption"/>
      </w:pPr>
      <w:r>
        <w:t xml:space="preserve">Table </w:t>
      </w:r>
      <w:r>
        <w:fldChar w:fldCharType="begin"/>
      </w:r>
      <w:r>
        <w:instrText xml:space="preserve"> SEQ Table \* ARABIC </w:instrText>
      </w:r>
      <w:r>
        <w:fldChar w:fldCharType="separate"/>
      </w:r>
      <w:r>
        <w:rPr>
          <w:noProof/>
        </w:rPr>
        <w:t>6</w:t>
      </w:r>
      <w:r>
        <w:fldChar w:fldCharType="end"/>
      </w:r>
      <w:r w:rsidR="00E44533" w:rsidRPr="00772BC3">
        <w:t>:</w:t>
      </w:r>
      <w:r w:rsidR="00172780" w:rsidRPr="00772BC3">
        <w:t xml:space="preserve"> Factors affecting treatment adherence</w:t>
      </w:r>
    </w:p>
    <w:tbl>
      <w:tblPr>
        <w:tblStyle w:val="DepartmentofHealthtable"/>
        <w:tblW w:w="0" w:type="auto"/>
        <w:tblLook w:val="04A0" w:firstRow="1" w:lastRow="0" w:firstColumn="1" w:lastColumn="0" w:noHBand="0" w:noVBand="1"/>
        <w:tblCaption w:val="Table 6: Factors affecting treatment adherence"/>
        <w:tblDescription w:val="Table lists factors affecting treatment adherence"/>
      </w:tblPr>
      <w:tblGrid>
        <w:gridCol w:w="2127"/>
        <w:gridCol w:w="6943"/>
      </w:tblGrid>
      <w:tr w:rsidR="008F7639" w:rsidRPr="00772BC3" w14:paraId="4DB70FF1" w14:textId="77777777" w:rsidTr="4FD68A1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127" w:type="dxa"/>
          </w:tcPr>
          <w:p w14:paraId="7E10F376" w14:textId="632B5350" w:rsidR="00E44533" w:rsidRPr="00772BC3" w:rsidRDefault="00E44533">
            <w:pPr>
              <w:pStyle w:val="TableHeaderWhite"/>
            </w:pPr>
            <w:r w:rsidRPr="00772BC3">
              <w:t>Factors</w:t>
            </w:r>
          </w:p>
        </w:tc>
        <w:tc>
          <w:tcPr>
            <w:tcW w:w="6943" w:type="dxa"/>
          </w:tcPr>
          <w:p w14:paraId="6B58EE33" w14:textId="439F1B16" w:rsidR="00E44533" w:rsidRPr="00772BC3" w:rsidRDefault="00E44533">
            <w:pPr>
              <w:pStyle w:val="TableHeader"/>
              <w:cnfStyle w:val="100000000000" w:firstRow="1" w:lastRow="0" w:firstColumn="0" w:lastColumn="0" w:oddVBand="0" w:evenVBand="0" w:oddHBand="0" w:evenHBand="0" w:firstRowFirstColumn="0" w:firstRowLastColumn="0" w:lastRowFirstColumn="0" w:lastRowLastColumn="0"/>
            </w:pPr>
            <w:r w:rsidRPr="00772BC3">
              <w:t>Adher</w:t>
            </w:r>
            <w:r w:rsidR="002E18AA" w:rsidRPr="00772BC3">
              <w:t>ence interventions should consider:</w:t>
            </w:r>
          </w:p>
        </w:tc>
      </w:tr>
      <w:tr w:rsidR="00E44533" w:rsidRPr="00772BC3" w14:paraId="3E28B544" w14:textId="77777777" w:rsidTr="4FD68A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02EB5C4F" w14:textId="2F26DF7A" w:rsidR="00E44533" w:rsidRPr="00772BC3" w:rsidRDefault="002E18AA" w:rsidP="00A3583A">
            <w:pPr>
              <w:pStyle w:val="Tabletextleft"/>
            </w:pPr>
            <w:r w:rsidRPr="00772BC3">
              <w:t>Social and economic factors</w:t>
            </w:r>
          </w:p>
        </w:tc>
        <w:tc>
          <w:tcPr>
            <w:tcW w:w="6943" w:type="dxa"/>
          </w:tcPr>
          <w:p w14:paraId="4445A070" w14:textId="3ECCE7E1" w:rsidR="00E44533" w:rsidRPr="00772BC3" w:rsidRDefault="002E18AA" w:rsidP="00A3583A">
            <w:pPr>
              <w:pStyle w:val="Tabletextleft"/>
              <w:cnfStyle w:val="000000100000" w:firstRow="0" w:lastRow="0" w:firstColumn="0" w:lastColumn="0" w:oddVBand="0" w:evenVBand="0" w:oddHBand="1" w:evenHBand="0" w:firstRowFirstColumn="0" w:firstRowLastColumn="0" w:lastRowFirstColumn="0" w:lastRowLastColumn="0"/>
            </w:pPr>
            <w:r w:rsidRPr="00772BC3">
              <w:t>Addressing cost of treatment, access to healthy food and safe drinking water, ability to safely store medication at home, health literacy, provision of effective social support networks and access to services, including transport and health care. Interventions should support and respect cultural beliefs about illness and treatment.</w:t>
            </w:r>
          </w:p>
        </w:tc>
      </w:tr>
      <w:tr w:rsidR="007049A1" w:rsidRPr="00772BC3" w14:paraId="5460E193" w14:textId="77777777" w:rsidTr="4FD68A1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77792F5F" w14:textId="649A75EB" w:rsidR="007049A1" w:rsidRPr="00772BC3" w:rsidRDefault="007049A1" w:rsidP="00A3583A">
            <w:pPr>
              <w:pStyle w:val="Tabletextleft"/>
            </w:pPr>
            <w:r w:rsidRPr="00772BC3">
              <w:t>Healthcare team and system-related factors</w:t>
            </w:r>
          </w:p>
        </w:tc>
        <w:tc>
          <w:tcPr>
            <w:tcW w:w="6943" w:type="dxa"/>
          </w:tcPr>
          <w:p w14:paraId="7F1B4632" w14:textId="677A7B87" w:rsidR="007049A1" w:rsidRPr="00772BC3" w:rsidRDefault="007049A1" w:rsidP="00A3583A">
            <w:pPr>
              <w:pStyle w:val="Tabletextleft"/>
              <w:cnfStyle w:val="000000010000" w:firstRow="0" w:lastRow="0" w:firstColumn="0" w:lastColumn="0" w:oddVBand="0" w:evenVBand="0" w:oddHBand="0" w:evenHBand="1" w:firstRowFirstColumn="0" w:firstRowLastColumn="0" w:lastRowFirstColumn="0" w:lastRowLastColumn="0"/>
            </w:pPr>
            <w:r w:rsidRPr="00772BC3">
              <w:t xml:space="preserve">Raising awareness about non-adherence, providing clinical tools to assist </w:t>
            </w:r>
            <w:r w:rsidR="4968F8F6">
              <w:t>healthcare</w:t>
            </w:r>
            <w:r w:rsidRPr="00772BC3">
              <w:t xml:space="preserve"> providers in addressing non-adherence, and improving communication between </w:t>
            </w:r>
            <w:r w:rsidR="4968F8F6">
              <w:t>healthcare</w:t>
            </w:r>
            <w:r w:rsidRPr="00772BC3">
              <w:t xml:space="preserve"> providers and individuals and/or carers relating to adherence. Insecure access to medications, and other determinants of health should be taken into consideration by </w:t>
            </w:r>
            <w:r w:rsidR="4968F8F6">
              <w:t>healthcare</w:t>
            </w:r>
            <w:r w:rsidRPr="00772BC3">
              <w:t xml:space="preserve"> teams. Extreme weather impacts on supply chains may become more frequent due to climate change.</w:t>
            </w:r>
          </w:p>
        </w:tc>
      </w:tr>
      <w:tr w:rsidR="007049A1" w:rsidRPr="00772BC3" w14:paraId="3473C92B" w14:textId="77777777" w:rsidTr="4FD68A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16CBAFCA" w14:textId="58F94C0A" w:rsidR="007049A1" w:rsidRPr="00772BC3" w:rsidRDefault="007049A1" w:rsidP="00A3583A">
            <w:pPr>
              <w:pStyle w:val="Tabletextleft"/>
            </w:pPr>
            <w:r w:rsidRPr="00772BC3">
              <w:t>Condition-related factors</w:t>
            </w:r>
          </w:p>
        </w:tc>
        <w:tc>
          <w:tcPr>
            <w:tcW w:w="6943" w:type="dxa"/>
          </w:tcPr>
          <w:p w14:paraId="1F239E12" w14:textId="350E8DBD" w:rsidR="007049A1" w:rsidRPr="00772BC3" w:rsidRDefault="007049A1" w:rsidP="00A3583A">
            <w:pPr>
              <w:pStyle w:val="Tabletextleft"/>
              <w:cnfStyle w:val="000000100000" w:firstRow="0" w:lastRow="0" w:firstColumn="0" w:lastColumn="0" w:oddVBand="0" w:evenVBand="0" w:oddHBand="1" w:evenHBand="0" w:firstRowFirstColumn="0" w:firstRowLastColumn="0" w:lastRowFirstColumn="0" w:lastRowLastColumn="0"/>
            </w:pPr>
            <w:r w:rsidRPr="00772BC3">
              <w:t>Educating individuals (and their carers) on the importance of adherence, considering the impact of polypharmacy and the impact of mental health on adherence, recognising a person’s ability to self-manage and adhere to treatment can be influenced by a variety of factors, including severity of symptoms, rate of progression of conditions, and co-morbidities and risk perception.</w:t>
            </w:r>
            <w:r w:rsidR="005C3482" w:rsidRPr="00A3583A">
              <w:rPr>
                <w:sz w:val="22"/>
                <w:vertAlign w:val="superscript"/>
              </w:rPr>
              <w:t>5</w:t>
            </w:r>
            <w:r w:rsidR="57527F00" w:rsidRPr="00A3583A">
              <w:rPr>
                <w:sz w:val="22"/>
                <w:vertAlign w:val="superscript"/>
              </w:rPr>
              <w:t>3</w:t>
            </w:r>
          </w:p>
        </w:tc>
      </w:tr>
      <w:tr w:rsidR="001A118A" w:rsidRPr="00772BC3" w14:paraId="57BAB6A2" w14:textId="77777777" w:rsidTr="4FD68A1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1C6D687E" w14:textId="30FD4B0E" w:rsidR="001A118A" w:rsidRPr="00772BC3" w:rsidRDefault="001A118A" w:rsidP="00A3583A">
            <w:pPr>
              <w:pStyle w:val="Tabletextleft"/>
            </w:pPr>
            <w:r w:rsidRPr="00772BC3">
              <w:t>Therapy-related factors</w:t>
            </w:r>
          </w:p>
        </w:tc>
        <w:tc>
          <w:tcPr>
            <w:tcW w:w="6943" w:type="dxa"/>
          </w:tcPr>
          <w:p w14:paraId="2C4E6D10" w14:textId="6B3749A6" w:rsidR="001A118A" w:rsidRPr="00772BC3" w:rsidRDefault="001A118A" w:rsidP="00A3583A">
            <w:pPr>
              <w:pStyle w:val="Tabletextleft"/>
              <w:cnfStyle w:val="000000010000" w:firstRow="0" w:lastRow="0" w:firstColumn="0" w:lastColumn="0" w:oddVBand="0" w:evenVBand="0" w:oddHBand="0" w:evenHBand="1" w:firstRowFirstColumn="0" w:firstRowLastColumn="0" w:lastRowFirstColumn="0" w:lastRowLastColumn="0"/>
            </w:pPr>
            <w:r w:rsidRPr="00772BC3">
              <w:t>Tailoring to the needs of the individual, noting that complexity and duration of treatment regimes, frequent changes in treatment (including changes in medicine formulation and brand changes), and the immediacy of beneficial, observable effects (and side effects) impact on adherence.</w:t>
            </w:r>
          </w:p>
        </w:tc>
      </w:tr>
      <w:tr w:rsidR="001A118A" w:rsidRPr="00772BC3" w14:paraId="62D36F72" w14:textId="77777777" w:rsidTr="4FD68A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0AF7BC23" w14:textId="64674B2B" w:rsidR="001A118A" w:rsidRPr="00772BC3" w:rsidRDefault="001A118A" w:rsidP="00A3583A">
            <w:pPr>
              <w:pStyle w:val="Tabletextleft"/>
            </w:pPr>
            <w:r w:rsidRPr="00772BC3">
              <w:t>Person-related factors</w:t>
            </w:r>
          </w:p>
        </w:tc>
        <w:tc>
          <w:tcPr>
            <w:tcW w:w="6943" w:type="dxa"/>
          </w:tcPr>
          <w:p w14:paraId="5CF94B87" w14:textId="28009700" w:rsidR="001A118A" w:rsidRPr="00772BC3" w:rsidRDefault="001A118A" w:rsidP="00A3583A">
            <w:pPr>
              <w:pStyle w:val="Tabletextleft"/>
              <w:cnfStyle w:val="000000100000" w:firstRow="0" w:lastRow="0" w:firstColumn="0" w:lastColumn="0" w:oddVBand="0" w:evenVBand="0" w:oddHBand="1" w:evenHBand="0" w:firstRowFirstColumn="0" w:firstRowLastColumn="0" w:lastRowFirstColumn="0" w:lastRowLastColumn="0"/>
            </w:pPr>
            <w:r w:rsidRPr="00772BC3">
              <w:t>How well-equipped individuals are in the context of health literacy and types of motivational tools that may assist, including the use of digital technology. Empowering individuals with an understanding of chronic condition trajectory and progression with or without adherence may also assist. Services that de-stigmatise chronic conditions can assist in motivating individuals to seek care and adhere to treatments.</w:t>
            </w:r>
          </w:p>
        </w:tc>
      </w:tr>
    </w:tbl>
    <w:p w14:paraId="67778598" w14:textId="7D5F3AC7" w:rsidR="005727C4" w:rsidRPr="00A3583A" w:rsidRDefault="005727C4" w:rsidP="00A3583A">
      <w:pPr>
        <w:pStyle w:val="Heading5"/>
      </w:pPr>
      <w:r w:rsidRPr="00A3583A">
        <w:t>Pharmacological treatments</w:t>
      </w:r>
    </w:p>
    <w:p w14:paraId="6F4D0B9B" w14:textId="343C580D" w:rsidR="005727C4" w:rsidRPr="00772BC3" w:rsidRDefault="005727C4" w:rsidP="005727C4">
      <w:r w:rsidRPr="00772BC3">
        <w:t xml:space="preserve">Use of pharmacological treatments for people with chronic conditions, including consideration of polypharmacy, should be actively considered in alignment with existing national policies and strategies. Health </w:t>
      </w:r>
      <w:r w:rsidR="156E809B">
        <w:t xml:space="preserve">providers </w:t>
      </w:r>
      <w:r>
        <w:t>have</w:t>
      </w:r>
      <w:r w:rsidRPr="00772BC3">
        <w:t xml:space="preserve"> responsibility for reducing inappropriate polypharmacy and its safety implications.</w:t>
      </w:r>
      <w:r w:rsidR="005C3482" w:rsidRPr="3FA1224E">
        <w:rPr>
          <w:noProof/>
          <w:vertAlign w:val="superscript"/>
        </w:rPr>
        <w:t>5</w:t>
      </w:r>
      <w:r w:rsidR="534103F5" w:rsidRPr="3FA1224E">
        <w:rPr>
          <w:noProof/>
          <w:vertAlign w:val="superscript"/>
        </w:rPr>
        <w:t>4</w:t>
      </w:r>
      <w:r w:rsidRPr="00772BC3">
        <w:t xml:space="preserve"> Deprescribing is a person-centred intervention, conducted under medical supervision, that reassesses the role of medicines in a person’s care. Deprescribing can result in ceasing the use of medicines that have no clear benefit, may cause harm, and no longer fit within current care goals.</w:t>
      </w:r>
      <w:r w:rsidR="005C3482" w:rsidRPr="3FA1224E">
        <w:rPr>
          <w:noProof/>
          <w:vertAlign w:val="superscript"/>
        </w:rPr>
        <w:t>5</w:t>
      </w:r>
      <w:r w:rsidR="294A4EC7" w:rsidRPr="3FA1224E">
        <w:rPr>
          <w:noProof/>
          <w:vertAlign w:val="superscript"/>
        </w:rPr>
        <w:t>5</w:t>
      </w:r>
      <w:r w:rsidRPr="00772BC3">
        <w:t xml:space="preserve"> </w:t>
      </w:r>
    </w:p>
    <w:p w14:paraId="4FEFBA71" w14:textId="0A0AB8A7" w:rsidR="005727C4" w:rsidRPr="00772BC3" w:rsidRDefault="005727C4" w:rsidP="005727C4">
      <w:r w:rsidRPr="00772BC3">
        <w:t xml:space="preserve">Pharmacological treatments should also align with the </w:t>
      </w:r>
      <w:hyperlink r:id="rId38">
        <w:r w:rsidRPr="3FA1224E">
          <w:rPr>
            <w:rStyle w:val="Hyperlink"/>
          </w:rPr>
          <w:t>Medication Safety Standard</w:t>
        </w:r>
      </w:hyperlink>
      <w:r w:rsidRPr="00772BC3">
        <w:t xml:space="preserve"> of the </w:t>
      </w:r>
      <w:hyperlink r:id="rId39">
        <w:r w:rsidRPr="3FA1224E">
          <w:rPr>
            <w:rStyle w:val="Hyperlink"/>
          </w:rPr>
          <w:t>National Safety and Quality Health Service Standards</w:t>
        </w:r>
      </w:hyperlink>
      <w:r w:rsidRPr="00772BC3">
        <w:t xml:space="preserve"> and the </w:t>
      </w:r>
      <w:hyperlink r:id="rId40">
        <w:r w:rsidRPr="3FA1224E">
          <w:rPr>
            <w:rStyle w:val="Hyperlink"/>
          </w:rPr>
          <w:t>National Strategy for Quality Use of Medicines</w:t>
        </w:r>
      </w:hyperlink>
      <w:r>
        <w:t>.</w:t>
      </w:r>
      <w:r w:rsidRPr="00772BC3">
        <w:t xml:space="preserve"> These standards and strategy include medication reconciliation at transitions of care, regular review of polypharmacy, regular review and involvement of community pharmacists, and improving people’s ability to solve problems related to medication such as managing multiple medications.</w:t>
      </w:r>
      <w:r w:rsidR="005C3482" w:rsidRPr="3FA1224E">
        <w:rPr>
          <w:noProof/>
          <w:vertAlign w:val="superscript"/>
        </w:rPr>
        <w:t>5</w:t>
      </w:r>
      <w:r w:rsidR="75D45BCD" w:rsidRPr="3FA1224E">
        <w:rPr>
          <w:noProof/>
          <w:vertAlign w:val="superscript"/>
        </w:rPr>
        <w:t>6</w:t>
      </w:r>
    </w:p>
    <w:p w14:paraId="5D75290B" w14:textId="77777777" w:rsidR="001A118A" w:rsidRPr="00A3583A" w:rsidRDefault="001A118A" w:rsidP="00A3583A">
      <w:r w:rsidRPr="00772BC3">
        <w:br w:type="page"/>
      </w:r>
    </w:p>
    <w:p w14:paraId="3AD062FC" w14:textId="25ABE006" w:rsidR="005727C4" w:rsidRPr="00772BC3" w:rsidRDefault="3309A2CE" w:rsidP="001A118A">
      <w:pPr>
        <w:pStyle w:val="Heading2"/>
      </w:pPr>
      <w:bookmarkStart w:id="32" w:name="_Toc224557209"/>
      <w:r>
        <w:t>Focus Area 4: Managing multimorbidity</w:t>
      </w:r>
      <w:bookmarkEnd w:id="32"/>
    </w:p>
    <w:p w14:paraId="67722088" w14:textId="7982E27B" w:rsidR="005727C4" w:rsidRPr="00772BC3" w:rsidRDefault="3309A2CE" w:rsidP="00E36D16">
      <w:pPr>
        <w:pStyle w:val="Heading3"/>
      </w:pPr>
      <w:bookmarkStart w:id="33" w:name="_Toc224557210"/>
      <w:r>
        <w:t>Why this is important</w:t>
      </w:r>
      <w:bookmarkEnd w:id="33"/>
    </w:p>
    <w:p w14:paraId="2056EA15" w14:textId="251B6D53" w:rsidR="005727C4" w:rsidRPr="00772BC3" w:rsidRDefault="0099059E" w:rsidP="005727C4">
      <w:r>
        <w:t>I</w:t>
      </w:r>
      <w:r w:rsidRPr="00772BC3">
        <w:t>n 2022</w:t>
      </w:r>
      <w:r>
        <w:t xml:space="preserve">, </w:t>
      </w:r>
      <w:r w:rsidR="005727C4" w:rsidRPr="00772BC3">
        <w:t>9.7 million Australians (38%) were living with multimorbidity.</w:t>
      </w:r>
      <w:r w:rsidR="005C3482" w:rsidRPr="3FA1224E">
        <w:rPr>
          <w:noProof/>
          <w:vertAlign w:val="superscript"/>
        </w:rPr>
        <w:t>5</w:t>
      </w:r>
      <w:r w:rsidR="35DB59F9" w:rsidRPr="3FA1224E">
        <w:rPr>
          <w:noProof/>
          <w:vertAlign w:val="superscript"/>
        </w:rPr>
        <w:t>7</w:t>
      </w:r>
      <w:r w:rsidR="005727C4" w:rsidRPr="00772BC3">
        <w:t xml:space="preserve"> People with multiple chronic conditions often require complex health care, may need to access multiple specialist</w:t>
      </w:r>
      <w:r>
        <w:t>s</w:t>
      </w:r>
      <w:r w:rsidR="005727C4" w:rsidRPr="00772BC3">
        <w:t xml:space="preserve"> and allied health services, and may require multiple medications. Their ability to participate in education or employment can be impacted, and their quality of life can be reduced. </w:t>
      </w:r>
    </w:p>
    <w:p w14:paraId="415EF7F4" w14:textId="283DC22D" w:rsidR="005727C4" w:rsidRPr="00772BC3" w:rsidRDefault="005727C4" w:rsidP="005727C4">
      <w:r w:rsidRPr="00772BC3">
        <w:t xml:space="preserve">Fragmented health care means that people with chronic conditions often need to retell their circumstances when seeing different care providers. This places significant pressure on individuals and their carers to self-advocate and to self-manage chronic conditions, particularly for individuals living with multimorbidity. Fragmentation also places pressure on </w:t>
      </w:r>
      <w:r>
        <w:t>healthcare</w:t>
      </w:r>
      <w:r w:rsidRPr="00772BC3">
        <w:t xml:space="preserve"> </w:t>
      </w:r>
      <w:r w:rsidR="3747CE27">
        <w:t xml:space="preserve">providers </w:t>
      </w:r>
      <w:r w:rsidRPr="00772BC3">
        <w:t>who may not have access to complete patient history, which may create gaps in knowledge and impact on healthcare provision and coordination across the health system. Fragmentation can be exacerbated by:</w:t>
      </w:r>
    </w:p>
    <w:p w14:paraId="735B1AB0" w14:textId="23ED075D" w:rsidR="005727C4" w:rsidRPr="00772BC3" w:rsidRDefault="005727C4" w:rsidP="00E36D16">
      <w:pPr>
        <w:pStyle w:val="ListBullet"/>
      </w:pPr>
      <w:r w:rsidRPr="00772BC3">
        <w:t>diverse sources of funding that may be subject to different requirements and reporting mechanisms</w:t>
      </w:r>
    </w:p>
    <w:p w14:paraId="091BC3FB" w14:textId="5740378D" w:rsidR="005727C4" w:rsidRPr="00772BC3" w:rsidRDefault="005727C4" w:rsidP="00E36D16">
      <w:pPr>
        <w:pStyle w:val="ListBullet"/>
      </w:pPr>
      <w:r w:rsidRPr="00772BC3">
        <w:t xml:space="preserve">lack of consistent, standardised formats for gathering information across the health system </w:t>
      </w:r>
    </w:p>
    <w:p w14:paraId="093A3959" w14:textId="55A001F9" w:rsidR="005727C4" w:rsidRPr="00772BC3" w:rsidRDefault="005727C4" w:rsidP="00E36D16">
      <w:pPr>
        <w:pStyle w:val="ListBullet"/>
      </w:pPr>
      <w:r w:rsidRPr="00772BC3">
        <w:t>use of outdated technology in clinics</w:t>
      </w:r>
    </w:p>
    <w:p w14:paraId="19B6B18C" w14:textId="7678A0EB" w:rsidR="005727C4" w:rsidRPr="00772BC3" w:rsidRDefault="005727C4" w:rsidP="00E36D16">
      <w:pPr>
        <w:pStyle w:val="ListBullet"/>
      </w:pPr>
      <w:r w:rsidRPr="00772BC3">
        <w:t>differences in state, territory and Commonwealth data arrangements</w:t>
      </w:r>
    </w:p>
    <w:p w14:paraId="10C613C4" w14:textId="440A2031" w:rsidR="005727C4" w:rsidRPr="00772BC3" w:rsidRDefault="005727C4" w:rsidP="00E36D16">
      <w:pPr>
        <w:pStyle w:val="ListBullet"/>
      </w:pPr>
      <w:r w:rsidRPr="00772BC3">
        <w:t>individuals and providers being reluctant to share information due to lack of trust.</w:t>
      </w:r>
      <w:r w:rsidR="005C3482" w:rsidRPr="3FA1224E">
        <w:rPr>
          <w:noProof/>
          <w:vertAlign w:val="superscript"/>
        </w:rPr>
        <w:t>5</w:t>
      </w:r>
      <w:r w:rsidR="42F480CE" w:rsidRPr="3FA1224E">
        <w:rPr>
          <w:noProof/>
          <w:vertAlign w:val="superscript"/>
        </w:rPr>
        <w:t>8</w:t>
      </w:r>
    </w:p>
    <w:p w14:paraId="03EC69C0" w14:textId="4456746A" w:rsidR="00CA06D9" w:rsidRPr="00772BC3" w:rsidRDefault="00F06202" w:rsidP="00F06202">
      <w:pPr>
        <w:pStyle w:val="Caption"/>
      </w:pPr>
      <w:r>
        <w:t xml:space="preserve">Table </w:t>
      </w:r>
      <w:r>
        <w:fldChar w:fldCharType="begin"/>
      </w:r>
      <w:r>
        <w:instrText xml:space="preserve"> SEQ Table \* ARABIC </w:instrText>
      </w:r>
      <w:r>
        <w:fldChar w:fldCharType="separate"/>
      </w:r>
      <w:r>
        <w:rPr>
          <w:noProof/>
        </w:rPr>
        <w:t>7</w:t>
      </w:r>
      <w:r>
        <w:fldChar w:fldCharType="end"/>
      </w:r>
      <w:r w:rsidR="00CA06D9" w:rsidRPr="00772BC3">
        <w:t xml:space="preserve">: Action </w:t>
      </w:r>
      <w:r w:rsidR="00172780" w:rsidRPr="00772BC3">
        <w:t>P</w:t>
      </w:r>
      <w:r w:rsidR="00CA06D9" w:rsidRPr="00772BC3">
        <w:t>riorities for managing multimorbidity</w:t>
      </w:r>
    </w:p>
    <w:tbl>
      <w:tblPr>
        <w:tblStyle w:val="DepartmentofHealthtable"/>
        <w:tblW w:w="0" w:type="auto"/>
        <w:tblLook w:val="04A0" w:firstRow="1" w:lastRow="0" w:firstColumn="1" w:lastColumn="0" w:noHBand="0" w:noVBand="1"/>
        <w:tblCaption w:val="Table 7: Action Priorities for managing multimorbidity "/>
        <w:tblDescription w:val="Table lists action priorities for managing multimorbidity "/>
      </w:tblPr>
      <w:tblGrid>
        <w:gridCol w:w="3261"/>
        <w:gridCol w:w="5809"/>
      </w:tblGrid>
      <w:tr w:rsidR="00AB1073" w:rsidRPr="00772BC3" w14:paraId="2C926033" w14:textId="77777777" w:rsidTr="4FD68A1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261" w:type="dxa"/>
          </w:tcPr>
          <w:p w14:paraId="1FA1A7F8" w14:textId="678768FB" w:rsidR="00CA06D9" w:rsidRPr="00772BC3" w:rsidRDefault="00CA06D9">
            <w:pPr>
              <w:pStyle w:val="TableHeaderWhite"/>
            </w:pPr>
            <w:r w:rsidRPr="00772BC3">
              <w:t xml:space="preserve">Focus </w:t>
            </w:r>
            <w:r w:rsidR="00172780" w:rsidRPr="00772BC3">
              <w:t>A</w:t>
            </w:r>
            <w:r w:rsidRPr="00772BC3">
              <w:t>rea</w:t>
            </w:r>
          </w:p>
        </w:tc>
        <w:tc>
          <w:tcPr>
            <w:tcW w:w="5809" w:type="dxa"/>
          </w:tcPr>
          <w:p w14:paraId="17B597EF" w14:textId="50D352E1" w:rsidR="00CA06D9" w:rsidRPr="00772BC3" w:rsidRDefault="00CA06D9">
            <w:pPr>
              <w:pStyle w:val="TableHeader"/>
              <w:cnfStyle w:val="100000000000" w:firstRow="1" w:lastRow="0" w:firstColumn="0" w:lastColumn="0" w:oddVBand="0" w:evenVBand="0" w:oddHBand="0" w:evenHBand="0" w:firstRowFirstColumn="0" w:firstRowLastColumn="0" w:lastRowFirstColumn="0" w:lastRowLastColumn="0"/>
            </w:pPr>
            <w:r w:rsidRPr="00772BC3">
              <w:t xml:space="preserve">Action </w:t>
            </w:r>
            <w:r w:rsidR="00172780" w:rsidRPr="00772BC3">
              <w:t>P</w:t>
            </w:r>
            <w:r w:rsidRPr="00772BC3">
              <w:t>riorities</w:t>
            </w:r>
          </w:p>
        </w:tc>
      </w:tr>
      <w:tr w:rsidR="00CA06D9" w:rsidRPr="00772BC3" w14:paraId="29E5EE61" w14:textId="77777777" w:rsidTr="4FD68A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tcPr>
          <w:p w14:paraId="4959A425" w14:textId="77777777" w:rsidR="00CA06D9" w:rsidRPr="00772BC3" w:rsidRDefault="00CA06D9" w:rsidP="00A3583A">
            <w:pPr>
              <w:pStyle w:val="Tabletextleft"/>
            </w:pPr>
            <w:r w:rsidRPr="00772BC3">
              <w:t>4. Managing multimorbidity</w:t>
            </w:r>
          </w:p>
        </w:tc>
        <w:tc>
          <w:tcPr>
            <w:tcW w:w="5809" w:type="dxa"/>
          </w:tcPr>
          <w:p w14:paraId="0EFB0187" w14:textId="77777777" w:rsidR="00CA06D9" w:rsidRPr="00772BC3" w:rsidRDefault="00CA06D9" w:rsidP="00A3583A">
            <w:pPr>
              <w:pStyle w:val="Tabletextleft"/>
              <w:cnfStyle w:val="000000100000" w:firstRow="0" w:lastRow="0" w:firstColumn="0" w:lastColumn="0" w:oddVBand="0" w:evenVBand="0" w:oddHBand="1" w:evenHBand="0" w:firstRowFirstColumn="0" w:firstRowLastColumn="0" w:lastRowFirstColumn="0" w:lastRowLastColumn="0"/>
            </w:pPr>
            <w:r w:rsidRPr="00772BC3">
              <w:t>4.1 Addressing fragmentation in health care</w:t>
            </w:r>
          </w:p>
          <w:p w14:paraId="4E76429A" w14:textId="77777777" w:rsidR="00CA06D9" w:rsidRPr="00772BC3" w:rsidRDefault="00CA06D9" w:rsidP="00A3583A">
            <w:pPr>
              <w:pStyle w:val="Tabletextleft"/>
              <w:cnfStyle w:val="000000100000" w:firstRow="0" w:lastRow="0" w:firstColumn="0" w:lastColumn="0" w:oddVBand="0" w:evenVBand="0" w:oddHBand="1" w:evenHBand="0" w:firstRowFirstColumn="0" w:firstRowLastColumn="0" w:lastRowFirstColumn="0" w:lastRowLastColumn="0"/>
            </w:pPr>
            <w:r w:rsidRPr="00772BC3">
              <w:t>4.2 Utilising digital health</w:t>
            </w:r>
          </w:p>
        </w:tc>
      </w:tr>
    </w:tbl>
    <w:p w14:paraId="59B38A64" w14:textId="69464E80" w:rsidR="005727C4" w:rsidRPr="00772BC3" w:rsidRDefault="3309A2CE" w:rsidP="00593685">
      <w:pPr>
        <w:pStyle w:val="Heading4"/>
      </w:pPr>
      <w:r>
        <w:t>Action Priority 4.1 Addressing fragmentation in health care</w:t>
      </w:r>
    </w:p>
    <w:p w14:paraId="57D1079A" w14:textId="77777777" w:rsidR="005727C4" w:rsidRPr="00A3583A" w:rsidRDefault="005727C4" w:rsidP="00A3583A">
      <w:pPr>
        <w:pStyle w:val="Heading5"/>
      </w:pPr>
      <w:r w:rsidRPr="00A3583A">
        <w:t>Person-centred, multidisciplinary care</w:t>
      </w:r>
    </w:p>
    <w:p w14:paraId="091D80A8" w14:textId="38BE5672" w:rsidR="005727C4" w:rsidRPr="00772BC3" w:rsidRDefault="14FC7090" w:rsidP="005727C4">
      <w:pPr>
        <w:rPr>
          <w:vertAlign w:val="superscript"/>
        </w:rPr>
      </w:pPr>
      <w:r>
        <w:t>Person-centred, multidisciplinary care facilitates integration and coordination of care</w:t>
      </w:r>
      <w:r w:rsidR="4BB72768">
        <w:t>,</w:t>
      </w:r>
      <w:r>
        <w:t xml:space="preserve"> which is vital to addressing fragmentation. Person-centred care focuses on the individual rather than the condition(s) a person may be experiencing. It involves seeking out and understanding what is important to the individual, their families, carers, and support people. Conversations about treatment and care should be guided by the individual’s unique circumstances and their priorities and preferences regarding health and quality of life outcomes, and shaped through collaboration with their family, carers and healthcare </w:t>
      </w:r>
      <w:r w:rsidR="48A2E3AE">
        <w:t>providers.</w:t>
      </w:r>
      <w:r>
        <w:t xml:space="preserve"> This shared decision-making process is central to person-centred care and is an important component of effective multimorbidity care and management.</w:t>
      </w:r>
      <w:r w:rsidR="484D0E81" w:rsidRPr="3FA1224E">
        <w:rPr>
          <w:noProof/>
          <w:vertAlign w:val="superscript"/>
        </w:rPr>
        <w:t>59</w:t>
      </w:r>
    </w:p>
    <w:p w14:paraId="4BDD5B1D" w14:textId="79072921" w:rsidR="005727C4" w:rsidRPr="00772BC3" w:rsidRDefault="005727C4" w:rsidP="005727C4">
      <w:r w:rsidRPr="00772BC3">
        <w:t>Addressing the needs of individuals (and their family and carers) with multimorbidity who also experience cognitive impairment or ‘invisible’ impacts</w:t>
      </w:r>
      <w:r w:rsidR="00360466">
        <w:t>,</w:t>
      </w:r>
      <w:r w:rsidRPr="00772BC3">
        <w:t xml:space="preserve"> like chronic pain and fatigue</w:t>
      </w:r>
      <w:r w:rsidR="00360466">
        <w:t>,</w:t>
      </w:r>
      <w:r w:rsidRPr="00772BC3">
        <w:t xml:space="preserve"> should be considered. Collaborative design of interventions involving individuals, caregivers, and </w:t>
      </w:r>
      <w:r>
        <w:t>healthcare</w:t>
      </w:r>
      <w:r w:rsidRPr="00772BC3">
        <w:t xml:space="preserve"> providers could enhance the effectiveness of care for people with multimorbidity</w:t>
      </w:r>
      <w:r w:rsidR="00AB1073" w:rsidRPr="00772BC3">
        <w:t>.</w:t>
      </w:r>
      <w:r w:rsidR="005C3482" w:rsidRPr="3FA1224E">
        <w:rPr>
          <w:noProof/>
          <w:vertAlign w:val="superscript"/>
        </w:rPr>
        <w:t>6</w:t>
      </w:r>
      <w:r w:rsidR="71572BC1" w:rsidRPr="3FA1224E">
        <w:rPr>
          <w:noProof/>
          <w:vertAlign w:val="superscript"/>
        </w:rPr>
        <w:t>0</w:t>
      </w:r>
    </w:p>
    <w:p w14:paraId="05FD3637" w14:textId="77777777" w:rsidR="005727C4" w:rsidRPr="00772BC3" w:rsidRDefault="005727C4" w:rsidP="005727C4">
      <w:r w:rsidRPr="00772BC3">
        <w:t>Common features of successful integrated and collaborative care include:</w:t>
      </w:r>
    </w:p>
    <w:p w14:paraId="5E1584D1" w14:textId="0931A789" w:rsidR="005727C4" w:rsidRPr="00772BC3" w:rsidRDefault="005727C4" w:rsidP="00593685">
      <w:pPr>
        <w:pStyle w:val="ListBullet"/>
      </w:pPr>
      <w:r w:rsidRPr="00772BC3">
        <w:t>a multidisciplinary team care approach that promotes enhanced communication and collaboration across levels of care and sectors</w:t>
      </w:r>
    </w:p>
    <w:p w14:paraId="7A951F89" w14:textId="50F4E066" w:rsidR="005727C4" w:rsidRPr="00772BC3" w:rsidRDefault="005727C4" w:rsidP="00593685">
      <w:pPr>
        <w:pStyle w:val="ListBullet"/>
      </w:pPr>
      <w:r w:rsidRPr="00772BC3">
        <w:t>co-location of services</w:t>
      </w:r>
    </w:p>
    <w:p w14:paraId="45E7D443" w14:textId="5D519AA5" w:rsidR="005727C4" w:rsidRPr="00772BC3" w:rsidRDefault="005727C4" w:rsidP="00593685">
      <w:pPr>
        <w:pStyle w:val="ListBullet"/>
      </w:pPr>
      <w:r w:rsidRPr="00772BC3">
        <w:t>structured treatment plans and scheduled follow-ups</w:t>
      </w:r>
    </w:p>
    <w:p w14:paraId="69C6F42A" w14:textId="1EA693DF" w:rsidR="005727C4" w:rsidRPr="00772BC3" w:rsidRDefault="005727C4" w:rsidP="00593685">
      <w:pPr>
        <w:pStyle w:val="ListBullet"/>
      </w:pPr>
      <w:r w:rsidRPr="00772BC3">
        <w:t>coordinated case management</w:t>
      </w:r>
    </w:p>
    <w:p w14:paraId="1091E9B2" w14:textId="77838303" w:rsidR="005727C4" w:rsidRPr="00772BC3" w:rsidRDefault="005727C4" w:rsidP="00593685">
      <w:pPr>
        <w:pStyle w:val="ListBullet"/>
      </w:pPr>
      <w:r w:rsidRPr="00772BC3">
        <w:t>a structured clinical governance approach</w:t>
      </w:r>
    </w:p>
    <w:p w14:paraId="48BEFD7F" w14:textId="0B46025A" w:rsidR="005727C4" w:rsidRPr="00772BC3" w:rsidRDefault="005727C4" w:rsidP="00593685">
      <w:pPr>
        <w:pStyle w:val="ListBullet"/>
      </w:pPr>
      <w:r w:rsidRPr="00772BC3">
        <w:t>incorporation of individual engagement and self-management</w:t>
      </w:r>
    </w:p>
    <w:p w14:paraId="620FD4F0" w14:textId="22C1CF66" w:rsidR="005727C4" w:rsidRPr="00772BC3" w:rsidRDefault="005727C4" w:rsidP="00593685">
      <w:pPr>
        <w:pStyle w:val="ListBullet"/>
      </w:pPr>
      <w:r w:rsidRPr="00772BC3">
        <w:t>shared access to clinical information.</w:t>
      </w:r>
      <w:r w:rsidR="002A7275" w:rsidRPr="3FA1224E">
        <w:rPr>
          <w:noProof/>
          <w:vertAlign w:val="superscript"/>
        </w:rPr>
        <w:t>6</w:t>
      </w:r>
      <w:r w:rsidR="08DEAC0C" w:rsidRPr="3FA1224E">
        <w:rPr>
          <w:noProof/>
          <w:vertAlign w:val="superscript"/>
        </w:rPr>
        <w:t>1</w:t>
      </w:r>
    </w:p>
    <w:p w14:paraId="1468F94B" w14:textId="77777777" w:rsidR="005727C4" w:rsidRPr="00A3583A" w:rsidRDefault="005727C4" w:rsidP="00A3583A">
      <w:pPr>
        <w:pStyle w:val="Heading5"/>
      </w:pPr>
      <w:r w:rsidRPr="00A3583A">
        <w:t>Clinical guidance and decision support systems</w:t>
      </w:r>
    </w:p>
    <w:p w14:paraId="1A3080A0" w14:textId="66BE94FD" w:rsidR="005727C4" w:rsidRPr="00772BC3" w:rsidRDefault="005727C4" w:rsidP="005727C4">
      <w:r w:rsidRPr="00772BC3">
        <w:t xml:space="preserve">Health </w:t>
      </w:r>
      <w:r w:rsidR="1BDB4D4F">
        <w:t xml:space="preserve">providers </w:t>
      </w:r>
      <w:r>
        <w:t>need</w:t>
      </w:r>
      <w:r w:rsidRPr="00772BC3">
        <w:t xml:space="preserve"> up</w:t>
      </w:r>
      <w:r w:rsidR="00471820">
        <w:t>-</w:t>
      </w:r>
      <w:r w:rsidRPr="00772BC3">
        <w:t>to</w:t>
      </w:r>
      <w:r w:rsidR="00471820">
        <w:t>-</w:t>
      </w:r>
      <w:r w:rsidRPr="00772BC3">
        <w:t xml:space="preserve">date, evidence-based guidance to ensure they can provide appropriate care for people with multimorbidity. There is limited clinical guidance available at present on managing multimorbidity; clinical guidelines tend to focus on individual conditions. Standardised approaches based on single-disease recommendations may be inappropriate for individuals with multimorbidity and complex care needs that require multiple care providers and </w:t>
      </w:r>
      <w:r>
        <w:t>healthcare</w:t>
      </w:r>
      <w:r w:rsidRPr="00772BC3">
        <w:t xml:space="preserve"> </w:t>
      </w:r>
      <w:r w:rsidR="63C724A6">
        <w:t>providers</w:t>
      </w:r>
      <w:r>
        <w:t>.</w:t>
      </w:r>
    </w:p>
    <w:p w14:paraId="51C32D73" w14:textId="531BE3C5" w:rsidR="005727C4" w:rsidRPr="00772BC3" w:rsidRDefault="005727C4" w:rsidP="005727C4">
      <w:r w:rsidRPr="00772BC3">
        <w:t>Establishing a unified plan in line with the overarching goals set by the individual, supported by efficient information sharing between providers, can support predictability and feasibility in the individual’s life.</w:t>
      </w:r>
      <w:r w:rsidR="002A7275" w:rsidRPr="3FA1224E">
        <w:rPr>
          <w:noProof/>
          <w:vertAlign w:val="superscript"/>
        </w:rPr>
        <w:t>6</w:t>
      </w:r>
      <w:r w:rsidR="1D130E0D" w:rsidRPr="3FA1224E">
        <w:rPr>
          <w:noProof/>
          <w:vertAlign w:val="superscript"/>
        </w:rPr>
        <w:t>2</w:t>
      </w:r>
      <w:r w:rsidRPr="00772BC3">
        <w:t xml:space="preserve"> In addition, enhancing decision support systems by developing clinical practice guidelines and other guidance material for multimorbidity, and utilising computer-interactable guidance within clinical decision support systems, may facilitate addressing fragmentation and improving care for people living with multimorbidity.</w:t>
      </w:r>
      <w:r w:rsidR="002A7275" w:rsidRPr="3FA1224E">
        <w:rPr>
          <w:noProof/>
          <w:vertAlign w:val="superscript"/>
        </w:rPr>
        <w:t>6</w:t>
      </w:r>
      <w:r w:rsidR="35F45027" w:rsidRPr="3FA1224E">
        <w:rPr>
          <w:noProof/>
          <w:vertAlign w:val="superscript"/>
        </w:rPr>
        <w:t>3</w:t>
      </w:r>
      <w:r w:rsidRPr="00772BC3">
        <w:t xml:space="preserve"> Nationally consistent approaches to the development of clinical guidelines for chronic conditions and governance arrangements around how clinical guidelines can best be integrated into electronic clinical decisions support systems are priorities for government.</w:t>
      </w:r>
    </w:p>
    <w:p w14:paraId="47B37EE0" w14:textId="77777777" w:rsidR="005727C4" w:rsidRPr="00A3583A" w:rsidRDefault="005727C4" w:rsidP="00A3583A">
      <w:pPr>
        <w:pStyle w:val="Heading5"/>
      </w:pPr>
      <w:r w:rsidRPr="00A3583A">
        <w:t>Community-based care</w:t>
      </w:r>
    </w:p>
    <w:p w14:paraId="4C173902" w14:textId="6FFDEAB5" w:rsidR="005727C4" w:rsidRPr="00772BC3" w:rsidRDefault="005727C4" w:rsidP="005727C4">
      <w:r w:rsidRPr="00772BC3">
        <w:t>Community-based care is a healthcare model shaped by the needs, beliefs, and values of the community it serves, fostering community engagement and adherence. Community-based programs can support longer-term management of multimorbidity outside of hospitals, potentially reducing emergency department visits. In addition to the features of integrated and collaborative care highlighted above, characteristics of successful community-based care include planned healthcare usage and a personalised approach that addresses the social needs of individuals.</w:t>
      </w:r>
      <w:r w:rsidR="002A7275" w:rsidRPr="3FA1224E">
        <w:rPr>
          <w:noProof/>
          <w:vertAlign w:val="superscript"/>
        </w:rPr>
        <w:t>6</w:t>
      </w:r>
      <w:r w:rsidR="1697F9DD" w:rsidRPr="3FA1224E">
        <w:rPr>
          <w:noProof/>
          <w:vertAlign w:val="superscript"/>
        </w:rPr>
        <w:t>4</w:t>
      </w:r>
    </w:p>
    <w:p w14:paraId="31F2CF34" w14:textId="77777777" w:rsidR="005727C4" w:rsidRPr="00772BC3" w:rsidRDefault="005727C4" w:rsidP="005727C4">
      <w:r w:rsidRPr="00772BC3">
        <w:t xml:space="preserve">The Aboriginal Community Controlled Health Organisations (ACCHO) sector is an example of successful community-based care that has been delivering multidisciplinary, team-based care shaped by the needs of its communities for more than 50 years. </w:t>
      </w:r>
    </w:p>
    <w:p w14:paraId="4B03D0B0" w14:textId="77777777" w:rsidR="005727C4" w:rsidRPr="00A3583A" w:rsidRDefault="005727C4" w:rsidP="00A3583A">
      <w:pPr>
        <w:pStyle w:val="Heading5"/>
      </w:pPr>
      <w:r w:rsidRPr="00A3583A">
        <w:t>Social prescribing</w:t>
      </w:r>
    </w:p>
    <w:p w14:paraId="6C69BEC2" w14:textId="2CE8573C" w:rsidR="005727C4" w:rsidRPr="00772BC3" w:rsidRDefault="2BD9F238" w:rsidP="005727C4">
      <w:r w:rsidRPr="00772BC3">
        <w:t>Social pres</w:t>
      </w:r>
      <w:r>
        <w:t>cribing offers opportunities to connect people with non-clinical services in the community to improve health and wellbeing and may provide opportunity for people with chronic conditions, particularly those who are experiencing loneliness and social isolation.</w:t>
      </w:r>
      <w:r w:rsidR="005727C4" w:rsidRPr="3FA1224E">
        <w:rPr>
          <w:rStyle w:val="FootnoteReference"/>
        </w:rPr>
        <w:endnoteReference w:id="5"/>
      </w:r>
      <w:r>
        <w:t xml:space="preserve"> The WHO has developed </w:t>
      </w:r>
      <w:hyperlink r:id="rId41">
        <w:r w:rsidR="12D0E993" w:rsidRPr="3DA6DCB0">
          <w:rPr>
            <w:rStyle w:val="Hyperlink"/>
          </w:rPr>
          <w:t>a toolkit on how to implement social prescribing</w:t>
        </w:r>
      </w:hyperlink>
      <w:r>
        <w:t>.</w:t>
      </w:r>
      <w:r w:rsidR="005727C4" w:rsidRPr="3DA6DCB0">
        <w:rPr>
          <w:rStyle w:val="FootnoteReference"/>
        </w:rPr>
        <w:endnoteReference w:id="6"/>
      </w:r>
      <w:r w:rsidR="2167B51B" w:rsidRPr="3DA6DCB0">
        <w:rPr>
          <w:rStyle w:val="FootnoteReference"/>
        </w:rPr>
        <w:t>,65</w:t>
      </w:r>
      <w:r>
        <w:t xml:space="preserve"> </w:t>
      </w:r>
    </w:p>
    <w:p w14:paraId="2FC81BFA" w14:textId="77777777" w:rsidR="005727C4" w:rsidRPr="00A3583A" w:rsidRDefault="005727C4" w:rsidP="00A3583A">
      <w:pPr>
        <w:pStyle w:val="Heading5"/>
      </w:pPr>
      <w:r w:rsidRPr="00A3583A">
        <w:t>Polypharmacy</w:t>
      </w:r>
    </w:p>
    <w:p w14:paraId="2AE61745" w14:textId="58673705" w:rsidR="005727C4" w:rsidRPr="00772BC3" w:rsidRDefault="005727C4" w:rsidP="005727C4">
      <w:pPr>
        <w:rPr>
          <w:rStyle w:val="FootnoteReference"/>
        </w:rPr>
      </w:pPr>
      <w:r w:rsidRPr="00772BC3">
        <w:t>Care for people with multimorbidity should also consider the impact of polypharmacy, where medications are prescribed for individual conditions without due knowledge or consideration of other medications and/or impacts of medications on other chronic conditions that an individual may be experiencing.</w:t>
      </w:r>
      <w:r w:rsidR="002A7275" w:rsidRPr="00772BC3">
        <w:rPr>
          <w:noProof/>
          <w:vertAlign w:val="superscript"/>
        </w:rPr>
        <w:t>66</w:t>
      </w:r>
      <w:r w:rsidRPr="00772BC3">
        <w:t xml:space="preserve"> Polypharmacy can increase the risk of adverse drug events and drug interactions and is associated with suboptimal prescribing. Person-centred care should focus on the individual and all factors impacting on their health, rather than focusing on each chronic condition in isolation.</w:t>
      </w:r>
      <w:r w:rsidR="002A7275" w:rsidRPr="00772BC3">
        <w:rPr>
          <w:noProof/>
          <w:vertAlign w:val="superscript"/>
        </w:rPr>
        <w:t>67</w:t>
      </w:r>
      <w:r w:rsidR="18480C84" w:rsidRPr="3FA1224E">
        <w:rPr>
          <w:noProof/>
          <w:vertAlign w:val="superscript"/>
        </w:rPr>
        <w:t xml:space="preserve"> </w:t>
      </w:r>
    </w:p>
    <w:p w14:paraId="5817768D" w14:textId="58E46523" w:rsidR="005727C4" w:rsidRPr="00772BC3" w:rsidRDefault="3309A2CE" w:rsidP="00B0774C">
      <w:pPr>
        <w:pStyle w:val="Heading4"/>
      </w:pPr>
      <w:r>
        <w:t>Action Priority 4.2 Utilising digital health</w:t>
      </w:r>
    </w:p>
    <w:p w14:paraId="172BD9D0" w14:textId="7B222267" w:rsidR="005727C4" w:rsidRPr="00772BC3" w:rsidRDefault="005727C4" w:rsidP="005727C4">
      <w:r w:rsidRPr="00772BC3">
        <w:t xml:space="preserve">Innovative approaches to managing multimorbidity include the integration of digital health solutions. Development of approaches to utilise digital health to address the prevention and management of chronic conditions, including multimorbidity, in the context of this Framework should align with the Digital Health Blueprint 2023–2033 (the Blueprint). In particular, the Blueprint’s guiding principles and outcomes provide a basis for considering how digital health interventions should be </w:t>
      </w:r>
      <w:r w:rsidR="002C78B9">
        <w:t>focused</w:t>
      </w:r>
      <w:r w:rsidRPr="00772BC3">
        <w:t>.</w:t>
      </w:r>
    </w:p>
    <w:p w14:paraId="084FCB32" w14:textId="678EC4F9" w:rsidR="005727C4" w:rsidRPr="00772BC3" w:rsidRDefault="005727C4" w:rsidP="005727C4">
      <w:r w:rsidRPr="00772BC3">
        <w:t xml:space="preserve">eCDS can provide benefits for </w:t>
      </w:r>
      <w:r>
        <w:t>health</w:t>
      </w:r>
      <w:r w:rsidR="65F3B066">
        <w:t xml:space="preserve"> </w:t>
      </w:r>
      <w:r>
        <w:t>care</w:t>
      </w:r>
      <w:r w:rsidRPr="00772BC3">
        <w:t xml:space="preserve"> providers in the management of chronic conditions, including multimorbidity. However, there are challenges in ensuring that eCDS are up to date, contain trusted information and guidance, and </w:t>
      </w:r>
      <w:r w:rsidR="009735E3">
        <w:t>are</w:t>
      </w:r>
      <w:r w:rsidR="009735E3" w:rsidRPr="00772BC3">
        <w:t xml:space="preserve"> </w:t>
      </w:r>
      <w:r w:rsidRPr="00772BC3">
        <w:t>able to integrate with other electronic health systems. Efforts to improve eCDS should be prioritised and consider the Australian Government’s goals to modernise the national digital health infrastructure.</w:t>
      </w:r>
    </w:p>
    <w:p w14:paraId="7832ED57" w14:textId="77777777" w:rsidR="005727C4" w:rsidRPr="00772BC3" w:rsidRDefault="005727C4" w:rsidP="005727C4">
      <w:r w:rsidRPr="00772BC3">
        <w:t xml:space="preserve">Standardised data and real-time sharing capability for information exchange will enable improved management of chronic conditions, particularly multimorbidity, by multidisciplinary teams using digitised care plans. Digitised care plans can integrate and pre-populate patient information from various sources, such as general practice records, hospital discharge summaries, and pathology reports. Efforts to standardise data and real-time sharing capabilities should be encouraged. </w:t>
      </w:r>
    </w:p>
    <w:p w14:paraId="54C81AF0" w14:textId="306A7D8F" w:rsidR="005727C4" w:rsidRPr="00772BC3" w:rsidRDefault="005727C4" w:rsidP="005727C4">
      <w:r w:rsidRPr="00772BC3">
        <w:t>Future interventions and healthcare delivery may benefit from exploring the potential benefits of digital health and artificial intelligence. These technologies might reduce treatment burden and improve the ability of individuals to self-manage their health and navigate healthcare systems. However, it is important for such interventions to address the risk of widening health inequality that could result from increased use of digital health. This is particularly important for vulnerable groups who may be at higher risk of multimorbidity such as older individuals, those with lower socio-economic status, individuals with cognitive disability, people in remote areas without reliable internet access, and those facing language barriers.</w:t>
      </w:r>
      <w:r w:rsidR="00F045D8" w:rsidRPr="00772BC3">
        <w:rPr>
          <w:noProof/>
          <w:vertAlign w:val="superscript"/>
        </w:rPr>
        <w:t>68</w:t>
      </w:r>
    </w:p>
    <w:p w14:paraId="1BBE5E9A" w14:textId="6B277286" w:rsidR="005727C4" w:rsidRPr="00772BC3" w:rsidRDefault="005727C4" w:rsidP="005727C4">
      <w:r w:rsidRPr="00772BC3">
        <w:t xml:space="preserve">Anticipating the progression of chronic conditions in the early stages of ageing presents unique opportunities for timely intervention. The development of tools that utilise data-based health trajectories in older adults may help primary care </w:t>
      </w:r>
      <w:r w:rsidR="3E96FC0B">
        <w:t xml:space="preserve">providers </w:t>
      </w:r>
      <w:r w:rsidRPr="00772BC3">
        <w:t xml:space="preserve">identify individuals heading towards poor health outcomes. Based on the individual’s current condition and projected trajectory, clinicians can determine suitable clinical, environmental, or lifestyle adjustments, aiming to reduce the onset of chronic conditions and potentially lessen the impact of ageing. Many chronic conditions share risk factors, which means that these adjustments may have benefits across a variety of chronic conditions. </w:t>
      </w:r>
    </w:p>
    <w:p w14:paraId="40249022" w14:textId="43475161" w:rsidR="005727C4" w:rsidRPr="00772BC3" w:rsidRDefault="005727C4" w:rsidP="005727C4">
      <w:r w:rsidRPr="00772BC3">
        <w:t>Delaying these changes and maintaining the health of older adults offers immediate benefits, such as the increased likelihood of ageing in their own homes rather than in long-term care facilities. These models could be integrated into prediction algorithms, enabling real-time analysis of electronic medical record data at a population level, with prompt notifications sent to relevant clinicians.</w:t>
      </w:r>
      <w:r w:rsidR="00F045D8" w:rsidRPr="00772BC3">
        <w:rPr>
          <w:noProof/>
          <w:vertAlign w:val="superscript"/>
        </w:rPr>
        <w:t>69</w:t>
      </w:r>
    </w:p>
    <w:p w14:paraId="5924342D" w14:textId="77777777" w:rsidR="00183A95" w:rsidRPr="00A3583A" w:rsidRDefault="00183A95" w:rsidP="00A3583A">
      <w:r w:rsidRPr="00772BC3">
        <w:br w:type="page"/>
      </w:r>
    </w:p>
    <w:p w14:paraId="55BA4D6E" w14:textId="16D48586" w:rsidR="005727C4" w:rsidRPr="00772BC3" w:rsidRDefault="3309A2CE" w:rsidP="00575DB0">
      <w:pPr>
        <w:pStyle w:val="Heading2"/>
      </w:pPr>
      <w:bookmarkStart w:id="34" w:name="_Toc224557211"/>
      <w:r>
        <w:t>Focus Area 5: Enhanced and targeted support for priority populations</w:t>
      </w:r>
      <w:bookmarkEnd w:id="34"/>
    </w:p>
    <w:p w14:paraId="67395012" w14:textId="7FEAFA98" w:rsidR="005727C4" w:rsidRPr="00772BC3" w:rsidRDefault="3309A2CE" w:rsidP="00B654AA">
      <w:pPr>
        <w:pStyle w:val="Heading3"/>
      </w:pPr>
      <w:bookmarkStart w:id="35" w:name="_Toc224557212"/>
      <w:r>
        <w:t>Why this is important</w:t>
      </w:r>
      <w:bookmarkEnd w:id="35"/>
    </w:p>
    <w:p w14:paraId="1CC1BDF3" w14:textId="63E6DFAB" w:rsidR="005727C4" w:rsidRPr="00772BC3" w:rsidRDefault="005727C4" w:rsidP="005727C4">
      <w:r w:rsidRPr="00772BC3">
        <w:t>Equity is a guiding principle of this Framework. Part 1 identified that priority populations experience inequitable health outcomes. This Focus Area aims to facilitate approaches that enhance and target support for priority populations with a view to providing equitable access to appropriate care for all priority populations. Some priority populations are referenced specifically below</w:t>
      </w:r>
      <w:r w:rsidR="00F373B4">
        <w:t>,</w:t>
      </w:r>
      <w:r w:rsidRPr="00772BC3">
        <w:t xml:space="preserve"> but many of the challenges, barriers, and guidance in the Action Priorities will apply more broadly to other priority populations. Intersectionality is important to recognise in the context of targeting support for priority populations. The cumulative impacts of being part of multiple priority populations requires systemic change.</w:t>
      </w:r>
    </w:p>
    <w:p w14:paraId="4FA0CCF9" w14:textId="03ECE0C0" w:rsidR="005727C4" w:rsidRPr="00A3583A" w:rsidRDefault="005727C4" w:rsidP="00A3583A">
      <w:pPr>
        <w:pStyle w:val="Heading5"/>
      </w:pPr>
      <w:r w:rsidRPr="00A3583A">
        <w:t>Aboriginal and Torres Strait Islander people</w:t>
      </w:r>
      <w:r w:rsidR="7C44A89A" w:rsidRPr="00A3583A">
        <w:t>s</w:t>
      </w:r>
    </w:p>
    <w:p w14:paraId="66E4410D" w14:textId="2D536107" w:rsidR="005727C4" w:rsidRPr="00772BC3" w:rsidRDefault="005727C4" w:rsidP="005727C4">
      <w:r w:rsidRPr="00772BC3">
        <w:t>Several factors contribute to the disproportionate burden of chronic conditions experienced by Aboriginal and Torres Strait Islander communities</w:t>
      </w:r>
      <w:r w:rsidR="00F373B4">
        <w:t>. This</w:t>
      </w:r>
      <w:r w:rsidRPr="00772BC3">
        <w:t xml:space="preserve"> includ</w:t>
      </w:r>
      <w:r w:rsidR="00F373B4">
        <w:t>es</w:t>
      </w:r>
      <w:r w:rsidRPr="00772BC3">
        <w:t xml:space="preserve"> higher prevalence, incidence, and earlier onset of chronic conditions compared to non-Indigenous people living in Australia.</w:t>
      </w:r>
      <w:r w:rsidR="00F045D8" w:rsidRPr="00772BC3">
        <w:rPr>
          <w:noProof/>
          <w:vertAlign w:val="superscript"/>
        </w:rPr>
        <w:t>70</w:t>
      </w:r>
      <w:r w:rsidRPr="00772BC3">
        <w:t xml:space="preserve"> The ongoing effects of colonisation are a key factor, including structural and interpersonal racism, discrimination and bias, dispossession of culture, land and language, and intergenerational trauma. Aboriginal and Torres Strait Islander </w:t>
      </w:r>
      <w:r>
        <w:t>people</w:t>
      </w:r>
      <w:r w:rsidR="064F524F">
        <w:t>s</w:t>
      </w:r>
      <w:r w:rsidRPr="00772BC3">
        <w:t xml:space="preserve"> frequently face inequitable access across all levels of health care, poor access to suitable housing, food and essential services, limited access to culturally safe health care, and climate-sensitive health conditions.</w:t>
      </w:r>
    </w:p>
    <w:p w14:paraId="5DA06C55" w14:textId="72BE09D4" w:rsidR="005727C4" w:rsidRPr="00772BC3" w:rsidRDefault="005727C4" w:rsidP="005727C4">
      <w:r w:rsidRPr="00772BC3">
        <w:t xml:space="preserve">Around half (49%) of Aboriginal and Torres Strait Islander </w:t>
      </w:r>
      <w:r>
        <w:t>people</w:t>
      </w:r>
      <w:r w:rsidR="0162D46B">
        <w:t>s</w:t>
      </w:r>
      <w:r w:rsidRPr="00772BC3">
        <w:t xml:space="preserve"> </w:t>
      </w:r>
      <w:r w:rsidR="006652C2">
        <w:t>were</w:t>
      </w:r>
      <w:r w:rsidRPr="00772BC3">
        <w:t xml:space="preserve"> living with at least one chronic condition in 2022–23, an increase from 40% in 2012–13, with 1 in 5 (22%) reporting 2 or more chronic conditions.</w:t>
      </w:r>
      <w:r w:rsidR="00F045D8" w:rsidRPr="00772BC3">
        <w:rPr>
          <w:noProof/>
          <w:vertAlign w:val="superscript"/>
        </w:rPr>
        <w:t>71</w:t>
      </w:r>
      <w:r w:rsidRPr="00772BC3">
        <w:t xml:space="preserve"> As chronic conditions become more prevalent with age, and the Aboriginal and Torres Strait Islander population has a younger age structure than the non-Indigenous population, crude prevalence rates should not be directly compared between these groups. Multimorbidity also contributes to complex health needs, ill health, reduced quality of life, disability, and premature death.</w:t>
      </w:r>
      <w:r w:rsidR="00F045D8" w:rsidRPr="00772BC3">
        <w:rPr>
          <w:noProof/>
          <w:vertAlign w:val="superscript"/>
        </w:rPr>
        <w:t>72</w:t>
      </w:r>
    </w:p>
    <w:p w14:paraId="6E68E632" w14:textId="4E39EAF3" w:rsidR="005727C4" w:rsidRPr="00772BC3" w:rsidRDefault="005727C4" w:rsidP="005727C4">
      <w:r w:rsidRPr="00772BC3">
        <w:t xml:space="preserve">37% of Aboriginal and Torres Strait Islander </w:t>
      </w:r>
      <w:r>
        <w:t>people</w:t>
      </w:r>
      <w:r w:rsidR="4C69A971">
        <w:t>s</w:t>
      </w:r>
      <w:r w:rsidRPr="00772BC3">
        <w:t xml:space="preserve"> reported living with disability in the 2022–23 National Aboriginal and Torres Strait Islander Health Survey. The availability of disability support services, particularly in remote areas was identified as a significant barrier to receiving appropriate care in the Royal Commission into Violence, Abuse, Neglect and Exploitation of People with Disability.</w:t>
      </w:r>
      <w:r w:rsidR="00F045D8" w:rsidRPr="00772BC3">
        <w:rPr>
          <w:noProof/>
          <w:vertAlign w:val="superscript"/>
        </w:rPr>
        <w:t>73</w:t>
      </w:r>
    </w:p>
    <w:p w14:paraId="49540CE4" w14:textId="7D55B420" w:rsidR="005727C4" w:rsidRPr="00772BC3" w:rsidRDefault="005727C4" w:rsidP="005727C4">
      <w:r w:rsidRPr="00772BC3">
        <w:t xml:space="preserve">32% of Aboriginal and Torres Strait Islander </w:t>
      </w:r>
      <w:r>
        <w:t>people</w:t>
      </w:r>
      <w:r w:rsidR="62A4AEB0">
        <w:t>s</w:t>
      </w:r>
      <w:r w:rsidRPr="00772BC3">
        <w:t xml:space="preserve"> in remote areas and 55% of very remote areas live in overcrowded, and poorly maintained homes with non-functional facilities. These housing conditions are linked to the development of preventable diseases such as scabies and subsequently chronic illnesses including rheumatic heart disease.</w:t>
      </w:r>
      <w:r w:rsidR="00F045D8" w:rsidRPr="00772BC3">
        <w:rPr>
          <w:noProof/>
          <w:vertAlign w:val="superscript"/>
        </w:rPr>
        <w:t>74</w:t>
      </w:r>
      <w:r w:rsidRPr="00772BC3">
        <w:t xml:space="preserve"> Energy insecurity and lack of access to basic household items like refrigeration can impact the delivery of educational material and health campaigns and the ability to store medication and manage conditions like diabetes.</w:t>
      </w:r>
    </w:p>
    <w:p w14:paraId="008E4948" w14:textId="137D727B" w:rsidR="007C449A" w:rsidRPr="00772BC3" w:rsidRDefault="005727C4" w:rsidP="00A3583A">
      <w:r w:rsidRPr="00772BC3">
        <w:t xml:space="preserve">Approximately 50% of Aboriginal and Torres Strait Islander </w:t>
      </w:r>
      <w:r>
        <w:t>people</w:t>
      </w:r>
      <w:r w:rsidR="039F595A">
        <w:t>s</w:t>
      </w:r>
      <w:r w:rsidRPr="00772BC3">
        <w:t xml:space="preserve"> access health</w:t>
      </w:r>
      <w:r w:rsidR="00AB6352" w:rsidRPr="00772BC3">
        <w:t xml:space="preserve"> </w:t>
      </w:r>
      <w:r w:rsidRPr="00772BC3">
        <w:t xml:space="preserve">care from an ACCHO. ACCHOs contribute to improving Aboriginal and Torres Strait Islander </w:t>
      </w:r>
      <w:r>
        <w:t>peoples</w:t>
      </w:r>
      <w:r w:rsidR="2AB3225D">
        <w:t>’</w:t>
      </w:r>
      <w:r w:rsidRPr="00772BC3">
        <w:t xml:space="preserve"> health and wellbeing through the provision of comprehensive primary health care, and by integrating and coordinating care and services. However, there are individuals without access to ACCHOs, or who choose to access health</w:t>
      </w:r>
      <w:r w:rsidR="00AB6352" w:rsidRPr="00772BC3">
        <w:t xml:space="preserve"> </w:t>
      </w:r>
      <w:r w:rsidRPr="00772BC3">
        <w:t xml:space="preserve">care via non-ACCHO services. Aboriginal and Torres Strait Islander </w:t>
      </w:r>
      <w:r>
        <w:t>people</w:t>
      </w:r>
      <w:r w:rsidR="55DC6BE3">
        <w:t>s</w:t>
      </w:r>
      <w:r w:rsidRPr="00772BC3">
        <w:t xml:space="preserve"> who rely on mainstream services that may not provide culturally safe environments may not receive optimal care for effectively preventing and managing chronic conditions. This highlights the importance of all services embedding culturally safe and trauma-informed care to ensure appropriate and accessible care and social and emotional wellbeing for Aboriginal and Torres Strait Islander </w:t>
      </w:r>
      <w:r>
        <w:t>people</w:t>
      </w:r>
      <w:r w:rsidR="68DA8BCE">
        <w:t>s</w:t>
      </w:r>
      <w:r>
        <w:t>.</w:t>
      </w:r>
    </w:p>
    <w:p w14:paraId="6C204CEC" w14:textId="4E9D91B4" w:rsidR="007C449A" w:rsidRPr="00A3583A" w:rsidRDefault="00796442" w:rsidP="00A3583A">
      <w:pPr>
        <w:jc w:val="center"/>
      </w:pPr>
      <w:r w:rsidRPr="00772BC3">
        <w:rPr>
          <w:noProof/>
        </w:rPr>
        <w:drawing>
          <wp:inline distT="0" distB="0" distL="0" distR="0" wp14:anchorId="3BE2FEE4" wp14:editId="0CC10BF1">
            <wp:extent cx="5759450" cy="3187065"/>
            <wp:effectExtent l="0" t="0" r="0" b="0"/>
            <wp:docPr id="1501737179" name="Picture 1" descr="Statistics on Aboriginal and Torres Strait Islander Peopl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737179" name="Picture 1" descr="Statistics on Aboriginal and Torres Strait Islander Peoples "/>
                    <pic:cNvPicPr/>
                  </pic:nvPicPr>
                  <pic:blipFill>
                    <a:blip r:embed="rId42">
                      <a:extLst>
                        <a:ext uri="{28A0092B-C50C-407E-A947-70E740481C1C}">
                          <a14:useLocalDpi xmlns:a14="http://schemas.microsoft.com/office/drawing/2010/main" val="0"/>
                        </a:ext>
                      </a:extLst>
                    </a:blip>
                    <a:stretch>
                      <a:fillRect/>
                    </a:stretch>
                  </pic:blipFill>
                  <pic:spPr>
                    <a:xfrm>
                      <a:off x="0" y="0"/>
                      <a:ext cx="5759450" cy="3187065"/>
                    </a:xfrm>
                    <a:prstGeom prst="rect">
                      <a:avLst/>
                    </a:prstGeom>
                  </pic:spPr>
                </pic:pic>
              </a:graphicData>
            </a:graphic>
          </wp:inline>
        </w:drawing>
      </w:r>
    </w:p>
    <w:p w14:paraId="7B97EEA2" w14:textId="44E04E15" w:rsidR="005727C4" w:rsidRPr="00A3583A" w:rsidRDefault="005727C4" w:rsidP="00A3583A">
      <w:pPr>
        <w:pStyle w:val="Heading5"/>
      </w:pPr>
      <w:r w:rsidRPr="00A3583A">
        <w:t>People living in rural and remote areas</w:t>
      </w:r>
    </w:p>
    <w:p w14:paraId="0EAABD6F" w14:textId="7CAA8750" w:rsidR="005727C4" w:rsidRPr="00772BC3" w:rsidRDefault="005727C4" w:rsidP="005727C4">
      <w:r w:rsidRPr="00772BC3">
        <w:t>Rural and remote Australia consists of a diverse range of locations and communities. Geographical isolation contributes to inequities in health outcomes. Compared to metropolitan areas, people living in rural and remote areas experience higher rates of chronic conditions and face barriers to accessing timely and appropriate health</w:t>
      </w:r>
      <w:r w:rsidR="00AB6352" w:rsidRPr="00772BC3">
        <w:t xml:space="preserve"> </w:t>
      </w:r>
      <w:r w:rsidRPr="00772BC3">
        <w:t xml:space="preserve">care. Factors that drive health inequity in rural and remote areas include limited access to health care and health </w:t>
      </w:r>
      <w:r w:rsidR="20CC70FC">
        <w:t xml:space="preserve">providers, </w:t>
      </w:r>
      <w:r w:rsidRPr="00772BC3">
        <w:t xml:space="preserve"> fewer education and employment opportunities, higher rates of risky behaviours (such as tobacco smoking and alcohol use), and higher rates of occupational and physical risk.</w:t>
      </w:r>
      <w:r w:rsidR="007A4319" w:rsidRPr="00772BC3">
        <w:rPr>
          <w:noProof/>
          <w:vertAlign w:val="superscript"/>
        </w:rPr>
        <w:t>75</w:t>
      </w:r>
    </w:p>
    <w:p w14:paraId="4731F31C" w14:textId="68E5B38F" w:rsidR="005727C4" w:rsidRPr="00772BC3" w:rsidRDefault="005727C4" w:rsidP="005727C4">
      <w:pPr>
        <w:rPr>
          <w:vertAlign w:val="superscript"/>
        </w:rPr>
      </w:pPr>
      <w:r w:rsidRPr="00772BC3">
        <w:t xml:space="preserve">People living in </w:t>
      </w:r>
      <w:r w:rsidRPr="00A3583A">
        <w:rPr>
          <w:rStyle w:val="Emphasis"/>
        </w:rPr>
        <w:t>Inner regional</w:t>
      </w:r>
      <w:r w:rsidRPr="00772BC3">
        <w:t xml:space="preserve"> and </w:t>
      </w:r>
      <w:r w:rsidRPr="00A3583A">
        <w:rPr>
          <w:rStyle w:val="Emphasis"/>
        </w:rPr>
        <w:t>Outer regional and remote</w:t>
      </w:r>
      <w:r w:rsidRPr="00772BC3">
        <w:t xml:space="preserve"> areas experience higher rates of chronic conditions, compared with those in </w:t>
      </w:r>
      <w:r w:rsidRPr="00A3583A">
        <w:rPr>
          <w:rStyle w:val="Emphasis"/>
        </w:rPr>
        <w:t>Major cities</w:t>
      </w:r>
      <w:r w:rsidRPr="00772BC3">
        <w:t xml:space="preserve"> (both 67%, compared with 58%).</w:t>
      </w:r>
      <w:r w:rsidR="007A4319" w:rsidRPr="00772BC3">
        <w:rPr>
          <w:noProof/>
          <w:vertAlign w:val="superscript"/>
        </w:rPr>
        <w:t>76</w:t>
      </w:r>
      <w:r w:rsidRPr="00772BC3">
        <w:t xml:space="preserve"> Multimorbidity is more common in </w:t>
      </w:r>
      <w:r w:rsidRPr="00A3583A">
        <w:rPr>
          <w:rStyle w:val="Emphasis"/>
        </w:rPr>
        <w:t>Inner regional</w:t>
      </w:r>
      <w:r w:rsidRPr="00772BC3">
        <w:t xml:space="preserve"> areas (46%) and </w:t>
      </w:r>
      <w:r w:rsidRPr="00A3583A">
        <w:rPr>
          <w:rStyle w:val="Emphasis"/>
        </w:rPr>
        <w:t>Outer regional and remote</w:t>
      </w:r>
      <w:r w:rsidRPr="00772BC3">
        <w:t xml:space="preserve"> areas (45%) than in </w:t>
      </w:r>
      <w:r w:rsidRPr="00A3583A">
        <w:rPr>
          <w:rStyle w:val="Emphasis"/>
        </w:rPr>
        <w:t>Major cities</w:t>
      </w:r>
      <w:r w:rsidRPr="00772BC3">
        <w:t xml:space="preserve"> (35%).</w:t>
      </w:r>
      <w:r w:rsidR="001E2C5C" w:rsidRPr="00772BC3">
        <w:rPr>
          <w:noProof/>
          <w:vertAlign w:val="superscript"/>
        </w:rPr>
        <w:t>77</w:t>
      </w:r>
      <w:r w:rsidRPr="00772BC3">
        <w:t xml:space="preserve"> Despite this, people living outside of </w:t>
      </w:r>
      <w:r w:rsidRPr="00A3583A">
        <w:rPr>
          <w:rStyle w:val="Emphasis"/>
        </w:rPr>
        <w:t>Major cities</w:t>
      </w:r>
      <w:r w:rsidRPr="00772BC3">
        <w:t xml:space="preserve"> have lower use of chronic condition management services.</w:t>
      </w:r>
      <w:r w:rsidR="001E2C5C" w:rsidRPr="00772BC3">
        <w:rPr>
          <w:noProof/>
          <w:vertAlign w:val="superscript"/>
        </w:rPr>
        <w:t>78</w:t>
      </w:r>
      <w:r w:rsidRPr="00772BC3">
        <w:t xml:space="preserve"> The rate of potentially preventable hospitalisations</w:t>
      </w:r>
      <w:r w:rsidRPr="3FA1224E">
        <w:rPr>
          <w:rStyle w:val="FootnoteReference"/>
        </w:rPr>
        <w:endnoteReference w:id="7"/>
      </w:r>
      <w:r>
        <w:t xml:space="preserve"> for chronic conditions was highest for residents of </w:t>
      </w:r>
      <w:r w:rsidRPr="00A3583A">
        <w:rPr>
          <w:rStyle w:val="Emphasis"/>
        </w:rPr>
        <w:t>Remote</w:t>
      </w:r>
      <w:r>
        <w:t xml:space="preserve"> and </w:t>
      </w:r>
      <w:r w:rsidRPr="00A3583A">
        <w:rPr>
          <w:rStyle w:val="Emphasis"/>
        </w:rPr>
        <w:t>Very remote</w:t>
      </w:r>
      <w:r>
        <w:t xml:space="preserve"> areas (17.0 and 25.3 per 1,000 population, respectively) and lowest for residents of </w:t>
      </w:r>
      <w:r w:rsidRPr="00A3583A">
        <w:rPr>
          <w:rStyle w:val="Emphasis"/>
        </w:rPr>
        <w:t>Major cities</w:t>
      </w:r>
      <w:r>
        <w:t xml:space="preserve"> (9.9 per 1,000).</w:t>
      </w:r>
      <w:r w:rsidR="001E2C5C" w:rsidRPr="3FA1224E">
        <w:rPr>
          <w:noProof/>
          <w:vertAlign w:val="superscript"/>
        </w:rPr>
        <w:t>79</w:t>
      </w:r>
    </w:p>
    <w:p w14:paraId="62486451" w14:textId="77777777" w:rsidR="005727C4" w:rsidRPr="00A3583A" w:rsidRDefault="005727C4" w:rsidP="00A3583A">
      <w:pPr>
        <w:pStyle w:val="Heading5"/>
      </w:pPr>
      <w:r w:rsidRPr="00A3583A">
        <w:t>Multicultural communities</w:t>
      </w:r>
    </w:p>
    <w:p w14:paraId="0E3D6DE4" w14:textId="5CDE69E6" w:rsidR="005727C4" w:rsidRPr="00772BC3" w:rsidRDefault="005727C4" w:rsidP="005727C4">
      <w:r w:rsidRPr="00772BC3">
        <w:t>Multicultural communities are made up of people with a range of characteristics including their country of birth, ancestry, their parents’ country of birth, languages spoken and religious affiliation. Multicultural communities include people from CALD backgrounds. A range of information is often needed to identify the unique characteristics of a person that may affect their healthcare needs.</w:t>
      </w:r>
    </w:p>
    <w:p w14:paraId="65AD7DF8" w14:textId="295649BB" w:rsidR="005727C4" w:rsidRPr="00772BC3" w:rsidRDefault="005727C4" w:rsidP="005727C4">
      <w:r w:rsidRPr="00772BC3">
        <w:t>People born in many overseas countries experience higher rates of common chronic conditions than the Australian-born population. Among people who arrived in Australia over a decade ago, those with low English proficiency experience higher rates of chronic conditions than those with high proficiency.</w:t>
      </w:r>
      <w:r w:rsidR="001E2C5C" w:rsidRPr="00772BC3">
        <w:rPr>
          <w:noProof/>
          <w:vertAlign w:val="superscript"/>
        </w:rPr>
        <w:t>80</w:t>
      </w:r>
      <w:r w:rsidRPr="00772BC3">
        <w:t xml:space="preserve"> This pattern also occurs among humanitarian migrants</w:t>
      </w:r>
      <w:r w:rsidR="00F56346">
        <w:t>.</w:t>
      </w:r>
      <w:r w:rsidRPr="00772BC3">
        <w:t xml:space="preserve"> </w:t>
      </w:r>
      <w:r w:rsidR="00F56346">
        <w:t>T</w:t>
      </w:r>
      <w:r w:rsidRPr="00772BC3">
        <w:t>he likelihood of chronic conditions and being in fair-poor health was higher among those with low proficiency in spoken English.</w:t>
      </w:r>
      <w:r w:rsidR="001E2C5C" w:rsidRPr="00772BC3">
        <w:rPr>
          <w:noProof/>
          <w:vertAlign w:val="superscript"/>
        </w:rPr>
        <w:t>81</w:t>
      </w:r>
    </w:p>
    <w:p w14:paraId="4BC6917F" w14:textId="77777777" w:rsidR="005727C4" w:rsidRPr="00772BC3" w:rsidRDefault="005727C4" w:rsidP="005727C4">
      <w:r w:rsidRPr="00772BC3">
        <w:t>People with multicultural backgrounds can experience the following challenges and barriers that can put them at greater risk of poorer quality health care, service delivery, and health outcomes:</w:t>
      </w:r>
    </w:p>
    <w:p w14:paraId="1BC89F63" w14:textId="6200AF92" w:rsidR="005727C4" w:rsidRPr="00772BC3" w:rsidRDefault="005727C4" w:rsidP="00A45479">
      <w:pPr>
        <w:pStyle w:val="ListBullet"/>
      </w:pPr>
      <w:r w:rsidRPr="00772BC3">
        <w:t>racism and discrimination</w:t>
      </w:r>
    </w:p>
    <w:p w14:paraId="7A97622B" w14:textId="4F5C57B1" w:rsidR="005727C4" w:rsidRPr="00772BC3" w:rsidRDefault="005727C4" w:rsidP="00A45479">
      <w:pPr>
        <w:pStyle w:val="ListBullet"/>
      </w:pPr>
      <w:r w:rsidRPr="00772BC3">
        <w:t>stigma associated with health conditions</w:t>
      </w:r>
    </w:p>
    <w:p w14:paraId="1C9DF738" w14:textId="249D1178" w:rsidR="005727C4" w:rsidRPr="00772BC3" w:rsidRDefault="005727C4" w:rsidP="00A45479">
      <w:pPr>
        <w:pStyle w:val="ListBullet"/>
      </w:pPr>
      <w:r w:rsidRPr="00772BC3">
        <w:t>language barriers, including lack of translated materials or access to interpreting services</w:t>
      </w:r>
    </w:p>
    <w:p w14:paraId="7321F2E3" w14:textId="38B3FF36" w:rsidR="005727C4" w:rsidRPr="00772BC3" w:rsidRDefault="005727C4" w:rsidP="00A45479">
      <w:pPr>
        <w:pStyle w:val="ListBullet"/>
      </w:pPr>
      <w:r w:rsidRPr="00772BC3">
        <w:t>lower health literacy</w:t>
      </w:r>
    </w:p>
    <w:p w14:paraId="786FDC9B" w14:textId="6C52938E" w:rsidR="005727C4" w:rsidRPr="00772BC3" w:rsidRDefault="005727C4" w:rsidP="00A45479">
      <w:pPr>
        <w:pStyle w:val="ListBullet"/>
      </w:pPr>
      <w:r w:rsidRPr="00772BC3">
        <w:t xml:space="preserve">difficulties navigating the health system </w:t>
      </w:r>
    </w:p>
    <w:p w14:paraId="766F271B" w14:textId="36F39FBB" w:rsidR="005727C4" w:rsidRPr="00772BC3" w:rsidRDefault="005727C4" w:rsidP="00A45479">
      <w:pPr>
        <w:pStyle w:val="ListBullet"/>
      </w:pPr>
      <w:r w:rsidRPr="00772BC3">
        <w:t>economic challenges such as unemployment and income disparities</w:t>
      </w:r>
    </w:p>
    <w:p w14:paraId="213C404E" w14:textId="3B438733" w:rsidR="005727C4" w:rsidRPr="00772BC3" w:rsidRDefault="005727C4" w:rsidP="00A45479">
      <w:pPr>
        <w:pStyle w:val="ListBullet"/>
      </w:pPr>
      <w:r w:rsidRPr="00772BC3">
        <w:t>social isolation and lack of community support</w:t>
      </w:r>
    </w:p>
    <w:p w14:paraId="1F7BAFCD" w14:textId="28A68732" w:rsidR="005727C4" w:rsidRPr="00772BC3" w:rsidRDefault="005727C4" w:rsidP="00A45479">
      <w:pPr>
        <w:pStyle w:val="ListBullet"/>
      </w:pPr>
      <w:r w:rsidRPr="00772BC3">
        <w:t xml:space="preserve">lack of culturally sensitive care </w:t>
      </w:r>
    </w:p>
    <w:p w14:paraId="67141F8A" w14:textId="179D5093" w:rsidR="005727C4" w:rsidRPr="00772BC3" w:rsidRDefault="005727C4" w:rsidP="00A45479">
      <w:pPr>
        <w:pStyle w:val="ListBullet"/>
      </w:pPr>
      <w:r w:rsidRPr="00772BC3">
        <w:t>impacts of torture and trauma that may require complex needs-based approaches (including for refugees).</w:t>
      </w:r>
    </w:p>
    <w:p w14:paraId="0A0AE9B2" w14:textId="77777777" w:rsidR="005727C4" w:rsidRPr="00A3583A" w:rsidRDefault="005727C4" w:rsidP="00A3583A">
      <w:pPr>
        <w:pStyle w:val="Heading5"/>
      </w:pPr>
      <w:r w:rsidRPr="00A3583A">
        <w:t>People with disability</w:t>
      </w:r>
    </w:p>
    <w:p w14:paraId="5FB40F1B" w14:textId="00489F23" w:rsidR="005727C4" w:rsidRPr="00772BC3" w:rsidRDefault="005727C4" w:rsidP="005727C4">
      <w:r w:rsidRPr="00772BC3">
        <w:t>Chronic conditions and disability often coexist. Half (50%) of the population with one of the selected chronic conditions also experience disability.</w:t>
      </w:r>
      <w:r w:rsidR="001E2C5C" w:rsidRPr="00772BC3">
        <w:rPr>
          <w:noProof/>
          <w:vertAlign w:val="superscript"/>
        </w:rPr>
        <w:t>82</w:t>
      </w:r>
      <w:r w:rsidRPr="00772BC3">
        <w:t xml:space="preserve"> There is a 2-way relationship between chronic conditions and disability</w:t>
      </w:r>
      <w:r w:rsidR="00865662">
        <w:t>.</w:t>
      </w:r>
      <w:r w:rsidRPr="00772BC3">
        <w:t xml:space="preserve"> </w:t>
      </w:r>
      <w:r w:rsidR="00865662">
        <w:t>P</w:t>
      </w:r>
      <w:r w:rsidRPr="00772BC3">
        <w:t>eople with chronic conditions are more likely to develop disability, and people with disability are more like</w:t>
      </w:r>
      <w:r w:rsidR="00865662">
        <w:t>ly</w:t>
      </w:r>
      <w:r w:rsidRPr="00772BC3">
        <w:t xml:space="preserve"> to develop a chronic condition. Some people with disability experience barriers accessing health services including unacceptable or lengthy waiting times, cost, inaccessibility of buildings, and discrimination by health </w:t>
      </w:r>
      <w:r w:rsidR="01BE53CE">
        <w:t>providers.</w:t>
      </w:r>
      <w:r w:rsidR="001E2C5C" w:rsidRPr="3C379CD4">
        <w:rPr>
          <w:noProof/>
          <w:vertAlign w:val="superscript"/>
        </w:rPr>
        <w:t>83</w:t>
      </w:r>
    </w:p>
    <w:p w14:paraId="19B4568D" w14:textId="7D0DBA5B" w:rsidR="005727C4" w:rsidRPr="00772BC3" w:rsidRDefault="005727C4" w:rsidP="005727C4">
      <w:r w:rsidRPr="00772BC3">
        <w:t xml:space="preserve">The Royal Commission into Violence, Abuse, Neglect and Exploitation of People with Disability (Disability Royal Commission) heard from people living with disability that unconscious bias, prejudice and a lack of </w:t>
      </w:r>
      <w:r w:rsidR="00CF7562">
        <w:t>trauma-informed</w:t>
      </w:r>
      <w:r w:rsidRPr="00772BC3">
        <w:t xml:space="preserve"> care from health services and systems created intersectional barriers for accessing appropriate and timely health care. Other factors identified by the Disability Royal Commission that limit access to health care, include low health literacy among the disability workforce, challenges attending health appointments, and difficulties navigating the health system.</w:t>
      </w:r>
      <w:r w:rsidR="001E2C5C" w:rsidRPr="00772BC3">
        <w:rPr>
          <w:noProof/>
          <w:vertAlign w:val="superscript"/>
        </w:rPr>
        <w:t>84</w:t>
      </w:r>
      <w:r w:rsidRPr="00772BC3">
        <w:t xml:space="preserve"> These barriers can contribute to late identification and poor management of complex and chronic health conditions among people with disability.</w:t>
      </w:r>
    </w:p>
    <w:p w14:paraId="36692D99" w14:textId="77777777" w:rsidR="005727C4" w:rsidRPr="00A3583A" w:rsidRDefault="005727C4" w:rsidP="00A3583A">
      <w:pPr>
        <w:pStyle w:val="Heading5"/>
      </w:pPr>
      <w:r w:rsidRPr="00A3583A">
        <w:t>LGBTQIA+ people</w:t>
      </w:r>
    </w:p>
    <w:p w14:paraId="7C072045" w14:textId="4F218722" w:rsidR="005727C4" w:rsidRPr="00772BC3" w:rsidRDefault="005727C4" w:rsidP="005727C4">
      <w:pPr>
        <w:rPr>
          <w:rStyle w:val="FootnoteReference"/>
        </w:rPr>
      </w:pPr>
      <w:r w:rsidRPr="00772BC3">
        <w:t>Sexuality and gender diverse people, and people with innate variations of sex characteristics are estimated to constitute over 5% of the Australian population.</w:t>
      </w:r>
      <w:r w:rsidR="001E2C5C" w:rsidRPr="00772BC3">
        <w:rPr>
          <w:noProof/>
          <w:vertAlign w:val="superscript"/>
        </w:rPr>
        <w:t>85</w:t>
      </w:r>
      <w:r w:rsidRPr="00772BC3">
        <w:t xml:space="preserve"> LGBTQIA+ communities are not a homogenous population, and people may be simultaneously part of multiple groups.</w:t>
      </w:r>
    </w:p>
    <w:p w14:paraId="386DE12A" w14:textId="77777777" w:rsidR="005727C4" w:rsidRPr="00772BC3" w:rsidRDefault="005727C4" w:rsidP="005727C4">
      <w:r w:rsidRPr="00772BC3">
        <w:t>While LGBTQIA+ people experience higher prevalence of mental health conditions and higher prevalence of risk factors for chronic conditions, comprehensive national data on physical chronic conditions is limited due to underrepresentation in health data collections and challenges in capturing diverse identities.</w:t>
      </w:r>
    </w:p>
    <w:p w14:paraId="1BD76FF1" w14:textId="52155084" w:rsidR="007D0815" w:rsidRPr="00772BC3" w:rsidRDefault="005727C4" w:rsidP="00A3583A">
      <w:r w:rsidRPr="00772BC3">
        <w:t>Sexuality and gender diverse people and people with innate variations of sex characteristics</w:t>
      </w:r>
      <w:r w:rsidR="00474E12">
        <w:t>,</w:t>
      </w:r>
      <w:r w:rsidRPr="00772BC3">
        <w:t xml:space="preserve"> often have poorer physical and mental health outcomes than the general population, which could be mediated by reducing stigma, discrimination, social isolation and difficulty in obtaining appropriate health care.</w:t>
      </w:r>
      <w:r w:rsidR="001E2C5C" w:rsidRPr="00772BC3">
        <w:rPr>
          <w:noProof/>
          <w:vertAlign w:val="superscript"/>
        </w:rPr>
        <w:t>86</w:t>
      </w:r>
      <w:r w:rsidRPr="00772BC3">
        <w:t xml:space="preserve"> In a large national survey, less than half of the sexuality diverse respondents reported feeling accepted ‘a lot of the time’ when they accessed a health or support service.</w:t>
      </w:r>
      <w:r w:rsidR="001E2C5C" w:rsidRPr="00772BC3">
        <w:rPr>
          <w:noProof/>
          <w:vertAlign w:val="superscript"/>
        </w:rPr>
        <w:t>87</w:t>
      </w:r>
    </w:p>
    <w:p w14:paraId="6EC0BD35" w14:textId="0C7130CD" w:rsidR="004157FB" w:rsidRPr="00772BC3" w:rsidRDefault="00F06202" w:rsidP="00F06202">
      <w:pPr>
        <w:pStyle w:val="Caption"/>
      </w:pPr>
      <w:r>
        <w:t xml:space="preserve">Table </w:t>
      </w:r>
      <w:r>
        <w:fldChar w:fldCharType="begin"/>
      </w:r>
      <w:r>
        <w:instrText xml:space="preserve"> SEQ Table \* ARABIC </w:instrText>
      </w:r>
      <w:r>
        <w:fldChar w:fldCharType="separate"/>
      </w:r>
      <w:r>
        <w:rPr>
          <w:noProof/>
        </w:rPr>
        <w:t>8</w:t>
      </w:r>
      <w:r>
        <w:fldChar w:fldCharType="end"/>
      </w:r>
      <w:r w:rsidR="004157FB" w:rsidRPr="00772BC3">
        <w:t xml:space="preserve">: Action </w:t>
      </w:r>
      <w:r w:rsidR="00172780" w:rsidRPr="00772BC3">
        <w:t>P</w:t>
      </w:r>
      <w:r w:rsidR="004157FB" w:rsidRPr="00772BC3">
        <w:t>riorities for enhanced and targeted support for priority populations</w:t>
      </w:r>
    </w:p>
    <w:tbl>
      <w:tblPr>
        <w:tblStyle w:val="DepartmentofHealthtable"/>
        <w:tblW w:w="0" w:type="auto"/>
        <w:tblLook w:val="04A0" w:firstRow="1" w:lastRow="0" w:firstColumn="1" w:lastColumn="0" w:noHBand="0" w:noVBand="1"/>
        <w:tblCaption w:val="Table 8: Action Priorities for enhanced and targeted support for priority populations "/>
        <w:tblDescription w:val="Table lists action priorities for enhanced and targeted support for priority populations "/>
      </w:tblPr>
      <w:tblGrid>
        <w:gridCol w:w="3261"/>
        <w:gridCol w:w="5809"/>
      </w:tblGrid>
      <w:tr w:rsidR="00AB1073" w:rsidRPr="00772BC3" w14:paraId="0D63F969" w14:textId="77777777" w:rsidTr="4FD68A1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261" w:type="dxa"/>
          </w:tcPr>
          <w:p w14:paraId="73278F97" w14:textId="79C35395" w:rsidR="004157FB" w:rsidRPr="00772BC3" w:rsidRDefault="004157FB" w:rsidP="00D140CA">
            <w:pPr>
              <w:pStyle w:val="TableHeaderWhite"/>
            </w:pPr>
            <w:r w:rsidRPr="00772BC3">
              <w:t xml:space="preserve">Focus </w:t>
            </w:r>
            <w:r w:rsidR="00BF1324" w:rsidRPr="00772BC3">
              <w:t>A</w:t>
            </w:r>
            <w:r w:rsidRPr="00772BC3">
              <w:t>rea</w:t>
            </w:r>
          </w:p>
        </w:tc>
        <w:tc>
          <w:tcPr>
            <w:tcW w:w="5809" w:type="dxa"/>
          </w:tcPr>
          <w:p w14:paraId="4FBC7F14" w14:textId="556A793B" w:rsidR="004157FB" w:rsidRPr="00772BC3" w:rsidRDefault="004157FB" w:rsidP="00D140CA">
            <w:pPr>
              <w:pStyle w:val="TableHeaderWhite"/>
              <w:cnfStyle w:val="100000000000" w:firstRow="1" w:lastRow="0" w:firstColumn="0" w:lastColumn="0" w:oddVBand="0" w:evenVBand="0" w:oddHBand="0" w:evenHBand="0" w:firstRowFirstColumn="0" w:firstRowLastColumn="0" w:lastRowFirstColumn="0" w:lastRowLastColumn="0"/>
            </w:pPr>
            <w:r w:rsidRPr="00772BC3">
              <w:t xml:space="preserve">Action </w:t>
            </w:r>
            <w:r w:rsidR="00BF1324" w:rsidRPr="00772BC3">
              <w:t>P</w:t>
            </w:r>
            <w:r w:rsidRPr="00772BC3">
              <w:t>riorities</w:t>
            </w:r>
          </w:p>
        </w:tc>
      </w:tr>
      <w:tr w:rsidR="004157FB" w:rsidRPr="00772BC3" w14:paraId="5AE14031" w14:textId="77777777" w:rsidTr="4FD68A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tcPr>
          <w:p w14:paraId="17B66C71" w14:textId="77777777" w:rsidR="004157FB" w:rsidRPr="00772BC3" w:rsidRDefault="004157FB" w:rsidP="00A3583A">
            <w:pPr>
              <w:pStyle w:val="Tabletextleft"/>
            </w:pPr>
            <w:r w:rsidRPr="00772BC3">
              <w:t>5. Enhanced and targeted support for priority populations</w:t>
            </w:r>
          </w:p>
        </w:tc>
        <w:tc>
          <w:tcPr>
            <w:tcW w:w="5809" w:type="dxa"/>
          </w:tcPr>
          <w:p w14:paraId="4C6AE784" w14:textId="77777777" w:rsidR="004157FB" w:rsidRPr="00772BC3" w:rsidRDefault="004157FB" w:rsidP="00A3583A">
            <w:pPr>
              <w:pStyle w:val="Tabletextleft"/>
              <w:cnfStyle w:val="000000100000" w:firstRow="0" w:lastRow="0" w:firstColumn="0" w:lastColumn="0" w:oddVBand="0" w:evenVBand="0" w:oddHBand="1" w:evenHBand="0" w:firstRowFirstColumn="0" w:firstRowLastColumn="0" w:lastRowFirstColumn="0" w:lastRowLastColumn="0"/>
            </w:pPr>
            <w:r w:rsidRPr="00772BC3">
              <w:t>5.1 Providing culturally safe, non-discriminatory and trauma-informed care</w:t>
            </w:r>
          </w:p>
          <w:p w14:paraId="3C40A332" w14:textId="77777777" w:rsidR="004157FB" w:rsidRPr="00772BC3" w:rsidRDefault="004157FB" w:rsidP="00A3583A">
            <w:pPr>
              <w:pStyle w:val="Tabletextleft"/>
              <w:cnfStyle w:val="000000100000" w:firstRow="0" w:lastRow="0" w:firstColumn="0" w:lastColumn="0" w:oddVBand="0" w:evenVBand="0" w:oddHBand="1" w:evenHBand="0" w:firstRowFirstColumn="0" w:firstRowLastColumn="0" w:lastRowFirstColumn="0" w:lastRowLastColumn="0"/>
            </w:pPr>
            <w:r w:rsidRPr="00772BC3">
              <w:t>5.2 Improving access to appropriate information</w:t>
            </w:r>
          </w:p>
          <w:p w14:paraId="16C192C1" w14:textId="6A05F75A" w:rsidR="004157FB" w:rsidRPr="00772BC3" w:rsidRDefault="004157FB" w:rsidP="00A3583A">
            <w:pPr>
              <w:pStyle w:val="Tabletextleft"/>
              <w:cnfStyle w:val="000000100000" w:firstRow="0" w:lastRow="0" w:firstColumn="0" w:lastColumn="0" w:oddVBand="0" w:evenVBand="0" w:oddHBand="1" w:evenHBand="0" w:firstRowFirstColumn="0" w:firstRowLastColumn="0" w:lastRowFirstColumn="0" w:lastRowLastColumn="0"/>
            </w:pPr>
            <w:r w:rsidRPr="00772BC3">
              <w:t xml:space="preserve">5.3 Improving access to </w:t>
            </w:r>
            <w:r>
              <w:t>healthcare</w:t>
            </w:r>
            <w:r w:rsidRPr="00772BC3">
              <w:t xml:space="preserve"> services</w:t>
            </w:r>
          </w:p>
          <w:p w14:paraId="1B27A492" w14:textId="77777777" w:rsidR="004157FB" w:rsidRPr="00772BC3" w:rsidRDefault="004157FB" w:rsidP="00A3583A">
            <w:pPr>
              <w:pStyle w:val="Tabletextleft"/>
              <w:cnfStyle w:val="000000100000" w:firstRow="0" w:lastRow="0" w:firstColumn="0" w:lastColumn="0" w:oddVBand="0" w:evenVBand="0" w:oddHBand="1" w:evenHBand="0" w:firstRowFirstColumn="0" w:firstRowLastColumn="0" w:lastRowFirstColumn="0" w:lastRowLastColumn="0"/>
            </w:pPr>
            <w:r w:rsidRPr="00772BC3">
              <w:t>5.4 Addressing compounding impacts associated with intersectionality</w:t>
            </w:r>
          </w:p>
        </w:tc>
      </w:tr>
    </w:tbl>
    <w:p w14:paraId="72C5B075" w14:textId="12B3418E" w:rsidR="005727C4" w:rsidRPr="00772BC3" w:rsidRDefault="3309A2CE" w:rsidP="00690A6D">
      <w:pPr>
        <w:pStyle w:val="Heading4"/>
      </w:pPr>
      <w:r>
        <w:t xml:space="preserve">Action Priority 5.1 Providing </w:t>
      </w:r>
      <w:r w:rsidR="00D40906">
        <w:t xml:space="preserve">culturally safe, </w:t>
      </w:r>
      <w:r>
        <w:t>non-discriminatory, and trauma-informed care</w:t>
      </w:r>
    </w:p>
    <w:p w14:paraId="250F6920" w14:textId="77777777" w:rsidR="005727C4" w:rsidRPr="00A3583A" w:rsidRDefault="005727C4" w:rsidP="00A3583A">
      <w:pPr>
        <w:pStyle w:val="Heading5"/>
      </w:pPr>
      <w:r w:rsidRPr="00A3583A">
        <w:t>Non-discriminatory care</w:t>
      </w:r>
    </w:p>
    <w:p w14:paraId="5B40A466" w14:textId="77777777" w:rsidR="005727C4" w:rsidRPr="00772BC3" w:rsidRDefault="005727C4" w:rsidP="005727C4">
      <w:r w:rsidRPr="00772BC3">
        <w:t>Non-discriminatory care must be a focus for all health providers. Non-discriminatory care should aim to reduce or eliminate the variety of factors that priority populations experience that can lead to delays and/or avoidance in seeking health care. For example:</w:t>
      </w:r>
    </w:p>
    <w:p w14:paraId="50C6368E" w14:textId="77777777" w:rsidR="00006AC0" w:rsidRPr="00772BC3" w:rsidRDefault="005727C4" w:rsidP="005727C4">
      <w:pPr>
        <w:pStyle w:val="ListBullet"/>
      </w:pPr>
      <w:r w:rsidRPr="00772BC3">
        <w:t>past experiences, stigma, and fear of judgement related to specific health issues, such as obesity, mental health, substance use or past/current contact with the child protection and/or youth justice systems</w:t>
      </w:r>
    </w:p>
    <w:p w14:paraId="3908C46B" w14:textId="061F7298" w:rsidR="00006AC0" w:rsidRPr="00772BC3" w:rsidRDefault="58E72006" w:rsidP="005727C4">
      <w:pPr>
        <w:pStyle w:val="ListBullet"/>
      </w:pPr>
      <w:r>
        <w:t>h</w:t>
      </w:r>
      <w:r w:rsidR="005727C4">
        <w:t>ealthcare</w:t>
      </w:r>
      <w:r w:rsidR="005727C4" w:rsidRPr="00772BC3">
        <w:t xml:space="preserve"> </w:t>
      </w:r>
      <w:r w:rsidR="6662AC09">
        <w:t xml:space="preserve">providers </w:t>
      </w:r>
      <w:r w:rsidR="00DB7C6F">
        <w:t>who</w:t>
      </w:r>
      <w:r w:rsidR="00DB7C6F" w:rsidRPr="00772BC3">
        <w:t xml:space="preserve"> </w:t>
      </w:r>
      <w:r w:rsidR="005727C4" w:rsidRPr="00772BC3">
        <w:t>communicat</w:t>
      </w:r>
      <w:r w:rsidR="00DB7C6F" w:rsidRPr="00772BC3">
        <w:t>e</w:t>
      </w:r>
      <w:r w:rsidR="005727C4" w:rsidRPr="00772BC3">
        <w:t xml:space="preserve"> only with caregivers or assum</w:t>
      </w:r>
      <w:r w:rsidR="00DB7C6F" w:rsidRPr="00772BC3">
        <w:t>e</w:t>
      </w:r>
      <w:r w:rsidR="005727C4" w:rsidRPr="00772BC3">
        <w:t xml:space="preserve"> people with neurocognitive conditions (such as dementia) cannot make their own decisions or will not benefit from access to wellness or allied health services</w:t>
      </w:r>
    </w:p>
    <w:p w14:paraId="6772E34F" w14:textId="2F510289" w:rsidR="00006AC0" w:rsidRPr="00772BC3" w:rsidRDefault="005727C4" w:rsidP="005727C4">
      <w:pPr>
        <w:pStyle w:val="ListBullet"/>
      </w:pPr>
      <w:r w:rsidRPr="00772BC3">
        <w:t>past experiences of racism within the healthcare system can lead individuals to fear that they may encounter further discrimination</w:t>
      </w:r>
      <w:r w:rsidR="001E2C5C" w:rsidRPr="00772BC3">
        <w:rPr>
          <w:noProof/>
          <w:vertAlign w:val="superscript"/>
        </w:rPr>
        <w:t>88</w:t>
      </w:r>
    </w:p>
    <w:p w14:paraId="20F50491" w14:textId="77777777" w:rsidR="00006AC0" w:rsidRPr="00772BC3" w:rsidRDefault="005727C4" w:rsidP="005727C4">
      <w:pPr>
        <w:pStyle w:val="ListBullet"/>
      </w:pPr>
      <w:r w:rsidRPr="00772BC3">
        <w:t>unwelcome environments, such as being treated disrespectfully by staff</w:t>
      </w:r>
    </w:p>
    <w:p w14:paraId="0291DAA0" w14:textId="7129B384" w:rsidR="00006AC0" w:rsidRPr="00772BC3" w:rsidRDefault="005727C4" w:rsidP="005727C4">
      <w:pPr>
        <w:pStyle w:val="ListBullet"/>
      </w:pPr>
      <w:r w:rsidRPr="00772BC3">
        <w:t xml:space="preserve">not asking whether a client identified as Aboriginal or Torres Strait Islander (asking helps to ensure Aboriginal and Torres Strait Islander </w:t>
      </w:r>
      <w:r>
        <w:t>people</w:t>
      </w:r>
      <w:r w:rsidR="1649C358">
        <w:t>s</w:t>
      </w:r>
      <w:r w:rsidRPr="00772BC3">
        <w:t xml:space="preserve"> are provided access to any additional services and supports available to them)</w:t>
      </w:r>
    </w:p>
    <w:p w14:paraId="52E99EC2" w14:textId="155CA1D9" w:rsidR="00006AC0" w:rsidRPr="00772BC3" w:rsidRDefault="005727C4" w:rsidP="005727C4">
      <w:pPr>
        <w:pStyle w:val="ListBullet"/>
      </w:pPr>
      <w:r w:rsidRPr="00772BC3">
        <w:t xml:space="preserve">insufficient cultural understanding among </w:t>
      </w:r>
      <w:r>
        <w:t>healthcare</w:t>
      </w:r>
      <w:r w:rsidRPr="00772BC3">
        <w:t xml:space="preserve"> providers (for example, men’s or women’s business, taboo or sensitive topics, days of cultural significance, mistrust of authority and/or </w:t>
      </w:r>
      <w:r>
        <w:t>healthcare</w:t>
      </w:r>
      <w:r w:rsidRPr="00772BC3">
        <w:t xml:space="preserve"> providers)</w:t>
      </w:r>
    </w:p>
    <w:p w14:paraId="742796DA" w14:textId="1277A42B" w:rsidR="00006AC0" w:rsidRPr="00772BC3" w:rsidRDefault="005727C4" w:rsidP="005727C4">
      <w:pPr>
        <w:pStyle w:val="ListBullet"/>
      </w:pPr>
      <w:r w:rsidRPr="00772BC3">
        <w:t>use of discriminatory or non-inclusive language and lack of interpreting services or information in language can hinder communication, understanding and delivery of effective health care</w:t>
      </w:r>
    </w:p>
    <w:p w14:paraId="70A57FF7" w14:textId="03E1A16A" w:rsidR="005727C4" w:rsidRPr="00772BC3" w:rsidRDefault="005727C4" w:rsidP="005727C4">
      <w:pPr>
        <w:pStyle w:val="ListBullet"/>
      </w:pPr>
      <w:r w:rsidRPr="00772BC3">
        <w:t>lack of easy-to-understand information and lack of clear healthcare pathways can result in delays to treatment or access to services.</w:t>
      </w:r>
    </w:p>
    <w:p w14:paraId="182B25A9" w14:textId="77777777" w:rsidR="005727C4" w:rsidRPr="00A3583A" w:rsidRDefault="005727C4" w:rsidP="00A3583A">
      <w:pPr>
        <w:pStyle w:val="Heading5"/>
      </w:pPr>
      <w:r w:rsidRPr="00A3583A">
        <w:t>People with disability</w:t>
      </w:r>
    </w:p>
    <w:p w14:paraId="4A5092D8" w14:textId="75F21767" w:rsidR="005727C4" w:rsidRPr="00772BC3" w:rsidRDefault="005727C4" w:rsidP="005727C4">
      <w:r w:rsidRPr="00772BC3">
        <w:t xml:space="preserve">The Disability Royal Commission made recommendations to improve </w:t>
      </w:r>
      <w:r>
        <w:t>health</w:t>
      </w:r>
      <w:r w:rsidR="7F0900C7">
        <w:t xml:space="preserve"> </w:t>
      </w:r>
      <w:r>
        <w:t>care</w:t>
      </w:r>
      <w:r w:rsidRPr="00772BC3">
        <w:t xml:space="preserve"> access for people with disability, including legislating a right to equitable access to health services and embedding that right in key health policy instruments.</w:t>
      </w:r>
      <w:r w:rsidR="001E2C5C" w:rsidRPr="00772BC3">
        <w:rPr>
          <w:noProof/>
          <w:vertAlign w:val="superscript"/>
        </w:rPr>
        <w:t>89</w:t>
      </w:r>
    </w:p>
    <w:p w14:paraId="101E4921" w14:textId="77777777" w:rsidR="005727C4" w:rsidRPr="00772BC3" w:rsidRDefault="005727C4" w:rsidP="005727C4">
      <w:r w:rsidRPr="00772BC3">
        <w:t>The Australian Government acknowledges the need to improve health outcomes and health equity for people with disability. Relevant disability strategies and guidelines should be considered in the development of measures aimed at improving the prevention, diagnosis, early intervention, and management and care of chronic conditions for people with disability.</w:t>
      </w:r>
    </w:p>
    <w:p w14:paraId="74E83699" w14:textId="77777777" w:rsidR="005727C4" w:rsidRPr="00A3583A" w:rsidRDefault="0572A79A" w:rsidP="00A3583A">
      <w:pPr>
        <w:pStyle w:val="Heading5"/>
      </w:pPr>
      <w:r w:rsidRPr="00A3583A">
        <w:t>Culturally safe care</w:t>
      </w:r>
    </w:p>
    <w:p w14:paraId="0B8393F4" w14:textId="0B38626F" w:rsidR="005727C4" w:rsidRPr="00A3583A" w:rsidRDefault="005727C4" w:rsidP="00A3583A">
      <w:pPr>
        <w:pStyle w:val="Heading6"/>
      </w:pPr>
      <w:r w:rsidRPr="00A3583A">
        <w:t>Aboriginal and Torres Strait Islander people</w:t>
      </w:r>
      <w:r w:rsidR="1783A794" w:rsidRPr="00A3583A">
        <w:t>s</w:t>
      </w:r>
    </w:p>
    <w:p w14:paraId="67C7C941" w14:textId="7F7BD40F" w:rsidR="00496B37" w:rsidRPr="00772BC3" w:rsidRDefault="005727C4" w:rsidP="005727C4">
      <w:r w:rsidRPr="00772BC3">
        <w:t xml:space="preserve">Aboriginal and Torres Strait Islander </w:t>
      </w:r>
      <w:r>
        <w:t>people</w:t>
      </w:r>
      <w:r w:rsidR="67AD3729">
        <w:t>s</w:t>
      </w:r>
      <w:r w:rsidRPr="00772BC3">
        <w:t xml:space="preserve"> have a holistic, whole of life view of health, which is all-encompassing considering kinship and connection with Country, as well as social, emotional, physical, spiritual and cultural wellbeing of both individuals and the families and Communities in which they live.</w:t>
      </w:r>
      <w:r w:rsidR="001E2C5C" w:rsidRPr="00772BC3">
        <w:rPr>
          <w:noProof/>
          <w:vertAlign w:val="superscript"/>
        </w:rPr>
        <w:t>90</w:t>
      </w:r>
      <w:r w:rsidRPr="00772BC3">
        <w:t xml:space="preserve"> Culturally safe care that acknowledges this is vital for Aboriginal and Torres Strait Islander </w:t>
      </w:r>
      <w:r>
        <w:t>people</w:t>
      </w:r>
      <w:r w:rsidR="7FF3196A">
        <w:t>s</w:t>
      </w:r>
      <w:r>
        <w:t>.</w:t>
      </w:r>
      <w:r w:rsidRPr="00772BC3">
        <w:t xml:space="preserve"> Culturally safe practice is the visible result of ongoing critical reflection about knowledge, skills, attitudes, behaviours and power differentials by health </w:t>
      </w:r>
      <w:r w:rsidR="3276F576">
        <w:t xml:space="preserve">providers </w:t>
      </w:r>
      <w:r>
        <w:t>themselves</w:t>
      </w:r>
      <w:r w:rsidRPr="00772BC3">
        <w:t xml:space="preserve"> as they strive to deliver safe, accessible and responsive health care, free of racism.</w:t>
      </w:r>
      <w:r w:rsidR="001E2C5C" w:rsidRPr="00772BC3">
        <w:rPr>
          <w:noProof/>
          <w:vertAlign w:val="superscript"/>
        </w:rPr>
        <w:t>91</w:t>
      </w:r>
      <w:r w:rsidRPr="00772BC3">
        <w:t xml:space="preserve"> Culturally safe care for Aboriginal and Torres Strait Islander </w:t>
      </w:r>
      <w:r>
        <w:t>people</w:t>
      </w:r>
      <w:r w:rsidR="2A300CFD">
        <w:t>s</w:t>
      </w:r>
      <w:r w:rsidRPr="00772BC3">
        <w:t xml:space="preserve"> should:</w:t>
      </w:r>
    </w:p>
    <w:p w14:paraId="676ACF93" w14:textId="77777777" w:rsidR="00496B37" w:rsidRPr="00772BC3" w:rsidRDefault="005727C4" w:rsidP="005727C4">
      <w:pPr>
        <w:pStyle w:val="ListBullet"/>
      </w:pPr>
      <w:r w:rsidRPr="00772BC3">
        <w:t>embed Aboriginal and Torres Strait Islander leadership in governance, service design, delivery and evaluation aligned with Priority Reform 1 of the National Agreement on Closing the Gap</w:t>
      </w:r>
    </w:p>
    <w:p w14:paraId="1240F69B" w14:textId="77777777" w:rsidR="00496B37" w:rsidRPr="00772BC3" w:rsidRDefault="005727C4" w:rsidP="005727C4">
      <w:pPr>
        <w:pStyle w:val="ListBullet"/>
      </w:pPr>
      <w:r w:rsidRPr="00772BC3">
        <w:t>embed culture within engagement, communication and care delivery, including staff, protocols, leadership and practices</w:t>
      </w:r>
    </w:p>
    <w:p w14:paraId="35E2EE75" w14:textId="77777777" w:rsidR="00496B37" w:rsidRPr="00772BC3" w:rsidRDefault="005727C4" w:rsidP="005727C4">
      <w:pPr>
        <w:pStyle w:val="ListBullet"/>
      </w:pPr>
      <w:r w:rsidRPr="00772BC3">
        <w:t>ensure all staff in health settings are trained and develop skills and practice in cultural safety, including client facing staff and management/executive, to ensure that culturally safe environments are provided and that the burden is not entirely placed on Aboriginal and Torres Strait Islander staff</w:t>
      </w:r>
    </w:p>
    <w:p w14:paraId="74A6E2D3" w14:textId="77777777" w:rsidR="00496B37" w:rsidRPr="00772BC3" w:rsidRDefault="005727C4" w:rsidP="005727C4">
      <w:pPr>
        <w:pStyle w:val="ListBullet"/>
      </w:pPr>
      <w:r w:rsidRPr="00772BC3">
        <w:t>be place-based, culturally appropriate, consider the impacts of intersectionality and intergenerational trauma, and be designed in partnership with Aboriginal and Torres Strait Islander communities</w:t>
      </w:r>
    </w:p>
    <w:p w14:paraId="6081CFC9" w14:textId="79A5AD28" w:rsidR="005727C4" w:rsidRPr="00772BC3" w:rsidRDefault="005727C4" w:rsidP="005727C4">
      <w:pPr>
        <w:pStyle w:val="ListBullet"/>
      </w:pPr>
      <w:r w:rsidRPr="00772BC3">
        <w:t xml:space="preserve">recognise that all </w:t>
      </w:r>
      <w:r>
        <w:t>healthcare</w:t>
      </w:r>
      <w:r w:rsidRPr="00772BC3">
        <w:t xml:space="preserve"> providers must provide culturally safe and trauma-informed care, including during transitions between healthcare sectors, noting that Aboriginal and Torres Strait Islander </w:t>
      </w:r>
      <w:r>
        <w:t>people</w:t>
      </w:r>
      <w:r w:rsidR="3DEA787D">
        <w:t>s</w:t>
      </w:r>
      <w:r w:rsidRPr="00772BC3">
        <w:t xml:space="preserve"> will not always seek, or be able to seek, health care from an ACCHO, or receive health care from an Aboriginal and Torres Strait Islander Health Worker or Practitioner who make up only a small percentage of the total health workforce.</w:t>
      </w:r>
      <w:r w:rsidR="001E2C5C" w:rsidRPr="00772BC3">
        <w:rPr>
          <w:noProof/>
          <w:vertAlign w:val="superscript"/>
        </w:rPr>
        <w:t>92</w:t>
      </w:r>
    </w:p>
    <w:p w14:paraId="1E8BEEA5" w14:textId="125B71CF" w:rsidR="005B283F" w:rsidRPr="00772BC3" w:rsidRDefault="005727C4" w:rsidP="005727C4">
      <w:r w:rsidRPr="00772BC3">
        <w:t>Effective comprehensive health</w:t>
      </w:r>
      <w:r w:rsidR="00306ACB" w:rsidRPr="00772BC3">
        <w:t xml:space="preserve"> </w:t>
      </w:r>
      <w:r w:rsidRPr="00772BC3">
        <w:t xml:space="preserve">care for Aboriginal and Torres Strait Islander </w:t>
      </w:r>
      <w:r>
        <w:t>people</w:t>
      </w:r>
      <w:r w:rsidR="02335445">
        <w:t>s</w:t>
      </w:r>
      <w:r w:rsidRPr="00772BC3">
        <w:t xml:space="preserve"> with chronic conditions requires multidisciplinary, integrated, coordinated, person-centred, and culturally appropriate approaches to health service delivery. These approaches must consider the cultural and social determinants of health, structural determinants of health inequity and individual community needs and strengthening self-management and client navigation of the health system.</w:t>
      </w:r>
      <w:r w:rsidR="001E2C5C" w:rsidRPr="00772BC3">
        <w:rPr>
          <w:noProof/>
          <w:vertAlign w:val="superscript"/>
        </w:rPr>
        <w:t>93</w:t>
      </w:r>
      <w:r w:rsidR="00F74233" w:rsidRPr="00772BC3">
        <w:t xml:space="preserve"> </w:t>
      </w:r>
      <w:r w:rsidRPr="00772BC3">
        <w:t>This model of care exists within ACCHOs and encompasses the pillars of comprehensive primary health care:</w:t>
      </w:r>
    </w:p>
    <w:p w14:paraId="09FEF0C3" w14:textId="77777777" w:rsidR="005B283F" w:rsidRPr="00772BC3" w:rsidRDefault="005727C4" w:rsidP="005727C4">
      <w:pPr>
        <w:pStyle w:val="ListBullet"/>
      </w:pPr>
      <w:r w:rsidRPr="00772BC3">
        <w:t>first contact of care</w:t>
      </w:r>
    </w:p>
    <w:p w14:paraId="76226D89" w14:textId="4C83460A" w:rsidR="005B283F" w:rsidRPr="00772BC3" w:rsidRDefault="005727C4" w:rsidP="005727C4">
      <w:pPr>
        <w:pStyle w:val="ListBullet"/>
      </w:pPr>
      <w:r w:rsidRPr="00772BC3">
        <w:t>coordination of care and appropriate referral pathways</w:t>
      </w:r>
    </w:p>
    <w:p w14:paraId="5C6F3842" w14:textId="5CBAF62C" w:rsidR="005727C4" w:rsidRPr="00772BC3" w:rsidRDefault="005727C4" w:rsidP="005727C4">
      <w:pPr>
        <w:pStyle w:val="ListBullet"/>
      </w:pPr>
      <w:r w:rsidRPr="00772BC3">
        <w:t>continuity of care.</w:t>
      </w:r>
      <w:r w:rsidR="001E2C5C" w:rsidRPr="00772BC3">
        <w:rPr>
          <w:noProof/>
          <w:vertAlign w:val="superscript"/>
        </w:rPr>
        <w:t>94</w:t>
      </w:r>
    </w:p>
    <w:p w14:paraId="73F64D7C" w14:textId="1A338E01" w:rsidR="00CE60C2" w:rsidRPr="00772BC3" w:rsidRDefault="005727C4" w:rsidP="005727C4">
      <w:r w:rsidRPr="00772BC3">
        <w:t xml:space="preserve">The effectiveness and value of ACCHO service models illustrates that Aboriginal and Torres Strait Islander </w:t>
      </w:r>
      <w:r>
        <w:t>people</w:t>
      </w:r>
      <w:r w:rsidR="4C5A787F">
        <w:t>s</w:t>
      </w:r>
      <w:r w:rsidRPr="00772BC3">
        <w:t xml:space="preserve"> must be partners in co-designing and leading care that is targeted for Aboriginal and Torres Strait Islander </w:t>
      </w:r>
      <w:r>
        <w:t>people</w:t>
      </w:r>
      <w:r w:rsidR="5F3AF4DC">
        <w:t>s</w:t>
      </w:r>
      <w:r w:rsidRPr="00772BC3">
        <w:t>.</w:t>
      </w:r>
      <w:r w:rsidR="001E2C5C" w:rsidRPr="00772BC3">
        <w:rPr>
          <w:noProof/>
          <w:vertAlign w:val="superscript"/>
        </w:rPr>
        <w:t>95</w:t>
      </w:r>
      <w:r w:rsidRPr="00772BC3">
        <w:t xml:space="preserve"> In addition to the above points about culturally safe care, the following elements are important to consider in the context of enhancing and targeting support for care for Aboriginal and Torres Strait Islander </w:t>
      </w:r>
      <w:r>
        <w:t>people</w:t>
      </w:r>
      <w:r w:rsidR="1671B68C">
        <w:t>s</w:t>
      </w:r>
      <w:r w:rsidRPr="00772BC3">
        <w:t xml:space="preserve"> with chronic conditions:</w:t>
      </w:r>
    </w:p>
    <w:p w14:paraId="5528FCA5" w14:textId="4976312E" w:rsidR="005F4700" w:rsidRPr="00772BC3" w:rsidRDefault="00AE7AAA" w:rsidP="005727C4">
      <w:pPr>
        <w:pStyle w:val="ListBullet"/>
      </w:pPr>
      <w:r w:rsidRPr="00772BC3">
        <w:t>i</w:t>
      </w:r>
      <w:r w:rsidR="005727C4" w:rsidRPr="00772BC3">
        <w:t>ncorporati</w:t>
      </w:r>
      <w:r w:rsidR="001234B8">
        <w:t>ng</w:t>
      </w:r>
      <w:r w:rsidR="005727C4" w:rsidRPr="00772BC3">
        <w:t xml:space="preserve">, and valuing the contribution, of Aboriginal and Torres Strait Islander Health Workers and </w:t>
      </w:r>
      <w:r w:rsidR="75A76DF5">
        <w:t xml:space="preserve">Providers </w:t>
      </w:r>
      <w:r w:rsidR="005727C4">
        <w:t>within</w:t>
      </w:r>
      <w:r w:rsidR="005727C4" w:rsidRPr="00772BC3">
        <w:t xml:space="preserve"> multidisciplinary teams</w:t>
      </w:r>
    </w:p>
    <w:p w14:paraId="5EBEA745" w14:textId="56498481" w:rsidR="005F4700" w:rsidRPr="00772BC3" w:rsidRDefault="00AE7AAA" w:rsidP="005727C4">
      <w:pPr>
        <w:pStyle w:val="ListBullet"/>
      </w:pPr>
      <w:r w:rsidRPr="00772BC3">
        <w:t>l</w:t>
      </w:r>
      <w:r w:rsidR="005727C4" w:rsidRPr="00772BC3">
        <w:t>ink</w:t>
      </w:r>
      <w:r w:rsidR="00A86704">
        <w:t>ing</w:t>
      </w:r>
      <w:r w:rsidR="005727C4" w:rsidRPr="00772BC3">
        <w:t xml:space="preserve"> with community care and social support services</w:t>
      </w:r>
    </w:p>
    <w:p w14:paraId="3BF4C14A" w14:textId="2C25FC36" w:rsidR="005F4700" w:rsidRPr="00772BC3" w:rsidRDefault="00AE7AAA" w:rsidP="005727C4">
      <w:pPr>
        <w:pStyle w:val="ListBullet"/>
      </w:pPr>
      <w:r w:rsidRPr="00772BC3">
        <w:t>e</w:t>
      </w:r>
      <w:r w:rsidR="005727C4" w:rsidRPr="00772BC3">
        <w:t>mbedding Aboriginal and Torres Strait Islander representation and shared decision-making processes in regional health policy activities</w:t>
      </w:r>
    </w:p>
    <w:p w14:paraId="7FF41496" w14:textId="45EA79C8" w:rsidR="005F4700" w:rsidRPr="00772BC3" w:rsidRDefault="00224D53" w:rsidP="005727C4">
      <w:pPr>
        <w:pStyle w:val="ListBullet"/>
      </w:pPr>
      <w:r>
        <w:t xml:space="preserve">providing </w:t>
      </w:r>
      <w:r w:rsidR="00AE7AAA" w:rsidRPr="00772BC3">
        <w:t>e</w:t>
      </w:r>
      <w:r w:rsidR="005727C4" w:rsidRPr="00772BC3">
        <w:t xml:space="preserve">ducation and </w:t>
      </w:r>
      <w:r>
        <w:t xml:space="preserve">enabling </w:t>
      </w:r>
      <w:r w:rsidR="005727C4" w:rsidRPr="00772BC3">
        <w:t>empowerment</w:t>
      </w:r>
    </w:p>
    <w:p w14:paraId="4443CC81" w14:textId="51831113" w:rsidR="005F4700" w:rsidRPr="00772BC3" w:rsidRDefault="00AE7AAA" w:rsidP="005727C4">
      <w:pPr>
        <w:pStyle w:val="ListBullet"/>
      </w:pPr>
      <w:r w:rsidRPr="00772BC3">
        <w:t>p</w:t>
      </w:r>
      <w:r w:rsidR="005727C4" w:rsidRPr="00772BC3">
        <w:t>roviding language and communication support by using persons’ first language, or a translator, and traditional protocols and values</w:t>
      </w:r>
    </w:p>
    <w:p w14:paraId="33496B79" w14:textId="4BBEA659" w:rsidR="005F4700" w:rsidRPr="00772BC3" w:rsidRDefault="00AE7AAA" w:rsidP="005727C4">
      <w:pPr>
        <w:pStyle w:val="ListBullet"/>
      </w:pPr>
      <w:r w:rsidRPr="00772BC3">
        <w:t>r</w:t>
      </w:r>
      <w:r w:rsidR="005727C4" w:rsidRPr="00772BC3">
        <w:t xml:space="preserve">educing institutional racism and structural barriers in health care that adversely impact on Aboriginal and Torres Strait Islander </w:t>
      </w:r>
      <w:r w:rsidR="005727C4">
        <w:t>people</w:t>
      </w:r>
      <w:r w:rsidR="5301BB12">
        <w:t>s</w:t>
      </w:r>
    </w:p>
    <w:p w14:paraId="713194B5" w14:textId="01E10307" w:rsidR="005F4700" w:rsidRPr="00772BC3" w:rsidRDefault="00AE7AAA" w:rsidP="005727C4">
      <w:pPr>
        <w:pStyle w:val="ListBullet"/>
      </w:pPr>
      <w:r w:rsidRPr="00772BC3">
        <w:t>w</w:t>
      </w:r>
      <w:r w:rsidR="005727C4" w:rsidRPr="00772BC3">
        <w:t>orking in partnership with Aboriginal and Torres Strait Islander communities, leaders and organisations to create culturally safe and responsive referral pathways from primary to tertiary care and back to primary care to ensure continuity and avoid disconnection</w:t>
      </w:r>
    </w:p>
    <w:p w14:paraId="56BA021B" w14:textId="20A7EF58" w:rsidR="005727C4" w:rsidRPr="00772BC3" w:rsidRDefault="00AE7AAA" w:rsidP="005727C4">
      <w:pPr>
        <w:pStyle w:val="ListBullet"/>
      </w:pPr>
      <w:r w:rsidRPr="00772BC3">
        <w:t>s</w:t>
      </w:r>
      <w:r w:rsidR="005727C4" w:rsidRPr="00772BC3">
        <w:t>upport</w:t>
      </w:r>
      <w:r w:rsidR="00224D53">
        <w:t>ing</w:t>
      </w:r>
      <w:r w:rsidR="005727C4" w:rsidRPr="00772BC3">
        <w:t xml:space="preserve"> and grow</w:t>
      </w:r>
      <w:r w:rsidR="00224D53">
        <w:t>ing</w:t>
      </w:r>
      <w:r w:rsidR="005727C4" w:rsidRPr="00772BC3">
        <w:t xml:space="preserve"> the ACCHO sector to deliver holistic and culturally safe care and services to Aboriginal and Torres Strait Islander communities, in recognition of the value of their service models.</w:t>
      </w:r>
      <w:r w:rsidR="001E2C5C" w:rsidRPr="00772BC3">
        <w:rPr>
          <w:noProof/>
          <w:vertAlign w:val="superscript"/>
        </w:rPr>
        <w:t>96</w:t>
      </w:r>
    </w:p>
    <w:p w14:paraId="38EFA21F" w14:textId="77777777" w:rsidR="005727C4" w:rsidRPr="00772BC3" w:rsidRDefault="005727C4" w:rsidP="005727C4">
      <w:r w:rsidRPr="00772BC3">
        <w:t>Efforts to prevent and manage chronic conditions align strongly with the National Agreement on Closing the Gap. They contribute to achieving Target 1, ensuring everyone enjoys long and healthy lives, and support Priority 5 of the National Aboriginal and Torres Strait Islander Health Plan 2021–2030, which focuses on early intervention. Providing culturally safe care and targeted support for Aboriginal and Torres Strait Islander communities also advances Target 14, promoting social and emotional wellbeing. Strengthening the ACCHO sector further supports Priority Reform Area 2, helping build a strong, community-led health system.</w:t>
      </w:r>
    </w:p>
    <w:p w14:paraId="5C2B50B5" w14:textId="77777777" w:rsidR="005727C4" w:rsidRPr="00A3583A" w:rsidRDefault="005727C4" w:rsidP="00A3583A">
      <w:pPr>
        <w:pStyle w:val="Heading6"/>
      </w:pPr>
      <w:r w:rsidRPr="00A3583A">
        <w:t>Multicultural communities</w:t>
      </w:r>
    </w:p>
    <w:p w14:paraId="04C41A9B" w14:textId="77777777" w:rsidR="005727C4" w:rsidRPr="00772BC3" w:rsidRDefault="005727C4" w:rsidP="005727C4">
      <w:r w:rsidRPr="00772BC3">
        <w:t>Culturally safe and responsive health care is important for multicultural communities. Care for people with multicultural backgrounds who have chronic conditions can be improved by:</w:t>
      </w:r>
    </w:p>
    <w:p w14:paraId="040B5B5C" w14:textId="77777777" w:rsidR="00455498" w:rsidRPr="00772BC3" w:rsidRDefault="005727C4" w:rsidP="005727C4">
      <w:pPr>
        <w:pStyle w:val="ListBullet"/>
      </w:pPr>
      <w:r w:rsidRPr="00772BC3">
        <w:t>providing language and communication support</w:t>
      </w:r>
    </w:p>
    <w:p w14:paraId="20748F02" w14:textId="3E1C25F9" w:rsidR="00455498" w:rsidRPr="00772BC3" w:rsidRDefault="005727C4" w:rsidP="005727C4">
      <w:pPr>
        <w:pStyle w:val="ListBullet"/>
      </w:pPr>
      <w:r w:rsidRPr="00772BC3">
        <w:t xml:space="preserve">cultural competency training for </w:t>
      </w:r>
      <w:r>
        <w:t>healthcare</w:t>
      </w:r>
      <w:r w:rsidRPr="00772BC3">
        <w:t xml:space="preserve"> providers</w:t>
      </w:r>
    </w:p>
    <w:p w14:paraId="4ADC2F5B" w14:textId="77777777" w:rsidR="00455498" w:rsidRPr="00772BC3" w:rsidRDefault="005727C4" w:rsidP="005727C4">
      <w:pPr>
        <w:pStyle w:val="ListBullet"/>
      </w:pPr>
      <w:r w:rsidRPr="00772BC3">
        <w:t>developing multilingual health materials</w:t>
      </w:r>
    </w:p>
    <w:p w14:paraId="6F329189" w14:textId="77777777" w:rsidR="00455498" w:rsidRPr="00772BC3" w:rsidRDefault="005727C4" w:rsidP="005727C4">
      <w:pPr>
        <w:pStyle w:val="ListBullet"/>
      </w:pPr>
      <w:r w:rsidRPr="00772BC3">
        <w:t>supporting the use of interpreting services</w:t>
      </w:r>
    </w:p>
    <w:p w14:paraId="14FE8C2D" w14:textId="77777777" w:rsidR="00455498" w:rsidRPr="00772BC3" w:rsidRDefault="005727C4" w:rsidP="005727C4">
      <w:pPr>
        <w:pStyle w:val="ListBullet"/>
      </w:pPr>
      <w:r w:rsidRPr="00772BC3">
        <w:t>providing accessible health system navigation support</w:t>
      </w:r>
    </w:p>
    <w:p w14:paraId="2A21DB27" w14:textId="79B00997" w:rsidR="005727C4" w:rsidRPr="00772BC3" w:rsidRDefault="005727C4" w:rsidP="005727C4">
      <w:pPr>
        <w:pStyle w:val="ListBullet"/>
      </w:pPr>
      <w:r w:rsidRPr="00772BC3">
        <w:t>incorporating cultural practices in treatment plans (including dietary practices).</w:t>
      </w:r>
      <w:r w:rsidR="001E2C5C" w:rsidRPr="00772BC3">
        <w:rPr>
          <w:noProof/>
          <w:vertAlign w:val="superscript"/>
        </w:rPr>
        <w:t>97</w:t>
      </w:r>
    </w:p>
    <w:p w14:paraId="6FE1346B" w14:textId="1F0D896D" w:rsidR="005727C4" w:rsidRPr="00772BC3" w:rsidRDefault="005727C4" w:rsidP="005727C4">
      <w:r w:rsidRPr="00772BC3">
        <w:t>Multicultural service providers, or those with multicultural capacity, can ensure people in multicultural communities have access to healthcare that they can understand and feel comfortable in accessing.</w:t>
      </w:r>
      <w:r w:rsidR="001E2C5C" w:rsidRPr="00772BC3">
        <w:rPr>
          <w:noProof/>
          <w:vertAlign w:val="superscript"/>
        </w:rPr>
        <w:t>98</w:t>
      </w:r>
    </w:p>
    <w:p w14:paraId="2DA4D120" w14:textId="77777777" w:rsidR="005727C4" w:rsidRPr="00A3583A" w:rsidRDefault="005727C4" w:rsidP="00A3583A">
      <w:pPr>
        <w:pStyle w:val="Heading5"/>
      </w:pPr>
      <w:r w:rsidRPr="00A3583A">
        <w:t>Trauma-informed care</w:t>
      </w:r>
    </w:p>
    <w:p w14:paraId="26F793F7" w14:textId="5D6D3E0D" w:rsidR="005727C4" w:rsidRPr="00772BC3" w:rsidRDefault="005727C4" w:rsidP="005727C4">
      <w:r w:rsidRPr="00772BC3">
        <w:t>Trauma can impact both mental and physical health, including chronic conditions. It can impact on people’s access to health care, their interactions with the healthcare system, and their ability to follow through with prescribed treatments. Trauma-informed care is vital in all healthcare settings and is founded on six core principles</w:t>
      </w:r>
      <w:r w:rsidR="000C7772">
        <w:t>. This includes</w:t>
      </w:r>
      <w:r w:rsidRPr="00772BC3">
        <w:t xml:space="preserve"> safety, trustworthiness, providing opportunity for choice, collaboration, empowerment, and respect for diversity. </w:t>
      </w:r>
    </w:p>
    <w:p w14:paraId="735A28E2" w14:textId="77777777" w:rsidR="00455498" w:rsidRPr="00772BC3" w:rsidRDefault="005727C4" w:rsidP="005727C4">
      <w:r w:rsidRPr="00772BC3">
        <w:t>The following examples of approaches that incorporate trauma-informed care provide guidance in considering approaches for addressing chronic conditions, including:</w:t>
      </w:r>
    </w:p>
    <w:p w14:paraId="7993B29B" w14:textId="54836EA9" w:rsidR="00AB0596" w:rsidRPr="00772BC3" w:rsidRDefault="005727C4" w:rsidP="005727C4">
      <w:pPr>
        <w:pStyle w:val="ListBullet"/>
      </w:pPr>
      <w:r w:rsidRPr="00772BC3">
        <w:t>the Healing Foundation, which is a national Aboriginal and Torres Strait Islander organisation that promotes trauma-aware, healing-informed practice to help government, policymakers, and workforces understand their role in intergenerational healing</w:t>
      </w:r>
      <w:r w:rsidR="001E2C5C" w:rsidRPr="00772BC3">
        <w:rPr>
          <w:noProof/>
          <w:vertAlign w:val="superscript"/>
        </w:rPr>
        <w:t>99</w:t>
      </w:r>
    </w:p>
    <w:p w14:paraId="37C71BFA" w14:textId="42F255DC" w:rsidR="00AB0596" w:rsidRPr="00772BC3" w:rsidRDefault="005727C4" w:rsidP="005727C4">
      <w:pPr>
        <w:pStyle w:val="ListBullet"/>
      </w:pPr>
      <w:r w:rsidRPr="00772BC3">
        <w:t xml:space="preserve">practice guidelines for treatment of complex trauma and </w:t>
      </w:r>
      <w:r w:rsidR="00CF7562">
        <w:t>trauma-informed</w:t>
      </w:r>
      <w:r w:rsidRPr="00772BC3">
        <w:t xml:space="preserve"> care and service delivery, developed by the Blue Knot Foundation and funded by the Department</w:t>
      </w:r>
      <w:r w:rsidR="001E2C5C" w:rsidRPr="00772BC3">
        <w:rPr>
          <w:noProof/>
          <w:vertAlign w:val="superscript"/>
        </w:rPr>
        <w:t>100</w:t>
      </w:r>
    </w:p>
    <w:p w14:paraId="4351AD4F" w14:textId="34CA92D1" w:rsidR="005727C4" w:rsidRPr="00772BC3" w:rsidRDefault="005727C4" w:rsidP="005727C4">
      <w:pPr>
        <w:pStyle w:val="ListBullet"/>
      </w:pPr>
      <w:r w:rsidRPr="00772BC3">
        <w:t>the Forum of Australian Services for Survivors of Torture and Trauma (FASSTT), which is a network of Australia’s 8 rehabilitation agencies that work with survivors of torture and trauma who have come to Australia from overseas.</w:t>
      </w:r>
      <w:r w:rsidR="001E2C5C" w:rsidRPr="00772BC3">
        <w:rPr>
          <w:noProof/>
          <w:vertAlign w:val="superscript"/>
        </w:rPr>
        <w:t>101</w:t>
      </w:r>
    </w:p>
    <w:p w14:paraId="2F728378" w14:textId="4E99AC35" w:rsidR="005727C4" w:rsidRPr="00772BC3" w:rsidRDefault="3309A2CE" w:rsidP="00365B4A">
      <w:pPr>
        <w:pStyle w:val="Heading4"/>
      </w:pPr>
      <w:r>
        <w:t>Action Priority 5.2 Improving access to appropriate information</w:t>
      </w:r>
    </w:p>
    <w:p w14:paraId="572A6F47" w14:textId="77777777" w:rsidR="005727C4" w:rsidRPr="00772BC3" w:rsidRDefault="005727C4" w:rsidP="00A3583A">
      <w:pPr>
        <w:pStyle w:val="Heading5"/>
      </w:pPr>
      <w:r w:rsidRPr="00772BC3">
        <w:t>Information for individuals</w:t>
      </w:r>
    </w:p>
    <w:p w14:paraId="11FBEB16" w14:textId="44E12B35" w:rsidR="005727C4" w:rsidRPr="00772BC3" w:rsidRDefault="005727C4" w:rsidP="005727C4">
      <w:r w:rsidRPr="00772BC3">
        <w:t>The availability of appropriate evidence-based information for people from priority populations will assist in the prevention, early intervention, and management of chronic conditions. Engaging consumers in</w:t>
      </w:r>
      <w:r w:rsidR="0073240C">
        <w:t xml:space="preserve"> the</w:t>
      </w:r>
      <w:r w:rsidRPr="00772BC3">
        <w:t xml:space="preserve"> development of health and cultural literacy policy design and implementation will assist in improving engagement, acceptability, and utilisation of policies.</w:t>
      </w:r>
    </w:p>
    <w:p w14:paraId="08765AE0" w14:textId="77777777" w:rsidR="005727C4" w:rsidRPr="00772BC3" w:rsidRDefault="005727C4" w:rsidP="005727C4">
      <w:r w:rsidRPr="00772BC3">
        <w:t>Examples of providing accessible information include, but are not limited to:</w:t>
      </w:r>
    </w:p>
    <w:p w14:paraId="357B4502" w14:textId="77777777" w:rsidR="00365B4A" w:rsidRPr="00772BC3" w:rsidRDefault="005727C4" w:rsidP="005727C4">
      <w:pPr>
        <w:pStyle w:val="ListBullet"/>
      </w:pPr>
      <w:r w:rsidRPr="00772BC3">
        <w:t>providing simple messaging</w:t>
      </w:r>
    </w:p>
    <w:p w14:paraId="084CBDD0" w14:textId="77777777" w:rsidR="00365B4A" w:rsidRPr="00772BC3" w:rsidRDefault="005727C4" w:rsidP="005727C4">
      <w:pPr>
        <w:pStyle w:val="ListBullet"/>
      </w:pPr>
      <w:r w:rsidRPr="00772BC3">
        <w:t>use of Auslan and language interpreters in primary health care</w:t>
      </w:r>
    </w:p>
    <w:p w14:paraId="30BCA7C6" w14:textId="377333E7" w:rsidR="00365B4A" w:rsidRPr="00772BC3" w:rsidRDefault="005727C4" w:rsidP="005727C4">
      <w:pPr>
        <w:pStyle w:val="ListBullet"/>
      </w:pPr>
      <w:r w:rsidRPr="00772BC3">
        <w:t>presentation of text and documents in easy-to-read format with images (‘Easy Read’), which is often created for people with intellectual disability</w:t>
      </w:r>
      <w:r w:rsidR="00AE1D3F">
        <w:t>,</w:t>
      </w:r>
      <w:r w:rsidRPr="00772BC3">
        <w:t xml:space="preserve"> but is also helpful for other priority populations, including people with low literacy, people from multicultural backgrounds, and older people</w:t>
      </w:r>
    </w:p>
    <w:p w14:paraId="35D154F5" w14:textId="65D4AA4B" w:rsidR="005727C4" w:rsidRPr="00772BC3" w:rsidRDefault="005727C4" w:rsidP="005727C4">
      <w:pPr>
        <w:pStyle w:val="ListBullet"/>
      </w:pPr>
      <w:r w:rsidRPr="00772BC3">
        <w:t>partnering with Aboriginal and Torres Strait Islander communities to tailor information that is culturally appropriate, and place</w:t>
      </w:r>
      <w:r w:rsidR="00521BE2">
        <w:t>-</w:t>
      </w:r>
      <w:r w:rsidRPr="00772BC3">
        <w:t xml:space="preserve">based. </w:t>
      </w:r>
    </w:p>
    <w:p w14:paraId="3AB4FE97" w14:textId="55B6D08C" w:rsidR="005727C4" w:rsidRPr="00772BC3" w:rsidRDefault="005727C4" w:rsidP="005727C4">
      <w:r w:rsidRPr="00772BC3">
        <w:t xml:space="preserve">It is important for people to know the rights they can expect when receiving health care. The </w:t>
      </w:r>
      <w:hyperlink r:id="rId43" w:history="1">
        <w:r w:rsidRPr="00772BC3">
          <w:rPr>
            <w:rStyle w:val="Hyperlink"/>
          </w:rPr>
          <w:t>Australian Charter of Healthcare Rights</w:t>
        </w:r>
      </w:hyperlink>
      <w:r w:rsidRPr="00772BC3">
        <w:t xml:space="preserve"> describes the rights of all people in all places where health care is provided in Australia. </w:t>
      </w:r>
    </w:p>
    <w:p w14:paraId="4C97BA8D" w14:textId="77777777" w:rsidR="005727C4" w:rsidRPr="00A3583A" w:rsidRDefault="005727C4" w:rsidP="00A3583A">
      <w:pPr>
        <w:pStyle w:val="Heading5"/>
      </w:pPr>
      <w:bookmarkStart w:id="36" w:name="_Hlk215844088"/>
      <w:r w:rsidRPr="00A3583A">
        <w:t>Information for Aboriginal and Torres Strait Islander communities</w:t>
      </w:r>
    </w:p>
    <w:p w14:paraId="73DC88F0" w14:textId="3146C499" w:rsidR="005727C4" w:rsidRPr="00772BC3" w:rsidRDefault="005727C4" w:rsidP="005727C4">
      <w:r>
        <w:t>Priority Reform 4 of the National Agreement on Closing the Gap highlights the importance of sharing disaggregated data and information with Aboriginal and Torres Strait Islander organisations and communities and enable them to obtain a comprehensive picture of what is happening in their communities to help them make decisions</w:t>
      </w:r>
      <w:r w:rsidRPr="00F06202">
        <w:t xml:space="preserve"> about their future. </w:t>
      </w:r>
      <w:r w:rsidR="009D67F1" w:rsidRPr="00F06202">
        <w:t xml:space="preserve">By acknowledging the need to work towards the principles of Aboriginal Data Sovereignty through Aboriginal Data Governance, these efforts ensure that data is managed in ways that respect the rights and authority of Aboriginal and Torres Strait Islander peoples. </w:t>
      </w:r>
      <w:r>
        <w:t xml:space="preserve">Priority 12 of the </w:t>
      </w:r>
      <w:hyperlink r:id="rId44">
        <w:r w:rsidRPr="47D67D8F">
          <w:rPr>
            <w:rStyle w:val="Hyperlink"/>
          </w:rPr>
          <w:t>National Aboriginal and Torres Strait Islander Health Plan 2021–2031</w:t>
        </w:r>
      </w:hyperlink>
      <w:r>
        <w:t xml:space="preserve"> sets out the desired outcome for shared access to data and information at a regional level. </w:t>
      </w:r>
    </w:p>
    <w:bookmarkEnd w:id="36"/>
    <w:p w14:paraId="6E7E5798" w14:textId="2A95E321" w:rsidR="005727C4" w:rsidRPr="00A3583A" w:rsidRDefault="005727C4" w:rsidP="00A3583A">
      <w:pPr>
        <w:pStyle w:val="Heading5"/>
      </w:pPr>
      <w:r w:rsidRPr="00A3583A">
        <w:t xml:space="preserve">Information for healthcare </w:t>
      </w:r>
      <w:r w:rsidR="23579576" w:rsidRPr="00A3583A">
        <w:t>providers</w:t>
      </w:r>
    </w:p>
    <w:p w14:paraId="7FF35E85" w14:textId="53372155" w:rsidR="005727C4" w:rsidRPr="00772BC3" w:rsidRDefault="005727C4" w:rsidP="005727C4">
      <w:r w:rsidRPr="00772BC3">
        <w:t xml:space="preserve">Access to appropriate information is also important for </w:t>
      </w:r>
      <w:r>
        <w:t>healthcare</w:t>
      </w:r>
      <w:r w:rsidRPr="00772BC3">
        <w:t xml:space="preserve"> </w:t>
      </w:r>
      <w:r w:rsidR="0B81635A">
        <w:t>providers</w:t>
      </w:r>
      <w:r w:rsidRPr="00772BC3">
        <w:t xml:space="preserve"> and can include information about how to appropriately engage with people in priority populations, access to past and current medical history, and access to up-to-date and trusted clinical guidance.</w:t>
      </w:r>
    </w:p>
    <w:p w14:paraId="367E21B5" w14:textId="3B8AC6B0" w:rsidR="005727C4" w:rsidRPr="00772BC3" w:rsidRDefault="3309A2CE" w:rsidP="00212D97">
      <w:pPr>
        <w:pStyle w:val="Heading4"/>
      </w:pPr>
      <w:r>
        <w:t>Action Priority 5.3 Improving access to healthcare services</w:t>
      </w:r>
    </w:p>
    <w:p w14:paraId="1FDFED4E" w14:textId="1A111E87" w:rsidR="005727C4" w:rsidRPr="00772BC3" w:rsidRDefault="005727C4" w:rsidP="005727C4">
      <w:r>
        <w:t>Healthcare</w:t>
      </w:r>
      <w:r w:rsidRPr="00772BC3">
        <w:t xml:space="preserve"> service improvements can be guided by considering conceptual frameworks of healthcare access. Conceptual frameworks can highlight how the steps people go through in seeking health care can be affected by individual and systemic factors. The Australian Institute of Health and Welfare provides discussion of frameworks in the context of use of primary health care by Aboriginal and Torres Strait Islander </w:t>
      </w:r>
      <w:r>
        <w:t>people</w:t>
      </w:r>
      <w:r w:rsidR="007BD4D2">
        <w:t>s</w:t>
      </w:r>
      <w:r w:rsidRPr="00772BC3">
        <w:t>.</w:t>
      </w:r>
      <w:r w:rsidR="002C68A8" w:rsidRPr="00772BC3">
        <w:rPr>
          <w:noProof/>
          <w:vertAlign w:val="superscript"/>
        </w:rPr>
        <w:t>102</w:t>
      </w:r>
    </w:p>
    <w:p w14:paraId="6C9F86ED" w14:textId="77777777" w:rsidR="005727C4" w:rsidRPr="00A3583A" w:rsidRDefault="005727C4" w:rsidP="00A3583A">
      <w:pPr>
        <w:pStyle w:val="Heading5"/>
      </w:pPr>
      <w:r w:rsidRPr="00A3583A">
        <w:t>Multidimensional approaches</w:t>
      </w:r>
    </w:p>
    <w:p w14:paraId="3F0817C7" w14:textId="58946C59" w:rsidR="005727C4" w:rsidRPr="00772BC3" w:rsidRDefault="005727C4" w:rsidP="005727C4">
      <w:r w:rsidRPr="00772BC3">
        <w:t xml:space="preserve">Outreach programs can increase access to health care by emphasising local partnerships and cultural safety. Outreach programs are well-suited to regional and remote community settings which are often underserved in the healthcare sector but can also be of benefit in metro areas for priority populations such as people from multicultural backgrounds and Aboriginal and Torres Strait Islander </w:t>
      </w:r>
      <w:r>
        <w:t>people</w:t>
      </w:r>
      <w:r w:rsidR="0EDEAEA6">
        <w:t>s</w:t>
      </w:r>
      <w:r w:rsidRPr="00772BC3">
        <w:t>.</w:t>
      </w:r>
      <w:r w:rsidR="002C68A8" w:rsidRPr="00772BC3">
        <w:rPr>
          <w:noProof/>
          <w:vertAlign w:val="superscript"/>
        </w:rPr>
        <w:t>103</w:t>
      </w:r>
    </w:p>
    <w:p w14:paraId="3484F380" w14:textId="77777777" w:rsidR="005727C4" w:rsidRPr="00772BC3" w:rsidRDefault="005727C4" w:rsidP="005727C4">
      <w:r w:rsidRPr="00772BC3">
        <w:t>The objectives of outreach programs are to:</w:t>
      </w:r>
    </w:p>
    <w:p w14:paraId="7945644D" w14:textId="77777777" w:rsidR="00EA3E15" w:rsidRPr="00772BC3" w:rsidRDefault="005727C4" w:rsidP="005727C4">
      <w:pPr>
        <w:pStyle w:val="ListBullet"/>
      </w:pPr>
      <w:r w:rsidRPr="00772BC3">
        <w:t>reduce access barriers such as distance, cost, and cultural safety issues (including provision of services through ACCHOs and telehealth)</w:t>
      </w:r>
    </w:p>
    <w:p w14:paraId="23017657" w14:textId="77777777" w:rsidR="00EA3E15" w:rsidRPr="00772BC3" w:rsidRDefault="005727C4" w:rsidP="005727C4">
      <w:pPr>
        <w:pStyle w:val="ListBullet"/>
      </w:pPr>
      <w:r w:rsidRPr="00772BC3">
        <w:t>strengthen local service capacity through upskilling and increased workforce</w:t>
      </w:r>
    </w:p>
    <w:p w14:paraId="6344DA36" w14:textId="5781A0C4" w:rsidR="005727C4" w:rsidRPr="00772BC3" w:rsidRDefault="005727C4" w:rsidP="005727C4">
      <w:pPr>
        <w:pStyle w:val="ListBullet"/>
      </w:pPr>
      <w:r w:rsidRPr="00772BC3">
        <w:t>enhance service coordination by forming collaborative partnerships.</w:t>
      </w:r>
    </w:p>
    <w:p w14:paraId="637444A6" w14:textId="742AC55F" w:rsidR="005727C4" w:rsidRPr="00772BC3" w:rsidRDefault="005727C4" w:rsidP="005727C4">
      <w:r w:rsidRPr="00772BC3">
        <w:t xml:space="preserve">The development of non-invasive techniques for diagnosis can increase accessibility for some priority populations and the potential for remote assessment can facilitate diagnosis in rural and remote locations, noting accuracy is dependent on </w:t>
      </w:r>
      <w:r>
        <w:t>healthcare</w:t>
      </w:r>
      <w:r w:rsidRPr="00772BC3">
        <w:t xml:space="preserve"> provider training and experience.</w:t>
      </w:r>
    </w:p>
    <w:p w14:paraId="7E7A77E2" w14:textId="77777777" w:rsidR="005727C4" w:rsidRPr="00772BC3" w:rsidRDefault="005727C4" w:rsidP="00A3583A">
      <w:pPr>
        <w:pStyle w:val="Heading5"/>
      </w:pPr>
      <w:r w:rsidRPr="00772BC3">
        <w:t>Digital health interventions</w:t>
      </w:r>
    </w:p>
    <w:p w14:paraId="3B56024D" w14:textId="1027A7D9" w:rsidR="005727C4" w:rsidRPr="00772BC3" w:rsidRDefault="005727C4" w:rsidP="005727C4">
      <w:r w:rsidRPr="00772BC3">
        <w:t>Digital health interventions can be effective for promoting lifestyle changes including smoking cessation, improvements in eating behaviours, weight reduction, and increased physical activity.</w:t>
      </w:r>
      <w:r w:rsidR="002C68A8" w:rsidRPr="00772BC3">
        <w:rPr>
          <w:noProof/>
          <w:vertAlign w:val="superscript"/>
        </w:rPr>
        <w:t>104</w:t>
      </w:r>
      <w:r w:rsidRPr="00772BC3">
        <w:t xml:space="preserve"> Digital health interventions can include the following:</w:t>
      </w:r>
    </w:p>
    <w:p w14:paraId="54698357" w14:textId="77777777" w:rsidR="00CA27A9" w:rsidRPr="00772BC3" w:rsidRDefault="005727C4" w:rsidP="005727C4">
      <w:pPr>
        <w:pStyle w:val="ListBullet"/>
      </w:pPr>
      <w:r w:rsidRPr="00772BC3">
        <w:t>personalised apps</w:t>
      </w:r>
    </w:p>
    <w:p w14:paraId="2E33FEA0" w14:textId="77777777" w:rsidR="00CA27A9" w:rsidRPr="00772BC3" w:rsidRDefault="005727C4" w:rsidP="005727C4">
      <w:pPr>
        <w:pStyle w:val="ListBullet"/>
      </w:pPr>
      <w:r w:rsidRPr="00772BC3">
        <w:t>multimedia and visual elements</w:t>
      </w:r>
    </w:p>
    <w:p w14:paraId="7930CDA3" w14:textId="77777777" w:rsidR="00CA27A9" w:rsidRPr="00772BC3" w:rsidRDefault="005727C4" w:rsidP="005727C4">
      <w:pPr>
        <w:pStyle w:val="ListBullet"/>
      </w:pPr>
      <w:r w:rsidRPr="00772BC3">
        <w:t>self-monitoring and remote monitoring tools</w:t>
      </w:r>
    </w:p>
    <w:p w14:paraId="4F1A89CF" w14:textId="77777777" w:rsidR="00CA27A9" w:rsidRPr="00772BC3" w:rsidRDefault="005727C4" w:rsidP="005727C4">
      <w:pPr>
        <w:pStyle w:val="ListBullet"/>
      </w:pPr>
      <w:r w:rsidRPr="00772BC3">
        <w:t>reminders, tips, rewards, incentives, coaching and progress tracking</w:t>
      </w:r>
    </w:p>
    <w:p w14:paraId="6BBC8B54" w14:textId="77777777" w:rsidR="00CA27A9" w:rsidRPr="00772BC3" w:rsidRDefault="005727C4" w:rsidP="005727C4">
      <w:pPr>
        <w:pStyle w:val="ListBullet"/>
      </w:pPr>
      <w:r w:rsidRPr="00772BC3">
        <w:t>coaching</w:t>
      </w:r>
    </w:p>
    <w:p w14:paraId="20834354" w14:textId="79E7D2BA" w:rsidR="00CA27A9" w:rsidRPr="00772BC3" w:rsidRDefault="005727C4" w:rsidP="005727C4">
      <w:pPr>
        <w:pStyle w:val="ListBullet"/>
      </w:pPr>
      <w:r w:rsidRPr="00772BC3">
        <w:t>quit tips</w:t>
      </w:r>
      <w:r w:rsidR="002C68A8" w:rsidRPr="00772BC3">
        <w:rPr>
          <w:noProof/>
          <w:vertAlign w:val="superscript"/>
        </w:rPr>
        <w:t>105</w:t>
      </w:r>
    </w:p>
    <w:p w14:paraId="2BF1B37B" w14:textId="77777777" w:rsidR="00CA27A9" w:rsidRPr="00772BC3" w:rsidRDefault="005727C4" w:rsidP="005727C4">
      <w:pPr>
        <w:pStyle w:val="ListBullet"/>
      </w:pPr>
      <w:r w:rsidRPr="00772BC3">
        <w:t>progress tracking</w:t>
      </w:r>
    </w:p>
    <w:p w14:paraId="7C0D705B" w14:textId="2FF382E7" w:rsidR="005727C4" w:rsidRPr="00772BC3" w:rsidRDefault="005727C4" w:rsidP="005727C4">
      <w:pPr>
        <w:pStyle w:val="ListBullet"/>
      </w:pPr>
      <w:r w:rsidRPr="00772BC3">
        <w:t>community support.</w:t>
      </w:r>
    </w:p>
    <w:p w14:paraId="49404200" w14:textId="77777777" w:rsidR="00CA27A9" w:rsidRPr="00772BC3" w:rsidRDefault="005727C4" w:rsidP="005727C4">
      <w:r w:rsidRPr="00772BC3">
        <w:t>Harnessing digital health interventions, including smart-home technologies, can play a pivotal role in enhancing care by:</w:t>
      </w:r>
    </w:p>
    <w:p w14:paraId="77794775" w14:textId="77777777" w:rsidR="00CA27A9" w:rsidRPr="00772BC3" w:rsidRDefault="005727C4" w:rsidP="005727C4">
      <w:pPr>
        <w:pStyle w:val="ListBullet"/>
      </w:pPr>
      <w:r w:rsidRPr="00772BC3">
        <w:t>fostering better adherence to treatment</w:t>
      </w:r>
    </w:p>
    <w:p w14:paraId="7D805466" w14:textId="5A11B726" w:rsidR="00CA27A9" w:rsidRPr="00772BC3" w:rsidRDefault="005727C4" w:rsidP="005727C4">
      <w:pPr>
        <w:pStyle w:val="ListBullet"/>
      </w:pPr>
      <w:r w:rsidRPr="00772BC3">
        <w:t xml:space="preserve">facilitating communication with </w:t>
      </w:r>
      <w:r>
        <w:t>healthcare</w:t>
      </w:r>
      <w:r w:rsidRPr="00772BC3">
        <w:t xml:space="preserve"> providers, and timely interventions</w:t>
      </w:r>
    </w:p>
    <w:p w14:paraId="15363FD8" w14:textId="77777777" w:rsidR="00CA27A9" w:rsidRPr="00772BC3" w:rsidRDefault="005727C4" w:rsidP="005727C4">
      <w:pPr>
        <w:pStyle w:val="ListBullet"/>
      </w:pPr>
      <w:r w:rsidRPr="00772BC3">
        <w:t>reducing travel times, costs, and waiting times for appointments and diagnosis</w:t>
      </w:r>
    </w:p>
    <w:p w14:paraId="665AB4FE" w14:textId="77777777" w:rsidR="00CA27A9" w:rsidRPr="00772BC3" w:rsidRDefault="005727C4" w:rsidP="005727C4">
      <w:pPr>
        <w:pStyle w:val="ListBullet"/>
      </w:pPr>
      <w:r w:rsidRPr="00772BC3">
        <w:t>reducing the risk of contagion and infections (including during pandemics)</w:t>
      </w:r>
    </w:p>
    <w:p w14:paraId="5DA4D570" w14:textId="77777777" w:rsidR="00CA27A9" w:rsidRPr="00772BC3" w:rsidRDefault="005727C4" w:rsidP="005727C4">
      <w:pPr>
        <w:pStyle w:val="ListBullet"/>
      </w:pPr>
      <w:r w:rsidRPr="00772BC3">
        <w:t>ensuring continuity of care during incidents and emergencies such as climate-related disasters and extreme weather events</w:t>
      </w:r>
    </w:p>
    <w:p w14:paraId="038213ED" w14:textId="6F6054DF" w:rsidR="005727C4" w:rsidRPr="00772BC3" w:rsidRDefault="005727C4" w:rsidP="005727C4">
      <w:pPr>
        <w:pStyle w:val="ListBullet"/>
      </w:pPr>
      <w:r w:rsidRPr="00772BC3">
        <w:t>promoting ageing in place and allowing people to remain safely in their own homes or appropriate housing and reduce hospitalisations and avoid institutionalisation.</w:t>
      </w:r>
    </w:p>
    <w:p w14:paraId="30431A61" w14:textId="4C2091EA" w:rsidR="005727C4" w:rsidRPr="00772BC3" w:rsidRDefault="005727C4" w:rsidP="005727C4">
      <w:r w:rsidRPr="00772BC3">
        <w:t>Digital health uptake faces significant barriers to technology adoption. These include socio-economic status, certain health conditions, cognitive and physical impairments, technological infrastructure (for example, in remote communities), amongst others. Enablers of technological adoption include improving access to technology and digital literacy, accommodating cognitive and physical impairments (such as wearable devices with larger screens), ensuring user-friendly and secure technology.</w:t>
      </w:r>
      <w:r w:rsidR="002C68A8" w:rsidRPr="00772BC3">
        <w:rPr>
          <w:noProof/>
          <w:vertAlign w:val="superscript"/>
        </w:rPr>
        <w:t>106</w:t>
      </w:r>
    </w:p>
    <w:p w14:paraId="1957C652" w14:textId="77777777" w:rsidR="005727C4" w:rsidRPr="00772BC3" w:rsidRDefault="005727C4" w:rsidP="00A3583A">
      <w:pPr>
        <w:pStyle w:val="Heading5"/>
      </w:pPr>
      <w:r w:rsidRPr="00772BC3">
        <w:t>Home-based care</w:t>
      </w:r>
    </w:p>
    <w:p w14:paraId="575FEB6A" w14:textId="77777777" w:rsidR="005727C4" w:rsidRPr="00772BC3" w:rsidRDefault="005727C4" w:rsidP="005727C4">
      <w:r w:rsidRPr="00772BC3">
        <w:t>Supporting people who have difficulty maintaining independence at home, due to chronic conditions and ageing, to live independently in their homes will help avoid costly residential care. This is a priority for the Australian Government in the aged care space. Older people with chronic conditions can benefit from having an aged care provider or advocate, who already has rapport with the older person, assisting in the delivery of health care, including home-based care.</w:t>
      </w:r>
    </w:p>
    <w:p w14:paraId="15D7211F" w14:textId="099E406C" w:rsidR="005727C4" w:rsidRPr="00772BC3" w:rsidRDefault="005727C4" w:rsidP="005727C4">
      <w:r w:rsidRPr="00772BC3">
        <w:t xml:space="preserve">The delivery of these services is critical to many communities, but consideration is required in relation to adequate funding, potential barriers and risk factors. For example, Aboriginal and Torres Strait Islander </w:t>
      </w:r>
      <w:r>
        <w:t>people</w:t>
      </w:r>
      <w:r w:rsidR="6A2A0F7B">
        <w:t>s</w:t>
      </w:r>
      <w:r w:rsidRPr="00772BC3">
        <w:t>, may experience barriers where overcrowding and poor-quality housing have an impact on safety, wellbeing and access to resources.</w:t>
      </w:r>
    </w:p>
    <w:p w14:paraId="791E4D0B" w14:textId="0506AA80" w:rsidR="005727C4" w:rsidRPr="00772BC3" w:rsidRDefault="005727C4" w:rsidP="005727C4">
      <w:r w:rsidRPr="00772BC3">
        <w:t xml:space="preserve">Home-based care is largely </w:t>
      </w:r>
      <w:r w:rsidR="002C78B9">
        <w:t>focused</w:t>
      </w:r>
      <w:r w:rsidRPr="00772BC3">
        <w:t xml:space="preserve"> on aged care. Programs aimed at delivering home-based services for younger people may provide improved access to care for people not eligible for the above programs.  </w:t>
      </w:r>
    </w:p>
    <w:p w14:paraId="1A7E9456" w14:textId="0D10A279" w:rsidR="005727C4" w:rsidRPr="00772BC3" w:rsidRDefault="3309A2CE" w:rsidP="00CA27A9">
      <w:pPr>
        <w:pStyle w:val="Heading4"/>
      </w:pPr>
      <w:r>
        <w:t>Action Priority 5.4 Addressing compounding impacts associated with intersectionality</w:t>
      </w:r>
    </w:p>
    <w:p w14:paraId="768923C8" w14:textId="5555967E" w:rsidR="00D36968" w:rsidRPr="00772BC3" w:rsidRDefault="005727C4" w:rsidP="005727C4">
      <w:r w:rsidRPr="00772BC3">
        <w:t xml:space="preserve">Intersectionality </w:t>
      </w:r>
      <w:r w:rsidR="00002D25" w:rsidRPr="00772BC3">
        <w:t xml:space="preserve">recognises </w:t>
      </w:r>
      <w:r w:rsidRPr="00772BC3">
        <w:t>th</w:t>
      </w:r>
      <w:r w:rsidR="00002D25" w:rsidRPr="00772BC3">
        <w:t>e</w:t>
      </w:r>
      <w:r w:rsidRPr="00772BC3">
        <w:t xml:space="preserve"> overlapping aspects of a </w:t>
      </w:r>
      <w:r w:rsidR="00002D25" w:rsidRPr="00772BC3">
        <w:t xml:space="preserve">person’s </w:t>
      </w:r>
      <w:r w:rsidRPr="00772BC3">
        <w:t xml:space="preserve">identity, such as race, ethnicity, gender, sexual orientation, disability, and mental health, can </w:t>
      </w:r>
      <w:r w:rsidR="00DF3C5F" w:rsidRPr="00772BC3">
        <w:t>create unique experiences of disa</w:t>
      </w:r>
      <w:r w:rsidR="00101267" w:rsidRPr="00772BC3">
        <w:t>dvantage. These inters</w:t>
      </w:r>
      <w:r w:rsidR="00721DBF" w:rsidRPr="00772BC3">
        <w:t>e</w:t>
      </w:r>
      <w:r w:rsidR="00101267" w:rsidRPr="00772BC3">
        <w:t xml:space="preserve">cting </w:t>
      </w:r>
      <w:r w:rsidR="00721DBF" w:rsidRPr="00772BC3">
        <w:t xml:space="preserve">identities </w:t>
      </w:r>
      <w:r w:rsidR="00577F82" w:rsidRPr="00772BC3">
        <w:t xml:space="preserve">can compound the impacts of </w:t>
      </w:r>
      <w:r w:rsidR="008825E8" w:rsidRPr="00772BC3">
        <w:t xml:space="preserve">chronic conditions </w:t>
      </w:r>
      <w:r w:rsidRPr="00772BC3">
        <w:t>through systemic discrimination</w:t>
      </w:r>
      <w:r w:rsidR="00C107A7" w:rsidRPr="00772BC3">
        <w:t xml:space="preserve">, </w:t>
      </w:r>
      <w:r w:rsidRPr="00772BC3">
        <w:t>marginalisation</w:t>
      </w:r>
      <w:r w:rsidR="00C107A7" w:rsidRPr="00772BC3">
        <w:t xml:space="preserve"> and unequal access to opportunities</w:t>
      </w:r>
      <w:r w:rsidRPr="00772BC3">
        <w:t>.</w:t>
      </w:r>
      <w:r w:rsidR="002C68A8" w:rsidRPr="00772BC3">
        <w:rPr>
          <w:noProof/>
          <w:vertAlign w:val="superscript"/>
        </w:rPr>
        <w:t>107</w:t>
      </w:r>
      <w:r w:rsidRPr="00772BC3">
        <w:t xml:space="preserve"> </w:t>
      </w:r>
      <w:r w:rsidR="00FF305F" w:rsidRPr="00772BC3">
        <w:t>I</w:t>
      </w:r>
      <w:r w:rsidR="00AB5E1A" w:rsidRPr="00772BC3">
        <w:t xml:space="preserve">ntersectionality provides a lens </w:t>
      </w:r>
      <w:r w:rsidR="00394BC1" w:rsidRPr="00772BC3">
        <w:t xml:space="preserve">to understand how multiple forms of </w:t>
      </w:r>
      <w:r w:rsidR="00F53701" w:rsidRPr="00772BC3">
        <w:t>discrimination and marginalisation o</w:t>
      </w:r>
      <w:r w:rsidR="007D4C0D" w:rsidRPr="00772BC3">
        <w:t>verla</w:t>
      </w:r>
      <w:r w:rsidR="00CE7C09" w:rsidRPr="00772BC3">
        <w:t>p</w:t>
      </w:r>
      <w:r w:rsidR="00394BC1" w:rsidRPr="00772BC3">
        <w:t xml:space="preserve"> and intensi</w:t>
      </w:r>
      <w:r w:rsidR="00080760" w:rsidRPr="00772BC3">
        <w:t>f</w:t>
      </w:r>
      <w:r w:rsidR="00394BC1" w:rsidRPr="00772BC3">
        <w:t>y inequiti</w:t>
      </w:r>
      <w:r w:rsidR="0098219B" w:rsidRPr="00772BC3">
        <w:t>es. Applying this len</w:t>
      </w:r>
      <w:r w:rsidR="00FB7E32" w:rsidRPr="00772BC3">
        <w:t>s</w:t>
      </w:r>
      <w:r w:rsidR="0098219B" w:rsidRPr="00772BC3">
        <w:t xml:space="preserve"> </w:t>
      </w:r>
      <w:r w:rsidR="007B00FD" w:rsidRPr="00772BC3">
        <w:t xml:space="preserve">can </w:t>
      </w:r>
      <w:r w:rsidR="0098219B" w:rsidRPr="00772BC3">
        <w:t xml:space="preserve">help identify gaps in </w:t>
      </w:r>
      <w:r w:rsidR="00DA3881" w:rsidRPr="00772BC3">
        <w:t xml:space="preserve">policy and </w:t>
      </w:r>
      <w:r w:rsidR="0098219B" w:rsidRPr="00772BC3">
        <w:t>service delivery</w:t>
      </w:r>
      <w:r w:rsidR="00985EF6" w:rsidRPr="00772BC3">
        <w:t>,</w:t>
      </w:r>
      <w:r w:rsidR="00B35BD7" w:rsidRPr="00772BC3">
        <w:t xml:space="preserve"> and </w:t>
      </w:r>
      <w:r w:rsidR="00C0437A" w:rsidRPr="00772BC3">
        <w:t>fix</w:t>
      </w:r>
      <w:r w:rsidR="005F61A9" w:rsidRPr="00772BC3">
        <w:t xml:space="preserve"> system</w:t>
      </w:r>
      <w:r w:rsidR="00BF3DD5" w:rsidRPr="00772BC3">
        <w:t>s</w:t>
      </w:r>
      <w:r w:rsidR="005F61A9" w:rsidRPr="00772BC3">
        <w:t xml:space="preserve"> that reinforce </w:t>
      </w:r>
      <w:r w:rsidR="00985EF6" w:rsidRPr="00772BC3">
        <w:t>intersecting inequities</w:t>
      </w:r>
      <w:r w:rsidR="005E1CD1" w:rsidRPr="00772BC3">
        <w:t>.</w:t>
      </w:r>
    </w:p>
    <w:p w14:paraId="54DFBDBF" w14:textId="4A664C6C" w:rsidR="00BD5B8C" w:rsidRPr="00772BC3" w:rsidRDefault="00676965" w:rsidP="005727C4">
      <w:r w:rsidRPr="00772BC3">
        <w:t>A</w:t>
      </w:r>
      <w:r w:rsidR="0084785C" w:rsidRPr="00772BC3">
        <w:t xml:space="preserve"> p</w:t>
      </w:r>
      <w:r w:rsidR="009014D3" w:rsidRPr="00772BC3">
        <w:t xml:space="preserve">erson-centred </w:t>
      </w:r>
      <w:r w:rsidR="0084785C" w:rsidRPr="00772BC3">
        <w:t>approach, supported by s</w:t>
      </w:r>
      <w:r w:rsidR="003154A3" w:rsidRPr="00772BC3">
        <w:t>hared decision-making</w:t>
      </w:r>
      <w:r w:rsidR="0084785C" w:rsidRPr="00772BC3">
        <w:t>,</w:t>
      </w:r>
      <w:r w:rsidR="009014D3" w:rsidRPr="00772BC3">
        <w:t xml:space="preserve"> is essential </w:t>
      </w:r>
      <w:r w:rsidR="00805AE0" w:rsidRPr="00772BC3">
        <w:t>for</w:t>
      </w:r>
      <w:r w:rsidR="009014D3" w:rsidRPr="00772BC3">
        <w:t xml:space="preserve"> </w:t>
      </w:r>
      <w:r w:rsidR="00D74BFF" w:rsidRPr="00772BC3">
        <w:t xml:space="preserve">addressing intersectionality in </w:t>
      </w:r>
      <w:r w:rsidR="0001104F" w:rsidRPr="00772BC3">
        <w:t>the</w:t>
      </w:r>
      <w:r w:rsidR="00D74BFF" w:rsidRPr="00772BC3">
        <w:t xml:space="preserve"> prevention and management</w:t>
      </w:r>
      <w:r w:rsidR="0001104F" w:rsidRPr="00772BC3">
        <w:t xml:space="preserve"> of chronic conditions</w:t>
      </w:r>
      <w:r w:rsidR="00D74BFF" w:rsidRPr="00772BC3">
        <w:t>. This approach focuses on understanding the who</w:t>
      </w:r>
      <w:r w:rsidR="00F62731" w:rsidRPr="00772BC3">
        <w:t>le</w:t>
      </w:r>
      <w:r w:rsidR="00D74BFF" w:rsidRPr="00772BC3">
        <w:t xml:space="preserve"> person, including their lived experience and the external factors that shape their health.</w:t>
      </w:r>
      <w:r w:rsidR="003B5EBA" w:rsidRPr="00772BC3">
        <w:t xml:space="preserve"> It involves listening </w:t>
      </w:r>
      <w:r w:rsidR="00F62731" w:rsidRPr="00772BC3">
        <w:t>actively</w:t>
      </w:r>
      <w:r w:rsidR="003B5EBA" w:rsidRPr="00772BC3">
        <w:t xml:space="preserve">, </w:t>
      </w:r>
      <w:r w:rsidR="00661AD5" w:rsidRPr="00772BC3">
        <w:t xml:space="preserve">building trust, </w:t>
      </w:r>
      <w:r w:rsidR="003B5EBA" w:rsidRPr="00772BC3">
        <w:t>recognising complexity</w:t>
      </w:r>
      <w:r w:rsidR="00D64E02" w:rsidRPr="00772BC3">
        <w:t>,</w:t>
      </w:r>
      <w:r w:rsidR="003B5EBA" w:rsidRPr="00772BC3">
        <w:t xml:space="preserve"> and tailoring care to </w:t>
      </w:r>
      <w:r w:rsidR="00AF208C" w:rsidRPr="00772BC3">
        <w:t>individual</w:t>
      </w:r>
      <w:r w:rsidR="003B5EBA" w:rsidRPr="00772BC3">
        <w:t xml:space="preserve"> needs.</w:t>
      </w:r>
      <w:r w:rsidR="00AF208C" w:rsidRPr="00772BC3">
        <w:t xml:space="preserve"> </w:t>
      </w:r>
      <w:r w:rsidR="00984752" w:rsidRPr="00772BC3">
        <w:t>Shared decision-making ensures that people are active participants in their</w:t>
      </w:r>
      <w:r w:rsidR="00B50F04" w:rsidRPr="00772BC3">
        <w:t xml:space="preserve"> health</w:t>
      </w:r>
      <w:r w:rsidR="00984752" w:rsidRPr="00772BC3">
        <w:t xml:space="preserve"> care</w:t>
      </w:r>
      <w:r w:rsidR="00BC082F" w:rsidRPr="00772BC3">
        <w:t xml:space="preserve">, </w:t>
      </w:r>
      <w:r w:rsidR="002E2198" w:rsidRPr="00772BC3">
        <w:t xml:space="preserve">with their </w:t>
      </w:r>
      <w:r w:rsidR="006F662D" w:rsidRPr="00772BC3">
        <w:t>experiences</w:t>
      </w:r>
      <w:r w:rsidR="002E2198" w:rsidRPr="00772BC3">
        <w:t xml:space="preserve"> guiding</w:t>
      </w:r>
      <w:r w:rsidR="00BC082F" w:rsidRPr="00772BC3">
        <w:t xml:space="preserve"> clinical decisions. </w:t>
      </w:r>
      <w:r w:rsidR="00AF208C" w:rsidRPr="00772BC3">
        <w:t xml:space="preserve">Person-centred care </w:t>
      </w:r>
      <w:r w:rsidR="00FA410F" w:rsidRPr="00772BC3">
        <w:t>helps deliver</w:t>
      </w:r>
      <w:r w:rsidR="00AF208C" w:rsidRPr="00772BC3">
        <w:t xml:space="preserve"> </w:t>
      </w:r>
      <w:r w:rsidR="00303059" w:rsidRPr="00772BC3">
        <w:t>services</w:t>
      </w:r>
      <w:r w:rsidR="006E6F5C" w:rsidRPr="00772BC3">
        <w:t xml:space="preserve"> </w:t>
      </w:r>
      <w:r w:rsidR="00F723AD" w:rsidRPr="00772BC3">
        <w:t xml:space="preserve">that are </w:t>
      </w:r>
      <w:r w:rsidR="00516BB8" w:rsidRPr="00772BC3">
        <w:t xml:space="preserve">respectful, </w:t>
      </w:r>
      <w:r w:rsidR="006E6F5C" w:rsidRPr="00772BC3">
        <w:t>inclusive</w:t>
      </w:r>
      <w:r w:rsidR="00516BB8" w:rsidRPr="00772BC3">
        <w:t xml:space="preserve"> </w:t>
      </w:r>
      <w:r w:rsidR="006E6F5C" w:rsidRPr="00772BC3">
        <w:t>and respon</w:t>
      </w:r>
      <w:r w:rsidR="00BD5B8C" w:rsidRPr="00772BC3">
        <w:t xml:space="preserve">sive to diverse </w:t>
      </w:r>
      <w:r w:rsidR="003D2C44" w:rsidRPr="00772BC3">
        <w:t>backgrounds</w:t>
      </w:r>
      <w:r w:rsidR="00777677" w:rsidRPr="00772BC3">
        <w:t xml:space="preserve">, </w:t>
      </w:r>
      <w:r w:rsidR="00FD1B0E" w:rsidRPr="00772BC3">
        <w:t xml:space="preserve">helping </w:t>
      </w:r>
      <w:r w:rsidR="001D3358" w:rsidRPr="00772BC3">
        <w:t xml:space="preserve">people </w:t>
      </w:r>
      <w:r w:rsidR="009B7C8B" w:rsidRPr="00772BC3">
        <w:t xml:space="preserve">achieve </w:t>
      </w:r>
      <w:r w:rsidR="00FD1B0E" w:rsidRPr="00772BC3">
        <w:t xml:space="preserve">more </w:t>
      </w:r>
      <w:r w:rsidR="009B7C8B" w:rsidRPr="00772BC3">
        <w:t>equitable health outcomes</w:t>
      </w:r>
      <w:r w:rsidR="00CD31FA" w:rsidRPr="00772BC3">
        <w:t>.</w:t>
      </w:r>
    </w:p>
    <w:p w14:paraId="606295FA" w14:textId="523A1D6E" w:rsidR="005727C4" w:rsidRPr="00772BC3" w:rsidRDefault="006E2D87" w:rsidP="005727C4">
      <w:r w:rsidRPr="00772BC3">
        <w:t xml:space="preserve">To </w:t>
      </w:r>
      <w:r w:rsidR="006D54A0" w:rsidRPr="00772BC3">
        <w:t xml:space="preserve">effectively embed intersectionality into chronic condition strategies, </w:t>
      </w:r>
      <w:r w:rsidR="00A75C41" w:rsidRPr="00772BC3">
        <w:t>governments must</w:t>
      </w:r>
      <w:r w:rsidR="006D54A0" w:rsidRPr="00772BC3">
        <w:t xml:space="preserve"> also</w:t>
      </w:r>
      <w:r w:rsidR="00A75C41" w:rsidRPr="00772BC3">
        <w:t xml:space="preserve"> take</w:t>
      </w:r>
      <w:r w:rsidR="005727C4" w:rsidRPr="00772BC3">
        <w:t xml:space="preserve"> </w:t>
      </w:r>
      <w:r w:rsidR="009443F3" w:rsidRPr="00772BC3">
        <w:t>coordinated action across sectors</w:t>
      </w:r>
      <w:r w:rsidR="006E657F" w:rsidRPr="00772BC3">
        <w:t xml:space="preserve"> to address the broader systemic barriers that affect health</w:t>
      </w:r>
      <w:r w:rsidR="009443F3" w:rsidRPr="00772BC3">
        <w:t>.</w:t>
      </w:r>
      <w:r w:rsidR="00651C04" w:rsidRPr="00772BC3">
        <w:t xml:space="preserve"> Health systems must work in partnership with other </w:t>
      </w:r>
      <w:r w:rsidR="005727C4" w:rsidRPr="00772BC3">
        <w:t>sectors such as housing, education, employment and justice</w:t>
      </w:r>
      <w:r w:rsidR="006177E4" w:rsidRPr="00772BC3">
        <w:t xml:space="preserve"> </w:t>
      </w:r>
      <w:r w:rsidR="00B907E6" w:rsidRPr="00772BC3">
        <w:t>to respond to the full range of factors influencing health</w:t>
      </w:r>
      <w:r w:rsidR="005727C4" w:rsidRPr="00772BC3">
        <w:t xml:space="preserve">. The WHO’s Health in All Policies (HiAP) model provides a </w:t>
      </w:r>
      <w:r w:rsidR="00CC362B" w:rsidRPr="00772BC3">
        <w:t xml:space="preserve">practical </w:t>
      </w:r>
      <w:r w:rsidR="005727C4" w:rsidRPr="00772BC3">
        <w:t xml:space="preserve">framework for </w:t>
      </w:r>
      <w:r w:rsidR="006223A4" w:rsidRPr="00772BC3">
        <w:t xml:space="preserve">this </w:t>
      </w:r>
      <w:r w:rsidR="005727C4" w:rsidRPr="00772BC3">
        <w:t xml:space="preserve">collaboration, </w:t>
      </w:r>
      <w:r w:rsidR="00B63F98" w:rsidRPr="00772BC3">
        <w:t>encouraging</w:t>
      </w:r>
      <w:r w:rsidR="005B4677" w:rsidRPr="00772BC3">
        <w:t xml:space="preserve"> shared responsibility and</w:t>
      </w:r>
      <w:r w:rsidR="005727C4" w:rsidRPr="00772BC3">
        <w:t xml:space="preserve"> long-term partnerships.</w:t>
      </w:r>
      <w:r w:rsidR="002C68A8" w:rsidRPr="00772BC3">
        <w:rPr>
          <w:noProof/>
          <w:vertAlign w:val="superscript"/>
        </w:rPr>
        <w:t>108</w:t>
      </w:r>
    </w:p>
    <w:p w14:paraId="41207050" w14:textId="77777777" w:rsidR="005727C4" w:rsidRPr="00772BC3" w:rsidRDefault="005727C4" w:rsidP="005727C4">
      <w:r w:rsidRPr="00772BC3">
        <w:t>HiAP approaches are supported by four pillars:</w:t>
      </w:r>
    </w:p>
    <w:p w14:paraId="7175F0EB" w14:textId="77777777" w:rsidR="00CA27A9" w:rsidRPr="00772BC3" w:rsidRDefault="005727C4" w:rsidP="005727C4">
      <w:pPr>
        <w:pStyle w:val="ListBullet"/>
      </w:pPr>
      <w:r w:rsidRPr="00772BC3">
        <w:t>governance and accountability through whole-of-government plans, fostering a culture of collaboration, and harnessing existing structures and mechanisms</w:t>
      </w:r>
    </w:p>
    <w:p w14:paraId="788238B3" w14:textId="77777777" w:rsidR="00CA27A9" w:rsidRPr="00772BC3" w:rsidRDefault="005727C4" w:rsidP="005727C4">
      <w:pPr>
        <w:pStyle w:val="ListBullet"/>
      </w:pPr>
      <w:r w:rsidRPr="00772BC3">
        <w:t>leadership at all levels, including advocating for, and fostering a culture of collaboration, establishing a network of HiAP champions, and joint identification of issues to achieve shared goals</w:t>
      </w:r>
    </w:p>
    <w:p w14:paraId="6F9F935F" w14:textId="77777777" w:rsidR="00CA27A9" w:rsidRPr="00772BC3" w:rsidRDefault="005727C4" w:rsidP="005727C4">
      <w:pPr>
        <w:pStyle w:val="ListBullet"/>
      </w:pPr>
      <w:r w:rsidRPr="00772BC3">
        <w:t>ways of working and work methods including developing collaborative partnerships based on trust and open communication, understanding policy priorities of partners, and co-designing policy plans</w:t>
      </w:r>
    </w:p>
    <w:p w14:paraId="43DCF407" w14:textId="2ACC0319" w:rsidR="005727C4" w:rsidRPr="00772BC3" w:rsidRDefault="005727C4" w:rsidP="005727C4">
      <w:pPr>
        <w:pStyle w:val="ListBullet"/>
      </w:pPr>
      <w:r w:rsidRPr="00772BC3">
        <w:t>resources, financing, and capabilities through having dedicated HiAP roles and budget, and capabilities for knowledge translation.</w:t>
      </w:r>
    </w:p>
    <w:p w14:paraId="0E8A9626" w14:textId="64F31F1A" w:rsidR="005727C4" w:rsidRPr="00772BC3" w:rsidRDefault="4252336E" w:rsidP="005727C4">
      <w:r>
        <w:t xml:space="preserve">Embedding intersectionality into chronic condition strategies will help systems </w:t>
      </w:r>
      <w:r w:rsidR="3A4BDA9B">
        <w:t xml:space="preserve">respond </w:t>
      </w:r>
      <w:r w:rsidR="6AAB417B">
        <w:t xml:space="preserve">more effectively </w:t>
      </w:r>
      <w:r w:rsidR="3A4BDA9B">
        <w:t xml:space="preserve">to the needs of people experiencing multiple, </w:t>
      </w:r>
      <w:r w:rsidR="4965D8A7">
        <w:t xml:space="preserve">overlapping </w:t>
      </w:r>
      <w:r w:rsidR="3A4BDA9B">
        <w:t>forms of disadvantage</w:t>
      </w:r>
      <w:r w:rsidR="4965D8A7">
        <w:t>. This will improve</w:t>
      </w:r>
      <w:r w:rsidR="3A4BDA9B">
        <w:t xml:space="preserve"> equity</w:t>
      </w:r>
      <w:r w:rsidR="12F670F1">
        <w:t>,</w:t>
      </w:r>
      <w:r w:rsidR="3A4BDA9B">
        <w:t xml:space="preserve"> access</w:t>
      </w:r>
      <w:r w:rsidR="4965D8A7">
        <w:t>,</w:t>
      </w:r>
      <w:r w:rsidR="3A4BDA9B">
        <w:t xml:space="preserve"> and outcomes</w:t>
      </w:r>
      <w:r w:rsidR="4965D8A7">
        <w:t xml:space="preserve"> for priority populations</w:t>
      </w:r>
      <w:r w:rsidR="3A4BDA9B">
        <w:t>.</w:t>
      </w:r>
      <w:r w:rsidR="494AF0A0">
        <w:t xml:space="preserve"> </w:t>
      </w:r>
      <w:r w:rsidR="164DBA8E">
        <w:t>As</w:t>
      </w:r>
      <w:r w:rsidR="494AF0A0">
        <w:t xml:space="preserve"> an evolving concept in public health, strengthening the evidencebase </w:t>
      </w:r>
      <w:r w:rsidR="164DBA8E">
        <w:t>on intersectionality will</w:t>
      </w:r>
      <w:r w:rsidR="494AF0A0">
        <w:t xml:space="preserve"> support effective and </w:t>
      </w:r>
      <w:r w:rsidR="164DBA8E">
        <w:t>inclusive</w:t>
      </w:r>
      <w:r w:rsidR="494AF0A0">
        <w:t xml:space="preserve"> </w:t>
      </w:r>
      <w:r w:rsidR="232D4E6E">
        <w:t>policy and practice</w:t>
      </w:r>
      <w:r w:rsidR="3A4BDA9B">
        <w:t>.</w:t>
      </w:r>
    </w:p>
    <w:p w14:paraId="11A3B2C2" w14:textId="77777777" w:rsidR="00E771F1" w:rsidRPr="00A3583A" w:rsidRDefault="00E771F1" w:rsidP="00A3583A">
      <w:r w:rsidRPr="00772BC3">
        <w:br w:type="page"/>
      </w:r>
    </w:p>
    <w:p w14:paraId="75AEEEF7" w14:textId="4E548B07" w:rsidR="005727C4" w:rsidRPr="00772BC3" w:rsidRDefault="3309A2CE" w:rsidP="00E03AE5">
      <w:pPr>
        <w:pStyle w:val="Heading1"/>
      </w:pPr>
      <w:bookmarkStart w:id="37" w:name="_Toc224557213"/>
      <w:r>
        <w:t>Part 3: Monitoring chronic conditions</w:t>
      </w:r>
      <w:bookmarkEnd w:id="37"/>
    </w:p>
    <w:p w14:paraId="53127EA7" w14:textId="77777777" w:rsidR="005727C4" w:rsidRPr="00772BC3" w:rsidRDefault="005727C4" w:rsidP="005727C4">
      <w:r w:rsidRPr="00772BC3">
        <w:t>Monitoring is the systematic and ongoing collection, analysis, and reporting of key health measures. Effective monitoring of chronic conditions plays a critical role in providing insights into chronic conditions and their impacts on individuals, health systems and society, to support evidence-based decision-making, resource allocation, and timely response to emerging priorities.</w:t>
      </w:r>
    </w:p>
    <w:p w14:paraId="68ED4B4B" w14:textId="77777777" w:rsidR="00B925F2" w:rsidRPr="00772BC3" w:rsidRDefault="005727C4" w:rsidP="005727C4">
      <w:r w:rsidRPr="00772BC3">
        <w:t>This high-level Framework complements existing strategies, many have their own established indicators or measures for tracking progress against targets. Existing measures that are routinely reported on and relevant to the Framework are included in:</w:t>
      </w:r>
    </w:p>
    <w:p w14:paraId="2960C133" w14:textId="77777777" w:rsidR="00B925F2" w:rsidRPr="00772BC3" w:rsidRDefault="005727C4" w:rsidP="005727C4">
      <w:pPr>
        <w:pStyle w:val="ListBullet"/>
      </w:pPr>
      <w:r w:rsidRPr="00772BC3">
        <w:t xml:space="preserve">the </w:t>
      </w:r>
      <w:hyperlink r:id="rId45" w:history="1">
        <w:r w:rsidRPr="00772BC3">
          <w:rPr>
            <w:rStyle w:val="Hyperlink"/>
          </w:rPr>
          <w:t>National Preventive Health Strategy</w:t>
        </w:r>
      </w:hyperlink>
    </w:p>
    <w:p w14:paraId="21AD2724" w14:textId="77777777" w:rsidR="00B925F2" w:rsidRPr="00772BC3" w:rsidRDefault="005727C4" w:rsidP="005727C4">
      <w:pPr>
        <w:pStyle w:val="ListBullet"/>
      </w:pPr>
      <w:r w:rsidRPr="00772BC3">
        <w:t xml:space="preserve">the </w:t>
      </w:r>
      <w:hyperlink r:id="rId46" w:history="1">
        <w:r w:rsidRPr="00772BC3">
          <w:rPr>
            <w:rStyle w:val="Hyperlink"/>
          </w:rPr>
          <w:t>Australian Health Performance Framework</w:t>
        </w:r>
      </w:hyperlink>
    </w:p>
    <w:p w14:paraId="7E6D4FC7" w14:textId="77777777" w:rsidR="00B925F2" w:rsidRPr="00772BC3" w:rsidRDefault="005727C4" w:rsidP="005727C4">
      <w:pPr>
        <w:pStyle w:val="ListBullet"/>
      </w:pPr>
      <w:r w:rsidRPr="00772BC3">
        <w:t xml:space="preserve">the </w:t>
      </w:r>
      <w:hyperlink r:id="rId47" w:history="1">
        <w:r w:rsidRPr="00772BC3">
          <w:rPr>
            <w:rStyle w:val="Hyperlink"/>
          </w:rPr>
          <w:t>Aboriginal and Torres Strait Islander Health Performance Framework</w:t>
        </w:r>
      </w:hyperlink>
    </w:p>
    <w:p w14:paraId="38626848" w14:textId="77777777" w:rsidR="00B925F2" w:rsidRPr="00772BC3" w:rsidRDefault="005727C4" w:rsidP="005727C4">
      <w:pPr>
        <w:pStyle w:val="ListBullet"/>
      </w:pPr>
      <w:r w:rsidRPr="00772BC3">
        <w:t xml:space="preserve">the </w:t>
      </w:r>
      <w:hyperlink r:id="rId48" w:history="1">
        <w:r w:rsidRPr="00772BC3">
          <w:rPr>
            <w:rStyle w:val="Hyperlink"/>
          </w:rPr>
          <w:t>Cultural safety in health care for Indigenous Australians: monitoring framework</w:t>
        </w:r>
      </w:hyperlink>
    </w:p>
    <w:p w14:paraId="1BECB4C9" w14:textId="5DFD1BE9" w:rsidR="00B925F2" w:rsidRPr="00772BC3" w:rsidRDefault="005727C4" w:rsidP="005727C4">
      <w:pPr>
        <w:pStyle w:val="ListBullet"/>
      </w:pPr>
      <w:hyperlink r:id="rId49" w:history="1">
        <w:r w:rsidRPr="00772BC3">
          <w:rPr>
            <w:rStyle w:val="Hyperlink"/>
          </w:rPr>
          <w:t>Measuring What Matters</w:t>
        </w:r>
      </w:hyperlink>
    </w:p>
    <w:p w14:paraId="0EE64DAF" w14:textId="53B683D7" w:rsidR="005727C4" w:rsidRPr="00772BC3" w:rsidRDefault="005727C4" w:rsidP="005727C4">
      <w:pPr>
        <w:pStyle w:val="ListBullet"/>
      </w:pPr>
      <w:r w:rsidRPr="00772BC3">
        <w:t xml:space="preserve">Part E of the </w:t>
      </w:r>
      <w:hyperlink r:id="rId50" w:history="1">
        <w:r w:rsidRPr="00772BC3">
          <w:rPr>
            <w:rStyle w:val="Hyperlink"/>
          </w:rPr>
          <w:t>Report on Government Services</w:t>
        </w:r>
      </w:hyperlink>
      <w:r w:rsidRPr="00772BC3">
        <w:t>.</w:t>
      </w:r>
    </w:p>
    <w:p w14:paraId="343EDA36" w14:textId="5780A5AB" w:rsidR="005727C4" w:rsidRPr="00772BC3" w:rsidRDefault="3309A2CE" w:rsidP="0026397A">
      <w:pPr>
        <w:pStyle w:val="Heading2"/>
      </w:pPr>
      <w:bookmarkStart w:id="38" w:name="_Toc224557214"/>
      <w:r>
        <w:t>Domains for monitoring chronic conditions</w:t>
      </w:r>
      <w:bookmarkEnd w:id="38"/>
    </w:p>
    <w:p w14:paraId="6A4626D3" w14:textId="77777777" w:rsidR="005727C4" w:rsidRPr="00772BC3" w:rsidRDefault="005727C4" w:rsidP="005727C4">
      <w:r w:rsidRPr="00772BC3">
        <w:t>To comprehensively monitor chronic conditions, data should be regularly collected, analysed and reported across the following domains:</w:t>
      </w:r>
    </w:p>
    <w:p w14:paraId="4CB35504" w14:textId="77777777" w:rsidR="00DC20D0" w:rsidRPr="00772BC3" w:rsidRDefault="005727C4" w:rsidP="005727C4">
      <w:pPr>
        <w:pStyle w:val="ListBullet"/>
      </w:pPr>
      <w:r w:rsidRPr="00772BC3">
        <w:t>prevalence (and incidence) of chronic conditions and multimorbidity</w:t>
      </w:r>
    </w:p>
    <w:p w14:paraId="032AB7EA" w14:textId="77777777" w:rsidR="00DC20D0" w:rsidRPr="00772BC3" w:rsidRDefault="005727C4" w:rsidP="005727C4">
      <w:pPr>
        <w:pStyle w:val="ListBullet"/>
      </w:pPr>
      <w:r w:rsidRPr="00772BC3">
        <w:t>prevention and early detection: may include prevalence of modifiable risk factors or health behaviours, screening rates and immunisation rates</w:t>
      </w:r>
    </w:p>
    <w:p w14:paraId="657F03EE" w14:textId="11839103" w:rsidR="00DC20D0" w:rsidRPr="00772BC3" w:rsidRDefault="005727C4" w:rsidP="005727C4">
      <w:pPr>
        <w:pStyle w:val="ListBullet"/>
      </w:pPr>
      <w:r w:rsidRPr="00772BC3">
        <w:t xml:space="preserve">treatment and management: may include access to care, continuity of care, utilisation of </w:t>
      </w:r>
      <w:r>
        <w:t>healthcare</w:t>
      </w:r>
      <w:r w:rsidRPr="00772BC3">
        <w:t xml:space="preserve"> services (procedures and MBS items) and medication and treatment adherence</w:t>
      </w:r>
    </w:p>
    <w:p w14:paraId="1EBD0D73" w14:textId="52248FF6" w:rsidR="00DC20D0" w:rsidRPr="00772BC3" w:rsidRDefault="005727C4" w:rsidP="005727C4">
      <w:pPr>
        <w:pStyle w:val="ListBullet"/>
      </w:pPr>
      <w:r w:rsidRPr="00772BC3">
        <w:t>health outcomes: may include burden of disease, hospitalisation and readmission rates, mortality rates</w:t>
      </w:r>
      <w:r w:rsidR="0077052B">
        <w:t xml:space="preserve"> and</w:t>
      </w:r>
      <w:r w:rsidRPr="00772BC3">
        <w:t xml:space="preserve"> quality of life</w:t>
      </w:r>
    </w:p>
    <w:p w14:paraId="1D36FB5E" w14:textId="5FB3B3CC" w:rsidR="00DC20D0" w:rsidRPr="00772BC3" w:rsidRDefault="005727C4" w:rsidP="005727C4">
      <w:pPr>
        <w:pStyle w:val="ListBullet"/>
      </w:pPr>
      <w:r w:rsidRPr="00772BC3">
        <w:t xml:space="preserve">population groups: disaggregation by age and sex, by geography; may include reporting for priority populations (such as Aboriginal and Torres Strait Islander </w:t>
      </w:r>
      <w:r>
        <w:t>people</w:t>
      </w:r>
      <w:r w:rsidR="32EC2367">
        <w:t>s</w:t>
      </w:r>
      <w:r w:rsidRPr="00772BC3">
        <w:t xml:space="preserve">, people from </w:t>
      </w:r>
      <w:r w:rsidR="008D49A0">
        <w:t xml:space="preserve">culturally and linguistically diverse </w:t>
      </w:r>
      <w:r w:rsidR="00D54C3E">
        <w:t xml:space="preserve">(CALD) </w:t>
      </w:r>
      <w:r w:rsidRPr="00772BC3">
        <w:t>backgrounds, LGBTQIA+ people, people with disability)</w:t>
      </w:r>
    </w:p>
    <w:p w14:paraId="53EA559F" w14:textId="06DE678B" w:rsidR="005727C4" w:rsidRPr="00772BC3" w:rsidRDefault="005727C4" w:rsidP="005727C4">
      <w:pPr>
        <w:pStyle w:val="ListBullet"/>
      </w:pPr>
      <w:r w:rsidRPr="00772BC3">
        <w:t>demographics: may include population characteristics and broader determinants of health.</w:t>
      </w:r>
    </w:p>
    <w:p w14:paraId="5FE3968B" w14:textId="765A9F1F" w:rsidR="005727C4" w:rsidRPr="00772BC3" w:rsidRDefault="005727C4" w:rsidP="005727C4">
      <w:r w:rsidRPr="00772BC3">
        <w:t xml:space="preserve">It is essential to monitor a comprehensive range of measures to contextualise any observed trends. For example, prevalence of conditions may increase with improved diagnosis and screening. Relevant measures for monitoring chronic conditions and corresponding data sources or reports at the national level are described in Appendix </w:t>
      </w:r>
      <w:r w:rsidR="00B04222">
        <w:t>2</w:t>
      </w:r>
      <w:r w:rsidRPr="00772BC3">
        <w:t>.</w:t>
      </w:r>
    </w:p>
    <w:p w14:paraId="39132DE9" w14:textId="045955B3" w:rsidR="005727C4" w:rsidRPr="00772BC3" w:rsidRDefault="3309A2CE" w:rsidP="00DC20D0">
      <w:pPr>
        <w:pStyle w:val="Heading2"/>
      </w:pPr>
      <w:bookmarkStart w:id="39" w:name="_Toc224557215"/>
      <w:r>
        <w:t>Monitoring at different levels</w:t>
      </w:r>
      <w:bookmarkEnd w:id="39"/>
    </w:p>
    <w:p w14:paraId="2FD50E33" w14:textId="26C639C5" w:rsidR="005727C4" w:rsidRPr="00772BC3" w:rsidRDefault="005727C4" w:rsidP="005727C4">
      <w:r w:rsidRPr="00772BC3">
        <w:t xml:space="preserve">At the national level, monitoring provides a broad overview of population health trends and informs national policy, program and service decisions. The AIHW’s </w:t>
      </w:r>
      <w:hyperlink r:id="rId51" w:history="1">
        <w:r w:rsidRPr="00772BC3">
          <w:rPr>
            <w:rStyle w:val="Hyperlink"/>
          </w:rPr>
          <w:t>Australian Centre for Monitoring Population Health</w:t>
        </w:r>
      </w:hyperlink>
      <w:r w:rsidRPr="00772BC3">
        <w:t xml:space="preserve"> brings together the latest data and information on the health of Australians, including monitoring chronic conditions.</w:t>
      </w:r>
    </w:p>
    <w:p w14:paraId="1B8E8A1B" w14:textId="77777777" w:rsidR="005727C4" w:rsidRPr="00772BC3" w:rsidRDefault="005727C4" w:rsidP="005727C4">
      <w:r w:rsidRPr="00772BC3">
        <w:t>At the jurisdictional level, state and territory governments can use monitoring to tailor strategies to their specific population needs and contexts. Meanwhile, monitoring at the local level (for example, by Primary Health Network or by Population Health Area) supports community health planning, service delivery and targeted interventions, particularly for priority populations.</w:t>
      </w:r>
    </w:p>
    <w:p w14:paraId="4654DD8A" w14:textId="77777777" w:rsidR="005727C4" w:rsidRPr="00772BC3" w:rsidRDefault="005727C4" w:rsidP="005727C4">
      <w:r w:rsidRPr="00772BC3">
        <w:t>Coordinated monitoring across all levels ensures consistency, enhances comparability and enables the scaling of effective prevention and management strategies.</w:t>
      </w:r>
    </w:p>
    <w:p w14:paraId="40C3C5A8" w14:textId="3202A44B" w:rsidR="005727C4" w:rsidRPr="00772BC3" w:rsidRDefault="3309A2CE" w:rsidP="00D679C2">
      <w:pPr>
        <w:pStyle w:val="Heading2"/>
      </w:pPr>
      <w:bookmarkStart w:id="40" w:name="_Toc224557216"/>
      <w:r>
        <w:t>Data gaps and opportunities</w:t>
      </w:r>
      <w:bookmarkEnd w:id="40"/>
    </w:p>
    <w:p w14:paraId="3182A5A9" w14:textId="0C057460" w:rsidR="005727C4" w:rsidRPr="00772BC3" w:rsidRDefault="3A4BDA9B" w:rsidP="005727C4">
      <w:r>
        <w:t>Data sources that are accurate, consistent and complete are essential for reliable population health monitoring. There are some existing gaps in availability of data for chronic condition monitoring, particularly for certain chronic conditions and population groups. Areas of opportunity to build the evidencebase include (but are not limited to):</w:t>
      </w:r>
    </w:p>
    <w:p w14:paraId="2FA5ADF3" w14:textId="77777777" w:rsidR="00D679C2" w:rsidRPr="00772BC3" w:rsidRDefault="005727C4" w:rsidP="005727C4">
      <w:pPr>
        <w:pStyle w:val="ListBullet"/>
      </w:pPr>
      <w:r w:rsidRPr="00772BC3">
        <w:t>improved data collection for priority populations</w:t>
      </w:r>
    </w:p>
    <w:p w14:paraId="3BB6AD40" w14:textId="77777777" w:rsidR="00D679C2" w:rsidRPr="00772BC3" w:rsidRDefault="005727C4" w:rsidP="005727C4">
      <w:pPr>
        <w:pStyle w:val="ListBullet"/>
      </w:pPr>
      <w:r w:rsidRPr="00772BC3">
        <w:t>national primary health care data</w:t>
      </w:r>
    </w:p>
    <w:p w14:paraId="4265AA4D" w14:textId="77777777" w:rsidR="00D679C2" w:rsidRPr="00772BC3" w:rsidRDefault="005727C4" w:rsidP="005727C4">
      <w:pPr>
        <w:pStyle w:val="ListBullet"/>
      </w:pPr>
      <w:r w:rsidRPr="00772BC3">
        <w:t>national collection of biomedical risk factor data</w:t>
      </w:r>
    </w:p>
    <w:p w14:paraId="64AF8BB2" w14:textId="77777777" w:rsidR="00D679C2" w:rsidRPr="00772BC3" w:rsidRDefault="005727C4" w:rsidP="005727C4">
      <w:pPr>
        <w:pStyle w:val="ListBullet"/>
      </w:pPr>
      <w:r w:rsidRPr="00772BC3">
        <w:t>linkage of clinical disease registers to administrative health data</w:t>
      </w:r>
    </w:p>
    <w:p w14:paraId="6B22D321" w14:textId="3CD223AE" w:rsidR="005727C4" w:rsidRPr="00772BC3" w:rsidRDefault="005727C4" w:rsidP="005727C4">
      <w:pPr>
        <w:pStyle w:val="ListBullet"/>
      </w:pPr>
      <w:r w:rsidRPr="00772BC3">
        <w:t>data on timeliness of interventions and appropriateness of care.</w:t>
      </w:r>
    </w:p>
    <w:p w14:paraId="320A79A6" w14:textId="57CE6DD2" w:rsidR="005727C4" w:rsidRPr="00772BC3" w:rsidRDefault="005727C4" w:rsidP="005727C4">
      <w:r w:rsidRPr="00772BC3">
        <w:t>These opportunities may be realised over the duration of the Framework, with advances in digital health, data linkage and real-time analytics</w:t>
      </w:r>
      <w:r w:rsidR="00467E8A">
        <w:t>,</w:t>
      </w:r>
      <w:r w:rsidRPr="00772BC3">
        <w:t xml:space="preserve"> offering possibilities for enhancing monitoring. Reporting on key domains for chronic conditions monitoring, rather than specific indicators, allows adaptability as the health information system evolves.</w:t>
      </w:r>
    </w:p>
    <w:p w14:paraId="56E99511" w14:textId="2B11B002" w:rsidR="005727C4" w:rsidRPr="00772BC3" w:rsidRDefault="005727C4" w:rsidP="005727C4">
      <w:r w:rsidRPr="00772BC3">
        <w:t xml:space="preserve">Addressing data gaps for priority populations (such as people from CALD backgrounds and LGBTQIA+ people) is essential for achieving health equity. Priority populations are often underrepresented in administrative and survey data, limiting the ability to design, implement and evaluate policies and programs that meet their needs. Applying nationally consistent standards in data collection, such as the </w:t>
      </w:r>
      <w:hyperlink r:id="rId52" w:history="1">
        <w:r w:rsidRPr="00772BC3">
          <w:rPr>
            <w:rStyle w:val="Hyperlink"/>
          </w:rPr>
          <w:t>Standards for Statistics on Cultural and Language Diversity</w:t>
        </w:r>
      </w:hyperlink>
      <w:r w:rsidRPr="00772BC3">
        <w:t xml:space="preserve"> and the </w:t>
      </w:r>
      <w:hyperlink r:id="rId53" w:history="1">
        <w:r w:rsidRPr="00772BC3">
          <w:rPr>
            <w:rStyle w:val="Hyperlink"/>
          </w:rPr>
          <w:t>Standard for Sex, Gender, Variation of Sex Characteristics and Sexual Orientation Variables</w:t>
        </w:r>
      </w:hyperlink>
      <w:r w:rsidRPr="00772BC3">
        <w:t>, ensures that data is inclusive, comparable and fit-for-purpose, ultimately supporting improved monitoring, and more equitable policy development and service delivery.</w:t>
      </w:r>
    </w:p>
    <w:p w14:paraId="4E2F0452" w14:textId="7A598583" w:rsidR="00205A93" w:rsidRPr="00772BC3" w:rsidRDefault="005727C4" w:rsidP="00346C4A">
      <w:pPr>
        <w:sectPr w:rsidR="00205A93" w:rsidRPr="00772BC3" w:rsidSect="00CF14A6">
          <w:footnotePr>
            <w:numFmt w:val="lowerRoman"/>
          </w:footnotePr>
          <w:type w:val="oddPage"/>
          <w:pgSz w:w="11906" w:h="16838"/>
          <w:pgMar w:top="1701" w:right="1418" w:bottom="1418" w:left="1418" w:header="709" w:footer="709" w:gutter="0"/>
          <w:pgNumType w:start="1"/>
          <w:cols w:space="708"/>
          <w:docGrid w:linePitch="360"/>
        </w:sectPr>
      </w:pPr>
      <w:r w:rsidRPr="00772BC3">
        <w:t>Monitoring is not an end in itself. It is a tool for action. By identifying trends and insights, monitoring informs priority setting for policy and program development, and continuous improvement in service delivery and health outcomes. It enables a proactive, coordinated and equitable approach to the prevention and management of chronic conditions. Strengthening monitoring at all levels will contribute to achieving the objectives of the Framework and drive better health outcomes for all Australians</w:t>
      </w:r>
      <w:r w:rsidR="00365009" w:rsidRPr="00772BC3">
        <w:t>.</w:t>
      </w:r>
    </w:p>
    <w:p w14:paraId="564E5386" w14:textId="123DE82D" w:rsidR="00E47C46" w:rsidRPr="00772BC3" w:rsidRDefault="65BF7FAE" w:rsidP="006638F9">
      <w:pPr>
        <w:pStyle w:val="Heading1"/>
      </w:pPr>
      <w:bookmarkStart w:id="41" w:name="_Toc224557217"/>
      <w:r>
        <w:t>References</w:t>
      </w:r>
      <w:bookmarkEnd w:id="41"/>
    </w:p>
    <w:p w14:paraId="06E423E8" w14:textId="1E47B43A" w:rsidR="00F66926" w:rsidRPr="00772BC3" w:rsidRDefault="00F66926" w:rsidP="00A3583A">
      <w:pPr>
        <w:pStyle w:val="Tablelistnumber"/>
      </w:pPr>
      <w:r w:rsidRPr="00772BC3">
        <w:t xml:space="preserve">Department of Health and Aged Care, </w:t>
      </w:r>
      <w:hyperlink r:id="rId54" w:history="1">
        <w:r w:rsidRPr="00A3583A">
          <w:rPr>
            <w:rStyle w:val="Hyperlink"/>
          </w:rPr>
          <w:t>Review of the National Strategic Framework for Chronic Conditions: final report (summary)</w:t>
        </w:r>
      </w:hyperlink>
      <w:r w:rsidRPr="00772BC3">
        <w:t>, Department of Health and Aged Care, Australian Government, 2023.</w:t>
      </w:r>
    </w:p>
    <w:p w14:paraId="7A4802CF" w14:textId="3FD6E82C" w:rsidR="00F66926" w:rsidRPr="00772BC3" w:rsidRDefault="00F66926" w:rsidP="00A3583A">
      <w:pPr>
        <w:pStyle w:val="Tablelistnumber"/>
      </w:pPr>
      <w:r w:rsidRPr="00772BC3">
        <w:t xml:space="preserve">Department of Health, Disability and Ageing, </w:t>
      </w:r>
      <w:hyperlink r:id="rId55" w:history="1">
        <w:r w:rsidRPr="00A3583A">
          <w:rPr>
            <w:rStyle w:val="Hyperlink"/>
          </w:rPr>
          <w:t>What we're doing about rare diseases</w:t>
        </w:r>
      </w:hyperlink>
      <w:r w:rsidRPr="00772BC3">
        <w:t>, Department of Health, Disability and Ageing, 2022, accessed 7 July 2025.</w:t>
      </w:r>
    </w:p>
    <w:p w14:paraId="37A0C698" w14:textId="780C5B57" w:rsidR="00F66926" w:rsidRPr="00772BC3" w:rsidRDefault="003E1F5F" w:rsidP="00A3583A">
      <w:pPr>
        <w:pStyle w:val="Tablelistnumber"/>
      </w:pPr>
      <w:r>
        <w:t>AIHW (</w:t>
      </w:r>
      <w:r w:rsidR="00F66926" w:rsidRPr="00772BC3">
        <w:t>Australian Institute of Health and Welfare</w:t>
      </w:r>
      <w:r>
        <w:t>)</w:t>
      </w:r>
      <w:r w:rsidR="00F66926" w:rsidRPr="00772BC3">
        <w:t xml:space="preserve">, </w:t>
      </w:r>
      <w:hyperlink r:id="rId56" w:history="1">
        <w:r w:rsidR="00F66926" w:rsidRPr="00A3583A">
          <w:rPr>
            <w:rStyle w:val="Hyperlink"/>
          </w:rPr>
          <w:t>Australia's health 2016</w:t>
        </w:r>
      </w:hyperlink>
      <w:r w:rsidR="00F66926" w:rsidRPr="00772BC3">
        <w:t>, AIHW, Australian Government, 2016.</w:t>
      </w:r>
    </w:p>
    <w:p w14:paraId="2DEF97C0" w14:textId="3295AB10" w:rsidR="00F66926" w:rsidRPr="00772BC3" w:rsidRDefault="00C67293" w:rsidP="00A3583A">
      <w:pPr>
        <w:pStyle w:val="Tablelistnumber"/>
      </w:pPr>
      <w:r>
        <w:t>AIHW</w:t>
      </w:r>
      <w:r w:rsidR="00F66926" w:rsidRPr="00772BC3">
        <w:t xml:space="preserve">, </w:t>
      </w:r>
      <w:hyperlink r:id="rId57" w:history="1">
        <w:r w:rsidR="00F66926" w:rsidRPr="00A3583A">
          <w:rPr>
            <w:rStyle w:val="Hyperlink"/>
          </w:rPr>
          <w:t>The ongoing challenge of chronic conditions in Australia</w:t>
        </w:r>
      </w:hyperlink>
      <w:r w:rsidR="00F66926" w:rsidRPr="00772BC3">
        <w:t>, AIHW website, 2024, accessed 8 July 2025.</w:t>
      </w:r>
    </w:p>
    <w:p w14:paraId="5B9D751E" w14:textId="77777777" w:rsidR="00F66926" w:rsidRPr="00772BC3" w:rsidRDefault="00F66926" w:rsidP="00A3583A">
      <w:pPr>
        <w:pStyle w:val="Tablelistnumber"/>
      </w:pPr>
      <w:r w:rsidRPr="00772BC3">
        <w:t xml:space="preserve">AIHW, The ongoing challenge of chronic conditions in Australia. </w:t>
      </w:r>
    </w:p>
    <w:p w14:paraId="42A2EDF8" w14:textId="32D05ECD" w:rsidR="00F66926" w:rsidRPr="00772BC3" w:rsidRDefault="00C67293" w:rsidP="00A3583A">
      <w:pPr>
        <w:pStyle w:val="Tablelistnumber"/>
      </w:pPr>
      <w:r>
        <w:t>AIHW</w:t>
      </w:r>
      <w:r w:rsidR="00F66926" w:rsidRPr="00772BC3">
        <w:t xml:space="preserve">, </w:t>
      </w:r>
      <w:hyperlink r:id="rId58" w:history="1">
        <w:r w:rsidR="00F66926" w:rsidRPr="00A3583A">
          <w:rPr>
            <w:rStyle w:val="Hyperlink"/>
          </w:rPr>
          <w:t>Chronic conditions</w:t>
        </w:r>
      </w:hyperlink>
      <w:r w:rsidR="00F66926" w:rsidRPr="00772BC3">
        <w:t>, AIHW website, 2024, accessed 8 July 2025.</w:t>
      </w:r>
    </w:p>
    <w:p w14:paraId="7F901669" w14:textId="6E08956B" w:rsidR="00F66926" w:rsidRPr="00772BC3" w:rsidRDefault="00F66926" w:rsidP="00A3583A">
      <w:pPr>
        <w:pStyle w:val="Tablelistnumber"/>
      </w:pPr>
      <w:r w:rsidRPr="00772BC3">
        <w:t xml:space="preserve">Australian Human Rights Commission, </w:t>
      </w:r>
      <w:hyperlink r:id="rId59" w:history="1">
        <w:r w:rsidRPr="00A3583A">
          <w:rPr>
            <w:rStyle w:val="Hyperlink"/>
          </w:rPr>
          <w:t>Wiyi Yani U Thangani (Women’s Voices): securing our rights, securing our future report</w:t>
        </w:r>
      </w:hyperlink>
      <w:r w:rsidRPr="00772BC3">
        <w:t>, Australian Human Rights Commission, 2020.</w:t>
      </w:r>
    </w:p>
    <w:p w14:paraId="7C261FE0" w14:textId="77777777" w:rsidR="00F66926" w:rsidRPr="00772BC3" w:rsidRDefault="00F66926" w:rsidP="00A3583A">
      <w:pPr>
        <w:pStyle w:val="Tablelistnumber"/>
      </w:pPr>
      <w:r w:rsidRPr="00772BC3">
        <w:t xml:space="preserve">AIHW, </w:t>
      </w:r>
      <w:r w:rsidRPr="00E80E4E">
        <w:t>Chronic conditions</w:t>
      </w:r>
      <w:r w:rsidRPr="00772BC3">
        <w:t>.</w:t>
      </w:r>
    </w:p>
    <w:p w14:paraId="2ABABB1D" w14:textId="6BA557D2" w:rsidR="00F66926" w:rsidRPr="00772BC3" w:rsidRDefault="00F66926" w:rsidP="00A3583A">
      <w:pPr>
        <w:pStyle w:val="Tablelistnumber"/>
      </w:pPr>
      <w:r w:rsidRPr="00772BC3">
        <w:t xml:space="preserve">Victorian Government, </w:t>
      </w:r>
      <w:hyperlink r:id="rId60" w:history="1">
        <w:r w:rsidRPr="00A3583A">
          <w:rPr>
            <w:rStyle w:val="Hyperlink"/>
          </w:rPr>
          <w:t>Understanding intersectionality</w:t>
        </w:r>
      </w:hyperlink>
      <w:r w:rsidRPr="00772BC3">
        <w:t xml:space="preserve">, Vic.gov.au, 2021, accessed 8 July 2025; L Bowleg, 'The problem with the phrase women and minorities: intersectionality–an important theoretical framework for public health', </w:t>
      </w:r>
      <w:r w:rsidRPr="00F06202">
        <w:rPr>
          <w:rStyle w:val="Emphasis"/>
        </w:rPr>
        <w:t>American Journal of Public Health</w:t>
      </w:r>
      <w:r w:rsidRPr="00772BC3">
        <w:t>, 2012, 102(7): 1267–1273, doi:10.2105/AJPH.2012.300750.</w:t>
      </w:r>
    </w:p>
    <w:p w14:paraId="58A9227F" w14:textId="7ED1BE14" w:rsidR="00F66926" w:rsidRPr="00772BC3" w:rsidRDefault="00950FC2" w:rsidP="00A3583A">
      <w:pPr>
        <w:pStyle w:val="Tablelistnumber"/>
      </w:pPr>
      <w:r>
        <w:t>AIHW</w:t>
      </w:r>
      <w:r w:rsidR="00F66926" w:rsidRPr="00772BC3">
        <w:t xml:space="preserve">, </w:t>
      </w:r>
      <w:hyperlink r:id="rId61" w:history="1">
        <w:r w:rsidR="00F66926" w:rsidRPr="00A3583A">
          <w:rPr>
            <w:rStyle w:val="Hyperlink"/>
          </w:rPr>
          <w:t>What are determinants of health?</w:t>
        </w:r>
      </w:hyperlink>
      <w:r w:rsidR="00F66926" w:rsidRPr="00772BC3">
        <w:t>, AIHW website, 2024, accessed 8 July 2025.</w:t>
      </w:r>
    </w:p>
    <w:p w14:paraId="6B9D4F9B" w14:textId="77777777" w:rsidR="00F66926" w:rsidRPr="00772BC3" w:rsidRDefault="00F66926" w:rsidP="00A3583A">
      <w:pPr>
        <w:pStyle w:val="Tablelistnumber"/>
      </w:pPr>
      <w:r w:rsidRPr="00772BC3">
        <w:t xml:space="preserve">AIHW, Chronic conditions. </w:t>
      </w:r>
    </w:p>
    <w:p w14:paraId="0D03D59D" w14:textId="77777777" w:rsidR="00F66926" w:rsidRPr="00772BC3" w:rsidRDefault="00F66926" w:rsidP="00A3583A">
      <w:pPr>
        <w:pStyle w:val="Tablelistnumber"/>
      </w:pPr>
      <w:r w:rsidRPr="00772BC3">
        <w:t xml:space="preserve">AIHW, Chronic conditions. </w:t>
      </w:r>
    </w:p>
    <w:p w14:paraId="67269584" w14:textId="4F75FCC7" w:rsidR="00F66926" w:rsidRPr="00772BC3" w:rsidRDefault="00950FC2" w:rsidP="00A3583A">
      <w:pPr>
        <w:pStyle w:val="Tablelistnumber"/>
      </w:pPr>
      <w:r>
        <w:t>AIHW</w:t>
      </w:r>
      <w:r w:rsidR="00F66926" w:rsidRPr="00772BC3">
        <w:t xml:space="preserve">, </w:t>
      </w:r>
      <w:hyperlink r:id="rId62" w:history="1">
        <w:r w:rsidR="00F66926" w:rsidRPr="00772BC3">
          <w:rPr>
            <w:rStyle w:val="Hyperlink"/>
          </w:rPr>
          <w:t>'Comparison with 2021–22 and historical data</w:t>
        </w:r>
      </w:hyperlink>
      <w:r w:rsidR="00F66926" w:rsidRPr="00772BC3">
        <w:t xml:space="preserve">', </w:t>
      </w:r>
      <w:r w:rsidR="00F66926" w:rsidRPr="00F06202">
        <w:rPr>
          <w:rStyle w:val="Emphasis"/>
        </w:rPr>
        <w:t>Health system spending on disease and injury in Australia 2022–23</w:t>
      </w:r>
      <w:r w:rsidR="00F66926" w:rsidRPr="00772BC3">
        <w:t>, AIHW website, 2024, accessed 8 July 2025.</w:t>
      </w:r>
    </w:p>
    <w:p w14:paraId="4E42CC9B" w14:textId="7355F9C9" w:rsidR="00F66926" w:rsidRPr="00772BC3" w:rsidRDefault="00950FC2" w:rsidP="00A3583A">
      <w:pPr>
        <w:pStyle w:val="Tablelistnumber"/>
      </w:pPr>
      <w:r>
        <w:t xml:space="preserve">(WHO) </w:t>
      </w:r>
      <w:r w:rsidR="00F66926" w:rsidRPr="00772BC3">
        <w:t xml:space="preserve">World Health Organization, </w:t>
      </w:r>
      <w:hyperlink r:id="rId63" w:history="1">
        <w:r w:rsidR="00F66926" w:rsidRPr="00A3583A">
          <w:rPr>
            <w:rStyle w:val="Hyperlink"/>
          </w:rPr>
          <w:t>Global action plan for the prevention and control of noncommunicable diseases 2013–2020</w:t>
        </w:r>
      </w:hyperlink>
      <w:r w:rsidR="00F66926" w:rsidRPr="00772BC3">
        <w:t>, WHO, 2013.</w:t>
      </w:r>
    </w:p>
    <w:p w14:paraId="73B04679" w14:textId="03B416C9" w:rsidR="00F66926" w:rsidRPr="00772BC3" w:rsidRDefault="00F66926" w:rsidP="00A3583A">
      <w:pPr>
        <w:pStyle w:val="Tablelistnumber"/>
      </w:pPr>
      <w:r w:rsidRPr="00772BC3">
        <w:t xml:space="preserve">World Health Organization, </w:t>
      </w:r>
      <w:hyperlink r:id="rId64" w:history="1">
        <w:r w:rsidRPr="00A3583A">
          <w:rPr>
            <w:rStyle w:val="Hyperlink"/>
          </w:rPr>
          <w:t>The 1st International Conference on Health Promotion, Ottawa, 1986</w:t>
        </w:r>
      </w:hyperlink>
      <w:r w:rsidRPr="00772BC3">
        <w:t>, WHO website, 1986, accessed 8 July 2025.</w:t>
      </w:r>
    </w:p>
    <w:p w14:paraId="4C8C8CF0" w14:textId="4DA758B4" w:rsidR="00F66926" w:rsidRPr="00772BC3" w:rsidRDefault="00F66926" w:rsidP="00A3583A">
      <w:pPr>
        <w:pStyle w:val="Tablelistnumber"/>
      </w:pPr>
      <w:r w:rsidRPr="00772BC3">
        <w:t xml:space="preserve">Department of Health, </w:t>
      </w:r>
      <w:hyperlink r:id="rId65" w:history="1">
        <w:r w:rsidRPr="00A3583A">
          <w:rPr>
            <w:rStyle w:val="Hyperlink"/>
          </w:rPr>
          <w:t>National Preventive Health Strategy 2021–2030</w:t>
        </w:r>
      </w:hyperlink>
      <w:r w:rsidRPr="00772BC3">
        <w:t>, Department of Health, Australian Government, 2021.</w:t>
      </w:r>
    </w:p>
    <w:p w14:paraId="4707AC21" w14:textId="7C6F2D57" w:rsidR="00F66926" w:rsidRPr="00772BC3" w:rsidRDefault="00950FC2" w:rsidP="00A3583A">
      <w:pPr>
        <w:pStyle w:val="Tablelistnumber"/>
      </w:pPr>
      <w:r>
        <w:t>AIHW</w:t>
      </w:r>
      <w:r w:rsidR="00F66926" w:rsidRPr="00772BC3">
        <w:t xml:space="preserve">, </w:t>
      </w:r>
      <w:hyperlink r:id="rId66" w:history="1">
        <w:r w:rsidR="00F66926" w:rsidRPr="00772BC3">
          <w:rPr>
            <w:rStyle w:val="Hyperlink"/>
          </w:rPr>
          <w:t>'Key findings</w:t>
        </w:r>
      </w:hyperlink>
      <w:r w:rsidR="00F66926" w:rsidRPr="00772BC3">
        <w:t xml:space="preserve">', </w:t>
      </w:r>
      <w:r w:rsidR="00F66926" w:rsidRPr="00F06202">
        <w:rPr>
          <w:rStyle w:val="Emphasis"/>
        </w:rPr>
        <w:t>Australian Burden of Disease Study 2024</w:t>
      </w:r>
      <w:r w:rsidR="00F66926" w:rsidRPr="00772BC3">
        <w:t>, 2024, accessed 8 July 2025.</w:t>
      </w:r>
    </w:p>
    <w:p w14:paraId="0C6338C5" w14:textId="502B54A5" w:rsidR="00F66926" w:rsidRPr="00772BC3" w:rsidRDefault="00950FC2" w:rsidP="00A3583A">
      <w:pPr>
        <w:pStyle w:val="Tablelistnumber"/>
      </w:pPr>
      <w:r>
        <w:t>AIHW</w:t>
      </w:r>
      <w:r w:rsidR="00F66926" w:rsidRPr="00772BC3">
        <w:t xml:space="preserve">, </w:t>
      </w:r>
      <w:hyperlink r:id="rId67" w:history="1">
        <w:r w:rsidR="00F66926" w:rsidRPr="00A3583A">
          <w:rPr>
            <w:rStyle w:val="Hyperlink"/>
          </w:rPr>
          <w:t>Australian Burden of Disease Study: impact and causes of illness and death in Aboriginal and Torres Strait Islander people 2018</w:t>
        </w:r>
      </w:hyperlink>
      <w:r w:rsidR="00F66926" w:rsidRPr="00772BC3">
        <w:t>, AIHW, Australian Government, 2022.</w:t>
      </w:r>
    </w:p>
    <w:p w14:paraId="55859BAE" w14:textId="1C1E8599" w:rsidR="00F66926" w:rsidRPr="00772BC3" w:rsidRDefault="00950FC2" w:rsidP="00A3583A">
      <w:pPr>
        <w:pStyle w:val="Tablelistnumber"/>
      </w:pPr>
      <w:r w:rsidRPr="00772BC3">
        <w:t xml:space="preserve">ACSQHC </w:t>
      </w:r>
      <w:r>
        <w:t>(</w:t>
      </w:r>
      <w:r w:rsidR="00F66926" w:rsidRPr="00772BC3">
        <w:t>Australian Commission on Safety and Quality in Health Care</w:t>
      </w:r>
      <w:r>
        <w:t>)</w:t>
      </w:r>
      <w:r w:rsidR="00F66926" w:rsidRPr="00772BC3">
        <w:t xml:space="preserve">, </w:t>
      </w:r>
      <w:hyperlink r:id="rId68" w:history="1">
        <w:r w:rsidR="00F66926" w:rsidRPr="00A3583A">
          <w:rPr>
            <w:rStyle w:val="Hyperlink"/>
          </w:rPr>
          <w:t>National Statement on Health Literacy: taking action to improve safety and quality</w:t>
        </w:r>
      </w:hyperlink>
      <w:r w:rsidR="00F66926" w:rsidRPr="00772BC3">
        <w:t>, ACSQHC, Australian Government, 2014.</w:t>
      </w:r>
    </w:p>
    <w:p w14:paraId="01B2524F" w14:textId="175ED287" w:rsidR="00F66926" w:rsidRPr="00772BC3" w:rsidRDefault="00F66926" w:rsidP="00A3583A">
      <w:pPr>
        <w:pStyle w:val="Tablelistnumber"/>
      </w:pPr>
      <w:r w:rsidRPr="00772BC3">
        <w:t xml:space="preserve">Good Things Australia, </w:t>
      </w:r>
      <w:hyperlink r:id="rId69" w:history="1">
        <w:r w:rsidRPr="00A3583A">
          <w:rPr>
            <w:rStyle w:val="Hyperlink"/>
          </w:rPr>
          <w:t>We're closing the digital divide</w:t>
        </w:r>
      </w:hyperlink>
      <w:r w:rsidRPr="00772BC3">
        <w:t>, Good Things Australia website, n.d., accessed 8 July 2025.</w:t>
      </w:r>
    </w:p>
    <w:p w14:paraId="310C49FC" w14:textId="295B2977" w:rsidR="00F66926" w:rsidRPr="00772BC3" w:rsidRDefault="00950FC2" w:rsidP="00A3583A">
      <w:pPr>
        <w:pStyle w:val="Tablelistnumber"/>
      </w:pPr>
      <w:r w:rsidRPr="00772BC3">
        <w:t>ACSQHC</w:t>
      </w:r>
      <w:r w:rsidR="00F66926" w:rsidRPr="00772BC3">
        <w:t xml:space="preserve">, </w:t>
      </w:r>
      <w:hyperlink r:id="rId70" w:history="1">
        <w:r w:rsidR="00F66926" w:rsidRPr="00A3583A">
          <w:rPr>
            <w:rStyle w:val="Hyperlink"/>
          </w:rPr>
          <w:t>Shared decision making</w:t>
        </w:r>
      </w:hyperlink>
      <w:r w:rsidR="00F66926" w:rsidRPr="00772BC3">
        <w:t>, ACSQHC website, n.d., accessed 8 July 2025.</w:t>
      </w:r>
    </w:p>
    <w:p w14:paraId="3F7F259C" w14:textId="2FFFD072" w:rsidR="00F66926" w:rsidRPr="00772BC3" w:rsidRDefault="00F66926" w:rsidP="00A3583A">
      <w:pPr>
        <w:pStyle w:val="Tablelistnumber"/>
      </w:pPr>
      <w:r w:rsidRPr="00772BC3">
        <w:t xml:space="preserve">Nesta, the Innovation Unit and PPL, </w:t>
      </w:r>
      <w:hyperlink r:id="rId71" w:history="1">
        <w:r w:rsidRPr="00A3583A">
          <w:rPr>
            <w:rStyle w:val="Hyperlink"/>
          </w:rPr>
          <w:t>The business case for People Powered Health</w:t>
        </w:r>
      </w:hyperlink>
      <w:r w:rsidRPr="00772BC3">
        <w:t xml:space="preserve">, Nesta, London, 2013; M Battersby, M Von Korff, J Schaefer, C Davis, E Ludman, SM Greene, M Parkerton and E Wagner, 'Twelve evidence-based principles for implementing self-management support in primary care', </w:t>
      </w:r>
      <w:r w:rsidRPr="00F06202">
        <w:rPr>
          <w:rStyle w:val="Emphasis"/>
        </w:rPr>
        <w:t>The Joint Commission Journal on Quality and Patient Safety</w:t>
      </w:r>
      <w:r w:rsidRPr="00772BC3">
        <w:t>, 2010, 36(12):561–570, doi:10.1016/s1553-7250(10)36084-3.</w:t>
      </w:r>
    </w:p>
    <w:p w14:paraId="0BD2B315" w14:textId="77777777" w:rsidR="00F66926" w:rsidRPr="00772BC3" w:rsidRDefault="00F66926" w:rsidP="00A3583A">
      <w:pPr>
        <w:pStyle w:val="Tablelistnumber"/>
      </w:pPr>
      <w:r w:rsidRPr="00772BC3">
        <w:t xml:space="preserve">S Hutchinson, H Lauckner, C Stilwell and BA Meisner, 'Leisure and leisure education as resources for rehabilitation supports for chronic condition self-management in rural and remote communities', </w:t>
      </w:r>
      <w:r w:rsidRPr="00F06202">
        <w:rPr>
          <w:rStyle w:val="Emphasis"/>
        </w:rPr>
        <w:t>Frontiers in Rehabilitation Sciences</w:t>
      </w:r>
      <w:r w:rsidRPr="00772BC3">
        <w:t xml:space="preserve">, 2022, 3: 889209, doi: 10.3389/fresc.2022.889209. </w:t>
      </w:r>
    </w:p>
    <w:p w14:paraId="2D2CE534" w14:textId="4AD83E52" w:rsidR="00F66926" w:rsidRPr="00772BC3" w:rsidRDefault="00F66926" w:rsidP="00A3583A">
      <w:pPr>
        <w:pStyle w:val="Tablelistnumber"/>
      </w:pPr>
      <w:r w:rsidRPr="00772BC3">
        <w:t xml:space="preserve">Australian Bureau of Statistics, </w:t>
      </w:r>
      <w:hyperlink r:id="rId72" w:history="1">
        <w:r w:rsidRPr="00A3583A">
          <w:rPr>
            <w:rStyle w:val="Hyperlink"/>
          </w:rPr>
          <w:t>National Study of Mental Health and Wellbeing 2020–2022</w:t>
        </w:r>
      </w:hyperlink>
      <w:r w:rsidRPr="00772BC3">
        <w:t>, ABS website, 2023, accessed 8 July 2025.</w:t>
      </w:r>
    </w:p>
    <w:p w14:paraId="2E61B4B0" w14:textId="77777777" w:rsidR="00F66926" w:rsidRPr="00772BC3" w:rsidRDefault="00F66926" w:rsidP="00A3583A">
      <w:pPr>
        <w:pStyle w:val="Tablelistnumber"/>
      </w:pPr>
      <w:r w:rsidRPr="00772BC3">
        <w:t xml:space="preserve">T Doan, V Ha, L Strazdins and D Chateau, 'Healthy minds live in healthy bodies – effect of physical health on mental health: evidence from Australian longitudinal data', </w:t>
      </w:r>
      <w:r w:rsidRPr="00F06202">
        <w:rPr>
          <w:rStyle w:val="Emphasis"/>
        </w:rPr>
        <w:t>Current Psychology</w:t>
      </w:r>
      <w:r w:rsidRPr="00772BC3">
        <w:t xml:space="preserve">, 2023, 42:18702–18713, doi:10.1007/s12144-022-03053-7. </w:t>
      </w:r>
    </w:p>
    <w:p w14:paraId="6BBB56D5" w14:textId="12F63F19" w:rsidR="00F66926" w:rsidRPr="00772BC3" w:rsidRDefault="00F66926" w:rsidP="00A3583A">
      <w:pPr>
        <w:pStyle w:val="Tablelistnumber"/>
      </w:pPr>
      <w:r w:rsidRPr="00772BC3">
        <w:t>WHO, Global action plan for the prevention and control of noncommunicable diseases 2013–2020.</w:t>
      </w:r>
    </w:p>
    <w:p w14:paraId="0CFF07A4" w14:textId="77777777" w:rsidR="00F66926" w:rsidRPr="00772BC3" w:rsidRDefault="00F66926" w:rsidP="00A3583A">
      <w:pPr>
        <w:pStyle w:val="Tablelistnumber"/>
      </w:pPr>
      <w:r w:rsidRPr="00772BC3">
        <w:t xml:space="preserve">R Ng, R Sutradhar, K Kornas, WP Wodchis, J Sarkar, R Fransoo and LC Rosella, 'Development and validation of the Chronic Disease Population Risk Tool (CDPoRT) to predict incidence of adult chronic disease', </w:t>
      </w:r>
      <w:r w:rsidRPr="00F06202">
        <w:rPr>
          <w:rStyle w:val="Emphasis"/>
        </w:rPr>
        <w:t>JAMA Network Open</w:t>
      </w:r>
      <w:r w:rsidRPr="00772BC3">
        <w:t xml:space="preserve">, 2020, 3(6): e204669, doi:10.1186/s41512-018-0042-5. </w:t>
      </w:r>
    </w:p>
    <w:p w14:paraId="2ED4E589" w14:textId="77777777" w:rsidR="00F66926" w:rsidRPr="00772BC3" w:rsidRDefault="00F66926" w:rsidP="00A3583A">
      <w:pPr>
        <w:pStyle w:val="Tablelistnumber"/>
      </w:pPr>
      <w:r w:rsidRPr="00772BC3">
        <w:t xml:space="preserve">SA Thomas, CJ Browning, FJ Charchar, B Klein, MG Ory, H Bowden-Jones and SR Chamberlain, 'Transforming global approaches to chronic disease prevention and management across the lifespan: integrating genomics, behavior change, and digital health solutions', </w:t>
      </w:r>
      <w:r w:rsidRPr="00F06202">
        <w:rPr>
          <w:rStyle w:val="Emphasis"/>
        </w:rPr>
        <w:t>Frontiers in Public Health</w:t>
      </w:r>
      <w:r w:rsidRPr="00772BC3">
        <w:t xml:space="preserve">, 2023, 11:1248254, doi:10.3389/fpubh.2023.1248254. </w:t>
      </w:r>
    </w:p>
    <w:p w14:paraId="4AA67186" w14:textId="77777777" w:rsidR="00AE79DA" w:rsidRPr="00772BC3" w:rsidRDefault="00AE79DA" w:rsidP="00A3583A">
      <w:pPr>
        <w:pStyle w:val="Tablelistnumber"/>
      </w:pPr>
      <w:r w:rsidRPr="00772BC3">
        <w:t xml:space="preserve">ST Skou, FS Mair, M Fortin, B Guthrie, BP Nunes, JJ Miranda, CM Boyd, S Pati, S Mtenga and SM Smith, 'Multimorbidity', </w:t>
      </w:r>
      <w:r w:rsidRPr="00F06202">
        <w:rPr>
          <w:rStyle w:val="Emphasis"/>
        </w:rPr>
        <w:t>Nature Reviews Disease Primers</w:t>
      </w:r>
      <w:r w:rsidRPr="00772BC3">
        <w:t>, 2022, 8(1):48, doi:10.1038/s41572-022-00376-4.</w:t>
      </w:r>
    </w:p>
    <w:p w14:paraId="43C0FD64" w14:textId="295286CF" w:rsidR="00AE79DA" w:rsidRPr="00772BC3" w:rsidRDefault="002D3610" w:rsidP="00A3583A">
      <w:pPr>
        <w:pStyle w:val="Tablelistnumber"/>
      </w:pPr>
      <w:r w:rsidRPr="00772BC3">
        <w:t>ACSQHC</w:t>
      </w:r>
      <w:r w:rsidR="00AE79DA" w:rsidRPr="00772BC3">
        <w:t xml:space="preserve">, </w:t>
      </w:r>
      <w:hyperlink r:id="rId73" w:history="1">
        <w:r w:rsidR="00AE79DA" w:rsidRPr="00A3583A">
          <w:rPr>
            <w:rStyle w:val="Hyperlink"/>
          </w:rPr>
          <w:t>OECD Patient-Reported Indicator Surveys (PaRIS): Australian national report 2025</w:t>
        </w:r>
      </w:hyperlink>
      <w:r w:rsidR="00AE79DA" w:rsidRPr="00772BC3">
        <w:t>, ACSQHC, Australian Government, 2025.</w:t>
      </w:r>
    </w:p>
    <w:p w14:paraId="38769322" w14:textId="208A21D2" w:rsidR="00F66926" w:rsidRPr="00772BC3" w:rsidRDefault="00F66926" w:rsidP="00A3583A">
      <w:pPr>
        <w:pStyle w:val="Tablelistnumber"/>
      </w:pPr>
      <w:r w:rsidRPr="00772BC3">
        <w:t xml:space="preserve">Productivity Commission, </w:t>
      </w:r>
      <w:hyperlink r:id="rId74" w:history="1">
        <w:r w:rsidRPr="00A3583A">
          <w:rPr>
            <w:rStyle w:val="Hyperlink"/>
          </w:rPr>
          <w:t>Leveraging digital technology in healthcare: research paper</w:t>
        </w:r>
      </w:hyperlink>
      <w:r w:rsidRPr="00772BC3">
        <w:t>, Productivity Commission, Australian Government, 2024.</w:t>
      </w:r>
    </w:p>
    <w:p w14:paraId="37F75B70" w14:textId="77777777" w:rsidR="00F66926" w:rsidRPr="00772BC3" w:rsidRDefault="00F66926" w:rsidP="00A3583A">
      <w:pPr>
        <w:pStyle w:val="Tablelistnumber"/>
      </w:pPr>
      <w:r w:rsidRPr="00772BC3">
        <w:t xml:space="preserve">R Raeside, A Todd, KA Sim, M Kang, S Mihrshahi, LA Gardner, KE Champion, J Skinner, L Laranjo, K Steinbeck, J Redfern and SR Partridge, 'Accelerating implementation of adolescent digital health prevention programs: analysis of insights from Australian stakeholders', </w:t>
      </w:r>
      <w:r w:rsidRPr="00F06202">
        <w:rPr>
          <w:rStyle w:val="Emphasis"/>
        </w:rPr>
        <w:t>Frontiers in Public Health</w:t>
      </w:r>
      <w:r w:rsidRPr="00772BC3">
        <w:t xml:space="preserve">, 2024, 12:1389739, 2024, doi:10.3389/fpubh.2024.1389739. </w:t>
      </w:r>
    </w:p>
    <w:p w14:paraId="277BBA98" w14:textId="77777777" w:rsidR="00F66926" w:rsidRPr="00772BC3" w:rsidRDefault="00F66926" w:rsidP="00A3583A">
      <w:pPr>
        <w:pStyle w:val="Tablelistnumber"/>
      </w:pPr>
      <w:r w:rsidRPr="00772BC3">
        <w:t xml:space="preserve">A Ghahramani, M de Courten and M Prokofieva, 'The potential of social media in health promotion beyond creating awareness: an integrative review', </w:t>
      </w:r>
      <w:r w:rsidRPr="00F06202">
        <w:rPr>
          <w:rStyle w:val="Emphasis"/>
        </w:rPr>
        <w:t>BMC Public Health</w:t>
      </w:r>
      <w:r w:rsidRPr="00772BC3">
        <w:t xml:space="preserve">, 2022, 22(1): 2402, doi:10.1186/s12889-022-14885-0; SJ Iribarren, TO Akande, KJ Kamp, D Barry, YG Kader and E Suelzer, 'Effectiveness of mobile apps to promote health and manage disease: systematic review and meta-analysis of randomized controlled trials', </w:t>
      </w:r>
      <w:r w:rsidRPr="00F06202">
        <w:rPr>
          <w:rStyle w:val="Emphasis"/>
        </w:rPr>
        <w:t>JMIR mHealth and uHealth</w:t>
      </w:r>
      <w:r w:rsidRPr="00772BC3">
        <w:t xml:space="preserve">, 2021, 9(1):e21563, doi:10.2196/21563. </w:t>
      </w:r>
    </w:p>
    <w:p w14:paraId="50B22A11" w14:textId="77777777" w:rsidR="00F66926" w:rsidRPr="00772BC3" w:rsidRDefault="00F66926" w:rsidP="00A3583A">
      <w:pPr>
        <w:pStyle w:val="Tablelistnumber"/>
      </w:pPr>
      <w:r w:rsidRPr="00772BC3">
        <w:t xml:space="preserve">MG Newman, CA Porucznik, AP Date, S Abdelrahman, KC Schliep, JA VanDerslide, KR Smith and HA Hanson, 'Generating older adult multimorbidity trajectories using various comorbidity indices and calculation methods', </w:t>
      </w:r>
      <w:r w:rsidRPr="00F06202">
        <w:rPr>
          <w:rStyle w:val="Emphasis"/>
        </w:rPr>
        <w:t>Innovation in Aging</w:t>
      </w:r>
      <w:r w:rsidRPr="00772BC3">
        <w:t xml:space="preserve">, 2023, 7(3):igad023, doi:10.1093/geroni/igad023. </w:t>
      </w:r>
    </w:p>
    <w:p w14:paraId="5E04A7A3" w14:textId="77777777" w:rsidR="00F66926" w:rsidRPr="00772BC3" w:rsidRDefault="00F66926" w:rsidP="00A3583A">
      <w:pPr>
        <w:pStyle w:val="Tablelistnumber"/>
      </w:pPr>
      <w:r w:rsidRPr="00772BC3">
        <w:t xml:space="preserve">J Rashid, S Batool, J Kim, M Wasif Nisar, A Hussain, S Juneja and R Kushwaha, 'An augmented Artificial Intelligence approach for chronic disease prediction', </w:t>
      </w:r>
      <w:r w:rsidRPr="00F06202">
        <w:rPr>
          <w:rStyle w:val="Emphasis"/>
        </w:rPr>
        <w:t>Frontiers in Public Health</w:t>
      </w:r>
      <w:r w:rsidRPr="00772BC3">
        <w:t xml:space="preserve">, 2022, 10:860396, doi:10.3389/fpubh.2022.860396. </w:t>
      </w:r>
    </w:p>
    <w:p w14:paraId="73A013C5" w14:textId="77777777" w:rsidR="00F66926" w:rsidRPr="00772BC3" w:rsidRDefault="00F66926" w:rsidP="00A3583A">
      <w:pPr>
        <w:pStyle w:val="Tablelistnumber"/>
      </w:pPr>
      <w:r w:rsidRPr="00772BC3">
        <w:t xml:space="preserve">CL Jackson and L Ball, 'Continuity of care: vital, but how do we measure and promote it?', </w:t>
      </w:r>
      <w:r w:rsidRPr="00F06202">
        <w:rPr>
          <w:rStyle w:val="Emphasis"/>
        </w:rPr>
        <w:t>Australian Journal of General Practice</w:t>
      </w:r>
      <w:r w:rsidRPr="00772BC3">
        <w:t xml:space="preserve">, 2018, 47(10):662–664, doi:10.31128/AJGP-05-18-4568. </w:t>
      </w:r>
    </w:p>
    <w:p w14:paraId="5F235A8F" w14:textId="10A56E5D" w:rsidR="00F66926" w:rsidRPr="00772BC3" w:rsidRDefault="00F66926" w:rsidP="00A3583A">
      <w:pPr>
        <w:pStyle w:val="Tablelistnumber"/>
      </w:pPr>
      <w:r w:rsidRPr="00772BC3">
        <w:t xml:space="preserve">DJ Pereira Gray, K Sidaway-Lee, E White, A Thorne and PH Evans, 'Continuity of care with doctors – a matter </w:t>
      </w:r>
      <w:r w:rsidR="006C7FBE" w:rsidRPr="00772BC3">
        <w:t>of</w:t>
      </w:r>
      <w:r w:rsidRPr="00772BC3">
        <w:t xml:space="preserve"> life and death? A systematic review of continuity of care and mortality', </w:t>
      </w:r>
      <w:r w:rsidRPr="00F06202">
        <w:rPr>
          <w:rStyle w:val="Emphasis"/>
        </w:rPr>
        <w:t>BMJ Open</w:t>
      </w:r>
      <w:r w:rsidRPr="00772BC3">
        <w:t xml:space="preserve">, 2018, 8(6):e021161, doi:10.1136/bmjopen-2017-021161. </w:t>
      </w:r>
    </w:p>
    <w:p w14:paraId="6A5612AA" w14:textId="77777777" w:rsidR="00F66926" w:rsidRPr="00772BC3" w:rsidRDefault="00F66926" w:rsidP="00A3583A">
      <w:pPr>
        <w:pStyle w:val="Tablelistnumber"/>
      </w:pPr>
      <w:r w:rsidRPr="00772BC3">
        <w:t xml:space="preserve">RL Cutler, A Torres-Robles, E Wiecek, B Drake, N Van der Linden, SI Benrimoj and V Garcia-Cardenas, 'Pharmacist-led medication non-adherence intervention: reducing the economic burden placed on the Australian health care system', </w:t>
      </w:r>
      <w:r w:rsidRPr="00F06202">
        <w:rPr>
          <w:rStyle w:val="Emphasis"/>
        </w:rPr>
        <w:t>Patient Prefer Adherence</w:t>
      </w:r>
      <w:r w:rsidRPr="00772BC3">
        <w:t xml:space="preserve">, 2019, 13:853–862, doi:10.2147/PPA.S191482; T Usherwood, 'Therapeutic inertia', </w:t>
      </w:r>
      <w:r w:rsidRPr="00F06202">
        <w:rPr>
          <w:rStyle w:val="Emphasis"/>
        </w:rPr>
        <w:t>Australian Prescriber</w:t>
      </w:r>
      <w:r w:rsidRPr="00772BC3">
        <w:t xml:space="preserve">, 2024, 47(1):15–19, doi:10.18773/austprescr.2024.001. </w:t>
      </w:r>
    </w:p>
    <w:p w14:paraId="0316E11F" w14:textId="77777777" w:rsidR="00F66926" w:rsidRPr="00772BC3" w:rsidRDefault="00F66926" w:rsidP="00A3583A">
      <w:pPr>
        <w:pStyle w:val="Tablelistnumber"/>
      </w:pPr>
      <w:r w:rsidRPr="00772BC3">
        <w:t xml:space="preserve">TD Street, K Somaray, GC Richards and SJ Lacey, 'Continuity of care for patients with chronic conditions from rural or remote Australia: a systematic review', </w:t>
      </w:r>
      <w:r w:rsidRPr="00F06202">
        <w:rPr>
          <w:rStyle w:val="Emphasis"/>
        </w:rPr>
        <w:t>The Australian Journal of Rural Health</w:t>
      </w:r>
      <w:r w:rsidRPr="00772BC3">
        <w:t xml:space="preserve">, 2019, 27(3):196–202, doi:10.1111/ajr.12511; R Khatri, A Endalamaw, D Erku, E Wolka, F Nigatu, A Zewdie and Y Assefa, 'Continuity and care coordination of primary health care: a scoping review', </w:t>
      </w:r>
      <w:r w:rsidRPr="00F06202">
        <w:rPr>
          <w:rStyle w:val="Emphasis"/>
        </w:rPr>
        <w:t>BMC Health Services Research</w:t>
      </w:r>
      <w:r w:rsidRPr="00772BC3">
        <w:t xml:space="preserve">, 2023, 23(1):750, doi:10.1186/s12913-023-09718-8; T Dimopoulos-Bick, D Follent, C Kostovski, V Middleton, C Paulson, S Sutherland, M Cawley, M Files, S Follent, R Osten and L Trevena, 'Finding Your Way – A shared decision making resource developed by and for Aboriginal people in Australia: perceived acceptability, usability, and feasibility', </w:t>
      </w:r>
      <w:r w:rsidRPr="00F06202">
        <w:rPr>
          <w:rStyle w:val="Emphasis"/>
        </w:rPr>
        <w:t>Patient Education and Counseling</w:t>
      </w:r>
      <w:r w:rsidRPr="00772BC3">
        <w:t xml:space="preserve">, 2023, 115:107920, doi:10.1016/j.pec.2023.107920. </w:t>
      </w:r>
    </w:p>
    <w:p w14:paraId="1FC7222E" w14:textId="5E0A7F1A" w:rsidR="00F66926" w:rsidRPr="00772BC3" w:rsidRDefault="002D3610" w:rsidP="00A3583A">
      <w:pPr>
        <w:pStyle w:val="Tablelistnumber"/>
      </w:pPr>
      <w:r>
        <w:t>AIHW</w:t>
      </w:r>
      <w:r w:rsidR="00F66926" w:rsidRPr="00772BC3">
        <w:t xml:space="preserve">, </w:t>
      </w:r>
      <w:hyperlink r:id="rId75" w:history="1">
        <w:r w:rsidR="00F66926" w:rsidRPr="00A3583A">
          <w:rPr>
            <w:rStyle w:val="Hyperlink"/>
          </w:rPr>
          <w:t>Digital health</w:t>
        </w:r>
      </w:hyperlink>
      <w:r w:rsidR="00F66926" w:rsidRPr="00772BC3">
        <w:t>, AIHW website, 2024, accessed 17 July 2025.</w:t>
      </w:r>
    </w:p>
    <w:p w14:paraId="3576EFDE" w14:textId="77777777" w:rsidR="00F66926" w:rsidRPr="00772BC3" w:rsidRDefault="00F66926" w:rsidP="00A3583A">
      <w:pPr>
        <w:pStyle w:val="Tablelistnumber"/>
      </w:pPr>
      <w:r w:rsidRPr="00772BC3">
        <w:t xml:space="preserve">S Murtagh, G McCombe, J Broughan, A Carroll, M Casey, A Harrold, T Dennehy, R Fawsitt and W Cullen, 'Integrating primary and secondary care to enhance chronic disease management: a scoping review', </w:t>
      </w:r>
      <w:r w:rsidRPr="00F06202">
        <w:rPr>
          <w:rStyle w:val="Emphasis"/>
        </w:rPr>
        <w:t>International Journal of Integrated Care</w:t>
      </w:r>
      <w:r w:rsidRPr="00772BC3">
        <w:t xml:space="preserve">, 2021, 21(1):4, doi:10.5334/ijic.5508. </w:t>
      </w:r>
    </w:p>
    <w:p w14:paraId="2EDCE81F" w14:textId="77777777" w:rsidR="00F66926" w:rsidRPr="00772BC3" w:rsidRDefault="00F66926" w:rsidP="00A3583A">
      <w:pPr>
        <w:pStyle w:val="Tablelistnumber"/>
      </w:pPr>
      <w:r w:rsidRPr="00772BC3">
        <w:t xml:space="preserve">C Foo, S Surendran, G Jimenez, JP Ansah, DB Matchar and GC Koh, 'Primary Care Networks and Starfield's 4Cs: a case for enhanced chronic disease management', </w:t>
      </w:r>
      <w:r w:rsidRPr="00F06202">
        <w:rPr>
          <w:rStyle w:val="Emphasis"/>
        </w:rPr>
        <w:t>International Journal of Environmental Research and Public Health</w:t>
      </w:r>
      <w:r w:rsidRPr="00772BC3">
        <w:t xml:space="preserve">, 2021, 18(6):2926, doi:10.3390/ijerph18062926. </w:t>
      </w:r>
    </w:p>
    <w:p w14:paraId="6BC1CA3F" w14:textId="77777777" w:rsidR="00F66926" w:rsidRPr="00772BC3" w:rsidRDefault="00F66926" w:rsidP="00A3583A">
      <w:pPr>
        <w:pStyle w:val="Tablelistnumber"/>
      </w:pPr>
      <w:r w:rsidRPr="00772BC3">
        <w:t xml:space="preserve">Khatri et al., 'Continuity and care coordination of primary health care: a scoping review'. </w:t>
      </w:r>
    </w:p>
    <w:p w14:paraId="0478BCB0" w14:textId="77777777" w:rsidR="00F66926" w:rsidRPr="00772BC3" w:rsidRDefault="00F66926" w:rsidP="00A3583A">
      <w:pPr>
        <w:pStyle w:val="Tablelistnumber"/>
      </w:pPr>
      <w:r w:rsidRPr="00772BC3">
        <w:t xml:space="preserve">Khatri et al., 'Continuity and care coordination of primary health care: a scoping review'. </w:t>
      </w:r>
    </w:p>
    <w:p w14:paraId="26EB71B3" w14:textId="77777777" w:rsidR="00F66926" w:rsidRPr="00772BC3" w:rsidRDefault="00F66926" w:rsidP="00A3583A">
      <w:pPr>
        <w:pStyle w:val="Tablelistnumber"/>
      </w:pPr>
      <w:r w:rsidRPr="00772BC3">
        <w:t xml:space="preserve">A Parkinson, S Matenge, J Desborough, S Hall Dykgraaf, L Ball, M Wright, EA Sturgiss and M Kidd, 'The impact of COVID-19 on chronic disease management in primary care: lessons for Australia from the international experience', </w:t>
      </w:r>
      <w:r w:rsidRPr="00F06202">
        <w:rPr>
          <w:rStyle w:val="Emphasis"/>
        </w:rPr>
        <w:t>Medical Journal of Australia</w:t>
      </w:r>
      <w:r w:rsidRPr="00772BC3">
        <w:t xml:space="preserve">, 2022, 216(9):445–448, doi:10.5694/mja2.51497; P Stachteas, M Symvoulakis, A Tsapas and E Smyrnakis, 'The impact of the COVID-19 pandemic on the management of patients with chronic diseases in Primary Health Care', </w:t>
      </w:r>
      <w:r w:rsidRPr="00F06202">
        <w:rPr>
          <w:rStyle w:val="Emphasis"/>
        </w:rPr>
        <w:t>Population Medicine</w:t>
      </w:r>
      <w:r w:rsidRPr="00772BC3">
        <w:t xml:space="preserve">, 2022, 4(23), doi:10.18332/popmed/152606. </w:t>
      </w:r>
    </w:p>
    <w:p w14:paraId="317597A0" w14:textId="77777777" w:rsidR="00F66926" w:rsidRPr="00772BC3" w:rsidRDefault="00F66926" w:rsidP="00A3583A">
      <w:pPr>
        <w:pStyle w:val="Tablelistnumber"/>
      </w:pPr>
      <w:r w:rsidRPr="00772BC3">
        <w:t xml:space="preserve">Khatri et al., 'Continuity and care coordination of primary health care: a scoping review'. </w:t>
      </w:r>
    </w:p>
    <w:p w14:paraId="0746A66D" w14:textId="77777777" w:rsidR="00F66926" w:rsidRPr="00772BC3" w:rsidRDefault="00F66926" w:rsidP="00A3583A">
      <w:pPr>
        <w:pStyle w:val="Tablelistnumber"/>
      </w:pPr>
      <w:r w:rsidRPr="00772BC3">
        <w:t xml:space="preserve">K Hammarberg, R Stocker, L Romero and J Fisher, 'Pregnancy planning health information and service needs of women with chronic non-communicable conditions: a systematic review and narrative synthesis', </w:t>
      </w:r>
      <w:r w:rsidRPr="00F06202">
        <w:rPr>
          <w:rStyle w:val="Emphasis"/>
        </w:rPr>
        <w:t>BMC Pregnancy and Childbirth</w:t>
      </w:r>
      <w:r w:rsidRPr="00772BC3">
        <w:t xml:space="preserve">, 2022, 22(1):236, doi:10.1186/s12884-022-04498-1. </w:t>
      </w:r>
    </w:p>
    <w:p w14:paraId="3C6B5A25" w14:textId="77777777" w:rsidR="00F66926" w:rsidRPr="00772BC3" w:rsidRDefault="00F66926" w:rsidP="00A3583A">
      <w:pPr>
        <w:pStyle w:val="Tablelistnumber"/>
      </w:pPr>
      <w:r w:rsidRPr="00772BC3">
        <w:t xml:space="preserve">AIHW, Chronic conditions. </w:t>
      </w:r>
    </w:p>
    <w:p w14:paraId="7D6E2045" w14:textId="77777777" w:rsidR="00F66926" w:rsidRPr="00772BC3" w:rsidRDefault="00F66926" w:rsidP="00A3583A">
      <w:pPr>
        <w:pStyle w:val="Tablelistnumber"/>
      </w:pPr>
      <w:r w:rsidRPr="00772BC3">
        <w:t xml:space="preserve">T Abud, G Kounidas, KR Martin, M Werth, K Cooper and PK Myint, 'Determinants of healthy ageing: a systematic review of contemporary literature', </w:t>
      </w:r>
      <w:r w:rsidRPr="00F06202">
        <w:rPr>
          <w:rStyle w:val="Emphasis"/>
        </w:rPr>
        <w:t>Aging Clinical and Experimental Research</w:t>
      </w:r>
      <w:r w:rsidRPr="00772BC3">
        <w:t xml:space="preserve">, 2022, 34(6):1215–1223, doi:10.1007/s40520-021-02049-w. </w:t>
      </w:r>
    </w:p>
    <w:p w14:paraId="04D8E750" w14:textId="5D4B75DA" w:rsidR="00F66926" w:rsidRPr="00772BC3" w:rsidRDefault="00F66926" w:rsidP="00A3583A">
      <w:pPr>
        <w:pStyle w:val="Tablelistnumber"/>
      </w:pPr>
      <w:r w:rsidRPr="00772BC3">
        <w:t xml:space="preserve">Department of Health, </w:t>
      </w:r>
      <w:hyperlink r:id="rId76" w:history="1">
        <w:r w:rsidRPr="00A3583A">
          <w:rPr>
            <w:rStyle w:val="Hyperlink"/>
          </w:rPr>
          <w:t>National framework for advanced care planning documents</w:t>
        </w:r>
      </w:hyperlink>
      <w:r w:rsidRPr="00772BC3">
        <w:t>, Department of Health, Australian Government, 2021.</w:t>
      </w:r>
    </w:p>
    <w:p w14:paraId="102E9F70" w14:textId="53BAE25C" w:rsidR="00F66926" w:rsidRPr="00772BC3" w:rsidRDefault="006B6CDD" w:rsidP="00A3583A">
      <w:pPr>
        <w:pStyle w:val="Tablelistnumber"/>
      </w:pPr>
      <w:r>
        <w:t>AIHW</w:t>
      </w:r>
      <w:r w:rsidR="00F66926" w:rsidRPr="00772BC3">
        <w:t>, '</w:t>
      </w:r>
      <w:hyperlink r:id="rId77" w:history="1">
        <w:r w:rsidR="00F66926" w:rsidRPr="00772BC3">
          <w:rPr>
            <w:rStyle w:val="Hyperlink"/>
          </w:rPr>
          <w:t>Summary</w:t>
        </w:r>
      </w:hyperlink>
      <w:r w:rsidR="00F66926" w:rsidRPr="00772BC3">
        <w:t xml:space="preserve">', </w:t>
      </w:r>
      <w:r w:rsidR="00F66926" w:rsidRPr="00F06202">
        <w:rPr>
          <w:rStyle w:val="Emphasis"/>
        </w:rPr>
        <w:t>Palliative care and health service use for people with life-limiting conditions</w:t>
      </w:r>
      <w:r w:rsidR="00F66926" w:rsidRPr="00772BC3">
        <w:t>, AIHW website, 2024, accessed 7 July 2025.</w:t>
      </w:r>
    </w:p>
    <w:p w14:paraId="67A74814" w14:textId="77777777" w:rsidR="00F66926" w:rsidRPr="00772BC3" w:rsidRDefault="00F66926" w:rsidP="00A3583A">
      <w:pPr>
        <w:pStyle w:val="Tablelistnumber"/>
      </w:pPr>
      <w:r w:rsidRPr="00772BC3">
        <w:t xml:space="preserve">J Coombes, AJ Holland, C Ryder, SM Finlay, K Hunter, K Bennett-Brook, P Orcher, M Scarcella, K Briscoe, D Forbes, M Jacques, D Maze, B Porykali, E Bourke and CA Kairuz Santos, 'Discharge interventions for First Nations people with a chronic condition or injury: a systematic review', </w:t>
      </w:r>
      <w:r w:rsidRPr="00F06202">
        <w:rPr>
          <w:rStyle w:val="Emphasis"/>
        </w:rPr>
        <w:t>BMC Health Services Research</w:t>
      </w:r>
      <w:r w:rsidRPr="00772BC3">
        <w:t xml:space="preserve">, 2023, 23(604), doi:10.1186/s12913-023-09567-5. </w:t>
      </w:r>
    </w:p>
    <w:p w14:paraId="1785108B" w14:textId="6B13FF3A" w:rsidR="00F66926" w:rsidRPr="00772BC3" w:rsidRDefault="00F66926" w:rsidP="00A3583A">
      <w:pPr>
        <w:pStyle w:val="Tablelistnumber"/>
      </w:pPr>
      <w:r w:rsidRPr="00772BC3">
        <w:t xml:space="preserve">WHO, </w:t>
      </w:r>
      <w:hyperlink r:id="rId78" w:history="1">
        <w:r w:rsidRPr="00A3583A">
          <w:rPr>
            <w:rStyle w:val="Hyperlink"/>
          </w:rPr>
          <w:t>Adherence to long-term therapies: evidence for action</w:t>
        </w:r>
      </w:hyperlink>
      <w:r w:rsidRPr="00772BC3">
        <w:t>, WHO, 2003.</w:t>
      </w:r>
    </w:p>
    <w:p w14:paraId="66D85FD6" w14:textId="7F5C8BEB" w:rsidR="00F66926" w:rsidRPr="00772BC3" w:rsidRDefault="00F66926" w:rsidP="00A3583A">
      <w:pPr>
        <w:pStyle w:val="Tablelistnumber"/>
      </w:pPr>
      <w:r w:rsidRPr="00772BC3">
        <w:t xml:space="preserve">Department of Health and Aged Care, </w:t>
      </w:r>
      <w:hyperlink r:id="rId79" w:history="1">
        <w:r w:rsidRPr="00A3583A">
          <w:rPr>
            <w:rStyle w:val="Hyperlink"/>
          </w:rPr>
          <w:t>National Medicines Policy</w:t>
        </w:r>
      </w:hyperlink>
      <w:r w:rsidRPr="00772BC3">
        <w:t>, Department of Health and Aged Care, Australian Government, 2022.</w:t>
      </w:r>
    </w:p>
    <w:p w14:paraId="15E18F8D" w14:textId="77179222" w:rsidR="00F66926" w:rsidRPr="00772BC3" w:rsidRDefault="00F66926" w:rsidP="00A3583A">
      <w:pPr>
        <w:pStyle w:val="Tablelistnumber"/>
      </w:pPr>
      <w:r w:rsidRPr="00772BC3">
        <w:t>Royal Australian College of General Practitioners, '</w:t>
      </w:r>
      <w:hyperlink r:id="rId80" w:history="1">
        <w:r w:rsidRPr="00772BC3">
          <w:rPr>
            <w:rStyle w:val="Hyperlink"/>
          </w:rPr>
          <w:t>Deprescribing</w:t>
        </w:r>
      </w:hyperlink>
      <w:r w:rsidRPr="00772BC3">
        <w:t xml:space="preserve">', </w:t>
      </w:r>
      <w:r w:rsidRPr="00F06202">
        <w:rPr>
          <w:rStyle w:val="Emphasis"/>
        </w:rPr>
        <w:t>RACGP aged care clinical guide (Silver Book)</w:t>
      </w:r>
      <w:r w:rsidRPr="00772BC3">
        <w:t>, RACGP website, 2023, accessed 7 July 2025.</w:t>
      </w:r>
    </w:p>
    <w:p w14:paraId="094CE2E7" w14:textId="0D375A8D" w:rsidR="00F66926" w:rsidRPr="00772BC3" w:rsidRDefault="00F66926" w:rsidP="00A3583A">
      <w:pPr>
        <w:pStyle w:val="Tablelistnumber"/>
      </w:pPr>
      <w:r w:rsidRPr="00772BC3">
        <w:t xml:space="preserve">Department of Health and Aged Care, </w:t>
      </w:r>
      <w:hyperlink r:id="rId81" w:history="1">
        <w:r w:rsidRPr="00A3583A">
          <w:rPr>
            <w:rStyle w:val="Hyperlink"/>
          </w:rPr>
          <w:t>Medication management in residential aged care facilities</w:t>
        </w:r>
      </w:hyperlink>
      <w:r w:rsidRPr="00772BC3">
        <w:t xml:space="preserve">, Department of Health and Aged Care, Australian Government, 2022; Department of Health and Aged Care, </w:t>
      </w:r>
      <w:hyperlink r:id="rId82" w:history="1">
        <w:r w:rsidRPr="00A3583A">
          <w:rPr>
            <w:rStyle w:val="Hyperlink"/>
          </w:rPr>
          <w:t>Guiding principles for medication management in the community</w:t>
        </w:r>
      </w:hyperlink>
      <w:r w:rsidRPr="00772BC3">
        <w:t xml:space="preserve">, Department of Health and Aged Care, Australian Government, 2022; Department of Health and Aged Care, </w:t>
      </w:r>
      <w:hyperlink r:id="rId83" w:history="1">
        <w:r w:rsidRPr="00A3583A">
          <w:rPr>
            <w:rStyle w:val="Hyperlink"/>
          </w:rPr>
          <w:t>Guiding principles to achieve continuity in medication management</w:t>
        </w:r>
      </w:hyperlink>
      <w:r w:rsidRPr="00772BC3">
        <w:t>, Department of Health and Aged Care, Australian Government, 2022.</w:t>
      </w:r>
    </w:p>
    <w:p w14:paraId="65A960C0" w14:textId="793342A9" w:rsidR="00F66926" w:rsidRPr="00772BC3" w:rsidRDefault="006B6CDD" w:rsidP="00A3583A">
      <w:pPr>
        <w:pStyle w:val="Tablelistnumber"/>
      </w:pPr>
      <w:r>
        <w:t>AIHW</w:t>
      </w:r>
      <w:r w:rsidR="00F66926" w:rsidRPr="00772BC3">
        <w:t>, '</w:t>
      </w:r>
      <w:hyperlink r:id="rId84" w:history="1">
        <w:r w:rsidR="00F66926" w:rsidRPr="00772BC3">
          <w:rPr>
            <w:rStyle w:val="Hyperlink"/>
          </w:rPr>
          <w:t>Summary</w:t>
        </w:r>
      </w:hyperlink>
      <w:r w:rsidR="00F66926" w:rsidRPr="00772BC3">
        <w:t xml:space="preserve">', </w:t>
      </w:r>
      <w:r w:rsidR="00F66926" w:rsidRPr="00F06202">
        <w:rPr>
          <w:rStyle w:val="Emphasis"/>
        </w:rPr>
        <w:t>Multimorbidity in Australia</w:t>
      </w:r>
      <w:r w:rsidR="00F66926" w:rsidRPr="00772BC3">
        <w:t>, AIHW website, 2025, accessed 15 July 2025.</w:t>
      </w:r>
    </w:p>
    <w:p w14:paraId="2DF1A5BB" w14:textId="1DE8EA68" w:rsidR="00F66926" w:rsidRPr="00772BC3" w:rsidRDefault="00F66926" w:rsidP="00A3583A">
      <w:pPr>
        <w:pStyle w:val="Tablelistnumber"/>
      </w:pPr>
      <w:r w:rsidRPr="00772BC3">
        <w:t xml:space="preserve">Productivity Commission, </w:t>
      </w:r>
      <w:hyperlink r:id="rId85" w:history="1">
        <w:r w:rsidRPr="00A3583A">
          <w:rPr>
            <w:rStyle w:val="Hyperlink"/>
          </w:rPr>
          <w:t>Innovations in care for chronic health conditions: productivity reform case study</w:t>
        </w:r>
      </w:hyperlink>
      <w:r w:rsidRPr="00772BC3">
        <w:t>, Productivity Commission, Australian Government, 2021.</w:t>
      </w:r>
    </w:p>
    <w:p w14:paraId="2A6FB3B4" w14:textId="77777777" w:rsidR="00F66926" w:rsidRPr="00772BC3" w:rsidRDefault="00F66926" w:rsidP="00A3583A">
      <w:pPr>
        <w:pStyle w:val="Tablelistnumber"/>
      </w:pPr>
      <w:r w:rsidRPr="00772BC3">
        <w:t xml:space="preserve">RE Pel-Littel, M Snaterse, NM Teppich, BM Buurman, FS van Etten-Jamaludin, JC van Weert, MM Minkman and WJ Scholte Op Reimer, 'Barriers and facilitators for shared decision making in older patients with multiple chronic conditions: a systematic review', </w:t>
      </w:r>
      <w:r w:rsidRPr="00F06202">
        <w:rPr>
          <w:rStyle w:val="Emphasis"/>
        </w:rPr>
        <w:t>BMC Geriatrics</w:t>
      </w:r>
      <w:r w:rsidRPr="00772BC3">
        <w:t xml:space="preserve">, 2021, 21(1):112, doi:10.1186/s12877-021-02050-y; C Aramrat, Y Choksomngam, W Jiraporncharoen, N Wiwatkunupakarn, K Pinyopornpanish, PA Mallinson, S Kinra and C Angkurawaranon, 'Advancing multimorbidity management in primary care: a narrative review', </w:t>
      </w:r>
      <w:r w:rsidRPr="00F06202">
        <w:rPr>
          <w:rStyle w:val="Emphasis"/>
        </w:rPr>
        <w:t>Primary Health Care Research &amp; Development</w:t>
      </w:r>
      <w:r w:rsidRPr="00772BC3">
        <w:t xml:space="preserve">, 2022, 23: e36, doi:10.1017/S1463423622000238. </w:t>
      </w:r>
    </w:p>
    <w:p w14:paraId="1A4DBFC8" w14:textId="77777777" w:rsidR="00F66926" w:rsidRPr="00772BC3" w:rsidRDefault="00F66926" w:rsidP="00A3583A">
      <w:pPr>
        <w:pStyle w:val="Tablelistnumber"/>
      </w:pPr>
      <w:r w:rsidRPr="00772BC3">
        <w:t xml:space="preserve">J Sumner, CW Ng, KE Teo, AL Peh and YW Lim, 'Co-designing care for multimorbidity: a systematic review', </w:t>
      </w:r>
      <w:r w:rsidRPr="00F06202">
        <w:rPr>
          <w:rStyle w:val="Emphasis"/>
        </w:rPr>
        <w:t>BMC Medicine</w:t>
      </w:r>
      <w:r w:rsidRPr="00772BC3">
        <w:t xml:space="preserve">, 2024, 22:58, doi:10.1186/s12916-024-03263-9. </w:t>
      </w:r>
    </w:p>
    <w:p w14:paraId="33C328C2" w14:textId="77777777" w:rsidR="00F66926" w:rsidRPr="00772BC3" w:rsidRDefault="00F66926" w:rsidP="00A3583A">
      <w:pPr>
        <w:pStyle w:val="Tablelistnumber"/>
      </w:pPr>
      <w:r w:rsidRPr="00772BC3">
        <w:t xml:space="preserve">Skou et al., 'Multimorbidity'; A Rohwer, I Toews, J Uwimana-Nicol, JL Nyirenda, JB Niyibizi, AR Akiteng, JJ Meerpohl, CM Bavuma, T Kredo and T Young, 'Models of integrated care for multi-morbidity assessed in systematic reviews: a scoping review', </w:t>
      </w:r>
      <w:r w:rsidRPr="00F06202">
        <w:rPr>
          <w:rStyle w:val="Emphasis"/>
        </w:rPr>
        <w:t>BMC Health Services Research</w:t>
      </w:r>
      <w:r w:rsidRPr="00772BC3">
        <w:t xml:space="preserve">, 2023, 23(1):894, doi:10.1186/s12913-023-09894-7. </w:t>
      </w:r>
    </w:p>
    <w:p w14:paraId="60FF70CB" w14:textId="77777777" w:rsidR="00F66926" w:rsidRPr="00772BC3" w:rsidRDefault="00F66926" w:rsidP="00A3583A">
      <w:pPr>
        <w:pStyle w:val="Tablelistnumber"/>
      </w:pPr>
      <w:r w:rsidRPr="00772BC3">
        <w:t xml:space="preserve">L Ljungholm, A Edin-Liljegren, M Ekstedt and C Klinga, 'What is needed for continuity of care and how can we achieve it? Perceptions among multiprofessionals on the chronic care trajectory', </w:t>
      </w:r>
      <w:r w:rsidRPr="00F06202">
        <w:rPr>
          <w:rStyle w:val="Emphasis"/>
        </w:rPr>
        <w:t>BMC Health Services Research</w:t>
      </w:r>
      <w:r w:rsidRPr="00772BC3">
        <w:t xml:space="preserve">, 2022, 22(1):686, doi:10.1186/s12913-022-08023-0. </w:t>
      </w:r>
    </w:p>
    <w:p w14:paraId="4296FF2D" w14:textId="77777777" w:rsidR="00F66926" w:rsidRPr="00772BC3" w:rsidRDefault="00F66926" w:rsidP="00A3583A">
      <w:pPr>
        <w:pStyle w:val="Tablelistnumber"/>
      </w:pPr>
      <w:r w:rsidRPr="00772BC3">
        <w:t xml:space="preserve">Aramrat et al., 'Advancing multimorbidity management in primary care: a narrative review'. </w:t>
      </w:r>
    </w:p>
    <w:p w14:paraId="35C83C9C" w14:textId="77777777" w:rsidR="00F66926" w:rsidRPr="00772BC3" w:rsidRDefault="00F66926" w:rsidP="00A3583A">
      <w:pPr>
        <w:pStyle w:val="Tablelistnumber"/>
      </w:pPr>
      <w:r w:rsidRPr="00772BC3">
        <w:t xml:space="preserve">T Wasan, B Hayhoe, M Cicek, E Lammila-Escalera, D Nicholls, A Majeed and G Greenfield, 'The effects of community interventions on unplanned healthcare use in patients with multimorbidity: a systematic review', </w:t>
      </w:r>
      <w:r w:rsidRPr="00F06202">
        <w:rPr>
          <w:rStyle w:val="Emphasis"/>
        </w:rPr>
        <w:t>Journal of the Royal Society of Medicine</w:t>
      </w:r>
      <w:r w:rsidRPr="00772BC3">
        <w:t xml:space="preserve">, 2024, 117(1):24–35, doi:10.1177/01410768231186224. </w:t>
      </w:r>
    </w:p>
    <w:p w14:paraId="4520A177" w14:textId="23A2EE9C" w:rsidR="6876EC27" w:rsidRPr="00F06202" w:rsidRDefault="6876EC27" w:rsidP="00A3583A">
      <w:pPr>
        <w:pStyle w:val="Tablelistnumber"/>
        <w:rPr>
          <w:rStyle w:val="Emphasis"/>
        </w:rPr>
      </w:pPr>
      <w:r>
        <w:t xml:space="preserve">WHO, </w:t>
      </w:r>
      <w:hyperlink r:id="rId86" w:history="1">
        <w:r w:rsidRPr="00A3583A">
          <w:rPr>
            <w:rStyle w:val="Hyperlink"/>
          </w:rPr>
          <w:t>A toolkit on how to implement social prescribing,</w:t>
        </w:r>
      </w:hyperlink>
      <w:r w:rsidRPr="00F06202">
        <w:rPr>
          <w:rStyle w:val="Emphasis"/>
        </w:rPr>
        <w:t xml:space="preserve"> WHO, 2022. </w:t>
      </w:r>
    </w:p>
    <w:p w14:paraId="5DCA0FA7" w14:textId="527EAB12" w:rsidR="00F66926" w:rsidRPr="00772BC3" w:rsidRDefault="00F66926" w:rsidP="00A3583A">
      <w:pPr>
        <w:pStyle w:val="Tablelistnumber"/>
      </w:pPr>
      <w:r w:rsidRPr="00772BC3">
        <w:t xml:space="preserve">JR Hurst, J Dickhaus, PK Maulik, JJ Miranda, S Pastakia, J Soriano, T Siddharthan and R Vedanthan, </w:t>
      </w:r>
      <w:hyperlink r:id="rId87" w:history="1">
        <w:r w:rsidRPr="00A3583A">
          <w:rPr>
            <w:rStyle w:val="Hyperlink"/>
          </w:rPr>
          <w:t>Global Alliance for Chronic Diseases researchers' statement on multimorbidity</w:t>
        </w:r>
      </w:hyperlink>
      <w:r w:rsidRPr="00772BC3">
        <w:t>, Global Alliance for Chronic Diseases, London, 2018.</w:t>
      </w:r>
    </w:p>
    <w:p w14:paraId="2BC7517C" w14:textId="7613589C" w:rsidR="00F66926" w:rsidRPr="00772BC3" w:rsidRDefault="00F66926" w:rsidP="00A3583A">
      <w:pPr>
        <w:pStyle w:val="Tablelistnumber"/>
      </w:pPr>
      <w:r w:rsidRPr="00772BC3">
        <w:t>Royal Australian College of General Practitioners, '</w:t>
      </w:r>
      <w:hyperlink r:id="rId88" w:history="1">
        <w:r w:rsidRPr="00772BC3">
          <w:rPr>
            <w:rStyle w:val="Hyperlink"/>
          </w:rPr>
          <w:t>Polypharmacy</w:t>
        </w:r>
      </w:hyperlink>
      <w:r w:rsidRPr="00772BC3">
        <w:t xml:space="preserve">', </w:t>
      </w:r>
      <w:r w:rsidRPr="00F06202">
        <w:rPr>
          <w:rStyle w:val="Emphasis"/>
        </w:rPr>
        <w:t>RACGP aged care clinical guide (Silver Book)</w:t>
      </w:r>
      <w:r w:rsidRPr="00772BC3">
        <w:t>, RACGP website, 2019, accessed 7 July 2025.</w:t>
      </w:r>
    </w:p>
    <w:p w14:paraId="188DD765" w14:textId="77777777" w:rsidR="00F66926" w:rsidRPr="00772BC3" w:rsidRDefault="00F66926" w:rsidP="00A3583A">
      <w:pPr>
        <w:pStyle w:val="Tablelistnumber"/>
      </w:pPr>
      <w:r w:rsidRPr="00772BC3">
        <w:t xml:space="preserve">L Woods, M Haines, S Arabi, J Boyd, K Butler-Henderson, K Gray, RL Gruen, S Guinea, C Bennett and C Sullivan, 'Where to for digital health? The Australian Council of Senior Academic Leaders in Digital Health action plan', </w:t>
      </w:r>
      <w:r w:rsidRPr="00F06202">
        <w:rPr>
          <w:rStyle w:val="Emphasis"/>
        </w:rPr>
        <w:t>Australian Health Review</w:t>
      </w:r>
      <w:r w:rsidRPr="00772BC3">
        <w:t xml:space="preserve">, 2025, 49, doi:10.1071/AH25039. </w:t>
      </w:r>
    </w:p>
    <w:p w14:paraId="148CECE6" w14:textId="77777777" w:rsidR="00F66926" w:rsidRPr="00772BC3" w:rsidRDefault="00F66926" w:rsidP="00A3583A">
      <w:pPr>
        <w:pStyle w:val="Tablelistnumber"/>
      </w:pPr>
      <w:r w:rsidRPr="00772BC3">
        <w:t xml:space="preserve">Newman et al., 'Generating older adult multimorbidity trajectories using various comorbidity indices and calculation methods'. </w:t>
      </w:r>
    </w:p>
    <w:p w14:paraId="7D68F7A9" w14:textId="77777777" w:rsidR="00F66926" w:rsidRPr="00772BC3" w:rsidRDefault="00F66926" w:rsidP="00A3583A">
      <w:pPr>
        <w:pStyle w:val="Tablelistnumber"/>
      </w:pPr>
      <w:r w:rsidRPr="00772BC3">
        <w:t xml:space="preserve">MA Pinero de Plaza, L Gebremichael, S Brown, CJ Wu, RA Clark, K McBride, S Hines, O Pearson and K Morey, 'Health system enablers and barriers to continuity of care for First Nations peoples living with chronic disease', </w:t>
      </w:r>
      <w:r w:rsidRPr="00F06202">
        <w:rPr>
          <w:rStyle w:val="Emphasis"/>
        </w:rPr>
        <w:t>International Journal of Integrated Care</w:t>
      </w:r>
      <w:r w:rsidRPr="00772BC3">
        <w:t xml:space="preserve">, 2023, 23(4):17, doi:10.5334/ijic.7643. </w:t>
      </w:r>
    </w:p>
    <w:p w14:paraId="3EF212DE" w14:textId="08AA9F58" w:rsidR="00F66926" w:rsidRPr="00772BC3" w:rsidRDefault="00F66926" w:rsidP="00A3583A">
      <w:pPr>
        <w:pStyle w:val="Tablelistnumber"/>
      </w:pPr>
      <w:r w:rsidRPr="00772BC3">
        <w:t xml:space="preserve">Australian Bureau of Statistics, </w:t>
      </w:r>
      <w:hyperlink r:id="rId89" w:history="1">
        <w:r w:rsidRPr="00A3583A">
          <w:rPr>
            <w:rStyle w:val="Hyperlink"/>
          </w:rPr>
          <w:t>National Aboriginal and Torres Strait Islander Health Survey</w:t>
        </w:r>
      </w:hyperlink>
      <w:r w:rsidRPr="00772BC3">
        <w:t>, ABS website, 2024, accessed 7 July 2025.</w:t>
      </w:r>
    </w:p>
    <w:p w14:paraId="67CAADE1" w14:textId="3E91517E" w:rsidR="00F66926" w:rsidRPr="00772BC3" w:rsidRDefault="006B6CDD" w:rsidP="00A3583A">
      <w:pPr>
        <w:pStyle w:val="Tablelistnumber"/>
      </w:pPr>
      <w:r>
        <w:t>AIHW</w:t>
      </w:r>
      <w:r w:rsidR="00F66926" w:rsidRPr="00772BC3">
        <w:t xml:space="preserve">, </w:t>
      </w:r>
      <w:hyperlink r:id="rId90" w:history="1">
        <w:r w:rsidR="00F66926" w:rsidRPr="00A3583A">
          <w:rPr>
            <w:rStyle w:val="Hyperlink"/>
          </w:rPr>
          <w:t>Australia's health 2024: in brief</w:t>
        </w:r>
      </w:hyperlink>
      <w:r w:rsidR="00F66926" w:rsidRPr="00772BC3">
        <w:t>, AIHW, Australian Government, 2024.</w:t>
      </w:r>
    </w:p>
    <w:p w14:paraId="657D8BC5" w14:textId="3587A10E" w:rsidR="00F66926" w:rsidRPr="00772BC3" w:rsidRDefault="00F66926" w:rsidP="00A3583A">
      <w:pPr>
        <w:pStyle w:val="Tablelistnumber"/>
      </w:pPr>
      <w:r w:rsidRPr="00772BC3">
        <w:t xml:space="preserve">Royal Commission into Violence, Abuse, </w:t>
      </w:r>
      <w:r w:rsidR="009217E1" w:rsidRPr="00772BC3">
        <w:t>Neglect</w:t>
      </w:r>
      <w:r w:rsidRPr="00772BC3">
        <w:t xml:space="preserve"> and Exploitation of People with Disability, </w:t>
      </w:r>
      <w:hyperlink r:id="rId91" w:history="1">
        <w:r w:rsidRPr="00A3583A">
          <w:rPr>
            <w:rStyle w:val="Hyperlink"/>
          </w:rPr>
          <w:t>Final report - Volume 9, First Nations people with disability</w:t>
        </w:r>
      </w:hyperlink>
      <w:r w:rsidRPr="00772BC3">
        <w:t>, Commonwealth of Australia, 2023.</w:t>
      </w:r>
    </w:p>
    <w:p w14:paraId="1C67E826" w14:textId="486EF6CD" w:rsidR="00F66926" w:rsidRPr="00772BC3" w:rsidRDefault="00F66926" w:rsidP="00A3583A">
      <w:pPr>
        <w:pStyle w:val="Tablelistnumber"/>
      </w:pPr>
      <w:r w:rsidRPr="00772BC3">
        <w:t xml:space="preserve">Department of Health, </w:t>
      </w:r>
      <w:hyperlink r:id="rId92" w:history="1">
        <w:r w:rsidRPr="00A3583A">
          <w:rPr>
            <w:rStyle w:val="Hyperlink"/>
          </w:rPr>
          <w:t>National Aboriginal and Torres Strait Islander Health Plan 2021–2031</w:t>
        </w:r>
      </w:hyperlink>
      <w:r w:rsidRPr="00772BC3">
        <w:t>, Department of Health, Australian Government, 2021.</w:t>
      </w:r>
    </w:p>
    <w:p w14:paraId="5941BCA4" w14:textId="67F0319A" w:rsidR="00F66926" w:rsidRPr="00772BC3" w:rsidRDefault="006B6CDD" w:rsidP="00A3583A">
      <w:pPr>
        <w:pStyle w:val="Tablelistnumber"/>
      </w:pPr>
      <w:r>
        <w:t>AIHW</w:t>
      </w:r>
      <w:r w:rsidR="00F66926" w:rsidRPr="00772BC3">
        <w:t xml:space="preserve">, </w:t>
      </w:r>
      <w:hyperlink r:id="rId93" w:history="1">
        <w:r w:rsidR="00F66926" w:rsidRPr="00A3583A">
          <w:rPr>
            <w:rStyle w:val="Hyperlink"/>
          </w:rPr>
          <w:t>Rural &amp; remote Australians</w:t>
        </w:r>
      </w:hyperlink>
      <w:r w:rsidR="00F66926" w:rsidRPr="00772BC3">
        <w:t>, AIHW website, 2023, accessed 7 July 2025.</w:t>
      </w:r>
    </w:p>
    <w:p w14:paraId="49EEBA51" w14:textId="77777777" w:rsidR="00F66926" w:rsidRPr="00772BC3" w:rsidRDefault="00F66926" w:rsidP="00A3583A">
      <w:pPr>
        <w:pStyle w:val="Tablelistnumber"/>
      </w:pPr>
      <w:r w:rsidRPr="00772BC3">
        <w:t xml:space="preserve">AIHW, Chronic conditions. </w:t>
      </w:r>
    </w:p>
    <w:p w14:paraId="666E8DFD" w14:textId="04ABD131" w:rsidR="00F66926" w:rsidRPr="00772BC3" w:rsidRDefault="006B6CDD" w:rsidP="00A3583A">
      <w:pPr>
        <w:pStyle w:val="Tablelistnumber"/>
      </w:pPr>
      <w:r>
        <w:t>AIHW</w:t>
      </w:r>
      <w:r w:rsidR="00F66926" w:rsidRPr="00772BC3">
        <w:t xml:space="preserve">, </w:t>
      </w:r>
      <w:hyperlink r:id="rId94" w:history="1">
        <w:r w:rsidR="00F66926" w:rsidRPr="00772BC3">
          <w:rPr>
            <w:rStyle w:val="Hyperlink"/>
          </w:rPr>
          <w:t>'How common is multimorbidity?</w:t>
        </w:r>
      </w:hyperlink>
      <w:r w:rsidR="00F66926" w:rsidRPr="00772BC3">
        <w:t>'</w:t>
      </w:r>
      <w:r w:rsidR="00F66926" w:rsidRPr="00F06202">
        <w:rPr>
          <w:rStyle w:val="Emphasis"/>
        </w:rPr>
        <w:t>, Multimorbidity in Australia</w:t>
      </w:r>
      <w:r w:rsidR="00F66926" w:rsidRPr="00772BC3">
        <w:t>, AIHW website, 2025, accessed 15 July 2025.</w:t>
      </w:r>
    </w:p>
    <w:p w14:paraId="3A4A1793" w14:textId="4E84FC06" w:rsidR="00F66926" w:rsidRPr="00772BC3" w:rsidRDefault="006B6CDD" w:rsidP="00A3583A">
      <w:pPr>
        <w:pStyle w:val="Tablelistnumber"/>
      </w:pPr>
      <w:r>
        <w:t>AIHW</w:t>
      </w:r>
      <w:r w:rsidR="00F66926" w:rsidRPr="00772BC3">
        <w:t xml:space="preserve">, </w:t>
      </w:r>
      <w:hyperlink r:id="rId95" w:history="1">
        <w:r w:rsidR="00F66926" w:rsidRPr="00A3583A">
          <w:rPr>
            <w:rStyle w:val="Hyperlink"/>
          </w:rPr>
          <w:t>Rural and remote health</w:t>
        </w:r>
      </w:hyperlink>
      <w:r w:rsidR="00F66926" w:rsidRPr="00772BC3">
        <w:t>, AIHW website, 2024, accessed 7 July 2025.</w:t>
      </w:r>
    </w:p>
    <w:p w14:paraId="47773520" w14:textId="5EC546FF" w:rsidR="00F66926" w:rsidRPr="00772BC3" w:rsidRDefault="006B6CDD" w:rsidP="00A3583A">
      <w:pPr>
        <w:pStyle w:val="Tablelistnumber"/>
      </w:pPr>
      <w:r>
        <w:t>AIHW</w:t>
      </w:r>
      <w:r w:rsidR="00F66926" w:rsidRPr="00772BC3">
        <w:t>, '</w:t>
      </w:r>
      <w:hyperlink r:id="rId96" w:history="1">
        <w:r w:rsidR="00F66926" w:rsidRPr="00772BC3">
          <w:rPr>
            <w:rStyle w:val="Hyperlink"/>
          </w:rPr>
          <w:t>Potentially preventable hospitalisations</w:t>
        </w:r>
      </w:hyperlink>
      <w:r w:rsidR="00F66926" w:rsidRPr="00772BC3">
        <w:t xml:space="preserve">', </w:t>
      </w:r>
      <w:r w:rsidR="00F66926" w:rsidRPr="00F06202">
        <w:rPr>
          <w:rStyle w:val="Emphasis"/>
        </w:rPr>
        <w:t>Admitted patient safety and quality</w:t>
      </w:r>
      <w:r w:rsidR="00F66926" w:rsidRPr="00772BC3">
        <w:t>, AIHW website, 2025, accessed 7 July 2025.</w:t>
      </w:r>
    </w:p>
    <w:p w14:paraId="433DD47B" w14:textId="51419627" w:rsidR="00F66926" w:rsidRPr="00772BC3" w:rsidRDefault="006B6CDD" w:rsidP="00A3583A">
      <w:pPr>
        <w:pStyle w:val="Tablelistnumber"/>
      </w:pPr>
      <w:r>
        <w:t>AIHW</w:t>
      </w:r>
      <w:r w:rsidR="00F66926" w:rsidRPr="00772BC3">
        <w:t>, Chronic health conditions among culturally and linguistically diverse Australians, 2021, AIHW website, 2023, accessed 7 July 2025.</w:t>
      </w:r>
    </w:p>
    <w:p w14:paraId="360D53F1" w14:textId="3EEB799C" w:rsidR="00F66926" w:rsidRPr="00772BC3" w:rsidRDefault="00F66926" w:rsidP="00A3583A">
      <w:pPr>
        <w:pStyle w:val="Tablelistnumber"/>
      </w:pPr>
      <w:r w:rsidRPr="00772BC3">
        <w:t xml:space="preserve">J van Kooy, M Woldegiorgis and P Riosedo, </w:t>
      </w:r>
      <w:hyperlink r:id="rId97" w:history="1">
        <w:r w:rsidRPr="00A3583A">
          <w:rPr>
            <w:rStyle w:val="Hyperlink"/>
          </w:rPr>
          <w:t>Building a New Life in Australia: 10 years of humanitarian settlement outcomes</w:t>
        </w:r>
      </w:hyperlink>
      <w:r w:rsidRPr="00772BC3">
        <w:t xml:space="preserve">, Australian Institute of Family Studies, Australian Government, 2024; Australian Institute of Health and Welfare, </w:t>
      </w:r>
      <w:hyperlink r:id="rId98" w:history="1">
        <w:r w:rsidRPr="00A3583A">
          <w:rPr>
            <w:rStyle w:val="Hyperlink"/>
          </w:rPr>
          <w:t>Health of refugees and humanitarian entrants in Australia</w:t>
        </w:r>
      </w:hyperlink>
      <w:r w:rsidRPr="00772BC3">
        <w:t>, AIHW website, 2023, accessed 7 July 2025.</w:t>
      </w:r>
    </w:p>
    <w:p w14:paraId="385A158D" w14:textId="5C2A3720" w:rsidR="00F66926" w:rsidRPr="00772BC3" w:rsidRDefault="006B6CDD" w:rsidP="00A3583A">
      <w:pPr>
        <w:pStyle w:val="Tablelistnumber"/>
      </w:pPr>
      <w:r>
        <w:t>AIHW</w:t>
      </w:r>
      <w:r w:rsidR="00F66926" w:rsidRPr="00772BC3">
        <w:t>, '</w:t>
      </w:r>
      <w:hyperlink r:id="rId99" w:history="1">
        <w:r w:rsidR="00F66926" w:rsidRPr="00772BC3">
          <w:rPr>
            <w:rStyle w:val="Hyperlink"/>
          </w:rPr>
          <w:t>Chronic conditions and disability</w:t>
        </w:r>
      </w:hyperlink>
      <w:r w:rsidR="00F66926" w:rsidRPr="00772BC3">
        <w:t xml:space="preserve">', </w:t>
      </w:r>
      <w:r w:rsidR="00F66926" w:rsidRPr="00F06202">
        <w:rPr>
          <w:rStyle w:val="Emphasis"/>
        </w:rPr>
        <w:t>People with disability in Australia</w:t>
      </w:r>
      <w:r w:rsidR="00F66926" w:rsidRPr="00772BC3">
        <w:t>, AIHW website, 2024, accessed 7 July 2025.</w:t>
      </w:r>
    </w:p>
    <w:p w14:paraId="72F98342" w14:textId="5A91A21C" w:rsidR="00F66926" w:rsidRPr="00772BC3" w:rsidRDefault="006B6CDD" w:rsidP="00A3583A">
      <w:pPr>
        <w:pStyle w:val="Tablelistnumber"/>
      </w:pPr>
      <w:r>
        <w:t>AIHW</w:t>
      </w:r>
      <w:r w:rsidR="00F66926" w:rsidRPr="00772BC3">
        <w:t>, '</w:t>
      </w:r>
      <w:hyperlink r:id="rId100" w:history="1">
        <w:r w:rsidR="00F66926" w:rsidRPr="00772BC3">
          <w:rPr>
            <w:rStyle w:val="Hyperlink"/>
          </w:rPr>
          <w:t>Access to health services</w:t>
        </w:r>
      </w:hyperlink>
      <w:r w:rsidR="00F66926" w:rsidRPr="00772BC3">
        <w:t xml:space="preserve">', </w:t>
      </w:r>
      <w:r w:rsidR="00F66926" w:rsidRPr="00F06202">
        <w:rPr>
          <w:rStyle w:val="Emphasis"/>
        </w:rPr>
        <w:t>People with disability in Australia</w:t>
      </w:r>
      <w:r w:rsidR="00F66926" w:rsidRPr="00772BC3">
        <w:t>, AIHW website, 2024, accessed 7 July 2025.</w:t>
      </w:r>
    </w:p>
    <w:p w14:paraId="692D6E4A" w14:textId="252D5506" w:rsidR="00F66926" w:rsidRPr="00772BC3" w:rsidRDefault="00F66926" w:rsidP="00A3583A">
      <w:pPr>
        <w:pStyle w:val="Tablelistnumber"/>
      </w:pPr>
      <w:r w:rsidRPr="00772BC3">
        <w:t xml:space="preserve">Royal Commission into Violence, Abuse, Neglect and Exploitation of People with Disability, </w:t>
      </w:r>
      <w:hyperlink r:id="rId101" w:history="1">
        <w:r w:rsidRPr="00A3583A">
          <w:rPr>
            <w:rStyle w:val="Hyperlink"/>
          </w:rPr>
          <w:t>Public hearing 4: Health care and services for people with cognitive disability</w:t>
        </w:r>
      </w:hyperlink>
      <w:r w:rsidRPr="00772BC3">
        <w:t>, Royal Commission website, 2020, accessed 7 July 2025..</w:t>
      </w:r>
    </w:p>
    <w:p w14:paraId="0EECFBB4" w14:textId="07966D9F" w:rsidR="00F66926" w:rsidRPr="00772BC3" w:rsidRDefault="00F66926" w:rsidP="00A3583A">
      <w:pPr>
        <w:pStyle w:val="Tablelistnumber"/>
      </w:pPr>
      <w:r w:rsidRPr="00772BC3">
        <w:t xml:space="preserve">Victorian Agency for Health Information, </w:t>
      </w:r>
      <w:hyperlink r:id="rId102" w:history="1">
        <w:r w:rsidRPr="00A3583A">
          <w:rPr>
            <w:rStyle w:val="Hyperlink"/>
          </w:rPr>
          <w:t>The health and wellbeing of the lesbian, gay, bisexual, transgender, intersex and queer population in Victoria: findings from the Victorian Population Health Survey 2017</w:t>
        </w:r>
      </w:hyperlink>
      <w:r w:rsidRPr="00772BC3">
        <w:t>, Victorian Agency for Health Information, Victorian Government, 2020.</w:t>
      </w:r>
    </w:p>
    <w:p w14:paraId="3480F4AB" w14:textId="2376DC07" w:rsidR="00F66926" w:rsidRPr="00772BC3" w:rsidRDefault="00F66926" w:rsidP="00A3583A">
      <w:pPr>
        <w:pStyle w:val="Tablelistnumber"/>
      </w:pPr>
      <w:r w:rsidRPr="00772BC3">
        <w:t xml:space="preserve">AO Hill, A Bourne, R McNair, M Carman and A Lyons, </w:t>
      </w:r>
      <w:hyperlink r:id="rId103" w:history="1">
        <w:r w:rsidRPr="00A3583A">
          <w:rPr>
            <w:rStyle w:val="Hyperlink"/>
          </w:rPr>
          <w:t>Private Lives 3: the health and wellbeing of LGBTIQ people in Australia</w:t>
        </w:r>
      </w:hyperlink>
      <w:r w:rsidRPr="00772BC3">
        <w:t>, Australia Research Centre in Sex Health and Society, La Trobe University, 2020.</w:t>
      </w:r>
    </w:p>
    <w:p w14:paraId="52371A83" w14:textId="77777777" w:rsidR="00F66926" w:rsidRPr="00772BC3" w:rsidRDefault="00F66926" w:rsidP="00A3583A">
      <w:pPr>
        <w:pStyle w:val="Tablelistnumber"/>
      </w:pPr>
      <w:r w:rsidRPr="00772BC3">
        <w:t>Hill et al., Private Lives 3: the health and wellbeing of LGBTIQ people in Australia.</w:t>
      </w:r>
    </w:p>
    <w:p w14:paraId="2700FDFD" w14:textId="77777777" w:rsidR="00F66926" w:rsidRPr="00772BC3" w:rsidRDefault="00F66926" w:rsidP="00A3583A">
      <w:pPr>
        <w:pStyle w:val="Tablelistnumber"/>
      </w:pPr>
      <w:r w:rsidRPr="00772BC3">
        <w:t xml:space="preserve">S Artuso, M Cargo, A Brown and M Daniel, 'Factors influencing health care utilisation among Aboriginal cardiac patients in central Australia: a qualitative study', </w:t>
      </w:r>
      <w:r w:rsidRPr="00F06202">
        <w:rPr>
          <w:rStyle w:val="Emphasis"/>
        </w:rPr>
        <w:t>BMC Health Services Research</w:t>
      </w:r>
      <w:r w:rsidRPr="00772BC3">
        <w:t xml:space="preserve">, 2013, 13:83, doi:10.1186/1472-6963-13-83. </w:t>
      </w:r>
    </w:p>
    <w:p w14:paraId="6C1CAA0D" w14:textId="12C07713" w:rsidR="00F66926" w:rsidRPr="00772BC3" w:rsidRDefault="00F66926" w:rsidP="00A3583A">
      <w:pPr>
        <w:pStyle w:val="Tablelistnumber"/>
      </w:pPr>
      <w:r w:rsidRPr="00772BC3">
        <w:t xml:space="preserve">Royal Commission into Violence, Abuse, Neglect and Exploitation of People with Disability, </w:t>
      </w:r>
      <w:hyperlink r:id="rId104" w:history="1">
        <w:r w:rsidRPr="00A3583A">
          <w:rPr>
            <w:rStyle w:val="Hyperlink"/>
          </w:rPr>
          <w:t>Final report - Volume 6, Enabling autonomy and access</w:t>
        </w:r>
      </w:hyperlink>
      <w:r w:rsidRPr="00772BC3">
        <w:t>, Commonwealth of Australia, 2023.</w:t>
      </w:r>
    </w:p>
    <w:p w14:paraId="22B49814" w14:textId="77777777" w:rsidR="00F66926" w:rsidRPr="00772BC3" w:rsidRDefault="00F66926" w:rsidP="00A3583A">
      <w:pPr>
        <w:pStyle w:val="Tablelistnumber"/>
      </w:pPr>
      <w:r w:rsidRPr="00772BC3">
        <w:t>Department of Health, National Aboriginal and Torres Strait Islander Health Plan 2021–2031.</w:t>
      </w:r>
    </w:p>
    <w:p w14:paraId="053B0BB7" w14:textId="363F66BF" w:rsidR="00E2075C" w:rsidRPr="00772BC3" w:rsidRDefault="00F66926" w:rsidP="00A3583A">
      <w:pPr>
        <w:pStyle w:val="Tablelistnumber"/>
      </w:pPr>
      <w:r w:rsidRPr="00772BC3">
        <w:t xml:space="preserve">Australian Health Practitioner Regulation Agency, </w:t>
      </w:r>
      <w:hyperlink r:id="rId105" w:history="1">
        <w:r w:rsidRPr="00A3583A">
          <w:rPr>
            <w:rStyle w:val="Hyperlink"/>
          </w:rPr>
          <w:t>The National Scheme’s Aboriginal and Torres Strait Islander Health and Cultural Safety Strategy 2020</w:t>
        </w:r>
        <w:r w:rsidR="008201C3" w:rsidRPr="00A3583A">
          <w:rPr>
            <w:rStyle w:val="Hyperlink"/>
          </w:rPr>
          <w:t>–</w:t>
        </w:r>
        <w:r w:rsidRPr="00A3583A">
          <w:rPr>
            <w:rStyle w:val="Hyperlink"/>
          </w:rPr>
          <w:t>2025</w:t>
        </w:r>
      </w:hyperlink>
      <w:r w:rsidRPr="00772BC3">
        <w:t>, AHPRA, 2020.</w:t>
      </w:r>
    </w:p>
    <w:p w14:paraId="453D13CB" w14:textId="77777777" w:rsidR="00E2075C" w:rsidRPr="00772BC3" w:rsidRDefault="00F66926" w:rsidP="00A3583A">
      <w:pPr>
        <w:pStyle w:val="Tablelistnumber"/>
      </w:pPr>
      <w:r w:rsidRPr="00772BC3">
        <w:t xml:space="preserve">UN Yadav, JM Davis, K Bennett-Brook, J Coombes, R Wyber and O Pearson, 'A rapid review to inform the policy and practice for the implementation of chronic disease prevention and management programs for Aboriginal and Torres Strait Islander people in primary care', </w:t>
      </w:r>
      <w:r w:rsidRPr="00F06202">
        <w:rPr>
          <w:rStyle w:val="Emphasis"/>
        </w:rPr>
        <w:t>Health Research Policy and Systems</w:t>
      </w:r>
      <w:r w:rsidRPr="00772BC3">
        <w:t xml:space="preserve">, 2024, 22(1):34, doi:10.1186/s12961-024-01121-x; Department of Health, Disability and Ageing, </w:t>
      </w:r>
      <w:r w:rsidRPr="00F06202">
        <w:rPr>
          <w:rStyle w:val="Emphasis"/>
        </w:rPr>
        <w:t>[Insert title]</w:t>
      </w:r>
      <w:r w:rsidRPr="00772BC3">
        <w:t xml:space="preserve">, Department of Health, Disability and Ageing, Australian Government, 2025. </w:t>
      </w:r>
    </w:p>
    <w:p w14:paraId="532D21F2" w14:textId="4934C435" w:rsidR="00E2075C" w:rsidRPr="00772BC3" w:rsidRDefault="00F66926" w:rsidP="00A3583A">
      <w:pPr>
        <w:pStyle w:val="Tablelistnumber"/>
      </w:pPr>
      <w:r w:rsidRPr="00772BC3">
        <w:t xml:space="preserve">Yadav et al., 'A rapid review to inform the policy and practice for the implementation of chronic disease prevention and management programs for Aboriginal and Torres Strait Islander people in primary care'; National Aboriginal Community Controlled Health Organisation, </w:t>
      </w:r>
      <w:hyperlink r:id="rId106" w:history="1">
        <w:r w:rsidRPr="00A3583A">
          <w:rPr>
            <w:rStyle w:val="Hyperlink"/>
          </w:rPr>
          <w:t>Core services and outcomes framework: the model of Aboriginal and Torres Strait Islander community controlled comprehensive primary health care</w:t>
        </w:r>
      </w:hyperlink>
      <w:r w:rsidRPr="00772BC3">
        <w:t>, NACCHO, 2021.</w:t>
      </w:r>
    </w:p>
    <w:p w14:paraId="057C1A88" w14:textId="77777777" w:rsidR="00E2075C" w:rsidRPr="00772BC3" w:rsidRDefault="00F66926" w:rsidP="00A3583A">
      <w:pPr>
        <w:pStyle w:val="Tablelistnumber"/>
      </w:pPr>
      <w:r w:rsidRPr="00772BC3">
        <w:t>NACCHO, Core services and outcomes framework: the model of Aboriginal and Torres Strait Islander community controlled comprehensive primary health care.</w:t>
      </w:r>
    </w:p>
    <w:p w14:paraId="0512902D" w14:textId="77777777" w:rsidR="00E2075C" w:rsidRPr="00772BC3" w:rsidRDefault="00F66926" w:rsidP="00A3583A">
      <w:pPr>
        <w:pStyle w:val="Tablelistnumber"/>
      </w:pPr>
      <w:r w:rsidRPr="00772BC3">
        <w:t xml:space="preserve">O Pearson, K Schwartzkopff, A Dawson, C Hagger, A Karagi, C Davy, A Brown and A Braunack-Mayer, 'Aboriginal community controlled health organisations address health equity through action on the social determinants of health of Aboriginal and Torres Strait Islander peoples in Australia', </w:t>
      </w:r>
      <w:r w:rsidRPr="00F06202">
        <w:rPr>
          <w:rStyle w:val="Emphasis"/>
        </w:rPr>
        <w:t>BMC Public Health</w:t>
      </w:r>
      <w:r w:rsidRPr="00772BC3">
        <w:t xml:space="preserve">, 2020, 20:1859, doi:10.1186/s12889-020-09943-4. </w:t>
      </w:r>
    </w:p>
    <w:p w14:paraId="3431CDBD" w14:textId="56A3B7A8" w:rsidR="00E2075C" w:rsidRPr="00772BC3" w:rsidRDefault="00F66926" w:rsidP="00A3583A">
      <w:pPr>
        <w:pStyle w:val="Tablelistnumber"/>
      </w:pPr>
      <w:r w:rsidRPr="00772BC3">
        <w:t xml:space="preserve">R Jeyakumar, B Patel, J Coombes, T Madden and R Joshi, '"We're on the ground, we know what needs to be done": exploring the role of Aboriginal Health Workers in primary health care', </w:t>
      </w:r>
      <w:r w:rsidRPr="00F06202">
        <w:rPr>
          <w:rStyle w:val="Emphasis"/>
        </w:rPr>
        <w:t>Front</w:t>
      </w:r>
      <w:r w:rsidR="00BF7540" w:rsidRPr="00F06202">
        <w:rPr>
          <w:rStyle w:val="Emphasis"/>
        </w:rPr>
        <w:t xml:space="preserve">iers in </w:t>
      </w:r>
      <w:r w:rsidRPr="00F06202">
        <w:rPr>
          <w:rStyle w:val="Emphasis"/>
        </w:rPr>
        <w:t>Public Health</w:t>
      </w:r>
      <w:r w:rsidRPr="00772BC3">
        <w:t xml:space="preserve">, 2023, 10:1010301, doi:10.3389/fpubh.2022.1010301. </w:t>
      </w:r>
    </w:p>
    <w:p w14:paraId="75AE98C2" w14:textId="230BCE93" w:rsidR="00741649" w:rsidRPr="00772BC3" w:rsidRDefault="00F66926" w:rsidP="00A3583A">
      <w:pPr>
        <w:pStyle w:val="Tablelistnumber"/>
      </w:pPr>
      <w:r w:rsidRPr="00772BC3">
        <w:t xml:space="preserve">RB Khatri and Y Assefa, 'Access to health services among culturally and linguistically diverse populations in the Australian universal health care system: issues and challenges', </w:t>
      </w:r>
      <w:r w:rsidRPr="00F06202">
        <w:rPr>
          <w:rStyle w:val="Emphasis"/>
        </w:rPr>
        <w:t xml:space="preserve">BMC </w:t>
      </w:r>
      <w:r w:rsidR="00B1188D" w:rsidRPr="00F06202">
        <w:rPr>
          <w:rStyle w:val="Emphasis"/>
        </w:rPr>
        <w:t>P</w:t>
      </w:r>
      <w:r w:rsidRPr="00F06202">
        <w:rPr>
          <w:rStyle w:val="Emphasis"/>
        </w:rPr>
        <w:t xml:space="preserve">ublic </w:t>
      </w:r>
      <w:r w:rsidR="00B1188D" w:rsidRPr="00F06202">
        <w:rPr>
          <w:rStyle w:val="Emphasis"/>
        </w:rPr>
        <w:t>H</w:t>
      </w:r>
      <w:r w:rsidRPr="00F06202">
        <w:rPr>
          <w:rStyle w:val="Emphasis"/>
        </w:rPr>
        <w:t>ealth</w:t>
      </w:r>
      <w:r w:rsidRPr="00772BC3">
        <w:t xml:space="preserve">, 2022, 22(1):880, doi:10.1186/s12889-022-13256-z. </w:t>
      </w:r>
    </w:p>
    <w:p w14:paraId="0BCA693B" w14:textId="2C3E011C" w:rsidR="003060EE" w:rsidRPr="00772BC3" w:rsidRDefault="00F66926" w:rsidP="00A3583A">
      <w:pPr>
        <w:pStyle w:val="Tablelistnumber"/>
      </w:pPr>
      <w:r w:rsidRPr="00772BC3">
        <w:t xml:space="preserve">Department of Home Affairs, </w:t>
      </w:r>
      <w:hyperlink r:id="rId107" w:history="1">
        <w:r w:rsidRPr="00A3583A">
          <w:rPr>
            <w:rStyle w:val="Hyperlink"/>
          </w:rPr>
          <w:t>Towards fairness: a multicultural Australia for all</w:t>
        </w:r>
      </w:hyperlink>
      <w:r w:rsidRPr="00772BC3">
        <w:t>, Department of Home Affairs, Australian Government, 2024.</w:t>
      </w:r>
    </w:p>
    <w:p w14:paraId="4B7B9569" w14:textId="061EF6C8" w:rsidR="003D260A" w:rsidRPr="00772BC3" w:rsidRDefault="00F66926" w:rsidP="00A3583A">
      <w:pPr>
        <w:pStyle w:val="Tablelistnumber"/>
      </w:pPr>
      <w:r w:rsidRPr="00772BC3">
        <w:t xml:space="preserve">Healing Foundation, </w:t>
      </w:r>
      <w:hyperlink r:id="rId108" w:history="1">
        <w:r w:rsidRPr="00A3583A">
          <w:rPr>
            <w:rStyle w:val="Hyperlink"/>
          </w:rPr>
          <w:t>Healing Foundation</w:t>
        </w:r>
      </w:hyperlink>
      <w:r w:rsidRPr="00772BC3">
        <w:t xml:space="preserve"> [website], 2025, accessed 7 July 2025.</w:t>
      </w:r>
    </w:p>
    <w:p w14:paraId="4BB534A1" w14:textId="191B5F79" w:rsidR="00741649" w:rsidRPr="00772BC3" w:rsidRDefault="00F66926" w:rsidP="00A3583A">
      <w:pPr>
        <w:pStyle w:val="Tablelistnumber"/>
      </w:pPr>
      <w:r w:rsidRPr="00772BC3">
        <w:t xml:space="preserve">C Kezelman and P Stavropoulos, </w:t>
      </w:r>
      <w:hyperlink r:id="rId109" w:history="1">
        <w:r w:rsidRPr="00A3583A">
          <w:rPr>
            <w:rStyle w:val="Hyperlink"/>
          </w:rPr>
          <w:t>Practice Guidelines for Treatment of Complex Trauma and Trauma Informed Care and Service Delivery</w:t>
        </w:r>
      </w:hyperlink>
      <w:r w:rsidRPr="00772BC3">
        <w:t>, Blue Knot Foundation, 2012.</w:t>
      </w:r>
    </w:p>
    <w:p w14:paraId="01B0E79F" w14:textId="7DBCD9A9" w:rsidR="00741649" w:rsidRPr="00772BC3" w:rsidRDefault="00F66926" w:rsidP="00A3583A">
      <w:pPr>
        <w:pStyle w:val="Tablelistnumber"/>
      </w:pPr>
      <w:r w:rsidRPr="00772BC3">
        <w:t xml:space="preserve">Forum of Australian Services for Survivors of Torture and Trauma, </w:t>
      </w:r>
      <w:hyperlink r:id="rId110" w:history="1">
        <w:r w:rsidRPr="00A3583A">
          <w:rPr>
            <w:rStyle w:val="Hyperlink"/>
          </w:rPr>
          <w:t>FASSTT</w:t>
        </w:r>
      </w:hyperlink>
      <w:r w:rsidRPr="00772BC3">
        <w:t xml:space="preserve"> [website], 2025, accessed 7 July 2025.</w:t>
      </w:r>
    </w:p>
    <w:p w14:paraId="7AB27E26" w14:textId="2005040F" w:rsidR="00741649" w:rsidRPr="00772BC3" w:rsidRDefault="006B6CDD" w:rsidP="00A3583A">
      <w:pPr>
        <w:pStyle w:val="Tablelistnumber"/>
      </w:pPr>
      <w:r>
        <w:t>AIHW</w:t>
      </w:r>
      <w:r w:rsidR="00F66926" w:rsidRPr="00772BC3">
        <w:t>, '</w:t>
      </w:r>
      <w:hyperlink r:id="rId111" w:history="1">
        <w:r w:rsidR="00F66926" w:rsidRPr="00772BC3">
          <w:rPr>
            <w:rStyle w:val="Hyperlink"/>
          </w:rPr>
          <w:t>Conceptual overview</w:t>
        </w:r>
      </w:hyperlink>
      <w:r w:rsidR="00F66926" w:rsidRPr="00772BC3">
        <w:t xml:space="preserve">', </w:t>
      </w:r>
      <w:r w:rsidR="00F66926" w:rsidRPr="00F06202">
        <w:rPr>
          <w:rStyle w:val="Emphasis"/>
        </w:rPr>
        <w:t>Aboriginal and Torres Strait Islander people and primary health care: patterns of service use, preferences, and access to services</w:t>
      </w:r>
      <w:r w:rsidR="00F66926" w:rsidRPr="00772BC3">
        <w:t>, AIHW website, 2024, accessed 7 July 2025.</w:t>
      </w:r>
    </w:p>
    <w:p w14:paraId="2C9E6B46" w14:textId="5FB9783C" w:rsidR="00741649" w:rsidRPr="00772BC3" w:rsidRDefault="00F66926" w:rsidP="00A3583A">
      <w:pPr>
        <w:pStyle w:val="Tablelistnumber"/>
      </w:pPr>
      <w:r w:rsidRPr="00772BC3">
        <w:t xml:space="preserve">Department of Health and Aged Care, </w:t>
      </w:r>
      <w:hyperlink r:id="rId112" w:history="1">
        <w:r w:rsidRPr="00A3583A">
          <w:rPr>
            <w:rStyle w:val="Hyperlink"/>
          </w:rPr>
          <w:t>Evaluation of outreach programs, volume 1: main report</w:t>
        </w:r>
      </w:hyperlink>
      <w:r w:rsidRPr="00772BC3">
        <w:t>, Department of Health and Aged Care, Australian Government, 2023.</w:t>
      </w:r>
    </w:p>
    <w:p w14:paraId="54862363" w14:textId="77777777" w:rsidR="00741649" w:rsidRPr="00772BC3" w:rsidRDefault="00F66926" w:rsidP="00A3583A">
      <w:pPr>
        <w:pStyle w:val="Tablelistnumber"/>
      </w:pPr>
      <w:r w:rsidRPr="00772BC3">
        <w:t xml:space="preserve">I Al-Dhahir, T Reijnders, JS Faber, RJ van den Berg-Emons, VR Janssen, RA Kraaijenhagen, VT Visch, NH Chavannes and AW Evers, 'The barriers and facilitators of eHealth-based lifestyle intervention programs for people with a low socioeconomic status: scoping review', </w:t>
      </w:r>
      <w:r w:rsidRPr="00F06202">
        <w:rPr>
          <w:rStyle w:val="Emphasis"/>
        </w:rPr>
        <w:t>Journal of Medical Internet Research</w:t>
      </w:r>
      <w:r w:rsidRPr="00772BC3">
        <w:t xml:space="preserve">, 2022, 24(8):e34229, doi:10.2196/34229. </w:t>
      </w:r>
    </w:p>
    <w:p w14:paraId="39086754" w14:textId="7B797EE6" w:rsidR="00741649" w:rsidRPr="00772BC3" w:rsidRDefault="00F66926" w:rsidP="00A3583A">
      <w:pPr>
        <w:pStyle w:val="Tablelistnumber"/>
      </w:pPr>
      <w:r w:rsidRPr="00772BC3">
        <w:t xml:space="preserve">Department of Health, Disability and Ageing, </w:t>
      </w:r>
      <w:hyperlink r:id="rId113" w:history="1">
        <w:r w:rsidRPr="00A3583A">
          <w:rPr>
            <w:rStyle w:val="Hyperlink"/>
          </w:rPr>
          <w:t>My QuitBuddy app</w:t>
        </w:r>
      </w:hyperlink>
      <w:r w:rsidRPr="00772BC3">
        <w:t>, Department of Health, Disability and Ageing website, 2025, accessed 7 July 2025.</w:t>
      </w:r>
    </w:p>
    <w:p w14:paraId="1270DD9B" w14:textId="77777777" w:rsidR="00741649" w:rsidRPr="00772BC3" w:rsidRDefault="00F66926" w:rsidP="00A3583A">
      <w:pPr>
        <w:pStyle w:val="Tablelistnumber"/>
      </w:pPr>
      <w:r w:rsidRPr="00772BC3">
        <w:t xml:space="preserve">A Bertolazzi, V Quaglia and R Bongelli, 'Barriers and facilitators to health technology adoption by older adults with chronic diseases: an integrative systematic review', </w:t>
      </w:r>
      <w:r w:rsidRPr="00F06202">
        <w:rPr>
          <w:rStyle w:val="Emphasis"/>
        </w:rPr>
        <w:t>BMC Public Health</w:t>
      </w:r>
      <w:r w:rsidRPr="00772BC3">
        <w:t xml:space="preserve">, 2024, 24(1):506, doi:10.1186/s12889-024-18036-5. </w:t>
      </w:r>
    </w:p>
    <w:p w14:paraId="0EF23FDB" w14:textId="77777777" w:rsidR="00741649" w:rsidRPr="00772BC3" w:rsidRDefault="00F66926" w:rsidP="00A3583A">
      <w:pPr>
        <w:pStyle w:val="Tablelistnumber"/>
      </w:pPr>
      <w:r w:rsidRPr="00772BC3">
        <w:t xml:space="preserve">Victoria Government, </w:t>
      </w:r>
      <w:r w:rsidRPr="00F06202">
        <w:rPr>
          <w:rStyle w:val="Emphasis"/>
        </w:rPr>
        <w:t>Understanding intersectionality</w:t>
      </w:r>
      <w:r w:rsidRPr="00772BC3">
        <w:t xml:space="preserve">; Bowleg, 'The problem with the phrase women and minorities: intersectionality-an important theoretical framework for public health'. </w:t>
      </w:r>
    </w:p>
    <w:p w14:paraId="7173155D" w14:textId="7F063A62" w:rsidR="00587550" w:rsidRPr="00772BC3" w:rsidRDefault="00A37C5E" w:rsidP="00A3583A">
      <w:pPr>
        <w:pStyle w:val="Tablelistnumber"/>
        <w:sectPr w:rsidR="00587550" w:rsidRPr="00772BC3" w:rsidSect="00250D21">
          <w:pgSz w:w="11906" w:h="16838"/>
          <w:pgMar w:top="1701" w:right="1418" w:bottom="1418" w:left="1418" w:header="709" w:footer="709" w:gutter="0"/>
          <w:cols w:space="708"/>
          <w:docGrid w:linePitch="360"/>
        </w:sectPr>
      </w:pPr>
      <w:r>
        <w:t>WHO</w:t>
      </w:r>
      <w:r w:rsidR="00F66926" w:rsidRPr="00772BC3">
        <w:t xml:space="preserve">, </w:t>
      </w:r>
      <w:hyperlink r:id="rId114" w:history="1">
        <w:r w:rsidR="00F66926" w:rsidRPr="00A3583A">
          <w:rPr>
            <w:rStyle w:val="Hyperlink"/>
          </w:rPr>
          <w:t>Working together for equity and healthier populations: sustainable multisectoral collaboration based on Health in All Policies approaches</w:t>
        </w:r>
      </w:hyperlink>
      <w:r w:rsidR="00F66926" w:rsidRPr="00772BC3">
        <w:t>, WHO, 2023.</w:t>
      </w:r>
    </w:p>
    <w:p w14:paraId="22138E30" w14:textId="7020C54D" w:rsidR="00470EC8" w:rsidRPr="00772BC3" w:rsidRDefault="6C9552B6" w:rsidP="00470EC8">
      <w:pPr>
        <w:pStyle w:val="Heading1"/>
      </w:pPr>
      <w:bookmarkStart w:id="42" w:name="_Toc224557218"/>
      <w:r>
        <w:t>Appendix 1: Determinants of health</w:t>
      </w:r>
      <w:bookmarkEnd w:id="42"/>
    </w:p>
    <w:p w14:paraId="2ABE25B9" w14:textId="3CA01EEB" w:rsidR="0004601F" w:rsidRPr="00772BC3" w:rsidRDefault="0004601F" w:rsidP="0004601F">
      <w:pPr>
        <w:pStyle w:val="TableTitle"/>
      </w:pPr>
      <w:r w:rsidRPr="00772BC3">
        <w:t>Table: Examples</w:t>
      </w:r>
      <w:r w:rsidR="00B1620D" w:rsidRPr="00772BC3">
        <w:t xml:space="preserve"> and impacts of determinants of health</w:t>
      </w:r>
    </w:p>
    <w:tbl>
      <w:tblPr>
        <w:tblStyle w:val="DepartmentofHealthtable"/>
        <w:tblW w:w="0" w:type="auto"/>
        <w:tblLook w:val="04A0" w:firstRow="1" w:lastRow="0" w:firstColumn="1" w:lastColumn="0" w:noHBand="0" w:noVBand="1"/>
        <w:tblCaption w:val="Table: Examples and impacts of determinants of health "/>
        <w:tblDescription w:val="Table lists examples and impacts of determinants of health "/>
      </w:tblPr>
      <w:tblGrid>
        <w:gridCol w:w="2268"/>
        <w:gridCol w:w="6802"/>
      </w:tblGrid>
      <w:tr w:rsidR="0004601F" w:rsidRPr="00772BC3" w14:paraId="0ECF508A" w14:textId="77777777" w:rsidTr="4FD68A1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68" w:type="dxa"/>
          </w:tcPr>
          <w:p w14:paraId="5BB9F210" w14:textId="6E5D8505" w:rsidR="0004601F" w:rsidRPr="00772BC3" w:rsidRDefault="00B1620D">
            <w:pPr>
              <w:pStyle w:val="TableHeaderWhite"/>
            </w:pPr>
            <w:r w:rsidRPr="00772BC3">
              <w:t>Determinant</w:t>
            </w:r>
          </w:p>
        </w:tc>
        <w:tc>
          <w:tcPr>
            <w:tcW w:w="6802" w:type="dxa"/>
          </w:tcPr>
          <w:p w14:paraId="07883113" w14:textId="2CFAB31F" w:rsidR="0004601F" w:rsidRPr="00772BC3" w:rsidRDefault="00B1620D">
            <w:pPr>
              <w:pStyle w:val="TableHeader"/>
              <w:cnfStyle w:val="100000000000" w:firstRow="1" w:lastRow="0" w:firstColumn="0" w:lastColumn="0" w:oddVBand="0" w:evenVBand="0" w:oddHBand="0" w:evenHBand="0" w:firstRowFirstColumn="0" w:firstRowLastColumn="0" w:lastRowFirstColumn="0" w:lastRowLastColumn="0"/>
            </w:pPr>
            <w:r w:rsidRPr="00772BC3">
              <w:t>Examples/</w:t>
            </w:r>
            <w:r w:rsidR="00390FC2">
              <w:t>I</w:t>
            </w:r>
            <w:r w:rsidRPr="00772BC3">
              <w:t>mpacts</w:t>
            </w:r>
          </w:p>
        </w:tc>
      </w:tr>
      <w:tr w:rsidR="0004601F" w:rsidRPr="00772BC3" w14:paraId="4FD3CA91" w14:textId="77777777" w:rsidTr="4FD68A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42517F2C" w14:textId="3F105E0C" w:rsidR="0004601F" w:rsidRPr="00772BC3" w:rsidRDefault="00B1620D" w:rsidP="00A3583A">
            <w:pPr>
              <w:pStyle w:val="Tabletextleft"/>
            </w:pPr>
            <w:r w:rsidRPr="00772BC3">
              <w:t>Social</w:t>
            </w:r>
          </w:p>
        </w:tc>
        <w:tc>
          <w:tcPr>
            <w:tcW w:w="6802" w:type="dxa"/>
          </w:tcPr>
          <w:p w14:paraId="460DC67E" w14:textId="28B666EF" w:rsidR="0011710F" w:rsidRPr="00772BC3" w:rsidRDefault="0011710F" w:rsidP="00A3583A">
            <w:pPr>
              <w:pStyle w:val="Tabletextleft"/>
              <w:cnfStyle w:val="000000100000" w:firstRow="0" w:lastRow="0" w:firstColumn="0" w:lastColumn="0" w:oddVBand="0" w:evenVBand="0" w:oddHBand="1" w:evenHBand="0" w:firstRowFirstColumn="0" w:firstRowLastColumn="0" w:lastRowFirstColumn="0" w:lastRowLastColumn="0"/>
            </w:pPr>
            <w:r w:rsidRPr="00772BC3">
              <w:t>Examples: Family situation, early childhood circumstances, social support and connections, housing conditions</w:t>
            </w:r>
            <w:r w:rsidR="00390FC2">
              <w:t xml:space="preserve"> and</w:t>
            </w:r>
            <w:r w:rsidRPr="00772BC3">
              <w:t xml:space="preserve"> working conditions.</w:t>
            </w:r>
          </w:p>
          <w:p w14:paraId="4B8887EF" w14:textId="1984A8DE" w:rsidR="0004601F" w:rsidRPr="00772BC3" w:rsidRDefault="0011710F" w:rsidP="00A3583A">
            <w:pPr>
              <w:pStyle w:val="Tabletextleft"/>
              <w:cnfStyle w:val="000000100000" w:firstRow="0" w:lastRow="0" w:firstColumn="0" w:lastColumn="0" w:oddVBand="0" w:evenVBand="0" w:oddHBand="1" w:evenHBand="0" w:firstRowFirstColumn="0" w:firstRowLastColumn="0" w:lastRowFirstColumn="0" w:lastRowLastColumn="0"/>
            </w:pPr>
            <w:r w:rsidRPr="00772BC3">
              <w:t>Impacts: Strong social support outside of family can be a protective factor, while lack of support, loneliness and social exclusion, and presence of violence and abuse can have adverse effects on health. Housing challenges, such as overcrowding, homelessness and lack of amenities, can have adverse effects. Women and children are disproportionately affected by family, domestic and sexual violence (FDSV). Some health outcomes associated with FDSV are immediate while others, such as mental illness, develop over time and persist for years after the violence has ceased.</w:t>
            </w:r>
          </w:p>
        </w:tc>
      </w:tr>
      <w:tr w:rsidR="0004601F" w:rsidRPr="00772BC3" w14:paraId="1686007F" w14:textId="77777777" w:rsidTr="4FD68A1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0B0F085A" w14:textId="6F07A4E0" w:rsidR="0004601F" w:rsidRPr="00772BC3" w:rsidRDefault="00B1620D" w:rsidP="00A3583A">
            <w:pPr>
              <w:pStyle w:val="Tabletextleft"/>
            </w:pPr>
            <w:r w:rsidRPr="00772BC3">
              <w:t>Cult</w:t>
            </w:r>
            <w:r w:rsidR="00982726" w:rsidRPr="00772BC3">
              <w:t>ural</w:t>
            </w:r>
          </w:p>
        </w:tc>
        <w:tc>
          <w:tcPr>
            <w:tcW w:w="6802" w:type="dxa"/>
          </w:tcPr>
          <w:p w14:paraId="358D068C" w14:textId="361F7871" w:rsidR="002B49A2" w:rsidRPr="00772BC3" w:rsidRDefault="002B49A2" w:rsidP="00A3583A">
            <w:pPr>
              <w:pStyle w:val="Tabletextleft"/>
              <w:cnfStyle w:val="000000010000" w:firstRow="0" w:lastRow="0" w:firstColumn="0" w:lastColumn="0" w:oddVBand="0" w:evenVBand="0" w:oddHBand="0" w:evenHBand="1" w:firstRowFirstColumn="0" w:firstRowLastColumn="0" w:lastRowFirstColumn="0" w:lastRowLastColumn="0"/>
            </w:pPr>
            <w:r w:rsidRPr="00772BC3">
              <w:t>Examples: Connection to Country, family, kinship and community, beliefs and knowledge, cultural expression and continuity, language, self-determination and leadership</w:t>
            </w:r>
            <w:r w:rsidR="009222D1" w:rsidRPr="00772BC3">
              <w:t>.</w:t>
            </w:r>
          </w:p>
          <w:p w14:paraId="5AC018D8" w14:textId="49B63F8D" w:rsidR="0004601F" w:rsidRPr="00772BC3" w:rsidRDefault="002B49A2" w:rsidP="00A3583A">
            <w:pPr>
              <w:pStyle w:val="Tabletextleft"/>
              <w:cnfStyle w:val="000000010000" w:firstRow="0" w:lastRow="0" w:firstColumn="0" w:lastColumn="0" w:oddVBand="0" w:evenVBand="0" w:oddHBand="0" w:evenHBand="1" w:firstRowFirstColumn="0" w:firstRowLastColumn="0" w:lastRowFirstColumn="0" w:lastRowLastColumn="0"/>
            </w:pPr>
            <w:r w:rsidRPr="00772BC3">
              <w:t xml:space="preserve">Impacts: Culture plays an important role in the health and wellbeing of Aboriginal and Torres Strait Islander </w:t>
            </w:r>
            <w:r>
              <w:t>people</w:t>
            </w:r>
            <w:r w:rsidR="637B6464">
              <w:t>s</w:t>
            </w:r>
            <w:r w:rsidRPr="00772BC3">
              <w:t xml:space="preserve"> and people from culturally and linguistically diverse populations</w:t>
            </w:r>
            <w:r w:rsidR="00390FC2">
              <w:t xml:space="preserve"> (CALD)</w:t>
            </w:r>
            <w:r w:rsidRPr="00772BC3">
              <w:t>. Culturally safe care can be a protective factor in supporting the health and wellbeing of communities; conversely, a lack of culturally safe care can have an adverse impact.</w:t>
            </w:r>
          </w:p>
        </w:tc>
      </w:tr>
      <w:tr w:rsidR="0004601F" w:rsidRPr="00772BC3" w14:paraId="780950F0" w14:textId="77777777" w:rsidTr="4FD68A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2DCDBC70" w14:textId="76FB48F4" w:rsidR="0004601F" w:rsidRPr="00772BC3" w:rsidRDefault="009C798D" w:rsidP="00A3583A">
            <w:pPr>
              <w:pStyle w:val="Tabletextleft"/>
            </w:pPr>
            <w:r w:rsidRPr="00772BC3">
              <w:t>Environmental</w:t>
            </w:r>
          </w:p>
        </w:tc>
        <w:tc>
          <w:tcPr>
            <w:tcW w:w="6802" w:type="dxa"/>
          </w:tcPr>
          <w:p w14:paraId="6798CA15" w14:textId="2E008278" w:rsidR="002B49A2" w:rsidRPr="00772BC3" w:rsidRDefault="002B49A2" w:rsidP="00A3583A">
            <w:pPr>
              <w:pStyle w:val="Tabletextleft"/>
              <w:cnfStyle w:val="000000100000" w:firstRow="0" w:lastRow="0" w:firstColumn="0" w:lastColumn="0" w:oddVBand="0" w:evenVBand="0" w:oddHBand="1" w:evenHBand="0" w:firstRowFirstColumn="0" w:firstRowLastColumn="0" w:lastRowFirstColumn="0" w:lastRowLastColumn="0"/>
            </w:pPr>
            <w:r w:rsidRPr="00772BC3">
              <w:t>Examples: Climate change and extreme weather events, built environments including buildings, parks and infrastructure (transport, services and utilities).</w:t>
            </w:r>
          </w:p>
          <w:p w14:paraId="48C2E649" w14:textId="6B8D85BB" w:rsidR="0004601F" w:rsidRPr="00772BC3" w:rsidRDefault="002B49A2" w:rsidP="00A3583A">
            <w:pPr>
              <w:pStyle w:val="Tabletextleft"/>
              <w:cnfStyle w:val="000000100000" w:firstRow="0" w:lastRow="0" w:firstColumn="0" w:lastColumn="0" w:oddVBand="0" w:evenVBand="0" w:oddHBand="1" w:evenHBand="0" w:firstRowFirstColumn="0" w:firstRowLastColumn="0" w:lastRowFirstColumn="0" w:lastRowLastColumn="0"/>
            </w:pPr>
            <w:r w:rsidRPr="00772BC3">
              <w:t>Impacts: Climate change and extreme weather events can have adverse impacts, particularly for susceptible populations. Access to transport and affordable, healthy food options can impact on ability to access health care and have a healthy diet.</w:t>
            </w:r>
          </w:p>
        </w:tc>
      </w:tr>
      <w:tr w:rsidR="0004601F" w:rsidRPr="00772BC3" w14:paraId="58B7B131" w14:textId="77777777" w:rsidTr="4FD68A1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1872FFE6" w14:textId="036585E7" w:rsidR="0004601F" w:rsidRPr="00772BC3" w:rsidRDefault="009C798D" w:rsidP="00A3583A">
            <w:pPr>
              <w:pStyle w:val="Tabletextleft"/>
            </w:pPr>
            <w:r w:rsidRPr="00772BC3">
              <w:t>St</w:t>
            </w:r>
            <w:r w:rsidR="00EC48D7" w:rsidRPr="00772BC3">
              <w:t>ructural</w:t>
            </w:r>
          </w:p>
        </w:tc>
        <w:tc>
          <w:tcPr>
            <w:tcW w:w="6802" w:type="dxa"/>
          </w:tcPr>
          <w:p w14:paraId="43910857" w14:textId="78979AEA" w:rsidR="002B49A2" w:rsidRPr="00772BC3" w:rsidRDefault="002B49A2" w:rsidP="00A3583A">
            <w:pPr>
              <w:pStyle w:val="Tabletextleft"/>
              <w:cnfStyle w:val="000000010000" w:firstRow="0" w:lastRow="0" w:firstColumn="0" w:lastColumn="0" w:oddVBand="0" w:evenVBand="0" w:oddHBand="0" w:evenHBand="1" w:firstRowFirstColumn="0" w:firstRowLastColumn="0" w:lastRowFirstColumn="0" w:lastRowLastColumn="0"/>
            </w:pPr>
            <w:r w:rsidRPr="00772BC3">
              <w:t>Examples: Cost of healthcare, availability of timely and quality services, systemic racism and discrimination, health literacy levels and geographic location.</w:t>
            </w:r>
          </w:p>
          <w:p w14:paraId="0ECFE603" w14:textId="7372AA01" w:rsidR="0004601F" w:rsidRPr="00772BC3" w:rsidRDefault="002B49A2" w:rsidP="00A3583A">
            <w:pPr>
              <w:pStyle w:val="Tabletextleft"/>
              <w:cnfStyle w:val="000000010000" w:firstRow="0" w:lastRow="0" w:firstColumn="0" w:lastColumn="0" w:oddVBand="0" w:evenVBand="0" w:oddHBand="0" w:evenHBand="1" w:firstRowFirstColumn="0" w:firstRowLastColumn="0" w:lastRowFirstColumn="0" w:lastRowLastColumn="0"/>
            </w:pPr>
            <w:r w:rsidRPr="00772BC3">
              <w:t xml:space="preserve">Impacts: Living in rural and remote locations can make access to health care difficult. Systemic racism presents significant barriers for Aboriginal and Torres Strait Islander </w:t>
            </w:r>
            <w:r w:rsidR="00266751">
              <w:t xml:space="preserve">communities </w:t>
            </w:r>
            <w:r w:rsidRPr="00772BC3">
              <w:t>and CALD communities to access equitable health care and other services.</w:t>
            </w:r>
          </w:p>
        </w:tc>
      </w:tr>
      <w:tr w:rsidR="0004601F" w:rsidRPr="00772BC3" w14:paraId="21EDF14F" w14:textId="77777777" w:rsidTr="4FD68A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1A15962C" w14:textId="4C3C3890" w:rsidR="0004601F" w:rsidRPr="00772BC3" w:rsidRDefault="00EC48D7" w:rsidP="00A3583A">
            <w:pPr>
              <w:pStyle w:val="Tabletextleft"/>
            </w:pPr>
            <w:r w:rsidRPr="00772BC3">
              <w:t>Economic</w:t>
            </w:r>
          </w:p>
        </w:tc>
        <w:tc>
          <w:tcPr>
            <w:tcW w:w="6802" w:type="dxa"/>
          </w:tcPr>
          <w:p w14:paraId="3B2B77AB" w14:textId="6B1EF6C5" w:rsidR="007639CB" w:rsidRPr="00772BC3" w:rsidRDefault="007639CB" w:rsidP="00A3583A">
            <w:pPr>
              <w:pStyle w:val="Tabletextleft"/>
              <w:cnfStyle w:val="000000100000" w:firstRow="0" w:lastRow="0" w:firstColumn="0" w:lastColumn="0" w:oddVBand="0" w:evenVBand="0" w:oddHBand="1" w:evenHBand="0" w:firstRowFirstColumn="0" w:firstRowLastColumn="0" w:lastRowFirstColumn="0" w:lastRowLastColumn="0"/>
            </w:pPr>
            <w:r w:rsidRPr="00772BC3">
              <w:t>Examples: Education, employment, occupation</w:t>
            </w:r>
            <w:r w:rsidR="002C74E9">
              <w:t xml:space="preserve"> and</w:t>
            </w:r>
            <w:r w:rsidRPr="00772BC3">
              <w:t xml:space="preserve"> income.</w:t>
            </w:r>
          </w:p>
          <w:p w14:paraId="492EC2A4" w14:textId="2F3A6390" w:rsidR="0004601F" w:rsidRPr="00772BC3" w:rsidRDefault="007639CB" w:rsidP="00A3583A">
            <w:pPr>
              <w:pStyle w:val="Tabletextleft"/>
              <w:cnfStyle w:val="000000100000" w:firstRow="0" w:lastRow="0" w:firstColumn="0" w:lastColumn="0" w:oddVBand="0" w:evenVBand="0" w:oddHBand="1" w:evenHBand="0" w:firstRowFirstColumn="0" w:firstRowLastColumn="0" w:lastRowFirstColumn="0" w:lastRowLastColumn="0"/>
            </w:pPr>
            <w:r w:rsidRPr="00772BC3">
              <w:t>Impacts: Income impacts on being able to afford health care</w:t>
            </w:r>
            <w:r w:rsidR="00EC5AB6" w:rsidRPr="00772BC3">
              <w:t xml:space="preserve"> and</w:t>
            </w:r>
            <w:r w:rsidR="00003ED1" w:rsidRPr="00772BC3">
              <w:t xml:space="preserve"> </w:t>
            </w:r>
            <w:r w:rsidRPr="00772BC3">
              <w:t>medications. Education impacts on health literacy and ability to navigate health system and self-manage conditions.</w:t>
            </w:r>
          </w:p>
        </w:tc>
      </w:tr>
      <w:tr w:rsidR="0004601F" w:rsidRPr="00772BC3" w14:paraId="5128B374" w14:textId="77777777" w:rsidTr="4FD68A1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404F3479" w14:textId="3DF21897" w:rsidR="0004601F" w:rsidRPr="00772BC3" w:rsidRDefault="00EC48D7" w:rsidP="00A3583A">
            <w:pPr>
              <w:pStyle w:val="Tabletextleft"/>
            </w:pPr>
            <w:r w:rsidRPr="00772BC3">
              <w:t>Biomedical</w:t>
            </w:r>
          </w:p>
        </w:tc>
        <w:tc>
          <w:tcPr>
            <w:tcW w:w="6802" w:type="dxa"/>
          </w:tcPr>
          <w:p w14:paraId="74A065D7" w14:textId="1DEDD5D6" w:rsidR="007639CB" w:rsidRPr="00772BC3" w:rsidRDefault="007639CB" w:rsidP="00A3583A">
            <w:pPr>
              <w:pStyle w:val="Tabletextleft"/>
              <w:cnfStyle w:val="000000010000" w:firstRow="0" w:lastRow="0" w:firstColumn="0" w:lastColumn="0" w:oddVBand="0" w:evenVBand="0" w:oddHBand="0" w:evenHBand="1" w:firstRowFirstColumn="0" w:firstRowLastColumn="0" w:lastRowFirstColumn="0" w:lastRowLastColumn="0"/>
            </w:pPr>
            <w:r w:rsidRPr="00772BC3">
              <w:t>Examples: Blood pressure, blood glucose levels</w:t>
            </w:r>
            <w:r w:rsidR="002C74E9">
              <w:t xml:space="preserve"> and</w:t>
            </w:r>
            <w:r w:rsidRPr="00772BC3">
              <w:t xml:space="preserve"> genetics.</w:t>
            </w:r>
          </w:p>
          <w:p w14:paraId="399CD874" w14:textId="486FE2DD" w:rsidR="0004601F" w:rsidRPr="00772BC3" w:rsidRDefault="007639CB" w:rsidP="00A3583A">
            <w:pPr>
              <w:pStyle w:val="Tabletextleft"/>
              <w:cnfStyle w:val="000000010000" w:firstRow="0" w:lastRow="0" w:firstColumn="0" w:lastColumn="0" w:oddVBand="0" w:evenVBand="0" w:oddHBand="0" w:evenHBand="1" w:firstRowFirstColumn="0" w:firstRowLastColumn="0" w:lastRowFirstColumn="0" w:lastRowLastColumn="0"/>
            </w:pPr>
            <w:r w:rsidRPr="00772BC3">
              <w:t>Impacts: Biomedical determinants can include non-modifiable factors such as genetics, which can influence the likelihood of developing chronic conditions. Biomedical risk factors such as blood pressure and blood glucose levels can be influenced by both genetics and behavioural risk factors (such as physical activity, tobacco use, diet). Behavioural risk factors are significantly influenced by other determinants of health.</w:t>
            </w:r>
          </w:p>
        </w:tc>
      </w:tr>
      <w:tr w:rsidR="0004601F" w:rsidRPr="00772BC3" w14:paraId="3D5FA615" w14:textId="77777777" w:rsidTr="4FD68A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217956C3" w14:textId="073D830B" w:rsidR="0004601F" w:rsidRPr="00772BC3" w:rsidRDefault="00EC48D7" w:rsidP="00A3583A">
            <w:pPr>
              <w:pStyle w:val="Tabletextleft"/>
            </w:pPr>
            <w:r w:rsidRPr="00772BC3">
              <w:t>Commercial</w:t>
            </w:r>
          </w:p>
        </w:tc>
        <w:tc>
          <w:tcPr>
            <w:tcW w:w="6802" w:type="dxa"/>
          </w:tcPr>
          <w:p w14:paraId="021768AD" w14:textId="4B7ED216" w:rsidR="007639CB" w:rsidRPr="00772BC3" w:rsidRDefault="007639CB" w:rsidP="00A3583A">
            <w:pPr>
              <w:pStyle w:val="Tabletextleft"/>
              <w:cnfStyle w:val="000000100000" w:firstRow="0" w:lastRow="0" w:firstColumn="0" w:lastColumn="0" w:oddVBand="0" w:evenVBand="0" w:oddHBand="1" w:evenHBand="0" w:firstRowFirstColumn="0" w:firstRowLastColumn="0" w:lastRowFirstColumn="0" w:lastRowLastColumn="0"/>
            </w:pPr>
            <w:r w:rsidRPr="00772BC3">
              <w:t>Examples: Stem from profit motive and encompass approaches used to promote products and/or choices that impact on the health of individuals and communities</w:t>
            </w:r>
          </w:p>
          <w:p w14:paraId="470246B7" w14:textId="57176912" w:rsidR="0004601F" w:rsidRPr="00772BC3" w:rsidRDefault="007639CB" w:rsidP="00A3583A">
            <w:pPr>
              <w:pStyle w:val="Tabletextleft"/>
              <w:cnfStyle w:val="000000100000" w:firstRow="0" w:lastRow="0" w:firstColumn="0" w:lastColumn="0" w:oddVBand="0" w:evenVBand="0" w:oddHBand="1" w:evenHBand="0" w:firstRowFirstColumn="0" w:firstRowLastColumn="0" w:lastRowFirstColumn="0" w:lastRowLastColumn="0"/>
            </w:pPr>
            <w:r w:rsidRPr="00772BC3">
              <w:t>Impacts: Advertising and marketing can have both positive and adverse effects on behaviours. Supply chains influence the availability of affordable and quality food products, particularly for remote communities.</w:t>
            </w:r>
          </w:p>
        </w:tc>
      </w:tr>
      <w:tr w:rsidR="0004601F" w:rsidRPr="00772BC3" w14:paraId="5F084216" w14:textId="77777777" w:rsidTr="4FD68A1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2BEB201A" w14:textId="180754CB" w:rsidR="00EC48D7" w:rsidRPr="00772BC3" w:rsidRDefault="00EC48D7" w:rsidP="00A3583A">
            <w:pPr>
              <w:pStyle w:val="Tabletextleft"/>
            </w:pPr>
            <w:r w:rsidRPr="00772BC3">
              <w:t>Digital</w:t>
            </w:r>
          </w:p>
        </w:tc>
        <w:tc>
          <w:tcPr>
            <w:tcW w:w="6802" w:type="dxa"/>
          </w:tcPr>
          <w:p w14:paraId="1A0EDB5B" w14:textId="4831265E" w:rsidR="008452D0" w:rsidRPr="00772BC3" w:rsidRDefault="008452D0" w:rsidP="00A3583A">
            <w:pPr>
              <w:pStyle w:val="Tabletextleft"/>
              <w:cnfStyle w:val="000000010000" w:firstRow="0" w:lastRow="0" w:firstColumn="0" w:lastColumn="0" w:oddVBand="0" w:evenVBand="0" w:oddHBand="0" w:evenHBand="1" w:firstRowFirstColumn="0" w:firstRowLastColumn="0" w:lastRowFirstColumn="0" w:lastRowLastColumn="0"/>
            </w:pPr>
            <w:r w:rsidRPr="00772BC3">
              <w:t>Examples: Wearable technologies, mobile health applications, electronic medical records, diagnostic and therapeutic tools</w:t>
            </w:r>
            <w:r w:rsidR="002C74E9">
              <w:t xml:space="preserve"> and</w:t>
            </w:r>
            <w:r w:rsidRPr="00772BC3">
              <w:t xml:space="preserve"> telehealth.</w:t>
            </w:r>
          </w:p>
          <w:p w14:paraId="763B6114" w14:textId="4701ECA7" w:rsidR="0004601F" w:rsidRPr="00772BC3" w:rsidRDefault="008452D0" w:rsidP="00A3583A">
            <w:pPr>
              <w:pStyle w:val="Tabletextleft"/>
              <w:cnfStyle w:val="000000010000" w:firstRow="0" w:lastRow="0" w:firstColumn="0" w:lastColumn="0" w:oddVBand="0" w:evenVBand="0" w:oddHBand="0" w:evenHBand="1" w:firstRowFirstColumn="0" w:firstRowLastColumn="0" w:lastRowFirstColumn="0" w:lastRowLastColumn="0"/>
            </w:pPr>
            <w:r w:rsidRPr="00772BC3">
              <w:t>Impacts: Telehealth can provide greater access to services, particularly for people in rural and remote locations; however, it requires adequate access to internet connections, devices and digital health literacy to be effective. Electronic medical records can enable greater information sharing between health service providers.</w:t>
            </w:r>
          </w:p>
        </w:tc>
      </w:tr>
    </w:tbl>
    <w:p w14:paraId="3A6DBCEE" w14:textId="39EA544B" w:rsidR="007851E1" w:rsidRPr="00A3583A" w:rsidRDefault="007851E1" w:rsidP="00A3583A"/>
    <w:p w14:paraId="09E5FD2D" w14:textId="77777777" w:rsidR="00255843" w:rsidRPr="00772BC3" w:rsidRDefault="00255843" w:rsidP="00470EC8">
      <w:pPr>
        <w:sectPr w:rsidR="00255843" w:rsidRPr="00772BC3" w:rsidSect="00470EC8">
          <w:type w:val="oddPage"/>
          <w:pgSz w:w="11906" w:h="16838"/>
          <w:pgMar w:top="1701" w:right="1418" w:bottom="1418" w:left="1418" w:header="709" w:footer="709" w:gutter="0"/>
          <w:cols w:space="708"/>
          <w:docGrid w:linePitch="360"/>
        </w:sectPr>
      </w:pPr>
    </w:p>
    <w:p w14:paraId="3D529271" w14:textId="41BA8367" w:rsidR="005C70D9" w:rsidRPr="00772BC3" w:rsidRDefault="01BFA1E5" w:rsidP="006638F9">
      <w:pPr>
        <w:pStyle w:val="Heading1"/>
      </w:pPr>
      <w:bookmarkStart w:id="43" w:name="_Toc224557219"/>
      <w:r>
        <w:t xml:space="preserve">Appendix </w:t>
      </w:r>
      <w:r w:rsidR="00D427A2">
        <w:t>2</w:t>
      </w:r>
      <w:r>
        <w:t xml:space="preserve">: </w:t>
      </w:r>
      <w:r w:rsidR="2B5B969C">
        <w:t>Key measures for monitoring chronic conditions</w:t>
      </w:r>
      <w:bookmarkEnd w:id="43"/>
    </w:p>
    <w:p w14:paraId="17F796C6" w14:textId="77777777" w:rsidR="00CD72B2" w:rsidRPr="00772BC3" w:rsidRDefault="005C028B" w:rsidP="00470EC8">
      <w:r w:rsidRPr="00772BC3">
        <w:t>Monitoring will use existing reporting for chronic conditions where possible. National data sources are provided as examples of measures for monitoring chronic conditions. Other data sources may be available for monitoring at the jurisdiction or local level, or for selected population groups.</w:t>
      </w:r>
    </w:p>
    <w:p w14:paraId="164945C2" w14:textId="1FF79A9E" w:rsidR="00C866AF" w:rsidRPr="00772BC3" w:rsidRDefault="00CD72B2" w:rsidP="006638F9">
      <w:pPr>
        <w:pStyle w:val="TableTitle"/>
      </w:pPr>
      <w:r w:rsidRPr="00772BC3">
        <w:t>Table: Key measures for chronic conditions and mapping to specific Priority Areas</w:t>
      </w:r>
    </w:p>
    <w:tbl>
      <w:tblPr>
        <w:tblStyle w:val="DepartmentofHealthtable"/>
        <w:tblW w:w="0" w:type="auto"/>
        <w:tblLook w:val="04A0" w:firstRow="1" w:lastRow="0" w:firstColumn="1" w:lastColumn="0" w:noHBand="0" w:noVBand="1"/>
        <w:tblCaption w:val="Table: Key measures for chronic conditions and mapping to specific Priority Areas"/>
        <w:tblDescription w:val="Table lists key measures for chronic conditions and mapping to specific Priority Areas "/>
      </w:tblPr>
      <w:tblGrid>
        <w:gridCol w:w="3119"/>
        <w:gridCol w:w="1843"/>
        <w:gridCol w:w="3013"/>
        <w:gridCol w:w="2872"/>
        <w:gridCol w:w="2872"/>
      </w:tblGrid>
      <w:tr w:rsidR="008825E8" w:rsidRPr="00772BC3" w14:paraId="652030D4" w14:textId="77777777" w:rsidTr="0B3BCAD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119" w:type="dxa"/>
          </w:tcPr>
          <w:p w14:paraId="1405DE39" w14:textId="146392AE" w:rsidR="00CD72B2" w:rsidRPr="00772BC3" w:rsidRDefault="00CD72B2" w:rsidP="00A3583A">
            <w:pPr>
              <w:pStyle w:val="TableHeaderWhite"/>
            </w:pPr>
            <w:r w:rsidRPr="00772BC3">
              <w:t>Measure</w:t>
            </w:r>
          </w:p>
        </w:tc>
        <w:tc>
          <w:tcPr>
            <w:tcW w:w="1843" w:type="dxa"/>
          </w:tcPr>
          <w:p w14:paraId="402AF3C5" w14:textId="66AB5BBF" w:rsidR="00CD72B2" w:rsidRPr="00A3583A" w:rsidRDefault="00CD72B2" w:rsidP="00A3583A">
            <w:pPr>
              <w:pStyle w:val="TableHeaderWhite"/>
              <w:cnfStyle w:val="100000000000" w:firstRow="1" w:lastRow="0" w:firstColumn="0" w:lastColumn="0" w:oddVBand="0" w:evenVBand="0" w:oddHBand="0" w:evenHBand="0" w:firstRowFirstColumn="0" w:firstRowLastColumn="0" w:lastRowFirstColumn="0" w:lastRowLastColumn="0"/>
            </w:pPr>
            <w:r w:rsidRPr="00A3583A">
              <w:t>Domain</w:t>
            </w:r>
          </w:p>
        </w:tc>
        <w:tc>
          <w:tcPr>
            <w:tcW w:w="3013" w:type="dxa"/>
          </w:tcPr>
          <w:p w14:paraId="367C2E01" w14:textId="49097046" w:rsidR="00CD72B2" w:rsidRPr="00A3583A" w:rsidRDefault="00CD72B2" w:rsidP="00A3583A">
            <w:pPr>
              <w:pStyle w:val="TableHeaderWhite"/>
              <w:cnfStyle w:val="100000000000" w:firstRow="1" w:lastRow="0" w:firstColumn="0" w:lastColumn="0" w:oddVBand="0" w:evenVBand="0" w:oddHBand="0" w:evenHBand="0" w:firstRowFirstColumn="0" w:firstRowLastColumn="0" w:lastRowFirstColumn="0" w:lastRowLastColumn="0"/>
            </w:pPr>
            <w:r w:rsidRPr="00A3583A">
              <w:t>National data sources</w:t>
            </w:r>
          </w:p>
        </w:tc>
        <w:tc>
          <w:tcPr>
            <w:tcW w:w="2872" w:type="dxa"/>
          </w:tcPr>
          <w:p w14:paraId="36422866" w14:textId="51575870" w:rsidR="00CD72B2" w:rsidRPr="00A3583A" w:rsidRDefault="00CD72B2" w:rsidP="00A3583A">
            <w:pPr>
              <w:pStyle w:val="TableHeaderWhite"/>
              <w:cnfStyle w:val="100000000000" w:firstRow="1" w:lastRow="0" w:firstColumn="0" w:lastColumn="0" w:oddVBand="0" w:evenVBand="0" w:oddHBand="0" w:evenHBand="0" w:firstRowFirstColumn="0" w:firstRowLastColumn="0" w:lastRowFirstColumn="0" w:lastRowLastColumn="0"/>
            </w:pPr>
            <w:r w:rsidRPr="00A3583A">
              <w:t>Reporting</w:t>
            </w:r>
          </w:p>
        </w:tc>
        <w:tc>
          <w:tcPr>
            <w:tcW w:w="2872" w:type="dxa"/>
          </w:tcPr>
          <w:p w14:paraId="1679240E" w14:textId="431FDF95" w:rsidR="00CD72B2" w:rsidRPr="00A3583A" w:rsidRDefault="00CD72B2" w:rsidP="00A3583A">
            <w:pPr>
              <w:pStyle w:val="TableHeaderWhite"/>
              <w:cnfStyle w:val="100000000000" w:firstRow="1" w:lastRow="0" w:firstColumn="0" w:lastColumn="0" w:oddVBand="0" w:evenVBand="0" w:oddHBand="0" w:evenHBand="0" w:firstRowFirstColumn="0" w:firstRowLastColumn="0" w:lastRowFirstColumn="0" w:lastRowLastColumn="0"/>
            </w:pPr>
            <w:r w:rsidRPr="00A3583A">
              <w:t>Comments</w:t>
            </w:r>
          </w:p>
        </w:tc>
      </w:tr>
      <w:tr w:rsidR="00CD72B2" w:rsidRPr="00772BC3" w14:paraId="2D367ED2" w14:textId="1EF2E930" w:rsidTr="0B3BCA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14:paraId="253F7209" w14:textId="452A07C6" w:rsidR="00CD72B2" w:rsidRPr="00772BC3" w:rsidRDefault="00536938" w:rsidP="00A3583A">
            <w:pPr>
              <w:pStyle w:val="Tabletextleft"/>
            </w:pPr>
            <w:r w:rsidRPr="00772BC3">
              <w:t>Prevalence and incidence of chronic conditions</w:t>
            </w:r>
          </w:p>
        </w:tc>
        <w:tc>
          <w:tcPr>
            <w:tcW w:w="1843" w:type="dxa"/>
          </w:tcPr>
          <w:p w14:paraId="0E0692B2" w14:textId="60DBA339" w:rsidR="00CD72B2" w:rsidRPr="00772BC3" w:rsidRDefault="00536938" w:rsidP="00A3583A">
            <w:pPr>
              <w:pStyle w:val="Tabletextleft"/>
              <w:cnfStyle w:val="000000100000" w:firstRow="0" w:lastRow="0" w:firstColumn="0" w:lastColumn="0" w:oddVBand="0" w:evenVBand="0" w:oddHBand="1" w:evenHBand="0" w:firstRowFirstColumn="0" w:firstRowLastColumn="0" w:lastRowFirstColumn="0" w:lastRowLastColumn="0"/>
            </w:pPr>
            <w:r w:rsidRPr="00772BC3">
              <w:t>Prevalence and incidence</w:t>
            </w:r>
          </w:p>
        </w:tc>
        <w:tc>
          <w:tcPr>
            <w:tcW w:w="3013" w:type="dxa"/>
          </w:tcPr>
          <w:p w14:paraId="430F8C6C" w14:textId="41ABF694" w:rsidR="007A42AE" w:rsidRPr="00A3583A" w:rsidRDefault="007A42AE" w:rsidP="00A3583A">
            <w:pPr>
              <w:pStyle w:val="Hyperlinkstable"/>
              <w:cnfStyle w:val="000000100000" w:firstRow="0" w:lastRow="0" w:firstColumn="0" w:lastColumn="0" w:oddVBand="0" w:evenVBand="0" w:oddHBand="1" w:evenHBand="0" w:firstRowFirstColumn="0" w:firstRowLastColumn="0" w:lastRowFirstColumn="0" w:lastRowLastColumn="0"/>
              <w:rPr>
                <w:rStyle w:val="Hyperlink"/>
              </w:rPr>
            </w:pPr>
            <w:hyperlink r:id="rId115" w:history="1">
              <w:r w:rsidRPr="00A3583A">
                <w:rPr>
                  <w:rStyle w:val="Hyperlink"/>
                </w:rPr>
                <w:t>National Health Survey</w:t>
              </w:r>
            </w:hyperlink>
          </w:p>
          <w:p w14:paraId="5A4652C7" w14:textId="3D91DFAF" w:rsidR="007A42AE" w:rsidRPr="00A3583A" w:rsidRDefault="007A42AE" w:rsidP="00A3583A">
            <w:pPr>
              <w:pStyle w:val="Hyperlinkstable"/>
              <w:cnfStyle w:val="000000100000" w:firstRow="0" w:lastRow="0" w:firstColumn="0" w:lastColumn="0" w:oddVBand="0" w:evenVBand="0" w:oddHBand="1" w:evenHBand="0" w:firstRowFirstColumn="0" w:firstRowLastColumn="0" w:lastRowFirstColumn="0" w:lastRowLastColumn="0"/>
              <w:rPr>
                <w:rStyle w:val="Hyperlink"/>
              </w:rPr>
            </w:pPr>
            <w:hyperlink r:id="rId116" w:history="1">
              <w:r w:rsidRPr="00A3583A">
                <w:rPr>
                  <w:rStyle w:val="Hyperlink"/>
                </w:rPr>
                <w:t>Intergenerational Health and Mental Health Study</w:t>
              </w:r>
            </w:hyperlink>
          </w:p>
          <w:p w14:paraId="4CC8DAC2" w14:textId="6E0A5E1B" w:rsidR="007A42AE" w:rsidRPr="00A3583A" w:rsidRDefault="007A42AE" w:rsidP="00A3583A">
            <w:pPr>
              <w:pStyle w:val="Hyperlinkstable"/>
              <w:cnfStyle w:val="000000100000" w:firstRow="0" w:lastRow="0" w:firstColumn="0" w:lastColumn="0" w:oddVBand="0" w:evenVBand="0" w:oddHBand="1" w:evenHBand="0" w:firstRowFirstColumn="0" w:firstRowLastColumn="0" w:lastRowFirstColumn="0" w:lastRowLastColumn="0"/>
              <w:rPr>
                <w:rStyle w:val="Hyperlink"/>
              </w:rPr>
            </w:pPr>
            <w:hyperlink r:id="rId117" w:history="1">
              <w:r w:rsidRPr="00A3583A">
                <w:rPr>
                  <w:rStyle w:val="Hyperlink"/>
                </w:rPr>
                <w:t xml:space="preserve">Ten to Men: </w:t>
              </w:r>
              <w:r w:rsidR="006C7FBE" w:rsidRPr="00A3583A">
                <w:rPr>
                  <w:rStyle w:val="Hyperlink"/>
                </w:rPr>
                <w:t>The</w:t>
              </w:r>
              <w:r w:rsidRPr="00A3583A">
                <w:rPr>
                  <w:rStyle w:val="Hyperlink"/>
                </w:rPr>
                <w:t xml:space="preserve"> Australian Longitudinal Study on Male Health</w:t>
              </w:r>
            </w:hyperlink>
            <w:r w:rsidRPr="00A3583A">
              <w:rPr>
                <w:rStyle w:val="Hyperlink"/>
              </w:rPr>
              <w:t xml:space="preserve"> </w:t>
            </w:r>
          </w:p>
          <w:p w14:paraId="6D3FC13B" w14:textId="51A3FAC3" w:rsidR="007A42AE" w:rsidRPr="00A3583A" w:rsidRDefault="007A42AE" w:rsidP="00A3583A">
            <w:pPr>
              <w:pStyle w:val="Hyperlinkstable"/>
              <w:cnfStyle w:val="000000100000" w:firstRow="0" w:lastRow="0" w:firstColumn="0" w:lastColumn="0" w:oddVBand="0" w:evenVBand="0" w:oddHBand="1" w:evenHBand="0" w:firstRowFirstColumn="0" w:firstRowLastColumn="0" w:lastRowFirstColumn="0" w:lastRowLastColumn="0"/>
              <w:rPr>
                <w:rStyle w:val="Hyperlink"/>
              </w:rPr>
            </w:pPr>
            <w:hyperlink r:id="rId118" w:history="1">
              <w:r w:rsidRPr="00A3583A">
                <w:rPr>
                  <w:rStyle w:val="Hyperlink"/>
                </w:rPr>
                <w:t>Australian Longitudinal Study on Women’s Health</w:t>
              </w:r>
            </w:hyperlink>
            <w:r w:rsidRPr="00A3583A">
              <w:rPr>
                <w:rStyle w:val="Hyperlink"/>
              </w:rPr>
              <w:t xml:space="preserve"> </w:t>
            </w:r>
          </w:p>
          <w:p w14:paraId="04AFC3D0" w14:textId="1633C857" w:rsidR="007A42AE" w:rsidRPr="00772BC3" w:rsidRDefault="007A42AE" w:rsidP="00A3583A">
            <w:pPr>
              <w:pStyle w:val="Tabletextleft"/>
              <w:cnfStyle w:val="000000100000" w:firstRow="0" w:lastRow="0" w:firstColumn="0" w:lastColumn="0" w:oddVBand="0" w:evenVBand="0" w:oddHBand="1" w:evenHBand="0" w:firstRowFirstColumn="0" w:firstRowLastColumn="0" w:lastRowFirstColumn="0" w:lastRowLastColumn="0"/>
            </w:pPr>
            <w:r w:rsidRPr="00772BC3">
              <w:t xml:space="preserve">Condition-specific registries </w:t>
            </w:r>
          </w:p>
          <w:p w14:paraId="16588F10" w14:textId="67AB7AAC" w:rsidR="00CD72B2" w:rsidRPr="00A3583A" w:rsidRDefault="007A42AE" w:rsidP="00A3583A">
            <w:pPr>
              <w:pStyle w:val="Hyperlinkstable"/>
              <w:cnfStyle w:val="000000100000" w:firstRow="0" w:lastRow="0" w:firstColumn="0" w:lastColumn="0" w:oddVBand="0" w:evenVBand="0" w:oddHBand="1" w:evenHBand="0" w:firstRowFirstColumn="0" w:firstRowLastColumn="0" w:lastRowFirstColumn="0" w:lastRowLastColumn="0"/>
              <w:rPr>
                <w:rStyle w:val="Hyperlink"/>
              </w:rPr>
            </w:pPr>
            <w:hyperlink r:id="rId119" w:history="1">
              <w:r w:rsidRPr="00A3583A">
                <w:rPr>
                  <w:rStyle w:val="Hyperlink"/>
                </w:rPr>
                <w:t>National Health Data Hub</w:t>
              </w:r>
            </w:hyperlink>
          </w:p>
        </w:tc>
        <w:tc>
          <w:tcPr>
            <w:tcW w:w="2872" w:type="dxa"/>
          </w:tcPr>
          <w:p w14:paraId="4BDC6E41" w14:textId="4A4EAB8B" w:rsidR="007A42AE" w:rsidRPr="00A3583A" w:rsidRDefault="007A42AE" w:rsidP="00A3583A">
            <w:pPr>
              <w:pStyle w:val="Hyperlinkstable"/>
              <w:cnfStyle w:val="000000100000" w:firstRow="0" w:lastRow="0" w:firstColumn="0" w:lastColumn="0" w:oddVBand="0" w:evenVBand="0" w:oddHBand="1" w:evenHBand="0" w:firstRowFirstColumn="0" w:firstRowLastColumn="0" w:lastRowFirstColumn="0" w:lastRowLastColumn="0"/>
              <w:rPr>
                <w:rStyle w:val="Hyperlink"/>
              </w:rPr>
            </w:pPr>
            <w:hyperlink r:id="rId120" w:history="1">
              <w:r w:rsidRPr="00A3583A">
                <w:rPr>
                  <w:rStyle w:val="Hyperlink"/>
                </w:rPr>
                <w:t>Measuring What Matters</w:t>
              </w:r>
            </w:hyperlink>
            <w:r w:rsidRPr="00A3583A">
              <w:rPr>
                <w:rStyle w:val="Hyperlink"/>
              </w:rPr>
              <w:t xml:space="preserve"> </w:t>
            </w:r>
          </w:p>
          <w:p w14:paraId="2EF68AEE" w14:textId="543B2E79" w:rsidR="007A42AE" w:rsidRPr="00A3583A" w:rsidRDefault="007A42AE" w:rsidP="00A3583A">
            <w:pPr>
              <w:pStyle w:val="Hyperlinkstable"/>
              <w:cnfStyle w:val="000000100000" w:firstRow="0" w:lastRow="0" w:firstColumn="0" w:lastColumn="0" w:oddVBand="0" w:evenVBand="0" w:oddHBand="1" w:evenHBand="0" w:firstRowFirstColumn="0" w:firstRowLastColumn="0" w:lastRowFirstColumn="0" w:lastRowLastColumn="0"/>
              <w:rPr>
                <w:rStyle w:val="Hyperlink"/>
              </w:rPr>
            </w:pPr>
            <w:hyperlink r:id="rId121" w:history="1">
              <w:r w:rsidRPr="00A3583A">
                <w:rPr>
                  <w:rStyle w:val="Hyperlink"/>
                </w:rPr>
                <w:t>Australia’s Health Performance Framework</w:t>
              </w:r>
            </w:hyperlink>
            <w:r w:rsidRPr="00A3583A">
              <w:rPr>
                <w:rStyle w:val="Hyperlink"/>
              </w:rPr>
              <w:t xml:space="preserve"> </w:t>
            </w:r>
          </w:p>
          <w:p w14:paraId="07DEB3FF" w14:textId="2B34EFE7" w:rsidR="007A42AE" w:rsidRPr="00A3583A" w:rsidRDefault="007A42AE" w:rsidP="00A3583A">
            <w:pPr>
              <w:pStyle w:val="Tabletextleft"/>
              <w:cnfStyle w:val="000000100000" w:firstRow="0" w:lastRow="0" w:firstColumn="0" w:lastColumn="0" w:oddVBand="0" w:evenVBand="0" w:oddHBand="1" w:evenHBand="0" w:firstRowFirstColumn="0" w:firstRowLastColumn="0" w:lastRowFirstColumn="0" w:lastRowLastColumn="0"/>
            </w:pPr>
            <w:hyperlink r:id="rId122" w:history="1">
              <w:r w:rsidRPr="00A3583A">
                <w:rPr>
                  <w:rStyle w:val="HyperlinkstableChar"/>
                </w:rPr>
                <w:t>Australia's Health</w:t>
              </w:r>
            </w:hyperlink>
            <w:r w:rsidRPr="00A3583A">
              <w:t xml:space="preserve">, </w:t>
            </w:r>
            <w:r w:rsidR="00B41BC0" w:rsidRPr="00A3583A">
              <w:t>‘</w:t>
            </w:r>
            <w:hyperlink r:id="rId123" w:history="1">
              <w:r w:rsidRPr="00A3583A">
                <w:rPr>
                  <w:rStyle w:val="HyperlinkstableChar"/>
                </w:rPr>
                <w:t>Chronic conditions</w:t>
              </w:r>
            </w:hyperlink>
            <w:r w:rsidR="00B41BC0" w:rsidRPr="00A3583A">
              <w:t>’</w:t>
            </w:r>
            <w:r w:rsidRPr="00A3583A">
              <w:t xml:space="preserve"> topic summary </w:t>
            </w:r>
          </w:p>
          <w:p w14:paraId="24C7E03C" w14:textId="01F42CA6" w:rsidR="00CD72B2" w:rsidRPr="00772BC3" w:rsidRDefault="007A42AE" w:rsidP="00A3583A">
            <w:pPr>
              <w:pStyle w:val="Tabletextleft"/>
              <w:cnfStyle w:val="000000100000" w:firstRow="0" w:lastRow="0" w:firstColumn="0" w:lastColumn="0" w:oddVBand="0" w:evenVBand="0" w:oddHBand="1" w:evenHBand="0" w:firstRowFirstColumn="0" w:firstRowLastColumn="0" w:lastRowFirstColumn="0" w:lastRowLastColumn="0"/>
              <w:rPr>
                <w:sz w:val="16"/>
                <w:szCs w:val="16"/>
              </w:rPr>
            </w:pPr>
            <w:hyperlink r:id="rId124" w:history="1">
              <w:r w:rsidRPr="00A3583A">
                <w:rPr>
                  <w:rStyle w:val="HyperlinkstableChar"/>
                </w:rPr>
                <w:t>Report on Government Services</w:t>
              </w:r>
            </w:hyperlink>
            <w:r w:rsidRPr="00A3583A">
              <w:t>, Part E Health</w:t>
            </w:r>
          </w:p>
        </w:tc>
        <w:tc>
          <w:tcPr>
            <w:tcW w:w="2872" w:type="dxa"/>
          </w:tcPr>
          <w:p w14:paraId="3EBEB04A" w14:textId="4D826A3B" w:rsidR="00057675" w:rsidRPr="00772BC3" w:rsidRDefault="00057675" w:rsidP="00A3583A">
            <w:pPr>
              <w:pStyle w:val="Tabletextleft"/>
              <w:cnfStyle w:val="000000100000" w:firstRow="0" w:lastRow="0" w:firstColumn="0" w:lastColumn="0" w:oddVBand="0" w:evenVBand="0" w:oddHBand="1" w:evenHBand="0" w:firstRowFirstColumn="0" w:firstRowLastColumn="0" w:lastRowFirstColumn="0" w:lastRowLastColumn="0"/>
            </w:pPr>
            <w:r w:rsidRPr="00772BC3">
              <w:t>Presented by sex, age and across remoteness and socio-economic areas</w:t>
            </w:r>
          </w:p>
          <w:p w14:paraId="67E89DB1" w14:textId="39C55425" w:rsidR="00CD72B2" w:rsidRPr="00772BC3" w:rsidRDefault="00057675" w:rsidP="00A3583A">
            <w:pPr>
              <w:pStyle w:val="Tabletextleft"/>
              <w:cnfStyle w:val="000000100000" w:firstRow="0" w:lastRow="0" w:firstColumn="0" w:lastColumn="0" w:oddVBand="0" w:evenVBand="0" w:oddHBand="1" w:evenHBand="0" w:firstRowFirstColumn="0" w:firstRowLastColumn="0" w:lastRowFirstColumn="0" w:lastRowLastColumn="0"/>
              <w:rPr>
                <w:sz w:val="16"/>
                <w:szCs w:val="16"/>
              </w:rPr>
            </w:pPr>
            <w:r w:rsidRPr="00A3583A">
              <w:t xml:space="preserve">Key measures that are specific to male and female health are described in the </w:t>
            </w:r>
            <w:hyperlink r:id="rId125" w:history="1">
              <w:r w:rsidRPr="00A3583A">
                <w:rPr>
                  <w:rStyle w:val="HyperlinkstableChar"/>
                </w:rPr>
                <w:t>National Men’s Health Strategy 2020–2030</w:t>
              </w:r>
            </w:hyperlink>
            <w:r w:rsidRPr="00A3583A">
              <w:t xml:space="preserve"> and the </w:t>
            </w:r>
            <w:hyperlink r:id="rId126" w:history="1">
              <w:r w:rsidRPr="00A3583A">
                <w:rPr>
                  <w:rStyle w:val="HyperlinkstableChar"/>
                </w:rPr>
                <w:t>National Women’s Health Strategy 2020–2030</w:t>
              </w:r>
            </w:hyperlink>
            <w:r w:rsidRPr="00A3583A">
              <w:t>.</w:t>
            </w:r>
          </w:p>
        </w:tc>
      </w:tr>
      <w:tr w:rsidR="00483B8B" w:rsidRPr="00772BC3" w14:paraId="284FE011" w14:textId="77777777" w:rsidTr="0B3BCAD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14:paraId="2B324362" w14:textId="2A14A951" w:rsidR="00483B8B" w:rsidRPr="00772BC3" w:rsidRDefault="0035031B" w:rsidP="00A3583A">
            <w:pPr>
              <w:pStyle w:val="Tabletextleft"/>
            </w:pPr>
            <w:r w:rsidRPr="00772BC3">
              <w:t>Prevalence of multimorbidity and comorbidity</w:t>
            </w:r>
          </w:p>
        </w:tc>
        <w:tc>
          <w:tcPr>
            <w:tcW w:w="1843" w:type="dxa"/>
          </w:tcPr>
          <w:p w14:paraId="424FC611" w14:textId="40D68827" w:rsidR="00483B8B" w:rsidRPr="00772BC3" w:rsidRDefault="0035031B" w:rsidP="00A3583A">
            <w:pPr>
              <w:pStyle w:val="Tabletextleft"/>
              <w:cnfStyle w:val="000000010000" w:firstRow="0" w:lastRow="0" w:firstColumn="0" w:lastColumn="0" w:oddVBand="0" w:evenVBand="0" w:oddHBand="0" w:evenHBand="1" w:firstRowFirstColumn="0" w:firstRowLastColumn="0" w:lastRowFirstColumn="0" w:lastRowLastColumn="0"/>
            </w:pPr>
            <w:r w:rsidRPr="00772BC3">
              <w:t>Prevalence and incidence</w:t>
            </w:r>
          </w:p>
        </w:tc>
        <w:tc>
          <w:tcPr>
            <w:tcW w:w="3013" w:type="dxa"/>
          </w:tcPr>
          <w:p w14:paraId="096E4E40" w14:textId="56175A3F" w:rsidR="00483B8B" w:rsidRPr="00772BC3" w:rsidRDefault="0035031B" w:rsidP="00A3583A">
            <w:pPr>
              <w:pStyle w:val="Tabletextleft"/>
              <w:cnfStyle w:val="000000010000" w:firstRow="0" w:lastRow="0" w:firstColumn="0" w:lastColumn="0" w:oddVBand="0" w:evenVBand="0" w:oddHBand="0" w:evenHBand="1" w:firstRowFirstColumn="0" w:firstRowLastColumn="0" w:lastRowFirstColumn="0" w:lastRowLastColumn="0"/>
            </w:pPr>
            <w:r w:rsidRPr="00772BC3">
              <w:t>National Health Survey</w:t>
            </w:r>
          </w:p>
        </w:tc>
        <w:tc>
          <w:tcPr>
            <w:tcW w:w="0" w:type="dxa"/>
          </w:tcPr>
          <w:p w14:paraId="3F43CC17" w14:textId="64D7FE39" w:rsidR="00460BD0" w:rsidRPr="00772BC3" w:rsidRDefault="00460BD0" w:rsidP="00A3583A">
            <w:pPr>
              <w:pStyle w:val="Tabletextleft"/>
              <w:cnfStyle w:val="000000010000" w:firstRow="0" w:lastRow="0" w:firstColumn="0" w:lastColumn="0" w:oddVBand="0" w:evenVBand="0" w:oddHBand="0" w:evenHBand="1" w:firstRowFirstColumn="0" w:firstRowLastColumn="0" w:lastRowFirstColumn="0" w:lastRowLastColumn="0"/>
            </w:pPr>
            <w:r w:rsidRPr="00772BC3">
              <w:t>Measuring What Matters</w:t>
            </w:r>
          </w:p>
          <w:p w14:paraId="67BC9915" w14:textId="71C108F1" w:rsidR="00483B8B" w:rsidRPr="00772BC3" w:rsidRDefault="00460BD0" w:rsidP="00A3583A">
            <w:pPr>
              <w:pStyle w:val="Tabletextleft"/>
              <w:cnfStyle w:val="000000010000" w:firstRow="0" w:lastRow="0" w:firstColumn="0" w:lastColumn="0" w:oddVBand="0" w:evenVBand="0" w:oddHBand="0" w:evenHBand="1" w:firstRowFirstColumn="0" w:firstRowLastColumn="0" w:lastRowFirstColumn="0" w:lastRowLastColumn="0"/>
            </w:pPr>
            <w:r w:rsidRPr="00772BC3">
              <w:t xml:space="preserve">Australia's Health, </w:t>
            </w:r>
            <w:r w:rsidR="00EE3846" w:rsidRPr="00772BC3">
              <w:t>‘</w:t>
            </w:r>
            <w:r w:rsidRPr="00772BC3">
              <w:t>Multimorbidity</w:t>
            </w:r>
            <w:r w:rsidR="00EE3846" w:rsidRPr="00772BC3">
              <w:t>’</w:t>
            </w:r>
            <w:r w:rsidRPr="00772BC3">
              <w:t xml:space="preserve"> topic summary</w:t>
            </w:r>
          </w:p>
        </w:tc>
        <w:tc>
          <w:tcPr>
            <w:tcW w:w="0" w:type="dxa"/>
          </w:tcPr>
          <w:p w14:paraId="158443C0" w14:textId="2F8E32D7" w:rsidR="000E0CFA" w:rsidRPr="00772BC3" w:rsidRDefault="00FA4C7A" w:rsidP="00A3583A">
            <w:pPr>
              <w:pStyle w:val="Tabletextleft"/>
              <w:cnfStyle w:val="000000010000" w:firstRow="0" w:lastRow="0" w:firstColumn="0" w:lastColumn="0" w:oddVBand="0" w:evenVBand="0" w:oddHBand="0" w:evenHBand="1" w:firstRowFirstColumn="0" w:firstRowLastColumn="0" w:lastRowFirstColumn="0" w:lastRowLastColumn="0"/>
            </w:pPr>
            <w:r w:rsidRPr="00772BC3">
              <w:t>Reflects the complexity of managing multiple chronic conditions and identifies patterns in co-occurring conditions.</w:t>
            </w:r>
          </w:p>
          <w:p w14:paraId="49499E6F" w14:textId="7E4E1B8F" w:rsidR="00483B8B" w:rsidRPr="00772BC3" w:rsidRDefault="00EE3846" w:rsidP="00A3583A">
            <w:pPr>
              <w:pStyle w:val="Tabletextleft"/>
              <w:cnfStyle w:val="000000010000" w:firstRow="0" w:lastRow="0" w:firstColumn="0" w:lastColumn="0" w:oddVBand="0" w:evenVBand="0" w:oddHBand="0" w:evenHBand="1" w:firstRowFirstColumn="0" w:firstRowLastColumn="0" w:lastRowFirstColumn="0" w:lastRowLastColumn="0"/>
            </w:pPr>
            <w:r w:rsidRPr="00772BC3">
              <w:t>Presented by sex, age and across remoteness and socio-economic areas</w:t>
            </w:r>
          </w:p>
        </w:tc>
      </w:tr>
      <w:tr w:rsidR="00234F50" w:rsidRPr="00772BC3" w14:paraId="7037B5B0" w14:textId="77777777" w:rsidTr="0B3BCA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14:paraId="3636515E" w14:textId="77777777" w:rsidR="00234F50" w:rsidRPr="00772BC3" w:rsidRDefault="00234F50" w:rsidP="00A3583A">
            <w:pPr>
              <w:pStyle w:val="Tabletextleft"/>
            </w:pPr>
            <w:r w:rsidRPr="00772BC3">
              <w:t>Burden of disease</w:t>
            </w:r>
          </w:p>
          <w:p w14:paraId="5CDC4A07" w14:textId="3097A158" w:rsidR="00234F50" w:rsidRPr="00772BC3" w:rsidRDefault="00234F50" w:rsidP="00A3583A">
            <w:pPr>
              <w:pStyle w:val="Tabletextleft"/>
            </w:pPr>
            <w:r w:rsidRPr="00772BC3">
              <w:t>- total burden (disability-adjusted life years</w:t>
            </w:r>
            <w:r w:rsidR="00E24C52" w:rsidRPr="00772BC3">
              <w:t>)</w:t>
            </w:r>
          </w:p>
          <w:p w14:paraId="0A10E84E" w14:textId="0BE1628B" w:rsidR="00234F50" w:rsidRPr="00772BC3" w:rsidRDefault="00234F50" w:rsidP="00A3583A">
            <w:pPr>
              <w:pStyle w:val="Tabletextleft"/>
            </w:pPr>
            <w:r w:rsidRPr="00772BC3">
              <w:t>- fatal burden (years of life lost)</w:t>
            </w:r>
          </w:p>
          <w:p w14:paraId="43F6C010" w14:textId="79F332F5" w:rsidR="00234F50" w:rsidRPr="00772BC3" w:rsidRDefault="00234F50" w:rsidP="00A3583A">
            <w:pPr>
              <w:pStyle w:val="Tabletextleft"/>
            </w:pPr>
            <w:r w:rsidRPr="00772BC3">
              <w:t>- non-fatal burden (years lived with disability</w:t>
            </w:r>
            <w:r w:rsidR="00E24C52" w:rsidRPr="00772BC3">
              <w:t>)</w:t>
            </w:r>
          </w:p>
        </w:tc>
        <w:tc>
          <w:tcPr>
            <w:tcW w:w="1843" w:type="dxa"/>
          </w:tcPr>
          <w:p w14:paraId="6C33057E" w14:textId="2A440739" w:rsidR="00234F50" w:rsidRPr="00772BC3" w:rsidRDefault="00234F50" w:rsidP="00A3583A">
            <w:pPr>
              <w:pStyle w:val="Tabletextleft"/>
              <w:cnfStyle w:val="000000100000" w:firstRow="0" w:lastRow="0" w:firstColumn="0" w:lastColumn="0" w:oddVBand="0" w:evenVBand="0" w:oddHBand="1" w:evenHBand="0" w:firstRowFirstColumn="0" w:firstRowLastColumn="0" w:lastRowFirstColumn="0" w:lastRowLastColumn="0"/>
            </w:pPr>
            <w:r w:rsidRPr="00772BC3">
              <w:t>Health outcomes</w:t>
            </w:r>
          </w:p>
        </w:tc>
        <w:tc>
          <w:tcPr>
            <w:tcW w:w="3013" w:type="dxa"/>
          </w:tcPr>
          <w:p w14:paraId="7C66B140" w14:textId="6B14D1CD" w:rsidR="00234F50" w:rsidRPr="00A3583A" w:rsidRDefault="0034213B" w:rsidP="00A3583A">
            <w:pPr>
              <w:pStyle w:val="Hyperlinkstable"/>
              <w:cnfStyle w:val="000000100000" w:firstRow="0" w:lastRow="0" w:firstColumn="0" w:lastColumn="0" w:oddVBand="0" w:evenVBand="0" w:oddHBand="1" w:evenHBand="0" w:firstRowFirstColumn="0" w:firstRowLastColumn="0" w:lastRowFirstColumn="0" w:lastRowLastColumn="0"/>
              <w:rPr>
                <w:rStyle w:val="Hyperlink"/>
              </w:rPr>
            </w:pPr>
            <w:hyperlink r:id="rId127" w:history="1">
              <w:r w:rsidRPr="00A3583A">
                <w:rPr>
                  <w:rStyle w:val="Hyperlink"/>
                </w:rPr>
                <w:t>Australian Burden of Disease Study</w:t>
              </w:r>
            </w:hyperlink>
          </w:p>
        </w:tc>
        <w:tc>
          <w:tcPr>
            <w:tcW w:w="2872" w:type="dxa"/>
          </w:tcPr>
          <w:p w14:paraId="0AAAD578" w14:textId="0D8DB7E7" w:rsidR="00234F50" w:rsidRPr="00772BC3" w:rsidRDefault="00234F50" w:rsidP="00A3583A">
            <w:pPr>
              <w:pStyle w:val="Tabletextleft"/>
              <w:cnfStyle w:val="000000100000" w:firstRow="0" w:lastRow="0" w:firstColumn="0" w:lastColumn="0" w:oddVBand="0" w:evenVBand="0" w:oddHBand="1" w:evenHBand="0" w:firstRowFirstColumn="0" w:firstRowLastColumn="0" w:lastRowFirstColumn="0" w:lastRowLastColumn="0"/>
            </w:pPr>
            <w:r w:rsidRPr="00772BC3">
              <w:t>Australian Burden of Disease Study (annual web report)</w:t>
            </w:r>
          </w:p>
        </w:tc>
        <w:tc>
          <w:tcPr>
            <w:tcW w:w="2872" w:type="dxa"/>
          </w:tcPr>
          <w:p w14:paraId="640504DD" w14:textId="1EC92700" w:rsidR="00CA08E8" w:rsidRPr="00772BC3" w:rsidRDefault="00CA08E8" w:rsidP="00A3583A">
            <w:pPr>
              <w:pStyle w:val="Tabletextleft"/>
              <w:cnfStyle w:val="000000100000" w:firstRow="0" w:lastRow="0" w:firstColumn="0" w:lastColumn="0" w:oddVBand="0" w:evenVBand="0" w:oddHBand="1" w:evenHBand="0" w:firstRowFirstColumn="0" w:firstRowLastColumn="0" w:lastRowFirstColumn="0" w:lastRowLastColumn="0"/>
            </w:pPr>
            <w:r w:rsidRPr="00772BC3">
              <w:t>Quantifies the overall impact of chronic conditions on population health, combining both premature death and years live</w:t>
            </w:r>
            <w:r w:rsidR="00DB7C6F" w:rsidRPr="00772BC3">
              <w:t>d</w:t>
            </w:r>
            <w:r w:rsidRPr="00772BC3">
              <w:t xml:space="preserve"> with disability. </w:t>
            </w:r>
            <w:r w:rsidR="00FA6BF4" w:rsidRPr="00772BC3">
              <w:t>Helps identify which conditions cause the greatest health loss.</w:t>
            </w:r>
          </w:p>
          <w:p w14:paraId="56CC21C0" w14:textId="4E1E33C0" w:rsidR="00234F50" w:rsidRPr="00772BC3" w:rsidRDefault="00E24C52" w:rsidP="00A3583A">
            <w:pPr>
              <w:pStyle w:val="Tabletextleft"/>
              <w:cnfStyle w:val="000000100000" w:firstRow="0" w:lastRow="0" w:firstColumn="0" w:lastColumn="0" w:oddVBand="0" w:evenVBand="0" w:oddHBand="1" w:evenHBand="0" w:firstRowFirstColumn="0" w:firstRowLastColumn="0" w:lastRowFirstColumn="0" w:lastRowLastColumn="0"/>
            </w:pPr>
            <w:r w:rsidRPr="00772BC3">
              <w:t>Presented by</w:t>
            </w:r>
            <w:r w:rsidR="002B17B3" w:rsidRPr="00772BC3">
              <w:t xml:space="preserve"> </w:t>
            </w:r>
            <w:r w:rsidRPr="00772BC3">
              <w:t>disease or disease group.</w:t>
            </w:r>
          </w:p>
        </w:tc>
      </w:tr>
      <w:tr w:rsidR="00234F50" w:rsidRPr="00772BC3" w14:paraId="3A264B12" w14:textId="77777777" w:rsidTr="0B3BCAD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14:paraId="02B1BE02" w14:textId="78102E84" w:rsidR="00234F50" w:rsidRPr="00772BC3" w:rsidRDefault="00234F50" w:rsidP="00A3583A">
            <w:pPr>
              <w:pStyle w:val="Tabletextleft"/>
            </w:pPr>
            <w:r w:rsidRPr="00772BC3">
              <w:t>Life expectancy</w:t>
            </w:r>
          </w:p>
          <w:p w14:paraId="66029233" w14:textId="4F194254" w:rsidR="00234F50" w:rsidRPr="00772BC3" w:rsidRDefault="00234F50" w:rsidP="00A3583A">
            <w:pPr>
              <w:pStyle w:val="Tabletextleft"/>
            </w:pPr>
            <w:r w:rsidRPr="00772BC3">
              <w:t>- health-adjusted life expectancy</w:t>
            </w:r>
          </w:p>
        </w:tc>
        <w:tc>
          <w:tcPr>
            <w:tcW w:w="1843" w:type="dxa"/>
          </w:tcPr>
          <w:p w14:paraId="0BAFADAF" w14:textId="727288EC" w:rsidR="00234F50" w:rsidRPr="00772BC3" w:rsidRDefault="00234F50" w:rsidP="00A3583A">
            <w:pPr>
              <w:pStyle w:val="Tabletextleft"/>
              <w:cnfStyle w:val="000000010000" w:firstRow="0" w:lastRow="0" w:firstColumn="0" w:lastColumn="0" w:oddVBand="0" w:evenVBand="0" w:oddHBand="0" w:evenHBand="1" w:firstRowFirstColumn="0" w:firstRowLastColumn="0" w:lastRowFirstColumn="0" w:lastRowLastColumn="0"/>
            </w:pPr>
            <w:r w:rsidRPr="00772BC3">
              <w:t>Health outcomes</w:t>
            </w:r>
          </w:p>
        </w:tc>
        <w:tc>
          <w:tcPr>
            <w:tcW w:w="3013" w:type="dxa"/>
          </w:tcPr>
          <w:p w14:paraId="6DA6CF6A" w14:textId="45C82A59" w:rsidR="00234F50" w:rsidRPr="00772BC3" w:rsidRDefault="0034213B" w:rsidP="00A3583A">
            <w:pPr>
              <w:pStyle w:val="Tabletextleft"/>
              <w:cnfStyle w:val="000000010000" w:firstRow="0" w:lastRow="0" w:firstColumn="0" w:lastColumn="0" w:oddVBand="0" w:evenVBand="0" w:oddHBand="0" w:evenHBand="1" w:firstRowFirstColumn="0" w:firstRowLastColumn="0" w:lastRowFirstColumn="0" w:lastRowLastColumn="0"/>
            </w:pPr>
            <w:r w:rsidRPr="00772BC3">
              <w:t>Australian Burden of Disease Study</w:t>
            </w:r>
          </w:p>
        </w:tc>
        <w:tc>
          <w:tcPr>
            <w:tcW w:w="0" w:type="dxa"/>
          </w:tcPr>
          <w:p w14:paraId="231F0D44" w14:textId="003C0185" w:rsidR="00234F50" w:rsidRPr="00A3583A" w:rsidRDefault="00234F50" w:rsidP="00A3583A">
            <w:pPr>
              <w:pStyle w:val="Hyperlinkstable"/>
              <w:cnfStyle w:val="000000010000" w:firstRow="0" w:lastRow="0" w:firstColumn="0" w:lastColumn="0" w:oddVBand="0" w:evenVBand="0" w:oddHBand="0" w:evenHBand="1" w:firstRowFirstColumn="0" w:firstRowLastColumn="0" w:lastRowFirstColumn="0" w:lastRowLastColumn="0"/>
              <w:rPr>
                <w:rStyle w:val="Hyperlink"/>
              </w:rPr>
            </w:pPr>
            <w:hyperlink r:id="rId128" w:history="1">
              <w:r w:rsidRPr="00A3583A">
                <w:rPr>
                  <w:rStyle w:val="Hyperlink"/>
                </w:rPr>
                <w:t>National preventive health monitoring dashboard</w:t>
              </w:r>
            </w:hyperlink>
          </w:p>
          <w:p w14:paraId="3370023B" w14:textId="794CAE56" w:rsidR="00234F50" w:rsidRPr="00772BC3" w:rsidRDefault="00234F50" w:rsidP="00A3583A">
            <w:pPr>
              <w:pStyle w:val="Tabletextleft"/>
              <w:cnfStyle w:val="000000010000" w:firstRow="0" w:lastRow="0" w:firstColumn="0" w:lastColumn="0" w:oddVBand="0" w:evenVBand="0" w:oddHBand="0" w:evenHBand="1" w:firstRowFirstColumn="0" w:firstRowLastColumn="0" w:lastRowFirstColumn="0" w:lastRowLastColumn="0"/>
            </w:pPr>
            <w:r w:rsidRPr="00772BC3">
              <w:t>Measuring What Matters</w:t>
            </w:r>
          </w:p>
        </w:tc>
        <w:tc>
          <w:tcPr>
            <w:tcW w:w="0" w:type="dxa"/>
          </w:tcPr>
          <w:p w14:paraId="6B125A7D" w14:textId="024C2325" w:rsidR="00234F50" w:rsidRPr="00772BC3" w:rsidRDefault="00DD7EDE" w:rsidP="00A3583A">
            <w:pPr>
              <w:pStyle w:val="Tabletextleft"/>
              <w:cnfStyle w:val="000000010000" w:firstRow="0" w:lastRow="0" w:firstColumn="0" w:lastColumn="0" w:oddVBand="0" w:evenVBand="0" w:oddHBand="0" w:evenHBand="1" w:firstRowFirstColumn="0" w:firstRowLastColumn="0" w:lastRowFirstColumn="0" w:lastRowLastColumn="0"/>
            </w:pPr>
            <w:r w:rsidRPr="00772BC3">
              <w:t>Similar to burden of disease, health-adjusted life expectancy reflects long-term impact of chronic conditions on population survival and years lived in good health.</w:t>
            </w:r>
          </w:p>
        </w:tc>
      </w:tr>
      <w:tr w:rsidR="00234F50" w:rsidRPr="00772BC3" w14:paraId="4A3DE34E" w14:textId="77777777" w:rsidTr="0B3BCA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14:paraId="24853C92" w14:textId="77777777" w:rsidR="00234F50" w:rsidRPr="00772BC3" w:rsidRDefault="00234F50" w:rsidP="00A3583A">
            <w:pPr>
              <w:pStyle w:val="Tabletextleft"/>
            </w:pPr>
            <w:r w:rsidRPr="00772BC3">
              <w:t xml:space="preserve">Deaths </w:t>
            </w:r>
          </w:p>
          <w:p w14:paraId="26718335" w14:textId="77777777" w:rsidR="00234F50" w:rsidRPr="00772BC3" w:rsidRDefault="00234F50" w:rsidP="00A3583A">
            <w:pPr>
              <w:pStyle w:val="Tabletextleft"/>
            </w:pPr>
            <w:r w:rsidRPr="00772BC3">
              <w:t xml:space="preserve">- mortality by cause of death </w:t>
            </w:r>
          </w:p>
          <w:p w14:paraId="6BC35DBF" w14:textId="77777777" w:rsidR="00234F50" w:rsidRPr="00772BC3" w:rsidRDefault="00234F50" w:rsidP="00A3583A">
            <w:pPr>
              <w:pStyle w:val="Tabletextleft"/>
            </w:pPr>
            <w:r w:rsidRPr="00772BC3">
              <w:t xml:space="preserve">- potentially avoidable deaths </w:t>
            </w:r>
          </w:p>
          <w:p w14:paraId="111A102A" w14:textId="40F04BE4" w:rsidR="00234F50" w:rsidRPr="00772BC3" w:rsidRDefault="00234F50" w:rsidP="00A3583A">
            <w:pPr>
              <w:pStyle w:val="Tabletextleft"/>
            </w:pPr>
            <w:r w:rsidRPr="00772BC3">
              <w:t>- survival rate</w:t>
            </w:r>
          </w:p>
        </w:tc>
        <w:tc>
          <w:tcPr>
            <w:tcW w:w="1843" w:type="dxa"/>
          </w:tcPr>
          <w:p w14:paraId="2FEAD81A" w14:textId="4C05AD9F" w:rsidR="00234F50" w:rsidRPr="00772BC3" w:rsidRDefault="00234F50" w:rsidP="00A3583A">
            <w:pPr>
              <w:pStyle w:val="Tabletextleft"/>
              <w:cnfStyle w:val="000000100000" w:firstRow="0" w:lastRow="0" w:firstColumn="0" w:lastColumn="0" w:oddVBand="0" w:evenVBand="0" w:oddHBand="1" w:evenHBand="0" w:firstRowFirstColumn="0" w:firstRowLastColumn="0" w:lastRowFirstColumn="0" w:lastRowLastColumn="0"/>
            </w:pPr>
            <w:r w:rsidRPr="00772BC3">
              <w:t>Health outcomes</w:t>
            </w:r>
          </w:p>
        </w:tc>
        <w:tc>
          <w:tcPr>
            <w:tcW w:w="3013" w:type="dxa"/>
          </w:tcPr>
          <w:p w14:paraId="5F7123CD" w14:textId="6648FC7F" w:rsidR="00234F50" w:rsidRPr="00772BC3" w:rsidRDefault="00234F50" w:rsidP="00A3583A">
            <w:pPr>
              <w:pStyle w:val="Tabletextleft"/>
              <w:cnfStyle w:val="000000100000" w:firstRow="0" w:lastRow="0" w:firstColumn="0" w:lastColumn="0" w:oddVBand="0" w:evenVBand="0" w:oddHBand="1" w:evenHBand="0" w:firstRowFirstColumn="0" w:firstRowLastColumn="0" w:lastRowFirstColumn="0" w:lastRowLastColumn="0"/>
            </w:pPr>
            <w:r w:rsidRPr="00772BC3">
              <w:t>National Mortality Database</w:t>
            </w:r>
          </w:p>
        </w:tc>
        <w:tc>
          <w:tcPr>
            <w:tcW w:w="0" w:type="dxa"/>
          </w:tcPr>
          <w:p w14:paraId="77EC1F0B" w14:textId="0866D71D" w:rsidR="00234F50" w:rsidRPr="00772BC3" w:rsidRDefault="00234F50" w:rsidP="00A3583A">
            <w:pPr>
              <w:pStyle w:val="Tabletextleft"/>
              <w:cnfStyle w:val="000000100000" w:firstRow="0" w:lastRow="0" w:firstColumn="0" w:lastColumn="0" w:oddVBand="0" w:evenVBand="0" w:oddHBand="1" w:evenHBand="0" w:firstRowFirstColumn="0" w:firstRowLastColumn="0" w:lastRowFirstColumn="0" w:lastRowLastColumn="0"/>
            </w:pPr>
            <w:r w:rsidRPr="00772BC3">
              <w:t>Australia’s Health Performance Framework</w:t>
            </w:r>
          </w:p>
          <w:p w14:paraId="12775ED2" w14:textId="6BD50BDF" w:rsidR="00234F50" w:rsidRPr="00772BC3" w:rsidRDefault="00234F50" w:rsidP="00A3583A">
            <w:pPr>
              <w:pStyle w:val="Tabletextleft"/>
              <w:cnfStyle w:val="000000100000" w:firstRow="0" w:lastRow="0" w:firstColumn="0" w:lastColumn="0" w:oddVBand="0" w:evenVBand="0" w:oddHBand="1" w:evenHBand="0" w:firstRowFirstColumn="0" w:firstRowLastColumn="0" w:lastRowFirstColumn="0" w:lastRowLastColumn="0"/>
            </w:pPr>
            <w:r w:rsidRPr="00772BC3">
              <w:t>Report on Government Services</w:t>
            </w:r>
            <w:r w:rsidR="00CA47D0" w:rsidRPr="00772BC3">
              <w:t>, Part E Health</w:t>
            </w:r>
          </w:p>
        </w:tc>
        <w:tc>
          <w:tcPr>
            <w:tcW w:w="0" w:type="dxa"/>
          </w:tcPr>
          <w:p w14:paraId="087D4E9F" w14:textId="70EE84AE" w:rsidR="005E2316" w:rsidRPr="00772BC3" w:rsidRDefault="005E2316" w:rsidP="00A3583A">
            <w:pPr>
              <w:pStyle w:val="Tabletextleft"/>
              <w:cnfStyle w:val="000000100000" w:firstRow="0" w:lastRow="0" w:firstColumn="0" w:lastColumn="0" w:oddVBand="0" w:evenVBand="0" w:oddHBand="1" w:evenHBand="0" w:firstRowFirstColumn="0" w:firstRowLastColumn="0" w:lastRowFirstColumn="0" w:lastRowLastColumn="0"/>
            </w:pPr>
            <w:r w:rsidRPr="00772BC3">
              <w:t>Potentially avoidable deaths measures deaths that could have been prevented with timely and effective healthcare or public health action.</w:t>
            </w:r>
          </w:p>
        </w:tc>
      </w:tr>
      <w:tr w:rsidR="00234F50" w:rsidRPr="00772BC3" w14:paraId="7E8EE678" w14:textId="77777777" w:rsidTr="0B3BCAD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14:paraId="694B626A" w14:textId="77777777" w:rsidR="00234F50" w:rsidRPr="00772BC3" w:rsidRDefault="00234F50" w:rsidP="00A3583A">
            <w:pPr>
              <w:pStyle w:val="Tabletextleft"/>
            </w:pPr>
            <w:r w:rsidRPr="00772BC3">
              <w:t>Disease progression</w:t>
            </w:r>
          </w:p>
          <w:p w14:paraId="6DE75591" w14:textId="454EF1A5" w:rsidR="00234F50" w:rsidRPr="00772BC3" w:rsidRDefault="00234F50" w:rsidP="00A3583A">
            <w:pPr>
              <w:pStyle w:val="Tabletextleft"/>
            </w:pPr>
            <w:r w:rsidRPr="00772BC3">
              <w:t>- sequelae</w:t>
            </w:r>
            <w:r w:rsidR="00AE554C" w:rsidRPr="00772BC3">
              <w:t>/</w:t>
            </w:r>
            <w:r w:rsidRPr="00772BC3">
              <w:t>complications</w:t>
            </w:r>
            <w:r w:rsidR="00AE554C" w:rsidRPr="00772BC3">
              <w:t>/</w:t>
            </w:r>
            <w:r w:rsidRPr="00772BC3">
              <w:t>stages</w:t>
            </w:r>
          </w:p>
        </w:tc>
        <w:tc>
          <w:tcPr>
            <w:tcW w:w="1843" w:type="dxa"/>
          </w:tcPr>
          <w:p w14:paraId="5ECA9A3A" w14:textId="66DE1FC1" w:rsidR="00234F50" w:rsidRPr="00772BC3" w:rsidRDefault="00234F50" w:rsidP="00A3583A">
            <w:pPr>
              <w:pStyle w:val="Tabletextleft"/>
              <w:cnfStyle w:val="000000010000" w:firstRow="0" w:lastRow="0" w:firstColumn="0" w:lastColumn="0" w:oddVBand="0" w:evenVBand="0" w:oddHBand="0" w:evenHBand="1" w:firstRowFirstColumn="0" w:firstRowLastColumn="0" w:lastRowFirstColumn="0" w:lastRowLastColumn="0"/>
            </w:pPr>
            <w:r w:rsidRPr="00772BC3">
              <w:t>Health outcomes</w:t>
            </w:r>
          </w:p>
        </w:tc>
        <w:tc>
          <w:tcPr>
            <w:tcW w:w="3013" w:type="dxa"/>
          </w:tcPr>
          <w:p w14:paraId="239BC12B" w14:textId="77777777" w:rsidR="00234F50" w:rsidRPr="00772BC3" w:rsidRDefault="00234F50" w:rsidP="00A3583A">
            <w:pPr>
              <w:pStyle w:val="Tabletextleft"/>
              <w:cnfStyle w:val="000000010000" w:firstRow="0" w:lastRow="0" w:firstColumn="0" w:lastColumn="0" w:oddVBand="0" w:evenVBand="0" w:oddHBand="0" w:evenHBand="1" w:firstRowFirstColumn="0" w:firstRowLastColumn="0" w:lastRowFirstColumn="0" w:lastRowLastColumn="0"/>
            </w:pPr>
            <w:r w:rsidRPr="00772BC3">
              <w:t>Condition-specific registries</w:t>
            </w:r>
          </w:p>
          <w:p w14:paraId="1D8B9B55" w14:textId="39AB01CB" w:rsidR="0083296D" w:rsidRPr="00772BC3" w:rsidRDefault="0083296D" w:rsidP="00A3583A">
            <w:pPr>
              <w:pStyle w:val="Tabletextleft"/>
              <w:cnfStyle w:val="000000010000" w:firstRow="0" w:lastRow="0" w:firstColumn="0" w:lastColumn="0" w:oddVBand="0" w:evenVBand="0" w:oddHBand="0" w:evenHBand="1" w:firstRowFirstColumn="0" w:firstRowLastColumn="0" w:lastRowFirstColumn="0" w:lastRowLastColumn="0"/>
            </w:pPr>
            <w:r w:rsidRPr="00772BC3">
              <w:t>Linked administrative health data (such as National Health Data Hub)</w:t>
            </w:r>
          </w:p>
        </w:tc>
        <w:tc>
          <w:tcPr>
            <w:tcW w:w="2872" w:type="dxa"/>
          </w:tcPr>
          <w:p w14:paraId="0FD2D3D0" w14:textId="77777777" w:rsidR="00234F50" w:rsidRPr="00772BC3" w:rsidRDefault="00234F50" w:rsidP="00A3583A">
            <w:pPr>
              <w:pStyle w:val="Tabletextright0"/>
              <w:cnfStyle w:val="000000010000" w:firstRow="0" w:lastRow="0" w:firstColumn="0" w:lastColumn="0" w:oddVBand="0" w:evenVBand="0" w:oddHBand="0" w:evenHBand="1" w:firstRowFirstColumn="0" w:firstRowLastColumn="0" w:lastRowFirstColumn="0" w:lastRowLastColumn="0"/>
            </w:pPr>
          </w:p>
        </w:tc>
        <w:tc>
          <w:tcPr>
            <w:tcW w:w="2872" w:type="dxa"/>
          </w:tcPr>
          <w:p w14:paraId="328CE756" w14:textId="77777777" w:rsidR="00234F50" w:rsidRPr="00772BC3" w:rsidRDefault="004C5E17" w:rsidP="00A3583A">
            <w:pPr>
              <w:pStyle w:val="Tabletextleft"/>
              <w:cnfStyle w:val="000000010000" w:firstRow="0" w:lastRow="0" w:firstColumn="0" w:lastColumn="0" w:oddVBand="0" w:evenVBand="0" w:oddHBand="0" w:evenHBand="1" w:firstRowFirstColumn="0" w:firstRowLastColumn="0" w:lastRowFirstColumn="0" w:lastRowLastColumn="0"/>
            </w:pPr>
            <w:r w:rsidRPr="00772BC3">
              <w:t>Condition-specific registries are the primary sources for tracking disease stages, complications, and outcomes over time.</w:t>
            </w:r>
          </w:p>
          <w:p w14:paraId="2614946D" w14:textId="59A5E93A" w:rsidR="004C5E17" w:rsidRPr="00772BC3" w:rsidRDefault="000607CC" w:rsidP="00A3583A">
            <w:pPr>
              <w:pStyle w:val="Tabletextleft"/>
              <w:cnfStyle w:val="000000010000" w:firstRow="0" w:lastRow="0" w:firstColumn="0" w:lastColumn="0" w:oddVBand="0" w:evenVBand="0" w:oddHBand="0" w:evenHBand="1" w:firstRowFirstColumn="0" w:firstRowLastColumn="0" w:lastRowFirstColumn="0" w:lastRowLastColumn="0"/>
            </w:pPr>
            <w:r w:rsidRPr="00772BC3">
              <w:t>Linked data analysis across hospitalisation and prescriptions can indicate disease progression patterns for some conditions.</w:t>
            </w:r>
          </w:p>
        </w:tc>
      </w:tr>
      <w:tr w:rsidR="00234F50" w:rsidRPr="00772BC3" w14:paraId="3CCA621F" w14:textId="77777777" w:rsidTr="0B3BCA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14:paraId="549D4F6E" w14:textId="644A2271" w:rsidR="00234F50" w:rsidRPr="00772BC3" w:rsidRDefault="00234F50" w:rsidP="00A3583A">
            <w:pPr>
              <w:pStyle w:val="Tabletextleft"/>
            </w:pPr>
            <w:r w:rsidRPr="00772BC3">
              <w:t xml:space="preserve">Unplanned health service use </w:t>
            </w:r>
          </w:p>
          <w:p w14:paraId="55BCF5D2" w14:textId="0D4065DC" w:rsidR="00234F50" w:rsidRPr="00772BC3" w:rsidRDefault="00234F50" w:rsidP="00A3583A">
            <w:pPr>
              <w:pStyle w:val="Tabletextleft"/>
            </w:pPr>
            <w:r w:rsidRPr="00772BC3">
              <w:t xml:space="preserve">- emergency department presentations </w:t>
            </w:r>
          </w:p>
          <w:p w14:paraId="22936044" w14:textId="2C1D6976" w:rsidR="00234F50" w:rsidRPr="00772BC3" w:rsidRDefault="00234F50" w:rsidP="00A3583A">
            <w:pPr>
              <w:pStyle w:val="Tabletextleft"/>
            </w:pPr>
            <w:r w:rsidRPr="00772BC3">
              <w:t>- potentially preventable hospitalisations</w:t>
            </w:r>
          </w:p>
          <w:p w14:paraId="5D9ACCFC" w14:textId="4D2F64E3" w:rsidR="00234F50" w:rsidRPr="00772BC3" w:rsidRDefault="00234F50" w:rsidP="00A3583A">
            <w:pPr>
              <w:pStyle w:val="Tabletextleft"/>
            </w:pPr>
            <w:r w:rsidRPr="00772BC3">
              <w:t>- hospital readmissions</w:t>
            </w:r>
          </w:p>
        </w:tc>
        <w:tc>
          <w:tcPr>
            <w:tcW w:w="1843" w:type="dxa"/>
          </w:tcPr>
          <w:p w14:paraId="4C924B44" w14:textId="77777777" w:rsidR="00234F50" w:rsidRPr="00772BC3" w:rsidRDefault="00234F50" w:rsidP="00A3583A">
            <w:pPr>
              <w:pStyle w:val="Tabletextleft"/>
              <w:cnfStyle w:val="000000100000" w:firstRow="0" w:lastRow="0" w:firstColumn="0" w:lastColumn="0" w:oddVBand="0" w:evenVBand="0" w:oddHBand="1" w:evenHBand="0" w:firstRowFirstColumn="0" w:firstRowLastColumn="0" w:lastRowFirstColumn="0" w:lastRowLastColumn="0"/>
            </w:pPr>
            <w:r w:rsidRPr="00772BC3">
              <w:t>Health outcomes</w:t>
            </w:r>
          </w:p>
          <w:p w14:paraId="16B6C620" w14:textId="264BFF6A" w:rsidR="00234F50" w:rsidRPr="00772BC3" w:rsidRDefault="00234F50" w:rsidP="00A3583A">
            <w:pPr>
              <w:pStyle w:val="Tabletextleft"/>
              <w:cnfStyle w:val="000000100000" w:firstRow="0" w:lastRow="0" w:firstColumn="0" w:lastColumn="0" w:oddVBand="0" w:evenVBand="0" w:oddHBand="1" w:evenHBand="0" w:firstRowFirstColumn="0" w:firstRowLastColumn="0" w:lastRowFirstColumn="0" w:lastRowLastColumn="0"/>
            </w:pPr>
            <w:r w:rsidRPr="00772BC3">
              <w:t>Treatment and management</w:t>
            </w:r>
          </w:p>
        </w:tc>
        <w:tc>
          <w:tcPr>
            <w:tcW w:w="3013" w:type="dxa"/>
          </w:tcPr>
          <w:p w14:paraId="501F72B7" w14:textId="06B6E09F" w:rsidR="00234F50" w:rsidRPr="00772BC3" w:rsidRDefault="00234F50" w:rsidP="00A3583A">
            <w:pPr>
              <w:pStyle w:val="Tabletextleft"/>
              <w:cnfStyle w:val="000000100000" w:firstRow="0" w:lastRow="0" w:firstColumn="0" w:lastColumn="0" w:oddVBand="0" w:evenVBand="0" w:oddHBand="1" w:evenHBand="0" w:firstRowFirstColumn="0" w:firstRowLastColumn="0" w:lastRowFirstColumn="0" w:lastRowLastColumn="0"/>
            </w:pPr>
            <w:r w:rsidRPr="00772BC3">
              <w:t xml:space="preserve">National Non-Admitted Patient Emergency Department Care Database </w:t>
            </w:r>
          </w:p>
          <w:p w14:paraId="052C9E06" w14:textId="10C4272C" w:rsidR="00234F50" w:rsidRPr="00772BC3" w:rsidRDefault="00234F50" w:rsidP="00A3583A">
            <w:pPr>
              <w:pStyle w:val="Tabletextleft"/>
              <w:cnfStyle w:val="000000100000" w:firstRow="0" w:lastRow="0" w:firstColumn="0" w:lastColumn="0" w:oddVBand="0" w:evenVBand="0" w:oddHBand="1" w:evenHBand="0" w:firstRowFirstColumn="0" w:firstRowLastColumn="0" w:lastRowFirstColumn="0" w:lastRowLastColumn="0"/>
            </w:pPr>
            <w:r w:rsidRPr="00772BC3">
              <w:t>National Hospital Morbidity Database</w:t>
            </w:r>
          </w:p>
          <w:p w14:paraId="7CDB86A6" w14:textId="524A3F7B" w:rsidR="00234F50" w:rsidRPr="00772BC3" w:rsidRDefault="00234F50" w:rsidP="00A3583A">
            <w:pPr>
              <w:pStyle w:val="Tabletextleft"/>
              <w:cnfStyle w:val="000000100000" w:firstRow="0" w:lastRow="0" w:firstColumn="0" w:lastColumn="0" w:oddVBand="0" w:evenVBand="0" w:oddHBand="1" w:evenHBand="0" w:firstRowFirstColumn="0" w:firstRowLastColumn="0" w:lastRowFirstColumn="0" w:lastRowLastColumn="0"/>
            </w:pPr>
            <w:r w:rsidRPr="00772BC3">
              <w:t>Linked hospitalisations data</w:t>
            </w:r>
          </w:p>
        </w:tc>
        <w:tc>
          <w:tcPr>
            <w:tcW w:w="2872" w:type="dxa"/>
          </w:tcPr>
          <w:p w14:paraId="0CC98405" w14:textId="77777777" w:rsidR="00234F50" w:rsidRPr="00772BC3" w:rsidRDefault="00234F50" w:rsidP="00A3583A">
            <w:pPr>
              <w:pStyle w:val="Tabletextright0"/>
              <w:cnfStyle w:val="000000100000" w:firstRow="0" w:lastRow="0" w:firstColumn="0" w:lastColumn="0" w:oddVBand="0" w:evenVBand="0" w:oddHBand="1" w:evenHBand="0" w:firstRowFirstColumn="0" w:firstRowLastColumn="0" w:lastRowFirstColumn="0" w:lastRowLastColumn="0"/>
            </w:pPr>
          </w:p>
        </w:tc>
        <w:tc>
          <w:tcPr>
            <w:tcW w:w="2872" w:type="dxa"/>
          </w:tcPr>
          <w:p w14:paraId="3F4AB45A" w14:textId="77777777" w:rsidR="00532D50" w:rsidRPr="00772BC3" w:rsidRDefault="00BF6480" w:rsidP="00A3583A">
            <w:pPr>
              <w:pStyle w:val="Tabletextleft"/>
              <w:cnfStyle w:val="000000100000" w:firstRow="0" w:lastRow="0" w:firstColumn="0" w:lastColumn="0" w:oddVBand="0" w:evenVBand="0" w:oddHBand="1" w:evenHBand="0" w:firstRowFirstColumn="0" w:firstRowLastColumn="0" w:lastRowFirstColumn="0" w:lastRowLastColumn="0"/>
            </w:pPr>
            <w:r w:rsidRPr="00772BC3">
              <w:t>Frequent emergency visits or hospital readmissions often indicate gaps in ongoing care, poor condition management or lack of access to timely support.</w:t>
            </w:r>
          </w:p>
          <w:p w14:paraId="29DA7515" w14:textId="2099C3C2" w:rsidR="00532D50" w:rsidRPr="00772BC3" w:rsidRDefault="00532D50" w:rsidP="00A3583A">
            <w:pPr>
              <w:pStyle w:val="Tabletextleft"/>
              <w:cnfStyle w:val="000000100000" w:firstRow="0" w:lastRow="0" w:firstColumn="0" w:lastColumn="0" w:oddVBand="0" w:evenVBand="0" w:oddHBand="1" w:evenHBand="0" w:firstRowFirstColumn="0" w:firstRowLastColumn="0" w:lastRowFirstColumn="0" w:lastRowLastColumn="0"/>
            </w:pPr>
            <w:r w:rsidRPr="00772BC3">
              <w:t>Potentially preventable hospitalisations refer to hospital admissions that could have been avoided through timely and effective primary care or early disease management and are used as indicators of access to and quality of primary healthcare services.</w:t>
            </w:r>
          </w:p>
        </w:tc>
      </w:tr>
      <w:tr w:rsidR="00234F50" w:rsidRPr="00772BC3" w14:paraId="7DE89191" w14:textId="77777777" w:rsidTr="0B3BCAD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14:paraId="3A8E1231" w14:textId="77777777" w:rsidR="00234F50" w:rsidRPr="00772BC3" w:rsidRDefault="00234F50" w:rsidP="00A3583A">
            <w:pPr>
              <w:pStyle w:val="Tabletextleft"/>
            </w:pPr>
            <w:r w:rsidRPr="00772BC3">
              <w:t>Effects of fragmented healthcare</w:t>
            </w:r>
          </w:p>
          <w:p w14:paraId="775CAED3" w14:textId="77777777" w:rsidR="00234F50" w:rsidRPr="00772BC3" w:rsidRDefault="00234F50" w:rsidP="00A3583A">
            <w:pPr>
              <w:pStyle w:val="Tabletextleft"/>
            </w:pPr>
            <w:r w:rsidRPr="00772BC3">
              <w:t xml:space="preserve">- mortality following hospital discharge </w:t>
            </w:r>
          </w:p>
          <w:p w14:paraId="39ABCA5E" w14:textId="77777777" w:rsidR="00234F50" w:rsidRPr="00772BC3" w:rsidRDefault="00234F50" w:rsidP="00A3583A">
            <w:pPr>
              <w:pStyle w:val="Tabletextleft"/>
            </w:pPr>
            <w:r w:rsidRPr="00772BC3">
              <w:t>- hospital readmission following hospital discharge</w:t>
            </w:r>
          </w:p>
          <w:p w14:paraId="2901D852" w14:textId="0E7F396A" w:rsidR="00234F50" w:rsidRPr="00772BC3" w:rsidRDefault="00234F50" w:rsidP="00A3583A">
            <w:pPr>
              <w:pStyle w:val="Tabletextleft"/>
            </w:pPr>
            <w:r w:rsidRPr="00772BC3">
              <w:t>- prescription supply following hospital discharge</w:t>
            </w:r>
          </w:p>
        </w:tc>
        <w:tc>
          <w:tcPr>
            <w:tcW w:w="1843" w:type="dxa"/>
          </w:tcPr>
          <w:p w14:paraId="7B28839E" w14:textId="77777777" w:rsidR="002E6BBF" w:rsidRPr="00772BC3" w:rsidRDefault="002E6BBF" w:rsidP="00A3583A">
            <w:pPr>
              <w:pStyle w:val="Tabletextleft"/>
              <w:cnfStyle w:val="000000010000" w:firstRow="0" w:lastRow="0" w:firstColumn="0" w:lastColumn="0" w:oddVBand="0" w:evenVBand="0" w:oddHBand="0" w:evenHBand="1" w:firstRowFirstColumn="0" w:firstRowLastColumn="0" w:lastRowFirstColumn="0" w:lastRowLastColumn="0"/>
            </w:pPr>
            <w:r w:rsidRPr="00772BC3">
              <w:t>Health outcomes</w:t>
            </w:r>
          </w:p>
          <w:p w14:paraId="46D4963C" w14:textId="5C4E4C18" w:rsidR="00234F50" w:rsidRPr="00772BC3" w:rsidRDefault="002E6BBF" w:rsidP="00A3583A">
            <w:pPr>
              <w:pStyle w:val="Tabletextleft"/>
              <w:cnfStyle w:val="000000010000" w:firstRow="0" w:lastRow="0" w:firstColumn="0" w:lastColumn="0" w:oddVBand="0" w:evenVBand="0" w:oddHBand="0" w:evenHBand="1" w:firstRowFirstColumn="0" w:firstRowLastColumn="0" w:lastRowFirstColumn="0" w:lastRowLastColumn="0"/>
            </w:pPr>
            <w:r w:rsidRPr="00772BC3">
              <w:t>Treatment and management</w:t>
            </w:r>
          </w:p>
        </w:tc>
        <w:tc>
          <w:tcPr>
            <w:tcW w:w="3013" w:type="dxa"/>
          </w:tcPr>
          <w:p w14:paraId="64944A78" w14:textId="09DF0962" w:rsidR="00234F50" w:rsidRPr="00772BC3" w:rsidRDefault="00234F50" w:rsidP="00A3583A">
            <w:pPr>
              <w:pStyle w:val="Tabletextleft"/>
              <w:cnfStyle w:val="000000010000" w:firstRow="0" w:lastRow="0" w:firstColumn="0" w:lastColumn="0" w:oddVBand="0" w:evenVBand="0" w:oddHBand="0" w:evenHBand="1" w:firstRowFirstColumn="0" w:firstRowLastColumn="0" w:lastRowFirstColumn="0" w:lastRowLastColumn="0"/>
            </w:pPr>
            <w:r w:rsidRPr="00772BC3">
              <w:t>Linked hospitalisations, prescribed medicines and deaths data (such as National Health Data Hub)</w:t>
            </w:r>
          </w:p>
        </w:tc>
        <w:tc>
          <w:tcPr>
            <w:tcW w:w="2872" w:type="dxa"/>
          </w:tcPr>
          <w:p w14:paraId="27F9D328" w14:textId="4C77BB09" w:rsidR="00234F50" w:rsidRPr="00772BC3" w:rsidRDefault="00234F50" w:rsidP="00A3583A">
            <w:pPr>
              <w:pStyle w:val="Tabletextleft"/>
              <w:cnfStyle w:val="000000010000" w:firstRow="0" w:lastRow="0" w:firstColumn="0" w:lastColumn="0" w:oddVBand="0" w:evenVBand="0" w:oddHBand="0" w:evenHBand="1" w:firstRowFirstColumn="0" w:firstRowLastColumn="0" w:lastRowFirstColumn="0" w:lastRowLastColumn="0"/>
            </w:pPr>
            <w:r w:rsidRPr="00772BC3">
              <w:t>Australia’s health performance framework</w:t>
            </w:r>
          </w:p>
        </w:tc>
        <w:tc>
          <w:tcPr>
            <w:tcW w:w="2872" w:type="dxa"/>
          </w:tcPr>
          <w:p w14:paraId="284F1838" w14:textId="77777777" w:rsidR="00234F50" w:rsidRPr="00772BC3" w:rsidRDefault="00234F50" w:rsidP="00A3583A">
            <w:pPr>
              <w:pStyle w:val="Tabletextleft"/>
              <w:cnfStyle w:val="000000010000" w:firstRow="0" w:lastRow="0" w:firstColumn="0" w:lastColumn="0" w:oddVBand="0" w:evenVBand="0" w:oddHBand="0" w:evenHBand="1" w:firstRowFirstColumn="0" w:firstRowLastColumn="0" w:lastRowFirstColumn="0" w:lastRowLastColumn="0"/>
            </w:pPr>
            <w:r w:rsidRPr="00772BC3">
              <w:t>(4.1)</w:t>
            </w:r>
          </w:p>
          <w:p w14:paraId="7B66D6D7" w14:textId="77777777" w:rsidR="00234F50" w:rsidRPr="00772BC3" w:rsidRDefault="00234F50" w:rsidP="00A3583A">
            <w:pPr>
              <w:pStyle w:val="Tabletextleft"/>
              <w:cnfStyle w:val="000000010000" w:firstRow="0" w:lastRow="0" w:firstColumn="0" w:lastColumn="0" w:oddVBand="0" w:evenVBand="0" w:oddHBand="0" w:evenHBand="1" w:firstRowFirstColumn="0" w:firstRowLastColumn="0" w:lastRowFirstColumn="0" w:lastRowLastColumn="0"/>
            </w:pPr>
            <w:r w:rsidRPr="00772BC3">
              <w:t>Unplanned hospital readmission or death after an index hospitalisation can indicate fragmented health care</w:t>
            </w:r>
            <w:r w:rsidR="00BC1DE8" w:rsidRPr="00772BC3">
              <w:t>.</w:t>
            </w:r>
          </w:p>
          <w:p w14:paraId="36267F25" w14:textId="4FC1B2AA" w:rsidR="00BC1DE8" w:rsidRPr="00772BC3" w:rsidRDefault="00DB0FA9" w:rsidP="00A3583A">
            <w:pPr>
              <w:pStyle w:val="Tabletextleft"/>
              <w:cnfStyle w:val="000000010000" w:firstRow="0" w:lastRow="0" w:firstColumn="0" w:lastColumn="0" w:oddVBand="0" w:evenVBand="0" w:oddHBand="0" w:evenHBand="1" w:firstRowFirstColumn="0" w:firstRowLastColumn="0" w:lastRowFirstColumn="0" w:lastRowLastColumn="0"/>
            </w:pPr>
            <w:r w:rsidRPr="00772BC3">
              <w:t>Linked data can reveal gaps and overlaps in health service provision.</w:t>
            </w:r>
          </w:p>
        </w:tc>
      </w:tr>
      <w:tr w:rsidR="00234F50" w:rsidRPr="00772BC3" w14:paraId="2B590CD5" w14:textId="77777777" w:rsidTr="0B3BCA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14:paraId="707DB39F" w14:textId="01431617" w:rsidR="00234F50" w:rsidRPr="00772BC3" w:rsidRDefault="00234F50" w:rsidP="00A3583A">
            <w:pPr>
              <w:pStyle w:val="Tabletextleft"/>
            </w:pPr>
            <w:r w:rsidRPr="00772BC3">
              <w:t>Health</w:t>
            </w:r>
            <w:r w:rsidR="00894F2B" w:rsidRPr="00772BC3">
              <w:t xml:space="preserve"> system</w:t>
            </w:r>
            <w:r w:rsidRPr="00772BC3">
              <w:t xml:space="preserve"> expenditure </w:t>
            </w:r>
          </w:p>
          <w:p w14:paraId="2160CE3A" w14:textId="77777777" w:rsidR="00234F50" w:rsidRPr="00772BC3" w:rsidRDefault="00234F50" w:rsidP="00A3583A">
            <w:pPr>
              <w:pStyle w:val="Tabletextleft"/>
            </w:pPr>
            <w:r w:rsidRPr="00772BC3">
              <w:t xml:space="preserve">- investment in public health </w:t>
            </w:r>
          </w:p>
          <w:p w14:paraId="49EF5C5B" w14:textId="19D45D77" w:rsidR="00234F50" w:rsidRPr="00772BC3" w:rsidRDefault="00234F50" w:rsidP="00A3583A">
            <w:pPr>
              <w:pStyle w:val="Tabletextleft"/>
            </w:pPr>
            <w:r w:rsidRPr="00772BC3">
              <w:t>- health expenditure by disease or disease group</w:t>
            </w:r>
          </w:p>
        </w:tc>
        <w:tc>
          <w:tcPr>
            <w:tcW w:w="1843" w:type="dxa"/>
          </w:tcPr>
          <w:p w14:paraId="3668E9FC" w14:textId="77777777" w:rsidR="002E6BBF" w:rsidRPr="00772BC3" w:rsidRDefault="002E6BBF" w:rsidP="00A3583A">
            <w:pPr>
              <w:pStyle w:val="Tabletextleft"/>
              <w:cnfStyle w:val="000000100000" w:firstRow="0" w:lastRow="0" w:firstColumn="0" w:lastColumn="0" w:oddVBand="0" w:evenVBand="0" w:oddHBand="1" w:evenHBand="0" w:firstRowFirstColumn="0" w:firstRowLastColumn="0" w:lastRowFirstColumn="0" w:lastRowLastColumn="0"/>
            </w:pPr>
            <w:r w:rsidRPr="00772BC3">
              <w:t>Health outcomes</w:t>
            </w:r>
          </w:p>
          <w:p w14:paraId="7EB6E1B3" w14:textId="71E53A71" w:rsidR="00234F50" w:rsidRPr="00772BC3" w:rsidRDefault="002E6BBF" w:rsidP="00A3583A">
            <w:pPr>
              <w:pStyle w:val="Tabletextleft"/>
              <w:cnfStyle w:val="000000100000" w:firstRow="0" w:lastRow="0" w:firstColumn="0" w:lastColumn="0" w:oddVBand="0" w:evenVBand="0" w:oddHBand="1" w:evenHBand="0" w:firstRowFirstColumn="0" w:firstRowLastColumn="0" w:lastRowFirstColumn="0" w:lastRowLastColumn="0"/>
            </w:pPr>
            <w:r w:rsidRPr="00772BC3">
              <w:t>Treatment and management</w:t>
            </w:r>
          </w:p>
        </w:tc>
        <w:tc>
          <w:tcPr>
            <w:tcW w:w="3013" w:type="dxa"/>
          </w:tcPr>
          <w:p w14:paraId="545A8E17" w14:textId="77777777" w:rsidR="00234F50" w:rsidRPr="00772BC3" w:rsidRDefault="00234F50" w:rsidP="00A3583A">
            <w:pPr>
              <w:pStyle w:val="Tabletextleft"/>
              <w:cnfStyle w:val="000000100000" w:firstRow="0" w:lastRow="0" w:firstColumn="0" w:lastColumn="0" w:oddVBand="0" w:evenVBand="0" w:oddHBand="1" w:evenHBand="0" w:firstRowFirstColumn="0" w:firstRowLastColumn="0" w:lastRowFirstColumn="0" w:lastRowLastColumn="0"/>
            </w:pPr>
            <w:r w:rsidRPr="00772BC3">
              <w:t>Health Expenditure Database</w:t>
            </w:r>
          </w:p>
          <w:p w14:paraId="48FD9DA4" w14:textId="3109DD66" w:rsidR="00234F50" w:rsidRPr="00772BC3" w:rsidRDefault="00234F50" w:rsidP="00A3583A">
            <w:pPr>
              <w:pStyle w:val="Tabletextleft"/>
              <w:cnfStyle w:val="000000100000" w:firstRow="0" w:lastRow="0" w:firstColumn="0" w:lastColumn="0" w:oddVBand="0" w:evenVBand="0" w:oddHBand="1" w:evenHBand="0" w:firstRowFirstColumn="0" w:firstRowLastColumn="0" w:lastRowFirstColumn="0" w:lastRowLastColumn="0"/>
            </w:pPr>
            <w:r w:rsidRPr="00772BC3">
              <w:t>Disease Expenditure Database</w:t>
            </w:r>
          </w:p>
        </w:tc>
        <w:tc>
          <w:tcPr>
            <w:tcW w:w="2872" w:type="dxa"/>
          </w:tcPr>
          <w:p w14:paraId="627F721C" w14:textId="77777777" w:rsidR="00234F50" w:rsidRPr="00772BC3" w:rsidRDefault="00234F50" w:rsidP="00A3583A">
            <w:pPr>
              <w:pStyle w:val="Tabletextleft"/>
              <w:cnfStyle w:val="000000100000" w:firstRow="0" w:lastRow="0" w:firstColumn="0" w:lastColumn="0" w:oddVBand="0" w:evenVBand="0" w:oddHBand="1" w:evenHBand="0" w:firstRowFirstColumn="0" w:firstRowLastColumn="0" w:lastRowFirstColumn="0" w:lastRowLastColumn="0"/>
            </w:pPr>
            <w:r w:rsidRPr="00772BC3">
              <w:t>National preventive health monitoring dashboard</w:t>
            </w:r>
          </w:p>
          <w:p w14:paraId="4E499721" w14:textId="77777777" w:rsidR="00234F50" w:rsidRPr="00772BC3" w:rsidRDefault="00234F50" w:rsidP="00A3583A">
            <w:pPr>
              <w:pStyle w:val="Tabletextleft"/>
              <w:cnfStyle w:val="000000100000" w:firstRow="0" w:lastRow="0" w:firstColumn="0" w:lastColumn="0" w:oddVBand="0" w:evenVBand="0" w:oddHBand="1" w:evenHBand="0" w:firstRowFirstColumn="0" w:firstRowLastColumn="0" w:lastRowFirstColumn="0" w:lastRowLastColumn="0"/>
            </w:pPr>
            <w:r w:rsidRPr="00772BC3">
              <w:t>Health expenditure Australia (annual web report)</w:t>
            </w:r>
          </w:p>
          <w:p w14:paraId="4495821B" w14:textId="7837A999" w:rsidR="00234F50" w:rsidRPr="00772BC3" w:rsidRDefault="00234F50" w:rsidP="00A3583A">
            <w:pPr>
              <w:pStyle w:val="Tabletextleft"/>
              <w:cnfStyle w:val="000000100000" w:firstRow="0" w:lastRow="0" w:firstColumn="0" w:lastColumn="0" w:oddVBand="0" w:evenVBand="0" w:oddHBand="1" w:evenHBand="0" w:firstRowFirstColumn="0" w:firstRowLastColumn="0" w:lastRowFirstColumn="0" w:lastRowLastColumn="0"/>
            </w:pPr>
            <w:r w:rsidRPr="00772BC3">
              <w:t>Health system spending on disease and injury in Australia (annual web report)</w:t>
            </w:r>
          </w:p>
        </w:tc>
        <w:tc>
          <w:tcPr>
            <w:tcW w:w="2872" w:type="dxa"/>
          </w:tcPr>
          <w:p w14:paraId="36AD245E" w14:textId="22D60B25" w:rsidR="00234F50" w:rsidRPr="00772BC3" w:rsidRDefault="00F20D32" w:rsidP="00A3583A">
            <w:pPr>
              <w:pStyle w:val="Tabletextleft"/>
              <w:cnfStyle w:val="000000100000" w:firstRow="0" w:lastRow="0" w:firstColumn="0" w:lastColumn="0" w:oddVBand="0" w:evenVBand="0" w:oddHBand="1" w:evenHBand="0" w:firstRowFirstColumn="0" w:firstRowLastColumn="0" w:lastRowFirstColumn="0" w:lastRowLastColumn="0"/>
            </w:pPr>
            <w:r w:rsidRPr="00772BC3">
              <w:t xml:space="preserve">Health system expenditure shows how resources are distributed across </w:t>
            </w:r>
            <w:r w:rsidR="00C43948" w:rsidRPr="00772BC3">
              <w:t xml:space="preserve">the healthcare system and across </w:t>
            </w:r>
            <w:r w:rsidRPr="00772BC3">
              <w:t>different conditions</w:t>
            </w:r>
            <w:r w:rsidR="00C43948" w:rsidRPr="00772BC3">
              <w:t>.</w:t>
            </w:r>
          </w:p>
        </w:tc>
      </w:tr>
      <w:tr w:rsidR="00234F50" w:rsidRPr="00772BC3" w14:paraId="1D1DF919" w14:textId="77777777" w:rsidTr="0B3BCAD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4E2E9B9B" w14:textId="0FDF5D74" w:rsidR="00234F50" w:rsidRPr="00772BC3" w:rsidRDefault="00234F50" w:rsidP="00A3583A">
            <w:pPr>
              <w:pStyle w:val="Tabletextleft"/>
            </w:pPr>
            <w:r w:rsidRPr="00772BC3">
              <w:t>Prevalence of risk factors and determinants of health</w:t>
            </w:r>
          </w:p>
        </w:tc>
        <w:tc>
          <w:tcPr>
            <w:tcW w:w="0" w:type="dxa"/>
          </w:tcPr>
          <w:p w14:paraId="6D146B2A" w14:textId="290657A5" w:rsidR="00234F50" w:rsidRPr="00772BC3" w:rsidRDefault="00234F50" w:rsidP="00A3583A">
            <w:pPr>
              <w:pStyle w:val="Tabletextleft"/>
              <w:cnfStyle w:val="000000010000" w:firstRow="0" w:lastRow="0" w:firstColumn="0" w:lastColumn="0" w:oddVBand="0" w:evenVBand="0" w:oddHBand="0" w:evenHBand="1" w:firstRowFirstColumn="0" w:firstRowLastColumn="0" w:lastRowFirstColumn="0" w:lastRowLastColumn="0"/>
            </w:pPr>
            <w:r w:rsidRPr="00772BC3">
              <w:t>Prevention and early detection</w:t>
            </w:r>
          </w:p>
        </w:tc>
        <w:tc>
          <w:tcPr>
            <w:tcW w:w="0" w:type="dxa"/>
          </w:tcPr>
          <w:p w14:paraId="09733D1D" w14:textId="5A3F64A9" w:rsidR="00234F50" w:rsidRPr="00772BC3" w:rsidRDefault="00234F50" w:rsidP="00A3583A">
            <w:pPr>
              <w:pStyle w:val="Tabletextleft"/>
              <w:cnfStyle w:val="000000010000" w:firstRow="0" w:lastRow="0" w:firstColumn="0" w:lastColumn="0" w:oddVBand="0" w:evenVBand="0" w:oddHBand="0" w:evenHBand="1" w:firstRowFirstColumn="0" w:firstRowLastColumn="0" w:lastRowFirstColumn="0" w:lastRowLastColumn="0"/>
            </w:pPr>
            <w:r w:rsidRPr="00772BC3">
              <w:t>National Health Survey</w:t>
            </w:r>
          </w:p>
          <w:p w14:paraId="7A87B38B" w14:textId="01E4C574" w:rsidR="00234F50" w:rsidRPr="00772BC3" w:rsidRDefault="00234F50" w:rsidP="00A3583A">
            <w:pPr>
              <w:pStyle w:val="Tabletextleft"/>
              <w:cnfStyle w:val="000000010000" w:firstRow="0" w:lastRow="0" w:firstColumn="0" w:lastColumn="0" w:oddVBand="0" w:evenVBand="0" w:oddHBand="0" w:evenHBand="1" w:firstRowFirstColumn="0" w:firstRowLastColumn="0" w:lastRowFirstColumn="0" w:lastRowLastColumn="0"/>
            </w:pPr>
            <w:r w:rsidRPr="00772BC3">
              <w:t>National Health Measures Survey</w:t>
            </w:r>
          </w:p>
          <w:p w14:paraId="6C517722" w14:textId="63CCCB1E" w:rsidR="00234F50" w:rsidRPr="00772BC3" w:rsidRDefault="00234F50" w:rsidP="00A3583A">
            <w:pPr>
              <w:pStyle w:val="Tabletextleft"/>
              <w:cnfStyle w:val="000000010000" w:firstRow="0" w:lastRow="0" w:firstColumn="0" w:lastColumn="0" w:oddVBand="0" w:evenVBand="0" w:oddHBand="0" w:evenHBand="1" w:firstRowFirstColumn="0" w:firstRowLastColumn="0" w:lastRowFirstColumn="0" w:lastRowLastColumn="0"/>
            </w:pPr>
            <w:r w:rsidRPr="00772BC3">
              <w:t>National Drug Strategy Household Survey</w:t>
            </w:r>
          </w:p>
          <w:p w14:paraId="19DFA2B8" w14:textId="433F678C" w:rsidR="00234F50" w:rsidRPr="00772BC3" w:rsidRDefault="00234F50" w:rsidP="00A3583A">
            <w:pPr>
              <w:pStyle w:val="Tabletextleft"/>
              <w:cnfStyle w:val="000000010000" w:firstRow="0" w:lastRow="0" w:firstColumn="0" w:lastColumn="0" w:oddVBand="0" w:evenVBand="0" w:oddHBand="0" w:evenHBand="1" w:firstRowFirstColumn="0" w:firstRowLastColumn="0" w:lastRowFirstColumn="0" w:lastRowLastColumn="0"/>
            </w:pPr>
            <w:r w:rsidRPr="00772BC3">
              <w:t>National Perinatal Data Collection</w:t>
            </w:r>
          </w:p>
          <w:p w14:paraId="3C79D986" w14:textId="03E418BF" w:rsidR="00234F50" w:rsidRPr="00772BC3" w:rsidRDefault="00234F50" w:rsidP="00A3583A">
            <w:pPr>
              <w:pStyle w:val="Tabletextleft"/>
              <w:cnfStyle w:val="000000010000" w:firstRow="0" w:lastRow="0" w:firstColumn="0" w:lastColumn="0" w:oddVBand="0" w:evenVBand="0" w:oddHBand="0" w:evenHBand="1" w:firstRowFirstColumn="0" w:firstRowLastColumn="0" w:lastRowFirstColumn="0" w:lastRowLastColumn="0"/>
            </w:pPr>
            <w:r w:rsidRPr="00772BC3">
              <w:t>Personal Safety Survey</w:t>
            </w:r>
          </w:p>
          <w:p w14:paraId="2DB6A03F" w14:textId="0CFFC38C" w:rsidR="00234F50" w:rsidRPr="00772BC3" w:rsidRDefault="00234F50" w:rsidP="00A3583A">
            <w:pPr>
              <w:pStyle w:val="Tabletextleft"/>
              <w:cnfStyle w:val="000000010000" w:firstRow="0" w:lastRow="0" w:firstColumn="0" w:lastColumn="0" w:oddVBand="0" w:evenVBand="0" w:oddHBand="0" w:evenHBand="1" w:firstRowFirstColumn="0" w:firstRowLastColumn="0" w:lastRowFirstColumn="0" w:lastRowLastColumn="0"/>
            </w:pPr>
            <w:r w:rsidRPr="00772BC3">
              <w:t>Census of Population and Housing</w:t>
            </w:r>
          </w:p>
          <w:p w14:paraId="557A0484" w14:textId="57BCA5F9" w:rsidR="00234F50" w:rsidRPr="00772BC3" w:rsidRDefault="00234F50" w:rsidP="00A3583A">
            <w:pPr>
              <w:pStyle w:val="Tabletextleft"/>
              <w:cnfStyle w:val="000000010000" w:firstRow="0" w:lastRow="0" w:firstColumn="0" w:lastColumn="0" w:oddVBand="0" w:evenVBand="0" w:oddHBand="0" w:evenHBand="1" w:firstRowFirstColumn="0" w:firstRowLastColumn="0" w:lastRowFirstColumn="0" w:lastRowLastColumn="0"/>
            </w:pPr>
            <w:r w:rsidRPr="00772BC3">
              <w:t>Labour Force Survey</w:t>
            </w:r>
          </w:p>
          <w:p w14:paraId="7B3143FA" w14:textId="2C051D1E" w:rsidR="00234F50" w:rsidRPr="00772BC3" w:rsidRDefault="00234F50" w:rsidP="00A3583A">
            <w:pPr>
              <w:pStyle w:val="Tabletextleft"/>
              <w:cnfStyle w:val="000000010000" w:firstRow="0" w:lastRow="0" w:firstColumn="0" w:lastColumn="0" w:oddVBand="0" w:evenVBand="0" w:oddHBand="0" w:evenHBand="1" w:firstRowFirstColumn="0" w:firstRowLastColumn="0" w:lastRowFirstColumn="0" w:lastRowLastColumn="0"/>
            </w:pPr>
            <w:r w:rsidRPr="00772BC3">
              <w:t>Household Income and Labour Dynamics in Australia (HILDA)</w:t>
            </w:r>
          </w:p>
          <w:p w14:paraId="43600CA4" w14:textId="2C09BEF7" w:rsidR="00234F50" w:rsidRPr="00772BC3" w:rsidRDefault="00234F50" w:rsidP="00A3583A">
            <w:pPr>
              <w:pStyle w:val="Tabletextleft"/>
              <w:cnfStyle w:val="000000010000" w:firstRow="0" w:lastRow="0" w:firstColumn="0" w:lastColumn="0" w:oddVBand="0" w:evenVBand="0" w:oddHBand="0" w:evenHBand="1" w:firstRowFirstColumn="0" w:firstRowLastColumn="0" w:lastRowFirstColumn="0" w:lastRowLastColumn="0"/>
            </w:pPr>
            <w:r w:rsidRPr="00772BC3">
              <w:t>Australian Early Development Census</w:t>
            </w:r>
          </w:p>
        </w:tc>
        <w:tc>
          <w:tcPr>
            <w:tcW w:w="0" w:type="dxa"/>
            <w:shd w:val="clear" w:color="auto" w:fill="auto"/>
          </w:tcPr>
          <w:p w14:paraId="7988AA22" w14:textId="660D6EFE" w:rsidR="00234F50" w:rsidRPr="00772BC3" w:rsidRDefault="00234F50" w:rsidP="00A3583A">
            <w:pPr>
              <w:pStyle w:val="Tabletextleft"/>
              <w:cnfStyle w:val="000000010000" w:firstRow="0" w:lastRow="0" w:firstColumn="0" w:lastColumn="0" w:oddVBand="0" w:evenVBand="0" w:oddHBand="0" w:evenHBand="1" w:firstRowFirstColumn="0" w:firstRowLastColumn="0" w:lastRowFirstColumn="0" w:lastRowLastColumn="0"/>
            </w:pPr>
            <w:r w:rsidRPr="00772BC3">
              <w:t xml:space="preserve">National preventive health monitoring dashboard </w:t>
            </w:r>
          </w:p>
          <w:p w14:paraId="0DF449CD" w14:textId="77777777" w:rsidR="00234F50" w:rsidRPr="00772BC3" w:rsidRDefault="00234F50" w:rsidP="00A3583A">
            <w:pPr>
              <w:pStyle w:val="Tabletextleft"/>
              <w:cnfStyle w:val="000000010000" w:firstRow="0" w:lastRow="0" w:firstColumn="0" w:lastColumn="0" w:oddVBand="0" w:evenVBand="0" w:oddHBand="0" w:evenHBand="1" w:firstRowFirstColumn="0" w:firstRowLastColumn="0" w:lastRowFirstColumn="0" w:lastRowLastColumn="0"/>
            </w:pPr>
            <w:r w:rsidRPr="00772BC3">
              <w:t>Australia’s health performance framework</w:t>
            </w:r>
          </w:p>
          <w:p w14:paraId="56D1B616" w14:textId="26D936B6" w:rsidR="00234F50" w:rsidRPr="00772BC3" w:rsidRDefault="00234F50" w:rsidP="00A3583A">
            <w:pPr>
              <w:pStyle w:val="Tabletextleft"/>
              <w:cnfStyle w:val="000000010000" w:firstRow="0" w:lastRow="0" w:firstColumn="0" w:lastColumn="0" w:oddVBand="0" w:evenVBand="0" w:oddHBand="0" w:evenHBand="1" w:firstRowFirstColumn="0" w:firstRowLastColumn="0" w:lastRowFirstColumn="0" w:lastRowLastColumn="0"/>
              <w:rPr>
                <w:sz w:val="16"/>
                <w:szCs w:val="16"/>
              </w:rPr>
            </w:pPr>
            <w:hyperlink r:id="rId129" w:history="1">
              <w:r w:rsidRPr="00772BC3">
                <w:rPr>
                  <w:rStyle w:val="Hyperlink"/>
                </w:rPr>
                <w:t>Australian Urban Observatory</w:t>
              </w:r>
            </w:hyperlink>
          </w:p>
        </w:tc>
        <w:tc>
          <w:tcPr>
            <w:tcW w:w="0" w:type="dxa"/>
            <w:shd w:val="clear" w:color="auto" w:fill="auto"/>
          </w:tcPr>
          <w:p w14:paraId="64D03589" w14:textId="77777777" w:rsidR="0073219C" w:rsidRPr="00772BC3" w:rsidRDefault="0073219C" w:rsidP="00A3583A">
            <w:pPr>
              <w:pStyle w:val="Tabletextleft"/>
              <w:cnfStyle w:val="000000010000" w:firstRow="0" w:lastRow="0" w:firstColumn="0" w:lastColumn="0" w:oddVBand="0" w:evenVBand="0" w:oddHBand="0" w:evenHBand="1" w:firstRowFirstColumn="0" w:firstRowLastColumn="0" w:lastRowFirstColumn="0" w:lastRowLastColumn="0"/>
            </w:pPr>
            <w:r w:rsidRPr="00772BC3">
              <w:t>(1.1, 1.3, 2.1)</w:t>
            </w:r>
          </w:p>
          <w:p w14:paraId="464340E9" w14:textId="36AEA3D7" w:rsidR="00234F50" w:rsidRPr="00772BC3" w:rsidRDefault="00234F50" w:rsidP="00A3583A">
            <w:pPr>
              <w:pStyle w:val="Tabletextleft"/>
              <w:cnfStyle w:val="000000010000" w:firstRow="0" w:lastRow="0" w:firstColumn="0" w:lastColumn="0" w:oddVBand="0" w:evenVBand="0" w:oddHBand="0" w:evenHBand="1" w:firstRowFirstColumn="0" w:firstRowLastColumn="0" w:lastRowFirstColumn="0" w:lastRowLastColumn="0"/>
            </w:pPr>
            <w:r w:rsidRPr="00772BC3">
              <w:t>Includes risk factors and determinants of health for individuals, as well as the physical, social and policy environment of communities.</w:t>
            </w:r>
          </w:p>
        </w:tc>
      </w:tr>
      <w:tr w:rsidR="00234F50" w:rsidRPr="00772BC3" w14:paraId="56AE8C2D" w14:textId="77777777" w:rsidTr="0B3BCA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14:paraId="06D99A2C" w14:textId="4598FE42" w:rsidR="00234F50" w:rsidRPr="00772BC3" w:rsidRDefault="00234F50" w:rsidP="00A3583A">
            <w:pPr>
              <w:pStyle w:val="Tabletextleft"/>
            </w:pPr>
            <w:r w:rsidRPr="00772BC3">
              <w:t>Burden attributable to risk factors</w:t>
            </w:r>
          </w:p>
          <w:p w14:paraId="1D730CD8" w14:textId="64FC3BCF" w:rsidR="00234F50" w:rsidRPr="00772BC3" w:rsidRDefault="00234F50" w:rsidP="00A3583A">
            <w:pPr>
              <w:pStyle w:val="Tabletextleft"/>
            </w:pPr>
            <w:r w:rsidRPr="00772BC3">
              <w:t>- leading risk factors contributing to disease burden</w:t>
            </w:r>
          </w:p>
        </w:tc>
        <w:tc>
          <w:tcPr>
            <w:tcW w:w="1843" w:type="dxa"/>
          </w:tcPr>
          <w:p w14:paraId="1C348E18" w14:textId="77777777" w:rsidR="00234F50" w:rsidRPr="00772BC3" w:rsidRDefault="00234F50" w:rsidP="00A3583A">
            <w:pPr>
              <w:pStyle w:val="Tabletextleft"/>
              <w:cnfStyle w:val="000000100000" w:firstRow="0" w:lastRow="0" w:firstColumn="0" w:lastColumn="0" w:oddVBand="0" w:evenVBand="0" w:oddHBand="1" w:evenHBand="0" w:firstRowFirstColumn="0" w:firstRowLastColumn="0" w:lastRowFirstColumn="0" w:lastRowLastColumn="0"/>
            </w:pPr>
            <w:r w:rsidRPr="00772BC3">
              <w:t>Prevention and early detection</w:t>
            </w:r>
          </w:p>
          <w:p w14:paraId="273BFB99" w14:textId="77777777" w:rsidR="002E6BBF" w:rsidRPr="00772BC3" w:rsidRDefault="002E6BBF" w:rsidP="00A3583A">
            <w:pPr>
              <w:pStyle w:val="Tabletextleft"/>
              <w:cnfStyle w:val="000000100000" w:firstRow="0" w:lastRow="0" w:firstColumn="0" w:lastColumn="0" w:oddVBand="0" w:evenVBand="0" w:oddHBand="1" w:evenHBand="0" w:firstRowFirstColumn="0" w:firstRowLastColumn="0" w:lastRowFirstColumn="0" w:lastRowLastColumn="0"/>
            </w:pPr>
            <w:r w:rsidRPr="00772BC3">
              <w:t>Health outcomes</w:t>
            </w:r>
          </w:p>
          <w:p w14:paraId="61C076DC" w14:textId="19CEA035" w:rsidR="002E6BBF" w:rsidRPr="00772BC3" w:rsidRDefault="002E6BBF" w:rsidP="00A3583A">
            <w:pPr>
              <w:pStyle w:val="Tabletextright0"/>
              <w:cnfStyle w:val="000000100000" w:firstRow="0" w:lastRow="0" w:firstColumn="0" w:lastColumn="0" w:oddVBand="0" w:evenVBand="0" w:oddHBand="1" w:evenHBand="0" w:firstRowFirstColumn="0" w:firstRowLastColumn="0" w:lastRowFirstColumn="0" w:lastRowLastColumn="0"/>
            </w:pPr>
          </w:p>
        </w:tc>
        <w:tc>
          <w:tcPr>
            <w:tcW w:w="3013" w:type="dxa"/>
          </w:tcPr>
          <w:p w14:paraId="2F9CBF33" w14:textId="755F2C86" w:rsidR="00234F50" w:rsidRPr="00772BC3" w:rsidRDefault="00234F50" w:rsidP="00A3583A">
            <w:pPr>
              <w:pStyle w:val="Tabletextleft"/>
              <w:cnfStyle w:val="000000100000" w:firstRow="0" w:lastRow="0" w:firstColumn="0" w:lastColumn="0" w:oddVBand="0" w:evenVBand="0" w:oddHBand="1" w:evenHBand="0" w:firstRowFirstColumn="0" w:firstRowLastColumn="0" w:lastRowFirstColumn="0" w:lastRowLastColumn="0"/>
            </w:pPr>
            <w:r w:rsidRPr="00772BC3">
              <w:t>Australian Burden of Disease Study</w:t>
            </w:r>
          </w:p>
        </w:tc>
        <w:tc>
          <w:tcPr>
            <w:tcW w:w="2872" w:type="dxa"/>
          </w:tcPr>
          <w:p w14:paraId="2B5FC2DF" w14:textId="1AC4CA01" w:rsidR="00234F50" w:rsidRPr="00772BC3" w:rsidRDefault="00234F50" w:rsidP="00A3583A">
            <w:pPr>
              <w:pStyle w:val="Tabletextleft"/>
              <w:cnfStyle w:val="000000100000" w:firstRow="0" w:lastRow="0" w:firstColumn="0" w:lastColumn="0" w:oddVBand="0" w:evenVBand="0" w:oddHBand="1" w:evenHBand="0" w:firstRowFirstColumn="0" w:firstRowLastColumn="0" w:lastRowFirstColumn="0" w:lastRowLastColumn="0"/>
            </w:pPr>
            <w:r w:rsidRPr="00772BC3">
              <w:t>Australian Burden of Disease Study (annual web report)</w:t>
            </w:r>
          </w:p>
        </w:tc>
        <w:tc>
          <w:tcPr>
            <w:tcW w:w="2872" w:type="dxa"/>
          </w:tcPr>
          <w:p w14:paraId="13C3B975" w14:textId="1C9BFB03" w:rsidR="00234F50" w:rsidRPr="00772BC3" w:rsidRDefault="00B00751" w:rsidP="00A3583A">
            <w:pPr>
              <w:pStyle w:val="Tabletextleft"/>
              <w:cnfStyle w:val="000000100000" w:firstRow="0" w:lastRow="0" w:firstColumn="0" w:lastColumn="0" w:oddVBand="0" w:evenVBand="0" w:oddHBand="1" w:evenHBand="0" w:firstRowFirstColumn="0" w:firstRowLastColumn="0" w:lastRowFirstColumn="0" w:lastRowLastColumn="0"/>
            </w:pPr>
            <w:r w:rsidRPr="00772BC3">
              <w:t>Burden attributable to risk factors identifies which modifiable behaviours and exposures contribute most to disease and disability.</w:t>
            </w:r>
          </w:p>
        </w:tc>
      </w:tr>
      <w:tr w:rsidR="00234F50" w:rsidRPr="00772BC3" w14:paraId="530C7F87" w14:textId="77777777" w:rsidTr="0B3BCAD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14:paraId="5D9D954F" w14:textId="493C5723" w:rsidR="00234F50" w:rsidRPr="00772BC3" w:rsidRDefault="00234F50" w:rsidP="00A3583A">
            <w:pPr>
              <w:pStyle w:val="Tabletextleft"/>
            </w:pPr>
            <w:r w:rsidRPr="00772BC3">
              <w:t xml:space="preserve">Participation in preventative health checks and screening </w:t>
            </w:r>
          </w:p>
          <w:p w14:paraId="21925A2F" w14:textId="6B49CCCF" w:rsidR="00234F50" w:rsidRPr="00772BC3" w:rsidRDefault="00234F50" w:rsidP="00A3583A">
            <w:pPr>
              <w:pStyle w:val="Tabletextleft"/>
            </w:pPr>
            <w:r w:rsidRPr="00772BC3">
              <w:t>- participation in screening programs</w:t>
            </w:r>
          </w:p>
          <w:p w14:paraId="7FE82A4F" w14:textId="069A847C" w:rsidR="00234F50" w:rsidRPr="00772BC3" w:rsidRDefault="00234F50" w:rsidP="00A3583A">
            <w:pPr>
              <w:pStyle w:val="Tabletextleft"/>
            </w:pPr>
            <w:r w:rsidRPr="00772BC3">
              <w:t>- MBS claims for preventative health checks</w:t>
            </w:r>
          </w:p>
        </w:tc>
        <w:tc>
          <w:tcPr>
            <w:tcW w:w="1843" w:type="dxa"/>
          </w:tcPr>
          <w:p w14:paraId="08AC24E5" w14:textId="227CCB9A" w:rsidR="00234F50" w:rsidRPr="00772BC3" w:rsidRDefault="00234F50" w:rsidP="00A3583A">
            <w:pPr>
              <w:pStyle w:val="Tabletextleft"/>
              <w:cnfStyle w:val="000000010000" w:firstRow="0" w:lastRow="0" w:firstColumn="0" w:lastColumn="0" w:oddVBand="0" w:evenVBand="0" w:oddHBand="0" w:evenHBand="1" w:firstRowFirstColumn="0" w:firstRowLastColumn="0" w:lastRowFirstColumn="0" w:lastRowLastColumn="0"/>
            </w:pPr>
            <w:r w:rsidRPr="00772BC3">
              <w:t>Prevention and early detection</w:t>
            </w:r>
          </w:p>
        </w:tc>
        <w:tc>
          <w:tcPr>
            <w:tcW w:w="3013" w:type="dxa"/>
          </w:tcPr>
          <w:p w14:paraId="106639C0" w14:textId="0B037FA1" w:rsidR="00234F50" w:rsidRPr="00A3583A" w:rsidRDefault="00234F50" w:rsidP="00A3583A">
            <w:pPr>
              <w:pStyle w:val="Hyperlinkstable"/>
              <w:cnfStyle w:val="000000010000" w:firstRow="0" w:lastRow="0" w:firstColumn="0" w:lastColumn="0" w:oddVBand="0" w:evenVBand="0" w:oddHBand="0" w:evenHBand="1" w:firstRowFirstColumn="0" w:firstRowLastColumn="0" w:lastRowFirstColumn="0" w:lastRowLastColumn="0"/>
              <w:rPr>
                <w:rStyle w:val="Hyperlink"/>
              </w:rPr>
            </w:pPr>
            <w:hyperlink r:id="rId130" w:history="1">
              <w:r w:rsidRPr="00A3583A">
                <w:rPr>
                  <w:rStyle w:val="Hyperlink"/>
                </w:rPr>
                <w:t>Medicare Benefits Schedule</w:t>
              </w:r>
            </w:hyperlink>
          </w:p>
          <w:p w14:paraId="01712D5E" w14:textId="74C248BF" w:rsidR="00234F50" w:rsidRPr="00772BC3" w:rsidRDefault="00234F50" w:rsidP="00A3583A">
            <w:pPr>
              <w:pStyle w:val="Tabletextleft"/>
              <w:cnfStyle w:val="000000010000" w:firstRow="0" w:lastRow="0" w:firstColumn="0" w:lastColumn="0" w:oddVBand="0" w:evenVBand="0" w:oddHBand="0" w:evenHBand="1" w:firstRowFirstColumn="0" w:firstRowLastColumn="0" w:lastRowFirstColumn="0" w:lastRowLastColumn="0"/>
            </w:pPr>
            <w:r w:rsidRPr="00772BC3">
              <w:t>National Perinatal Data Collection</w:t>
            </w:r>
          </w:p>
          <w:p w14:paraId="4F1012F9" w14:textId="6DE610CA" w:rsidR="00234F50" w:rsidRPr="00772BC3" w:rsidRDefault="00234F50" w:rsidP="00A3583A">
            <w:pPr>
              <w:pStyle w:val="Tabletextleft"/>
              <w:cnfStyle w:val="000000010000" w:firstRow="0" w:lastRow="0" w:firstColumn="0" w:lastColumn="0" w:oddVBand="0" w:evenVBand="0" w:oddHBand="0" w:evenHBand="1" w:firstRowFirstColumn="0" w:firstRowLastColumn="0" w:lastRowFirstColumn="0" w:lastRowLastColumn="0"/>
            </w:pPr>
            <w:r w:rsidRPr="00772BC3">
              <w:t>Condition-specific screening registers</w:t>
            </w:r>
          </w:p>
        </w:tc>
        <w:tc>
          <w:tcPr>
            <w:tcW w:w="2872" w:type="dxa"/>
          </w:tcPr>
          <w:p w14:paraId="087DC9B2" w14:textId="77777777" w:rsidR="00234F50" w:rsidRPr="00772BC3" w:rsidRDefault="00234F50" w:rsidP="00A3583A">
            <w:pPr>
              <w:pStyle w:val="Tabletextleft"/>
              <w:cnfStyle w:val="000000010000" w:firstRow="0" w:lastRow="0" w:firstColumn="0" w:lastColumn="0" w:oddVBand="0" w:evenVBand="0" w:oddHBand="0" w:evenHBand="1" w:firstRowFirstColumn="0" w:firstRowLastColumn="0" w:lastRowFirstColumn="0" w:lastRowLastColumn="0"/>
            </w:pPr>
            <w:r w:rsidRPr="00772BC3">
              <w:t>National preventive health monitoring dashboard</w:t>
            </w:r>
          </w:p>
          <w:p w14:paraId="68DBDABD" w14:textId="673572B0" w:rsidR="00234F50" w:rsidRPr="00772BC3" w:rsidRDefault="00234F50" w:rsidP="00A3583A">
            <w:pPr>
              <w:pStyle w:val="Tabletextleft"/>
              <w:cnfStyle w:val="000000010000" w:firstRow="0" w:lastRow="0" w:firstColumn="0" w:lastColumn="0" w:oddVBand="0" w:evenVBand="0" w:oddHBand="0" w:evenHBand="1" w:firstRowFirstColumn="0" w:firstRowLastColumn="0" w:lastRowFirstColumn="0" w:lastRowLastColumn="0"/>
            </w:pPr>
            <w:r w:rsidRPr="00772BC3">
              <w:t xml:space="preserve">Australia’s Health Performance Framework </w:t>
            </w:r>
          </w:p>
          <w:p w14:paraId="36B4B39F" w14:textId="5A0CF7D7" w:rsidR="00234F50" w:rsidRPr="00A3583A" w:rsidRDefault="00234F50" w:rsidP="00A3583A">
            <w:pPr>
              <w:pStyle w:val="Hyperlinkstable"/>
              <w:cnfStyle w:val="000000010000" w:firstRow="0" w:lastRow="0" w:firstColumn="0" w:lastColumn="0" w:oddVBand="0" w:evenVBand="0" w:oddHBand="0" w:evenHBand="1" w:firstRowFirstColumn="0" w:firstRowLastColumn="0" w:lastRowFirstColumn="0" w:lastRowLastColumn="0"/>
              <w:rPr>
                <w:rStyle w:val="Hyperlink"/>
              </w:rPr>
            </w:pPr>
            <w:hyperlink r:id="rId131" w:history="1">
              <w:r w:rsidRPr="00A3583A">
                <w:rPr>
                  <w:rStyle w:val="Hyperlink"/>
                </w:rPr>
                <w:t>Interactive report card: Australian women’s preventative health checks, screening and vaccinations</w:t>
              </w:r>
            </w:hyperlink>
          </w:p>
        </w:tc>
        <w:tc>
          <w:tcPr>
            <w:tcW w:w="2872" w:type="dxa"/>
          </w:tcPr>
          <w:p w14:paraId="4C60F092" w14:textId="3A9A93BE" w:rsidR="00234F50" w:rsidRPr="00772BC3" w:rsidRDefault="00234F50" w:rsidP="00A3583A">
            <w:pPr>
              <w:pStyle w:val="Tabletextleft"/>
              <w:cnfStyle w:val="000000010000" w:firstRow="0" w:lastRow="0" w:firstColumn="0" w:lastColumn="0" w:oddVBand="0" w:evenVBand="0" w:oddHBand="0" w:evenHBand="1" w:firstRowFirstColumn="0" w:firstRowLastColumn="0" w:lastRowFirstColumn="0" w:lastRowLastColumn="0"/>
            </w:pPr>
            <w:r w:rsidRPr="00772BC3">
              <w:t>(2.1</w:t>
            </w:r>
            <w:r w:rsidR="00C313C3" w:rsidRPr="00772BC3">
              <w:t>, 5.</w:t>
            </w:r>
            <w:r w:rsidR="00D51DCC" w:rsidRPr="00772BC3">
              <w:t>3</w:t>
            </w:r>
            <w:r w:rsidRPr="00772BC3">
              <w:t>)</w:t>
            </w:r>
          </w:p>
          <w:p w14:paraId="3DF9FA64" w14:textId="1859D4D6" w:rsidR="00234F50" w:rsidRPr="00A3583A" w:rsidRDefault="00234F50" w:rsidP="00A3583A">
            <w:pPr>
              <w:pStyle w:val="Tabletextleft"/>
              <w:cnfStyle w:val="000000010000" w:firstRow="0" w:lastRow="0" w:firstColumn="0" w:lastColumn="0" w:oddVBand="0" w:evenVBand="0" w:oddHBand="0" w:evenHBand="1" w:firstRowFirstColumn="0" w:firstRowLastColumn="0" w:lastRowFirstColumn="0" w:lastRowLastColumn="0"/>
            </w:pPr>
            <w:hyperlink r:id="rId132" w:history="1">
              <w:r w:rsidRPr="00A3583A">
                <w:rPr>
                  <w:rStyle w:val="HyperlinkstableChar"/>
                </w:rPr>
                <w:t>Population-based screening programs</w:t>
              </w:r>
            </w:hyperlink>
            <w:r w:rsidRPr="00A3583A">
              <w:t xml:space="preserve"> are described on the Department’s website.  </w:t>
            </w:r>
          </w:p>
          <w:p w14:paraId="4D5BBA72" w14:textId="1E8104F4" w:rsidR="00234F50" w:rsidRPr="00772BC3" w:rsidRDefault="00234F50" w:rsidP="00A3583A">
            <w:pPr>
              <w:pStyle w:val="Tabletextleft"/>
              <w:cnfStyle w:val="000000010000" w:firstRow="0" w:lastRow="0" w:firstColumn="0" w:lastColumn="0" w:oddVBand="0" w:evenVBand="0" w:oddHBand="0" w:evenHBand="1" w:firstRowFirstColumn="0" w:firstRowLastColumn="0" w:lastRowFirstColumn="0" w:lastRowLastColumn="0"/>
              <w:rPr>
                <w:sz w:val="16"/>
                <w:szCs w:val="16"/>
              </w:rPr>
            </w:pPr>
            <w:hyperlink r:id="rId133" w:history="1">
              <w:r w:rsidRPr="00A3583A">
                <w:rPr>
                  <w:rStyle w:val="HyperlinkstableChar"/>
                </w:rPr>
                <w:t>MBS health assessment items</w:t>
              </w:r>
            </w:hyperlink>
            <w:r w:rsidRPr="00A3583A">
              <w:t xml:space="preserve"> are described on the Services Australia website.</w:t>
            </w:r>
          </w:p>
        </w:tc>
      </w:tr>
      <w:tr w:rsidR="00234F50" w:rsidRPr="00772BC3" w14:paraId="24E0E578" w14:textId="77777777" w:rsidTr="0B3BCA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14:paraId="40134D16" w14:textId="410721BE" w:rsidR="00234F50" w:rsidRPr="00772BC3" w:rsidRDefault="00234F50" w:rsidP="00A3583A">
            <w:pPr>
              <w:pStyle w:val="Tabletextleft"/>
            </w:pPr>
            <w:r w:rsidRPr="00772BC3">
              <w:t xml:space="preserve">Immunisation and vaccination rates </w:t>
            </w:r>
          </w:p>
          <w:p w14:paraId="571E47D6" w14:textId="381A9978" w:rsidR="00234F50" w:rsidRPr="00772BC3" w:rsidRDefault="00234F50" w:rsidP="00A3583A">
            <w:pPr>
              <w:pStyle w:val="Tabletextleft"/>
            </w:pPr>
            <w:r w:rsidRPr="00772BC3">
              <w:t xml:space="preserve">- childhood immunisation coverage </w:t>
            </w:r>
          </w:p>
          <w:p w14:paraId="7019A911" w14:textId="3FB6B528" w:rsidR="00234F50" w:rsidRPr="00772BC3" w:rsidRDefault="00234F50" w:rsidP="00A3583A">
            <w:pPr>
              <w:pStyle w:val="Tabletextleft"/>
            </w:pPr>
            <w:r w:rsidRPr="00772BC3">
              <w:t>- adolescent immunisation coverage</w:t>
            </w:r>
          </w:p>
        </w:tc>
        <w:tc>
          <w:tcPr>
            <w:tcW w:w="1843" w:type="dxa"/>
          </w:tcPr>
          <w:p w14:paraId="2377D6DB" w14:textId="67C2CA75" w:rsidR="00234F50" w:rsidRPr="00772BC3" w:rsidRDefault="00234F50" w:rsidP="00A3583A">
            <w:pPr>
              <w:pStyle w:val="Tabletextleft"/>
              <w:cnfStyle w:val="000000100000" w:firstRow="0" w:lastRow="0" w:firstColumn="0" w:lastColumn="0" w:oddVBand="0" w:evenVBand="0" w:oddHBand="1" w:evenHBand="0" w:firstRowFirstColumn="0" w:firstRowLastColumn="0" w:lastRowFirstColumn="0" w:lastRowLastColumn="0"/>
            </w:pPr>
            <w:r w:rsidRPr="00772BC3">
              <w:t>Prevention and early detection</w:t>
            </w:r>
          </w:p>
        </w:tc>
        <w:tc>
          <w:tcPr>
            <w:tcW w:w="3013" w:type="dxa"/>
          </w:tcPr>
          <w:p w14:paraId="477A55C4" w14:textId="04768071" w:rsidR="00234F50" w:rsidRPr="00A3583A" w:rsidRDefault="00234F50" w:rsidP="00A3583A">
            <w:pPr>
              <w:pStyle w:val="Hyperlinkstable"/>
              <w:cnfStyle w:val="000000100000" w:firstRow="0" w:lastRow="0" w:firstColumn="0" w:lastColumn="0" w:oddVBand="0" w:evenVBand="0" w:oddHBand="1" w:evenHBand="0" w:firstRowFirstColumn="0" w:firstRowLastColumn="0" w:lastRowFirstColumn="0" w:lastRowLastColumn="0"/>
              <w:rPr>
                <w:rStyle w:val="Hyperlink"/>
              </w:rPr>
            </w:pPr>
            <w:hyperlink r:id="rId134" w:history="1">
              <w:r w:rsidRPr="00A3583A">
                <w:rPr>
                  <w:rStyle w:val="Hyperlink"/>
                </w:rPr>
                <w:t>Australian Immunisation Register</w:t>
              </w:r>
            </w:hyperlink>
          </w:p>
        </w:tc>
        <w:tc>
          <w:tcPr>
            <w:tcW w:w="2872" w:type="dxa"/>
          </w:tcPr>
          <w:p w14:paraId="3B39219C" w14:textId="0A7E8655" w:rsidR="00234F50" w:rsidRPr="00772BC3" w:rsidRDefault="00234F50" w:rsidP="00A3583A">
            <w:pPr>
              <w:pStyle w:val="Tabletextleft"/>
              <w:cnfStyle w:val="000000100000" w:firstRow="0" w:lastRow="0" w:firstColumn="0" w:lastColumn="0" w:oddVBand="0" w:evenVBand="0" w:oddHBand="1" w:evenHBand="0" w:firstRowFirstColumn="0" w:firstRowLastColumn="0" w:lastRowFirstColumn="0" w:lastRowLastColumn="0"/>
            </w:pPr>
            <w:r w:rsidRPr="00772BC3">
              <w:t>National preventive health monitoring dashboard</w:t>
            </w:r>
          </w:p>
        </w:tc>
        <w:tc>
          <w:tcPr>
            <w:tcW w:w="2872" w:type="dxa"/>
          </w:tcPr>
          <w:p w14:paraId="6BEF70DF" w14:textId="4E0B620C" w:rsidR="00234F50" w:rsidRPr="00772BC3" w:rsidRDefault="00234F50" w:rsidP="00A3583A">
            <w:pPr>
              <w:pStyle w:val="Tabletextleft"/>
              <w:cnfStyle w:val="000000100000" w:firstRow="0" w:lastRow="0" w:firstColumn="0" w:lastColumn="0" w:oddVBand="0" w:evenVBand="0" w:oddHBand="1" w:evenHBand="0" w:firstRowFirstColumn="0" w:firstRowLastColumn="0" w:lastRowFirstColumn="0" w:lastRowLastColumn="0"/>
            </w:pPr>
            <w:r w:rsidRPr="00772BC3">
              <w:t>(2.1</w:t>
            </w:r>
            <w:r w:rsidR="00D51DCC" w:rsidRPr="00772BC3">
              <w:t>, 5.3</w:t>
            </w:r>
            <w:r w:rsidRPr="00772BC3">
              <w:t>)</w:t>
            </w:r>
          </w:p>
          <w:p w14:paraId="19CB3C9C" w14:textId="53EA7075" w:rsidR="00234F50" w:rsidRPr="00772BC3" w:rsidRDefault="00234F50" w:rsidP="00A3583A">
            <w:pPr>
              <w:pStyle w:val="Tabletextleft"/>
              <w:cnfStyle w:val="000000100000" w:firstRow="0" w:lastRow="0" w:firstColumn="0" w:lastColumn="0" w:oddVBand="0" w:evenVBand="0" w:oddHBand="1" w:evenHBand="0" w:firstRowFirstColumn="0" w:firstRowLastColumn="0" w:lastRowFirstColumn="0" w:lastRowLastColumn="0"/>
              <w:rPr>
                <w:sz w:val="16"/>
                <w:szCs w:val="16"/>
              </w:rPr>
            </w:pPr>
            <w:r w:rsidRPr="00A3583A">
              <w:t xml:space="preserve">The </w:t>
            </w:r>
            <w:hyperlink r:id="rId135" w:history="1">
              <w:r w:rsidRPr="00A3583A">
                <w:rPr>
                  <w:rStyle w:val="HyperlinkstableChar"/>
                </w:rPr>
                <w:t>National Immunisation Program Schedule</w:t>
              </w:r>
            </w:hyperlink>
            <w:r w:rsidRPr="00A3583A">
              <w:t xml:space="preserve"> is described on the Department’s website.</w:t>
            </w:r>
          </w:p>
        </w:tc>
      </w:tr>
      <w:tr w:rsidR="00234F50" w:rsidRPr="00772BC3" w14:paraId="0FCE5500" w14:textId="77777777" w:rsidTr="0B3BCAD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14:paraId="52231989" w14:textId="77777777" w:rsidR="00234F50" w:rsidRPr="00772BC3" w:rsidRDefault="00234F50" w:rsidP="00A3583A">
            <w:pPr>
              <w:pStyle w:val="Tabletextleft"/>
            </w:pPr>
            <w:r w:rsidRPr="00772BC3">
              <w:t>Health literacy</w:t>
            </w:r>
          </w:p>
          <w:p w14:paraId="01DAC8B7" w14:textId="27978539" w:rsidR="00234F50" w:rsidRPr="00772BC3" w:rsidRDefault="00234F50" w:rsidP="00A3583A">
            <w:pPr>
              <w:pStyle w:val="Tabletextleft"/>
            </w:pPr>
            <w:r w:rsidRPr="00772BC3">
              <w:t>- ability to access, understand and use health information</w:t>
            </w:r>
          </w:p>
        </w:tc>
        <w:tc>
          <w:tcPr>
            <w:tcW w:w="1843" w:type="dxa"/>
          </w:tcPr>
          <w:p w14:paraId="7ADE971F" w14:textId="77777777" w:rsidR="00234F50" w:rsidRPr="00772BC3" w:rsidRDefault="00234F50" w:rsidP="00A3583A">
            <w:pPr>
              <w:pStyle w:val="Tabletextleft"/>
              <w:cnfStyle w:val="000000010000" w:firstRow="0" w:lastRow="0" w:firstColumn="0" w:lastColumn="0" w:oddVBand="0" w:evenVBand="0" w:oddHBand="0" w:evenHBand="1" w:firstRowFirstColumn="0" w:firstRowLastColumn="0" w:lastRowFirstColumn="0" w:lastRowLastColumn="0"/>
            </w:pPr>
            <w:r w:rsidRPr="00772BC3">
              <w:t>Prevention and early detection</w:t>
            </w:r>
          </w:p>
          <w:p w14:paraId="4152B407" w14:textId="4858820A" w:rsidR="00234F50" w:rsidRPr="00772BC3" w:rsidRDefault="00234F50" w:rsidP="00A3583A">
            <w:pPr>
              <w:pStyle w:val="Tabletextleft"/>
              <w:cnfStyle w:val="000000010000" w:firstRow="0" w:lastRow="0" w:firstColumn="0" w:lastColumn="0" w:oddVBand="0" w:evenVBand="0" w:oddHBand="0" w:evenHBand="1" w:firstRowFirstColumn="0" w:firstRowLastColumn="0" w:lastRowFirstColumn="0" w:lastRowLastColumn="0"/>
            </w:pPr>
            <w:r w:rsidRPr="00772BC3">
              <w:t>Treatment and management</w:t>
            </w:r>
          </w:p>
        </w:tc>
        <w:tc>
          <w:tcPr>
            <w:tcW w:w="3013" w:type="dxa"/>
          </w:tcPr>
          <w:p w14:paraId="06818431" w14:textId="77777777" w:rsidR="00234F50" w:rsidRPr="00A3583A" w:rsidRDefault="00234F50" w:rsidP="00A3583A">
            <w:pPr>
              <w:pStyle w:val="Hyperlinkstable"/>
              <w:cnfStyle w:val="000000010000" w:firstRow="0" w:lastRow="0" w:firstColumn="0" w:lastColumn="0" w:oddVBand="0" w:evenVBand="0" w:oddHBand="0" w:evenHBand="1" w:firstRowFirstColumn="0" w:firstRowLastColumn="0" w:lastRowFirstColumn="0" w:lastRowLastColumn="0"/>
              <w:rPr>
                <w:rStyle w:val="Hyperlink"/>
              </w:rPr>
            </w:pPr>
            <w:hyperlink r:id="rId136" w:history="1">
              <w:r w:rsidRPr="00A3583A">
                <w:rPr>
                  <w:rStyle w:val="Hyperlink"/>
                </w:rPr>
                <w:t>Patient Experience Survey</w:t>
              </w:r>
            </w:hyperlink>
          </w:p>
          <w:p w14:paraId="31B8F503" w14:textId="77777777" w:rsidR="00234F50" w:rsidRPr="00A3583A" w:rsidRDefault="00234F50" w:rsidP="00A3583A">
            <w:pPr>
              <w:pStyle w:val="Hyperlinkstable"/>
              <w:cnfStyle w:val="000000010000" w:firstRow="0" w:lastRow="0" w:firstColumn="0" w:lastColumn="0" w:oddVBand="0" w:evenVBand="0" w:oddHBand="0" w:evenHBand="1" w:firstRowFirstColumn="0" w:firstRowLastColumn="0" w:lastRowFirstColumn="0" w:lastRowLastColumn="0"/>
              <w:rPr>
                <w:rStyle w:val="Hyperlink"/>
              </w:rPr>
            </w:pPr>
            <w:hyperlink r:id="rId137" w:history="1">
              <w:r w:rsidRPr="00A3583A">
                <w:rPr>
                  <w:rStyle w:val="Hyperlink"/>
                </w:rPr>
                <w:t>Health Literacy Survey</w:t>
              </w:r>
            </w:hyperlink>
          </w:p>
          <w:p w14:paraId="1CD13615" w14:textId="1F9C4A2F" w:rsidR="00234F50" w:rsidRPr="00A3583A" w:rsidRDefault="00234F50" w:rsidP="00A3583A">
            <w:pPr>
              <w:pStyle w:val="Hyperlinkstable"/>
              <w:cnfStyle w:val="000000010000" w:firstRow="0" w:lastRow="0" w:firstColumn="0" w:lastColumn="0" w:oddVBand="0" w:evenVBand="0" w:oddHBand="0" w:evenHBand="1" w:firstRowFirstColumn="0" w:firstRowLastColumn="0" w:lastRowFirstColumn="0" w:lastRowLastColumn="0"/>
              <w:rPr>
                <w:rStyle w:val="Hyperlink"/>
              </w:rPr>
            </w:pPr>
            <w:hyperlink r:id="rId138" w:history="1">
              <w:r w:rsidRPr="00A3583A">
                <w:rPr>
                  <w:rStyle w:val="Hyperlink"/>
                </w:rPr>
                <w:t>General Social Survey</w:t>
              </w:r>
            </w:hyperlink>
          </w:p>
        </w:tc>
        <w:tc>
          <w:tcPr>
            <w:tcW w:w="2872" w:type="dxa"/>
          </w:tcPr>
          <w:p w14:paraId="21147D53" w14:textId="77777777" w:rsidR="00234F50" w:rsidRPr="00772BC3" w:rsidRDefault="00234F50" w:rsidP="00A3583A">
            <w:pPr>
              <w:pStyle w:val="Tabletextright0"/>
              <w:cnfStyle w:val="000000010000" w:firstRow="0" w:lastRow="0" w:firstColumn="0" w:lastColumn="0" w:oddVBand="0" w:evenVBand="0" w:oddHBand="0" w:evenHBand="1" w:firstRowFirstColumn="0" w:firstRowLastColumn="0" w:lastRowFirstColumn="0" w:lastRowLastColumn="0"/>
            </w:pPr>
          </w:p>
        </w:tc>
        <w:tc>
          <w:tcPr>
            <w:tcW w:w="2872" w:type="dxa"/>
          </w:tcPr>
          <w:p w14:paraId="34FEB09C" w14:textId="77777777" w:rsidR="00234F50" w:rsidRPr="00772BC3" w:rsidRDefault="00234F50" w:rsidP="00A3583A">
            <w:pPr>
              <w:pStyle w:val="Tabletextleft"/>
              <w:cnfStyle w:val="000000010000" w:firstRow="0" w:lastRow="0" w:firstColumn="0" w:lastColumn="0" w:oddVBand="0" w:evenVBand="0" w:oddHBand="0" w:evenHBand="1" w:firstRowFirstColumn="0" w:firstRowLastColumn="0" w:lastRowFirstColumn="0" w:lastRowLastColumn="0"/>
            </w:pPr>
            <w:r w:rsidRPr="00772BC3">
              <w:t>(1.2</w:t>
            </w:r>
            <w:r w:rsidR="00D51DCC" w:rsidRPr="00772BC3">
              <w:t>, 5.2</w:t>
            </w:r>
            <w:r w:rsidRPr="00772BC3">
              <w:t>)</w:t>
            </w:r>
          </w:p>
          <w:p w14:paraId="2A18ADC0" w14:textId="2C384F2C" w:rsidR="00102FE2" w:rsidRPr="00772BC3" w:rsidRDefault="00102FE2" w:rsidP="00A3583A">
            <w:pPr>
              <w:pStyle w:val="Tabletextleft"/>
              <w:cnfStyle w:val="000000010000" w:firstRow="0" w:lastRow="0" w:firstColumn="0" w:lastColumn="0" w:oddVBand="0" w:evenVBand="0" w:oddHBand="0" w:evenHBand="1" w:firstRowFirstColumn="0" w:firstRowLastColumn="0" w:lastRowFirstColumn="0" w:lastRowLastColumn="0"/>
            </w:pPr>
            <w:r w:rsidRPr="00772BC3">
              <w:t>Health literacy affects a person's ability to understand, manage, and make informed decisions about their health. Higher health literacy supports better self-management, treatment adherence, and navigation of the healthcare system.</w:t>
            </w:r>
          </w:p>
        </w:tc>
      </w:tr>
      <w:tr w:rsidR="00234F50" w:rsidRPr="00772BC3" w14:paraId="5D8A1BC1" w14:textId="77777777" w:rsidTr="0B3BCA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14:paraId="73B614A4" w14:textId="5C2045F7" w:rsidR="00234F50" w:rsidRPr="00772BC3" w:rsidRDefault="00234F50" w:rsidP="00A3583A">
            <w:pPr>
              <w:pStyle w:val="Tabletextleft"/>
            </w:pPr>
            <w:r w:rsidRPr="00772BC3">
              <w:t xml:space="preserve">Accessibility of </w:t>
            </w:r>
            <w:r w:rsidR="1C1AEFF8" w:rsidRPr="77359645">
              <w:t>healthcare</w:t>
            </w:r>
            <w:r w:rsidRPr="00772BC3">
              <w:t xml:space="preserve"> services </w:t>
            </w:r>
          </w:p>
          <w:p w14:paraId="3BA27BD5" w14:textId="43FFF5C3" w:rsidR="00234F50" w:rsidRPr="00772BC3" w:rsidRDefault="00234F50" w:rsidP="00A3583A">
            <w:pPr>
              <w:pStyle w:val="Tabletextleft"/>
            </w:pPr>
            <w:r w:rsidRPr="00772BC3">
              <w:t xml:space="preserve">- unmet needs </w:t>
            </w:r>
          </w:p>
          <w:p w14:paraId="0F3302FB" w14:textId="77777777" w:rsidR="00234F50" w:rsidRPr="00772BC3" w:rsidRDefault="00234F50" w:rsidP="00A3583A">
            <w:pPr>
              <w:pStyle w:val="Tabletextleft"/>
            </w:pPr>
            <w:r w:rsidRPr="00772BC3">
              <w:t>- waiting times (e.g. emergency department care, elective surgery)</w:t>
            </w:r>
          </w:p>
          <w:p w14:paraId="7963EDA0" w14:textId="77777777" w:rsidR="00234F50" w:rsidRPr="00772BC3" w:rsidRDefault="00234F50" w:rsidP="00A3583A">
            <w:pPr>
              <w:pStyle w:val="Tabletextleft"/>
            </w:pPr>
            <w:r w:rsidRPr="00772BC3">
              <w:t>- leave events (left/discharged at own risk of did not wait)</w:t>
            </w:r>
          </w:p>
          <w:p w14:paraId="58160E89" w14:textId="541D985A" w:rsidR="00234F50" w:rsidRPr="00772BC3" w:rsidRDefault="00234F50" w:rsidP="00A3583A">
            <w:pPr>
              <w:pStyle w:val="Tabletextleft"/>
            </w:pPr>
            <w:r w:rsidRPr="00772BC3">
              <w:t>- cost</w:t>
            </w:r>
          </w:p>
        </w:tc>
        <w:tc>
          <w:tcPr>
            <w:tcW w:w="1843" w:type="dxa"/>
          </w:tcPr>
          <w:p w14:paraId="61388E16" w14:textId="6C70D315" w:rsidR="00234F50" w:rsidRPr="00772BC3" w:rsidRDefault="00234F50" w:rsidP="00A3583A">
            <w:pPr>
              <w:pStyle w:val="Tabletextleft"/>
              <w:cnfStyle w:val="000000100000" w:firstRow="0" w:lastRow="0" w:firstColumn="0" w:lastColumn="0" w:oddVBand="0" w:evenVBand="0" w:oddHBand="1" w:evenHBand="0" w:firstRowFirstColumn="0" w:firstRowLastColumn="0" w:lastRowFirstColumn="0" w:lastRowLastColumn="0"/>
            </w:pPr>
            <w:r w:rsidRPr="00772BC3">
              <w:t>Treatment and management</w:t>
            </w:r>
          </w:p>
        </w:tc>
        <w:tc>
          <w:tcPr>
            <w:tcW w:w="3013" w:type="dxa"/>
          </w:tcPr>
          <w:p w14:paraId="3997AF65" w14:textId="1FD8EC05" w:rsidR="00234F50" w:rsidRPr="00772BC3" w:rsidRDefault="00234F50" w:rsidP="00A3583A">
            <w:pPr>
              <w:pStyle w:val="Tabletextleft"/>
              <w:cnfStyle w:val="000000100000" w:firstRow="0" w:lastRow="0" w:firstColumn="0" w:lastColumn="0" w:oddVBand="0" w:evenVBand="0" w:oddHBand="1" w:evenHBand="0" w:firstRowFirstColumn="0" w:firstRowLastColumn="0" w:lastRowFirstColumn="0" w:lastRowLastColumn="0"/>
            </w:pPr>
            <w:r w:rsidRPr="00772BC3">
              <w:t xml:space="preserve">National Non-Admitted Patient Emergency Department Care Database </w:t>
            </w:r>
          </w:p>
          <w:p w14:paraId="5D50507F" w14:textId="25C2F145" w:rsidR="00234F50" w:rsidRPr="00772BC3" w:rsidRDefault="00234F50" w:rsidP="00A3583A">
            <w:pPr>
              <w:pStyle w:val="Tabletextleft"/>
              <w:cnfStyle w:val="000000100000" w:firstRow="0" w:lastRow="0" w:firstColumn="0" w:lastColumn="0" w:oddVBand="0" w:evenVBand="0" w:oddHBand="1" w:evenHBand="0" w:firstRowFirstColumn="0" w:firstRowLastColumn="0" w:lastRowFirstColumn="0" w:lastRowLastColumn="0"/>
            </w:pPr>
            <w:r w:rsidRPr="00772BC3">
              <w:t xml:space="preserve">National Elective Surgery Waiting Times Data Collection </w:t>
            </w:r>
          </w:p>
          <w:p w14:paraId="7158A04C" w14:textId="77777777" w:rsidR="00234F50" w:rsidRPr="00772BC3" w:rsidRDefault="00234F50" w:rsidP="00A3583A">
            <w:pPr>
              <w:pStyle w:val="Tabletextleft"/>
              <w:cnfStyle w:val="000000100000" w:firstRow="0" w:lastRow="0" w:firstColumn="0" w:lastColumn="0" w:oddVBand="0" w:evenVBand="0" w:oddHBand="1" w:evenHBand="0" w:firstRowFirstColumn="0" w:firstRowLastColumn="0" w:lastRowFirstColumn="0" w:lastRowLastColumn="0"/>
            </w:pPr>
            <w:r w:rsidRPr="00772BC3">
              <w:t>National Hospital Morbidity Database</w:t>
            </w:r>
          </w:p>
          <w:p w14:paraId="51AFC68C" w14:textId="5A08C701" w:rsidR="00234F50" w:rsidRPr="00772BC3" w:rsidRDefault="00234F50" w:rsidP="00A3583A">
            <w:pPr>
              <w:pStyle w:val="Tabletextleft"/>
              <w:cnfStyle w:val="000000100000" w:firstRow="0" w:lastRow="0" w:firstColumn="0" w:lastColumn="0" w:oddVBand="0" w:evenVBand="0" w:oddHBand="1" w:evenHBand="0" w:firstRowFirstColumn="0" w:firstRowLastColumn="0" w:lastRowFirstColumn="0" w:lastRowLastColumn="0"/>
            </w:pPr>
            <w:r w:rsidRPr="00772BC3">
              <w:t>Patient Experience Survey</w:t>
            </w:r>
          </w:p>
        </w:tc>
        <w:tc>
          <w:tcPr>
            <w:tcW w:w="2872" w:type="dxa"/>
          </w:tcPr>
          <w:p w14:paraId="3DC873D9" w14:textId="45F7BAA0" w:rsidR="00234F50" w:rsidRPr="00772BC3" w:rsidRDefault="2A1AACB3" w:rsidP="00A3583A">
            <w:pPr>
              <w:pStyle w:val="Tabletextleft"/>
              <w:cnfStyle w:val="000000100000" w:firstRow="0" w:lastRow="0" w:firstColumn="0" w:lastColumn="0" w:oddVBand="0" w:evenVBand="0" w:oddHBand="1" w:evenHBand="0" w:firstRowFirstColumn="0" w:firstRowLastColumn="0" w:lastRowFirstColumn="0" w:lastRowLastColumn="0"/>
            </w:pPr>
            <w:r w:rsidRPr="127B3B86">
              <w:t xml:space="preserve">Australia’s health performance </w:t>
            </w:r>
            <w:r w:rsidR="74D4D612" w:rsidRPr="127B3B86">
              <w:t>Fr</w:t>
            </w:r>
            <w:r w:rsidRPr="127B3B86">
              <w:t>amework</w:t>
            </w:r>
          </w:p>
          <w:p w14:paraId="5F60B98E" w14:textId="4E111B08" w:rsidR="00234F50" w:rsidRPr="00772BC3" w:rsidRDefault="00234F50" w:rsidP="00A3583A">
            <w:pPr>
              <w:pStyle w:val="Tabletextleft"/>
              <w:cnfStyle w:val="000000100000" w:firstRow="0" w:lastRow="0" w:firstColumn="0" w:lastColumn="0" w:oddVBand="0" w:evenVBand="0" w:oddHBand="1" w:evenHBand="0" w:firstRowFirstColumn="0" w:firstRowLastColumn="0" w:lastRowFirstColumn="0" w:lastRowLastColumn="0"/>
            </w:pPr>
            <w:r w:rsidRPr="00772BC3">
              <w:t>Report on Government Services, Section 12 (annual report)</w:t>
            </w:r>
          </w:p>
        </w:tc>
        <w:tc>
          <w:tcPr>
            <w:tcW w:w="2872" w:type="dxa"/>
          </w:tcPr>
          <w:p w14:paraId="0226BC67" w14:textId="77777777" w:rsidR="00234F50" w:rsidRPr="00772BC3" w:rsidRDefault="001D566A" w:rsidP="00A3583A">
            <w:pPr>
              <w:pStyle w:val="Tabletextleft"/>
              <w:cnfStyle w:val="000000100000" w:firstRow="0" w:lastRow="0" w:firstColumn="0" w:lastColumn="0" w:oddVBand="0" w:evenVBand="0" w:oddHBand="1" w:evenHBand="0" w:firstRowFirstColumn="0" w:firstRowLastColumn="0" w:lastRowFirstColumn="0" w:lastRowLastColumn="0"/>
            </w:pPr>
            <w:r w:rsidRPr="00772BC3">
              <w:t>(5.</w:t>
            </w:r>
            <w:r w:rsidR="006B69C6" w:rsidRPr="00772BC3">
              <w:t>3</w:t>
            </w:r>
            <w:r w:rsidRPr="00772BC3">
              <w:t>)</w:t>
            </w:r>
          </w:p>
          <w:p w14:paraId="1CBB6E7B" w14:textId="7B735C07" w:rsidR="007636CA" w:rsidRPr="00772BC3" w:rsidRDefault="007636CA" w:rsidP="00A3583A">
            <w:pPr>
              <w:pStyle w:val="Tabletextleft"/>
              <w:cnfStyle w:val="000000100000" w:firstRow="0" w:lastRow="0" w:firstColumn="0" w:lastColumn="0" w:oddVBand="0" w:evenVBand="0" w:oddHBand="1" w:evenHBand="0" w:firstRowFirstColumn="0" w:firstRowLastColumn="0" w:lastRowFirstColumn="0" w:lastRowLastColumn="0"/>
            </w:pPr>
            <w:r w:rsidRPr="00772BC3">
              <w:t>Timely access to care is essential for effective management of chronic conditions and prevention of complications. Barriers like cost, wait times, and geographic location can impact health outcomes.</w:t>
            </w:r>
          </w:p>
        </w:tc>
      </w:tr>
      <w:tr w:rsidR="00234F50" w:rsidRPr="00772BC3" w14:paraId="1CB216D3" w14:textId="77777777" w:rsidTr="0B3BCAD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14:paraId="64551524" w14:textId="24F772A2" w:rsidR="00234F50" w:rsidRPr="00772BC3" w:rsidRDefault="008D5A81" w:rsidP="00A3583A">
            <w:pPr>
              <w:pStyle w:val="Tabletextleft"/>
            </w:pPr>
            <w:r w:rsidRPr="00772BC3">
              <w:t>Use</w:t>
            </w:r>
            <w:r w:rsidR="00234F50" w:rsidRPr="00772BC3">
              <w:t xml:space="preserve"> of </w:t>
            </w:r>
            <w:r w:rsidR="1C1AEFF8" w:rsidRPr="77359645">
              <w:t>healthcare</w:t>
            </w:r>
            <w:r w:rsidR="00234F50" w:rsidRPr="00772BC3">
              <w:t xml:space="preserve"> services for managing chronic conditions</w:t>
            </w:r>
          </w:p>
          <w:p w14:paraId="648D69D0" w14:textId="682186AB" w:rsidR="00234F50" w:rsidRPr="00772BC3" w:rsidRDefault="00234F50" w:rsidP="00A3583A">
            <w:pPr>
              <w:pStyle w:val="Tabletextleft"/>
            </w:pPr>
            <w:r w:rsidRPr="00772BC3">
              <w:t>- MBS claims for chronic condition management services</w:t>
            </w:r>
          </w:p>
          <w:p w14:paraId="42BA0C66" w14:textId="1505650D" w:rsidR="00234F50" w:rsidRPr="00772BC3" w:rsidRDefault="00234F50" w:rsidP="00A3583A">
            <w:pPr>
              <w:pStyle w:val="Tabletextleft"/>
            </w:pPr>
            <w:r w:rsidRPr="00772BC3">
              <w:t>- GP attendance rate</w:t>
            </w:r>
          </w:p>
        </w:tc>
        <w:tc>
          <w:tcPr>
            <w:tcW w:w="1843" w:type="dxa"/>
          </w:tcPr>
          <w:p w14:paraId="767A79DF" w14:textId="1A4A8ED0" w:rsidR="00234F50" w:rsidRPr="00772BC3" w:rsidRDefault="00234F50" w:rsidP="00A3583A">
            <w:pPr>
              <w:pStyle w:val="Tabletextleft"/>
              <w:cnfStyle w:val="000000010000" w:firstRow="0" w:lastRow="0" w:firstColumn="0" w:lastColumn="0" w:oddVBand="0" w:evenVBand="0" w:oddHBand="0" w:evenHBand="1" w:firstRowFirstColumn="0" w:firstRowLastColumn="0" w:lastRowFirstColumn="0" w:lastRowLastColumn="0"/>
            </w:pPr>
            <w:r w:rsidRPr="00772BC3">
              <w:t>Treatment and management</w:t>
            </w:r>
          </w:p>
        </w:tc>
        <w:tc>
          <w:tcPr>
            <w:tcW w:w="3013" w:type="dxa"/>
          </w:tcPr>
          <w:p w14:paraId="53A25187" w14:textId="4BBF5B19" w:rsidR="00234F50" w:rsidRPr="00772BC3" w:rsidRDefault="00234F50" w:rsidP="00A3583A">
            <w:pPr>
              <w:pStyle w:val="Tabletextleft"/>
              <w:cnfStyle w:val="000000010000" w:firstRow="0" w:lastRow="0" w:firstColumn="0" w:lastColumn="0" w:oddVBand="0" w:evenVBand="0" w:oddHBand="0" w:evenHBand="1" w:firstRowFirstColumn="0" w:firstRowLastColumn="0" w:lastRowFirstColumn="0" w:lastRowLastColumn="0"/>
            </w:pPr>
            <w:r w:rsidRPr="00772BC3">
              <w:t>Medicare Benefits Schedule</w:t>
            </w:r>
          </w:p>
        </w:tc>
        <w:tc>
          <w:tcPr>
            <w:tcW w:w="2872" w:type="dxa"/>
          </w:tcPr>
          <w:p w14:paraId="151E8914" w14:textId="77777777" w:rsidR="00234F50" w:rsidRPr="00772BC3" w:rsidRDefault="00234F50" w:rsidP="00A3583A">
            <w:pPr>
              <w:pStyle w:val="Tabletextright0"/>
              <w:cnfStyle w:val="000000010000" w:firstRow="0" w:lastRow="0" w:firstColumn="0" w:lastColumn="0" w:oddVBand="0" w:evenVBand="0" w:oddHBand="0" w:evenHBand="1" w:firstRowFirstColumn="0" w:firstRowLastColumn="0" w:lastRowFirstColumn="0" w:lastRowLastColumn="0"/>
            </w:pPr>
          </w:p>
        </w:tc>
        <w:tc>
          <w:tcPr>
            <w:tcW w:w="2872" w:type="dxa"/>
          </w:tcPr>
          <w:p w14:paraId="23CEECA5" w14:textId="0D3BA1DB" w:rsidR="001D566A" w:rsidRPr="00772BC3" w:rsidRDefault="001D566A" w:rsidP="00A3583A">
            <w:pPr>
              <w:pStyle w:val="Tabletextleft"/>
              <w:cnfStyle w:val="000000010000" w:firstRow="0" w:lastRow="0" w:firstColumn="0" w:lastColumn="0" w:oddVBand="0" w:evenVBand="0" w:oddHBand="0" w:evenHBand="1" w:firstRowFirstColumn="0" w:firstRowLastColumn="0" w:lastRowFirstColumn="0" w:lastRowLastColumn="0"/>
            </w:pPr>
            <w:r w:rsidRPr="00772BC3">
              <w:t>(5.</w:t>
            </w:r>
            <w:r w:rsidR="006B69C6" w:rsidRPr="00772BC3">
              <w:t>3</w:t>
            </w:r>
            <w:r w:rsidRPr="00772BC3">
              <w:t>)</w:t>
            </w:r>
          </w:p>
          <w:p w14:paraId="4F7D805C" w14:textId="646F7B02" w:rsidR="00234F50" w:rsidRPr="00772BC3" w:rsidRDefault="00234F50" w:rsidP="00A3583A">
            <w:pPr>
              <w:pStyle w:val="Tabletextleft"/>
              <w:cnfStyle w:val="000000010000" w:firstRow="0" w:lastRow="0" w:firstColumn="0" w:lastColumn="0" w:oddVBand="0" w:evenVBand="0" w:oddHBand="0" w:evenHBand="1" w:firstRowFirstColumn="0" w:firstRowLastColumn="0" w:lastRowFirstColumn="0" w:lastRowLastColumn="0"/>
            </w:pPr>
            <w:r w:rsidRPr="00772BC3">
              <w:t>Uptake of chronic condition management plans, GP enhanced primary care services and allied health services to support management of chronic conditions.</w:t>
            </w:r>
          </w:p>
        </w:tc>
      </w:tr>
      <w:tr w:rsidR="00234F50" w:rsidRPr="00772BC3" w14:paraId="15896B7B" w14:textId="77777777" w:rsidTr="0B3BCA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14:paraId="26078671" w14:textId="4B1B5285" w:rsidR="00234F50" w:rsidRPr="00772BC3" w:rsidRDefault="00234F50" w:rsidP="00A3583A">
            <w:pPr>
              <w:pStyle w:val="Tabletextleft"/>
            </w:pPr>
            <w:r w:rsidRPr="00772BC3">
              <w:t>Patient experiences of health</w:t>
            </w:r>
            <w:r w:rsidR="006F35AF" w:rsidRPr="00772BC3">
              <w:t xml:space="preserve"> </w:t>
            </w:r>
            <w:r w:rsidRPr="00772BC3">
              <w:t>care</w:t>
            </w:r>
          </w:p>
          <w:p w14:paraId="40428BA5" w14:textId="310F7DD1" w:rsidR="00234F50" w:rsidRPr="00772BC3" w:rsidRDefault="00234F50" w:rsidP="00A3583A">
            <w:pPr>
              <w:pStyle w:val="Tabletextleft"/>
            </w:pPr>
            <w:r w:rsidRPr="00772BC3">
              <w:t xml:space="preserve">- patient involved in decisions about care and treatment </w:t>
            </w:r>
          </w:p>
          <w:p w14:paraId="4A4C9B60" w14:textId="77777777" w:rsidR="00234F50" w:rsidRPr="00772BC3" w:rsidRDefault="00234F50" w:rsidP="00A3583A">
            <w:pPr>
              <w:pStyle w:val="Tabletextleft"/>
            </w:pPr>
            <w:r w:rsidRPr="00772BC3">
              <w:t>- easy-to-understand explanations</w:t>
            </w:r>
          </w:p>
          <w:p w14:paraId="56983389" w14:textId="1A921AE2" w:rsidR="00234F50" w:rsidRPr="00772BC3" w:rsidRDefault="00234F50" w:rsidP="00A3583A">
            <w:pPr>
              <w:pStyle w:val="Tabletextleft"/>
            </w:pPr>
            <w:r w:rsidRPr="00772BC3">
              <w:t>- patient perceptions of coordination and integration</w:t>
            </w:r>
          </w:p>
        </w:tc>
        <w:tc>
          <w:tcPr>
            <w:tcW w:w="1843" w:type="dxa"/>
          </w:tcPr>
          <w:p w14:paraId="27FDE1CB" w14:textId="1985F5AE" w:rsidR="00234F50" w:rsidRPr="00772BC3" w:rsidRDefault="00234F50" w:rsidP="00A3583A">
            <w:pPr>
              <w:pStyle w:val="Tabletextleft"/>
              <w:cnfStyle w:val="000000100000" w:firstRow="0" w:lastRow="0" w:firstColumn="0" w:lastColumn="0" w:oddVBand="0" w:evenVBand="0" w:oddHBand="1" w:evenHBand="0" w:firstRowFirstColumn="0" w:firstRowLastColumn="0" w:lastRowFirstColumn="0" w:lastRowLastColumn="0"/>
            </w:pPr>
            <w:r w:rsidRPr="00772BC3">
              <w:t>Treatment and management</w:t>
            </w:r>
          </w:p>
        </w:tc>
        <w:tc>
          <w:tcPr>
            <w:tcW w:w="3013" w:type="dxa"/>
          </w:tcPr>
          <w:p w14:paraId="0AC6F235" w14:textId="48C9BBDA" w:rsidR="00234F50" w:rsidRPr="00772BC3" w:rsidRDefault="00234F50" w:rsidP="00A3583A">
            <w:pPr>
              <w:pStyle w:val="Tabletextleft"/>
              <w:cnfStyle w:val="000000100000" w:firstRow="0" w:lastRow="0" w:firstColumn="0" w:lastColumn="0" w:oddVBand="0" w:evenVBand="0" w:oddHBand="1" w:evenHBand="0" w:firstRowFirstColumn="0" w:firstRowLastColumn="0" w:lastRowFirstColumn="0" w:lastRowLastColumn="0"/>
            </w:pPr>
            <w:r w:rsidRPr="00772BC3">
              <w:t xml:space="preserve">Patient Experience Survey </w:t>
            </w:r>
          </w:p>
          <w:p w14:paraId="51CBE61D" w14:textId="0D468D29" w:rsidR="00234F50" w:rsidRPr="00772BC3" w:rsidRDefault="00234F50" w:rsidP="00A3583A">
            <w:pPr>
              <w:pStyle w:val="Tabletextleft"/>
              <w:cnfStyle w:val="000000100000" w:firstRow="0" w:lastRow="0" w:firstColumn="0" w:lastColumn="0" w:oddVBand="0" w:evenVBand="0" w:oddHBand="1" w:evenHBand="0" w:firstRowFirstColumn="0" w:firstRowLastColumn="0" w:lastRowFirstColumn="0" w:lastRowLastColumn="0"/>
            </w:pPr>
            <w:r w:rsidRPr="00772BC3">
              <w:t>National Aboriginal and Torres Strait Islander Health Survey</w:t>
            </w:r>
          </w:p>
        </w:tc>
        <w:tc>
          <w:tcPr>
            <w:tcW w:w="2872" w:type="dxa"/>
          </w:tcPr>
          <w:p w14:paraId="1647B750" w14:textId="213A4C0C" w:rsidR="00234F50" w:rsidRPr="00772BC3" w:rsidRDefault="00234F50" w:rsidP="00A3583A">
            <w:pPr>
              <w:pStyle w:val="Tabletextleft"/>
              <w:cnfStyle w:val="000000100000" w:firstRow="0" w:lastRow="0" w:firstColumn="0" w:lastColumn="0" w:oddVBand="0" w:evenVBand="0" w:oddHBand="1" w:evenHBand="0" w:firstRowFirstColumn="0" w:firstRowLastColumn="0" w:lastRowFirstColumn="0" w:lastRowLastColumn="0"/>
            </w:pPr>
            <w:r w:rsidRPr="00772BC3">
              <w:t>Measuring What Matters</w:t>
            </w:r>
          </w:p>
        </w:tc>
        <w:tc>
          <w:tcPr>
            <w:tcW w:w="2872" w:type="dxa"/>
          </w:tcPr>
          <w:p w14:paraId="5974C6C2" w14:textId="57CFDD82" w:rsidR="006B69C6" w:rsidRPr="00772BC3" w:rsidRDefault="006B69C6" w:rsidP="00A3583A">
            <w:pPr>
              <w:pStyle w:val="Tabletextleft"/>
              <w:cnfStyle w:val="000000100000" w:firstRow="0" w:lastRow="0" w:firstColumn="0" w:lastColumn="0" w:oddVBand="0" w:evenVBand="0" w:oddHBand="1" w:evenHBand="0" w:firstRowFirstColumn="0" w:firstRowLastColumn="0" w:lastRowFirstColumn="0" w:lastRowLastColumn="0"/>
            </w:pPr>
            <w:r w:rsidRPr="00772BC3">
              <w:t>(</w:t>
            </w:r>
            <w:r w:rsidR="00D51DCC" w:rsidRPr="00772BC3">
              <w:t xml:space="preserve">5.1, </w:t>
            </w:r>
            <w:r w:rsidRPr="00772BC3">
              <w:t>5.2, 5.3)</w:t>
            </w:r>
          </w:p>
          <w:p w14:paraId="58502432" w14:textId="408D9238" w:rsidR="00234F50" w:rsidRPr="00772BC3" w:rsidRDefault="00234F50" w:rsidP="00A3583A">
            <w:pPr>
              <w:pStyle w:val="Tabletextleft"/>
              <w:cnfStyle w:val="000000100000" w:firstRow="0" w:lastRow="0" w:firstColumn="0" w:lastColumn="0" w:oddVBand="0" w:evenVBand="0" w:oddHBand="1" w:evenHBand="0" w:firstRowFirstColumn="0" w:firstRowLastColumn="0" w:lastRowFirstColumn="0" w:lastRowLastColumn="0"/>
            </w:pPr>
            <w:r w:rsidRPr="00772BC3">
              <w:t xml:space="preserve">Access, barriers and experiences of </w:t>
            </w:r>
            <w:r w:rsidR="1C1AEFF8" w:rsidRPr="77359645">
              <w:t>healthcare</w:t>
            </w:r>
            <w:r w:rsidRPr="00772BC3">
              <w:t xml:space="preserve"> services (GPs, specialists, dental professionals, hospitals and EDs)</w:t>
            </w:r>
            <w:r w:rsidR="004874D4" w:rsidRPr="00772BC3">
              <w:t>.</w:t>
            </w:r>
          </w:p>
        </w:tc>
      </w:tr>
      <w:tr w:rsidR="00234F50" w:rsidRPr="00772BC3" w14:paraId="688435DF" w14:textId="77777777" w:rsidTr="0B3BCAD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14:paraId="30992D99" w14:textId="346D0245" w:rsidR="00234F50" w:rsidRPr="00772BC3" w:rsidRDefault="00234F50" w:rsidP="00A3583A">
            <w:pPr>
              <w:pStyle w:val="Tabletextleft"/>
            </w:pPr>
            <w:r w:rsidRPr="00772BC3">
              <w:t>Health workforce</w:t>
            </w:r>
          </w:p>
          <w:p w14:paraId="168E5325" w14:textId="47C7EB6D" w:rsidR="00234F50" w:rsidRPr="00772BC3" w:rsidRDefault="00234F50" w:rsidP="00A3583A">
            <w:pPr>
              <w:pStyle w:val="Tabletextleft"/>
            </w:pPr>
            <w:r w:rsidRPr="00772BC3">
              <w:t xml:space="preserve">- workforce by geography </w:t>
            </w:r>
          </w:p>
          <w:p w14:paraId="67C0A367" w14:textId="6D186B29" w:rsidR="00234F50" w:rsidRPr="00772BC3" w:rsidRDefault="00234F50" w:rsidP="00A3583A">
            <w:pPr>
              <w:pStyle w:val="Tabletextleft"/>
            </w:pPr>
            <w:r w:rsidRPr="00772BC3">
              <w:t>- workforce sustainability</w:t>
            </w:r>
          </w:p>
        </w:tc>
        <w:tc>
          <w:tcPr>
            <w:tcW w:w="1843" w:type="dxa"/>
          </w:tcPr>
          <w:p w14:paraId="64498773" w14:textId="4BEED5D9" w:rsidR="00234F50" w:rsidRPr="00772BC3" w:rsidRDefault="00234F50" w:rsidP="00A3583A">
            <w:pPr>
              <w:pStyle w:val="Tabletextleft"/>
              <w:cnfStyle w:val="000000010000" w:firstRow="0" w:lastRow="0" w:firstColumn="0" w:lastColumn="0" w:oddVBand="0" w:evenVBand="0" w:oddHBand="0" w:evenHBand="1" w:firstRowFirstColumn="0" w:firstRowLastColumn="0" w:lastRowFirstColumn="0" w:lastRowLastColumn="0"/>
            </w:pPr>
            <w:r w:rsidRPr="00772BC3">
              <w:t>Treatment and management</w:t>
            </w:r>
          </w:p>
        </w:tc>
        <w:tc>
          <w:tcPr>
            <w:tcW w:w="3013" w:type="dxa"/>
          </w:tcPr>
          <w:p w14:paraId="498C827B" w14:textId="5CFF4E14" w:rsidR="00234F50" w:rsidRPr="00772BC3" w:rsidRDefault="00234F50" w:rsidP="00A3583A">
            <w:pPr>
              <w:pStyle w:val="Tabletextleft"/>
              <w:cnfStyle w:val="000000010000" w:firstRow="0" w:lastRow="0" w:firstColumn="0" w:lastColumn="0" w:oddVBand="0" w:evenVBand="0" w:oddHBand="0" w:evenHBand="1" w:firstRowFirstColumn="0" w:firstRowLastColumn="0" w:lastRowFirstColumn="0" w:lastRowLastColumn="0"/>
            </w:pPr>
            <w:r w:rsidRPr="00772BC3">
              <w:t xml:space="preserve">National Health Workforce Dataset </w:t>
            </w:r>
          </w:p>
          <w:p w14:paraId="73DE293B" w14:textId="2E767D0E" w:rsidR="00234F50" w:rsidRPr="00772BC3" w:rsidRDefault="00234F50" w:rsidP="00A3583A">
            <w:pPr>
              <w:pStyle w:val="Tabletextleft"/>
              <w:cnfStyle w:val="000000010000" w:firstRow="0" w:lastRow="0" w:firstColumn="0" w:lastColumn="0" w:oddVBand="0" w:evenVBand="0" w:oddHBand="0" w:evenHBand="1" w:firstRowFirstColumn="0" w:firstRowLastColumn="0" w:lastRowFirstColumn="0" w:lastRowLastColumn="0"/>
            </w:pPr>
            <w:r w:rsidRPr="00772BC3">
              <w:t>Medical Education and Training Data Collection</w:t>
            </w:r>
          </w:p>
        </w:tc>
        <w:tc>
          <w:tcPr>
            <w:tcW w:w="2872" w:type="dxa"/>
          </w:tcPr>
          <w:p w14:paraId="0DC64DB0" w14:textId="330DB4F1" w:rsidR="00234F50" w:rsidRPr="00A3583A" w:rsidRDefault="00234F50" w:rsidP="00A3583A">
            <w:pPr>
              <w:pStyle w:val="Hyperlinkstable"/>
              <w:cnfStyle w:val="000000010000" w:firstRow="0" w:lastRow="0" w:firstColumn="0" w:lastColumn="0" w:oddVBand="0" w:evenVBand="0" w:oddHBand="0" w:evenHBand="1" w:firstRowFirstColumn="0" w:firstRowLastColumn="0" w:lastRowFirstColumn="0" w:lastRowLastColumn="0"/>
              <w:rPr>
                <w:rStyle w:val="Hyperlink"/>
              </w:rPr>
            </w:pPr>
            <w:hyperlink r:id="rId139" w:history="1">
              <w:r w:rsidRPr="00A3583A">
                <w:rPr>
                  <w:rStyle w:val="Hyperlink"/>
                </w:rPr>
                <w:t>Health Workforce Data website</w:t>
              </w:r>
            </w:hyperlink>
            <w:r w:rsidRPr="00A3583A">
              <w:rPr>
                <w:rStyle w:val="Hyperlink"/>
              </w:rPr>
              <w:t xml:space="preserve"> </w:t>
            </w:r>
          </w:p>
          <w:p w14:paraId="2CE0B033" w14:textId="0B9F19D4" w:rsidR="00234F50" w:rsidRPr="00772BC3" w:rsidRDefault="00234F50" w:rsidP="00A3583A">
            <w:pPr>
              <w:pStyle w:val="Tabletextleft"/>
              <w:cnfStyle w:val="000000010000" w:firstRow="0" w:lastRow="0" w:firstColumn="0" w:lastColumn="0" w:oddVBand="0" w:evenVBand="0" w:oddHBand="0" w:evenHBand="1" w:firstRowFirstColumn="0" w:firstRowLastColumn="0" w:lastRowFirstColumn="0" w:lastRowLastColumn="0"/>
            </w:pPr>
            <w:r w:rsidRPr="00772BC3">
              <w:t>Report on Government Services</w:t>
            </w:r>
          </w:p>
        </w:tc>
        <w:tc>
          <w:tcPr>
            <w:tcW w:w="2872" w:type="dxa"/>
          </w:tcPr>
          <w:p w14:paraId="11BDCDAF" w14:textId="65AF5076" w:rsidR="00A73A84" w:rsidRPr="00772BC3" w:rsidRDefault="00A73A84" w:rsidP="00A3583A">
            <w:pPr>
              <w:pStyle w:val="Tabletextleft"/>
              <w:cnfStyle w:val="000000010000" w:firstRow="0" w:lastRow="0" w:firstColumn="0" w:lastColumn="0" w:oddVBand="0" w:evenVBand="0" w:oddHBand="0" w:evenHBand="1" w:firstRowFirstColumn="0" w:firstRowLastColumn="0" w:lastRowFirstColumn="0" w:lastRowLastColumn="0"/>
            </w:pPr>
            <w:r w:rsidRPr="00772BC3">
              <w:t>(5.3)</w:t>
            </w:r>
          </w:p>
          <w:p w14:paraId="42D4606E" w14:textId="4AB27334" w:rsidR="00234F50" w:rsidRPr="00772BC3" w:rsidRDefault="00234F50" w:rsidP="00A3583A">
            <w:pPr>
              <w:pStyle w:val="Tabletextleft"/>
              <w:cnfStyle w:val="000000010000" w:firstRow="0" w:lastRow="0" w:firstColumn="0" w:lastColumn="0" w:oddVBand="0" w:evenVBand="0" w:oddHBand="0" w:evenHBand="1" w:firstRowFirstColumn="0" w:firstRowLastColumn="0" w:lastRowFirstColumn="0" w:lastRowLastColumn="0"/>
            </w:pPr>
            <w:r w:rsidRPr="00772BC3">
              <w:t>Headcount and hours worked by profession (medical practitioners, allied health, nursing and midwifery)</w:t>
            </w:r>
            <w:r w:rsidR="009A7B89">
              <w:t>.</w:t>
            </w:r>
          </w:p>
        </w:tc>
      </w:tr>
      <w:tr w:rsidR="00234F50" w:rsidRPr="00772BC3" w14:paraId="79E060C1" w14:textId="77777777" w:rsidTr="0B3BCA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14:paraId="7D421BA0" w14:textId="69EEED58" w:rsidR="00234F50" w:rsidRPr="00772BC3" w:rsidRDefault="00234F50" w:rsidP="00A3583A">
            <w:pPr>
              <w:pStyle w:val="Tabletextleft"/>
            </w:pPr>
            <w:r w:rsidRPr="00772BC3">
              <w:t>Safety and effectiveness of health</w:t>
            </w:r>
            <w:r w:rsidR="006F35AF" w:rsidRPr="00772BC3">
              <w:t xml:space="preserve"> </w:t>
            </w:r>
            <w:r w:rsidRPr="00772BC3">
              <w:t xml:space="preserve">care </w:t>
            </w:r>
          </w:p>
          <w:p w14:paraId="40BC8A5D" w14:textId="15BD9699" w:rsidR="00234F50" w:rsidRPr="00772BC3" w:rsidRDefault="00234F50" w:rsidP="00A3583A">
            <w:pPr>
              <w:pStyle w:val="Tabletextleft"/>
            </w:pPr>
            <w:r w:rsidRPr="00772BC3">
              <w:t xml:space="preserve">- avoidable mortality </w:t>
            </w:r>
          </w:p>
          <w:p w14:paraId="68F3B28E" w14:textId="1DF6385E" w:rsidR="00234F50" w:rsidRPr="00772BC3" w:rsidRDefault="00234F50" w:rsidP="00A3583A">
            <w:pPr>
              <w:pStyle w:val="Tabletextleft"/>
            </w:pPr>
            <w:r w:rsidRPr="00772BC3">
              <w:t xml:space="preserve">- avoidable hospital admissions </w:t>
            </w:r>
          </w:p>
          <w:p w14:paraId="29EB5749" w14:textId="77777777" w:rsidR="00234F50" w:rsidRPr="00772BC3" w:rsidRDefault="00234F50" w:rsidP="00A3583A">
            <w:pPr>
              <w:pStyle w:val="Tabletextleft"/>
            </w:pPr>
            <w:r w:rsidRPr="00772BC3">
              <w:t>- mortality rates following hospitalisation</w:t>
            </w:r>
          </w:p>
          <w:p w14:paraId="2C20F8F8" w14:textId="2B4AE949" w:rsidR="00A544CE" w:rsidRPr="00772BC3" w:rsidRDefault="00A544CE" w:rsidP="00A3583A">
            <w:pPr>
              <w:pStyle w:val="Tabletextleft"/>
            </w:pPr>
            <w:r w:rsidRPr="00772BC3">
              <w:t>- adverse events</w:t>
            </w:r>
          </w:p>
        </w:tc>
        <w:tc>
          <w:tcPr>
            <w:tcW w:w="1843" w:type="dxa"/>
          </w:tcPr>
          <w:p w14:paraId="5282F397" w14:textId="439282C6" w:rsidR="0061225C" w:rsidRPr="00772BC3" w:rsidRDefault="0061225C" w:rsidP="00A3583A">
            <w:pPr>
              <w:pStyle w:val="Tabletextleft"/>
              <w:cnfStyle w:val="000000100000" w:firstRow="0" w:lastRow="0" w:firstColumn="0" w:lastColumn="0" w:oddVBand="0" w:evenVBand="0" w:oddHBand="1" w:evenHBand="0" w:firstRowFirstColumn="0" w:firstRowLastColumn="0" w:lastRowFirstColumn="0" w:lastRowLastColumn="0"/>
            </w:pPr>
            <w:r w:rsidRPr="00772BC3">
              <w:t>Health outcomes</w:t>
            </w:r>
          </w:p>
          <w:p w14:paraId="07FBFF17" w14:textId="01DE9190" w:rsidR="00234F50" w:rsidRPr="00772BC3" w:rsidRDefault="00234F50" w:rsidP="00A3583A">
            <w:pPr>
              <w:pStyle w:val="Tabletextleft"/>
              <w:cnfStyle w:val="000000100000" w:firstRow="0" w:lastRow="0" w:firstColumn="0" w:lastColumn="0" w:oddVBand="0" w:evenVBand="0" w:oddHBand="1" w:evenHBand="0" w:firstRowFirstColumn="0" w:firstRowLastColumn="0" w:lastRowFirstColumn="0" w:lastRowLastColumn="0"/>
            </w:pPr>
            <w:r w:rsidRPr="00772BC3">
              <w:t>Treatment and management</w:t>
            </w:r>
          </w:p>
        </w:tc>
        <w:tc>
          <w:tcPr>
            <w:tcW w:w="3013" w:type="dxa"/>
          </w:tcPr>
          <w:p w14:paraId="6975C349" w14:textId="7DD1F7BE" w:rsidR="00234F50" w:rsidRPr="00772BC3" w:rsidRDefault="005310EE" w:rsidP="00A3583A">
            <w:pPr>
              <w:pStyle w:val="Tabletextleft"/>
              <w:cnfStyle w:val="000000100000" w:firstRow="0" w:lastRow="0" w:firstColumn="0" w:lastColumn="0" w:oddVBand="0" w:evenVBand="0" w:oddHBand="1" w:evenHBand="0" w:firstRowFirstColumn="0" w:firstRowLastColumn="0" w:lastRowFirstColumn="0" w:lastRowLastColumn="0"/>
            </w:pPr>
            <w:r w:rsidRPr="00772BC3">
              <w:t>National Hospital Morbidity Database</w:t>
            </w:r>
          </w:p>
        </w:tc>
        <w:tc>
          <w:tcPr>
            <w:tcW w:w="2872" w:type="dxa"/>
          </w:tcPr>
          <w:p w14:paraId="563B0C7D" w14:textId="0716B929" w:rsidR="00F620CC" w:rsidRPr="00772BC3" w:rsidRDefault="2A1AACB3" w:rsidP="00A3583A">
            <w:pPr>
              <w:pStyle w:val="Tabletextleft"/>
              <w:cnfStyle w:val="000000100000" w:firstRow="0" w:lastRow="0" w:firstColumn="0" w:lastColumn="0" w:oddVBand="0" w:evenVBand="0" w:oddHBand="1" w:evenHBand="0" w:firstRowFirstColumn="0" w:firstRowLastColumn="0" w:lastRowFirstColumn="0" w:lastRowLastColumn="0"/>
            </w:pPr>
            <w:r w:rsidRPr="127B3B86">
              <w:t xml:space="preserve">Australia’s health performance </w:t>
            </w:r>
            <w:r w:rsidR="2AEEC7D0" w:rsidRPr="127B3B86">
              <w:t>Fr</w:t>
            </w:r>
            <w:r w:rsidRPr="127B3B86">
              <w:t>amework</w:t>
            </w:r>
          </w:p>
          <w:p w14:paraId="65D1AE9E" w14:textId="25E9E1C6" w:rsidR="00E410AD" w:rsidRPr="00A3583A" w:rsidRDefault="00A14F0B" w:rsidP="00A3583A">
            <w:pPr>
              <w:pStyle w:val="Hyperlinkstable"/>
              <w:cnfStyle w:val="000000100000" w:firstRow="0" w:lastRow="0" w:firstColumn="0" w:lastColumn="0" w:oddVBand="0" w:evenVBand="0" w:oddHBand="1" w:evenHBand="0" w:firstRowFirstColumn="0" w:firstRowLastColumn="0" w:lastRowFirstColumn="0" w:lastRowLastColumn="0"/>
              <w:rPr>
                <w:rStyle w:val="Hyperlink"/>
              </w:rPr>
            </w:pPr>
            <w:hyperlink r:id="rId140" w:history="1">
              <w:r w:rsidRPr="00A3583A">
                <w:rPr>
                  <w:rStyle w:val="Hyperlink"/>
                </w:rPr>
                <w:t xml:space="preserve">Australian </w:t>
              </w:r>
              <w:r w:rsidR="006C7FBE" w:rsidRPr="00A3583A">
                <w:rPr>
                  <w:rStyle w:val="Hyperlink"/>
                </w:rPr>
                <w:t>Commission</w:t>
              </w:r>
              <w:r w:rsidRPr="00A3583A">
                <w:rPr>
                  <w:rStyle w:val="Hyperlink"/>
                </w:rPr>
                <w:t xml:space="preserve"> on Safety and Quality in Health Care</w:t>
              </w:r>
            </w:hyperlink>
          </w:p>
        </w:tc>
        <w:tc>
          <w:tcPr>
            <w:tcW w:w="2872" w:type="dxa"/>
          </w:tcPr>
          <w:p w14:paraId="3824E134" w14:textId="4E952C1A" w:rsidR="00234F50" w:rsidRPr="00772BC3" w:rsidRDefault="00BF65C6" w:rsidP="00A3583A">
            <w:pPr>
              <w:pStyle w:val="Tabletextleft"/>
              <w:cnfStyle w:val="000000100000" w:firstRow="0" w:lastRow="0" w:firstColumn="0" w:lastColumn="0" w:oddVBand="0" w:evenVBand="0" w:oddHBand="1" w:evenHBand="0" w:firstRowFirstColumn="0" w:firstRowLastColumn="0" w:lastRowFirstColumn="0" w:lastRowLastColumn="0"/>
            </w:pPr>
            <w:r w:rsidRPr="00772BC3">
              <w:t>Monitoring these events helps identify risks, improve clinical practices and ensure that patients with chronic conditions receive safe, appropriate health care.</w:t>
            </w:r>
          </w:p>
        </w:tc>
      </w:tr>
      <w:tr w:rsidR="00234F50" w:rsidRPr="00772BC3" w14:paraId="69379A2D" w14:textId="77777777" w:rsidTr="0B3BCAD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14:paraId="1A71F79D" w14:textId="15C815D8" w:rsidR="00234F50" w:rsidRPr="00772BC3" w:rsidRDefault="00234F50" w:rsidP="00A3583A">
            <w:pPr>
              <w:pStyle w:val="Tabletextleft"/>
            </w:pPr>
            <w:r w:rsidRPr="00772BC3">
              <w:t>Treatment</w:t>
            </w:r>
          </w:p>
          <w:p w14:paraId="4C2BA1CE" w14:textId="014D40DE" w:rsidR="00234F50" w:rsidRPr="00772BC3" w:rsidRDefault="00234F50" w:rsidP="00A3583A">
            <w:pPr>
              <w:pStyle w:val="Tabletextleft"/>
            </w:pPr>
            <w:r w:rsidRPr="00772BC3">
              <w:t>- medication use</w:t>
            </w:r>
            <w:r w:rsidR="0041128D" w:rsidRPr="00772BC3">
              <w:t xml:space="preserve"> and a</w:t>
            </w:r>
            <w:r w:rsidR="005357B5" w:rsidRPr="00772BC3">
              <w:t>dherence</w:t>
            </w:r>
          </w:p>
          <w:p w14:paraId="516199C4" w14:textId="7E35D232" w:rsidR="00234F50" w:rsidRPr="00772BC3" w:rsidRDefault="005357B5" w:rsidP="00A3583A">
            <w:pPr>
              <w:pStyle w:val="Tabletextleft"/>
            </w:pPr>
            <w:r w:rsidRPr="00772BC3">
              <w:t>- outcomes following medication use</w:t>
            </w:r>
          </w:p>
        </w:tc>
        <w:tc>
          <w:tcPr>
            <w:tcW w:w="1843" w:type="dxa"/>
          </w:tcPr>
          <w:p w14:paraId="2854DF34" w14:textId="186C7920" w:rsidR="00234F50" w:rsidRPr="00772BC3" w:rsidRDefault="00234F50" w:rsidP="00A3583A">
            <w:pPr>
              <w:pStyle w:val="Tabletextleft"/>
              <w:cnfStyle w:val="000000010000" w:firstRow="0" w:lastRow="0" w:firstColumn="0" w:lastColumn="0" w:oddVBand="0" w:evenVBand="0" w:oddHBand="0" w:evenHBand="1" w:firstRowFirstColumn="0" w:firstRowLastColumn="0" w:lastRowFirstColumn="0" w:lastRowLastColumn="0"/>
            </w:pPr>
            <w:r w:rsidRPr="00772BC3">
              <w:t>Treatment and management</w:t>
            </w:r>
          </w:p>
        </w:tc>
        <w:tc>
          <w:tcPr>
            <w:tcW w:w="3013" w:type="dxa"/>
          </w:tcPr>
          <w:p w14:paraId="22245CEB" w14:textId="78053ECC" w:rsidR="00234F50" w:rsidRPr="00772BC3" w:rsidRDefault="00234F50" w:rsidP="00A3583A">
            <w:pPr>
              <w:pStyle w:val="Tabletextleft"/>
              <w:cnfStyle w:val="000000010000" w:firstRow="0" w:lastRow="0" w:firstColumn="0" w:lastColumn="0" w:oddVBand="0" w:evenVBand="0" w:oddHBand="0" w:evenHBand="1" w:firstRowFirstColumn="0" w:firstRowLastColumn="0" w:lastRowFirstColumn="0" w:lastRowLastColumn="0"/>
            </w:pPr>
            <w:r w:rsidRPr="00772BC3">
              <w:t>Pharmaceutical Benefits Scheme</w:t>
            </w:r>
          </w:p>
          <w:p w14:paraId="0BBD4710" w14:textId="77777777" w:rsidR="00234F50" w:rsidRPr="00772BC3" w:rsidRDefault="00234F50" w:rsidP="00A3583A">
            <w:pPr>
              <w:pStyle w:val="Tabletextleft"/>
              <w:cnfStyle w:val="000000010000" w:firstRow="0" w:lastRow="0" w:firstColumn="0" w:lastColumn="0" w:oddVBand="0" w:evenVBand="0" w:oddHBand="0" w:evenHBand="1" w:firstRowFirstColumn="0" w:firstRowLastColumn="0" w:lastRowFirstColumn="0" w:lastRowLastColumn="0"/>
            </w:pPr>
            <w:r w:rsidRPr="00772BC3">
              <w:t>Linked prescription and hospitalisation data (such as National Health Data Hub)</w:t>
            </w:r>
          </w:p>
          <w:p w14:paraId="040D54DB" w14:textId="77777777" w:rsidR="00234F50" w:rsidRPr="00772BC3" w:rsidRDefault="00234F50" w:rsidP="00A3583A">
            <w:pPr>
              <w:pStyle w:val="Tabletextleft"/>
              <w:cnfStyle w:val="000000010000" w:firstRow="0" w:lastRow="0" w:firstColumn="0" w:lastColumn="0" w:oddVBand="0" w:evenVBand="0" w:oddHBand="0" w:evenHBand="1" w:firstRowFirstColumn="0" w:firstRowLastColumn="0" w:lastRowFirstColumn="0" w:lastRowLastColumn="0"/>
            </w:pPr>
            <w:r w:rsidRPr="00772BC3">
              <w:t>National Health Survey</w:t>
            </w:r>
          </w:p>
          <w:p w14:paraId="5B03900D" w14:textId="0E7D048B" w:rsidR="0041128D" w:rsidRPr="00772BC3" w:rsidRDefault="0041128D" w:rsidP="00A3583A">
            <w:pPr>
              <w:pStyle w:val="Tabletextleft"/>
              <w:cnfStyle w:val="000000010000" w:firstRow="0" w:lastRow="0" w:firstColumn="0" w:lastColumn="0" w:oddVBand="0" w:evenVBand="0" w:oddHBand="0" w:evenHBand="1" w:firstRowFirstColumn="0" w:firstRowLastColumn="0" w:lastRowFirstColumn="0" w:lastRowLastColumn="0"/>
            </w:pPr>
            <w:r w:rsidRPr="00772BC3">
              <w:t>Condition-specific registries</w:t>
            </w:r>
          </w:p>
        </w:tc>
        <w:tc>
          <w:tcPr>
            <w:tcW w:w="2872" w:type="dxa"/>
          </w:tcPr>
          <w:p w14:paraId="32BA2B79" w14:textId="77777777" w:rsidR="00234F50" w:rsidRPr="00772BC3" w:rsidRDefault="00234F50" w:rsidP="00A3583A">
            <w:pPr>
              <w:pStyle w:val="Tabletextright0"/>
              <w:cnfStyle w:val="000000010000" w:firstRow="0" w:lastRow="0" w:firstColumn="0" w:lastColumn="0" w:oddVBand="0" w:evenVBand="0" w:oddHBand="0" w:evenHBand="1" w:firstRowFirstColumn="0" w:firstRowLastColumn="0" w:lastRowFirstColumn="0" w:lastRowLastColumn="0"/>
            </w:pPr>
          </w:p>
        </w:tc>
        <w:tc>
          <w:tcPr>
            <w:tcW w:w="2872" w:type="dxa"/>
          </w:tcPr>
          <w:p w14:paraId="31F7CF28" w14:textId="77777777" w:rsidR="00234F50" w:rsidRPr="00772BC3" w:rsidRDefault="000012BE" w:rsidP="00A3583A">
            <w:pPr>
              <w:pStyle w:val="Tabletextleft"/>
              <w:cnfStyle w:val="000000010000" w:firstRow="0" w:lastRow="0" w:firstColumn="0" w:lastColumn="0" w:oddVBand="0" w:evenVBand="0" w:oddHBand="0" w:evenHBand="1" w:firstRowFirstColumn="0" w:firstRowLastColumn="0" w:lastRowFirstColumn="0" w:lastRowLastColumn="0"/>
            </w:pPr>
            <w:r w:rsidRPr="00772BC3">
              <w:t>(3.3)</w:t>
            </w:r>
          </w:p>
          <w:p w14:paraId="2B229840" w14:textId="61C785A4" w:rsidR="003F68FC" w:rsidRPr="00772BC3" w:rsidRDefault="003F68FC" w:rsidP="00A3583A">
            <w:pPr>
              <w:pStyle w:val="Tabletextleft"/>
              <w:cnfStyle w:val="000000010000" w:firstRow="0" w:lastRow="0" w:firstColumn="0" w:lastColumn="0" w:oddVBand="0" w:evenVBand="0" w:oddHBand="0" w:evenHBand="1" w:firstRowFirstColumn="0" w:firstRowLastColumn="0" w:lastRowFirstColumn="0" w:lastRowLastColumn="0"/>
            </w:pPr>
            <w:r w:rsidRPr="00772BC3">
              <w:t>Consistent and correct use of prescribed medicines is essential for managing symptoms, preventing complications, and improving long-term outcomes.</w:t>
            </w:r>
          </w:p>
        </w:tc>
      </w:tr>
      <w:tr w:rsidR="008C7E8A" w:rsidRPr="00772BC3" w14:paraId="6EF2E76F" w14:textId="77777777" w:rsidTr="0B3BCA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14:paraId="34094652" w14:textId="77777777" w:rsidR="008C7E8A" w:rsidRPr="00772BC3" w:rsidRDefault="008C7E8A" w:rsidP="00A3583A">
            <w:pPr>
              <w:pStyle w:val="Tabletextleft"/>
            </w:pPr>
            <w:r w:rsidRPr="00772BC3">
              <w:t>Continuity of care</w:t>
            </w:r>
          </w:p>
          <w:p w14:paraId="3779E17D" w14:textId="42AA1E69" w:rsidR="00D01552" w:rsidRPr="00772BC3" w:rsidRDefault="00D01552" w:rsidP="00A3583A">
            <w:pPr>
              <w:pStyle w:val="Tabletextleft"/>
            </w:pPr>
            <w:r w:rsidRPr="00772BC3">
              <w:t xml:space="preserve">- </w:t>
            </w:r>
            <w:r w:rsidR="00643C7D" w:rsidRPr="00772BC3">
              <w:t>patient journey across services and sectors</w:t>
            </w:r>
          </w:p>
          <w:p w14:paraId="2E771780" w14:textId="083FCEBB" w:rsidR="008C7E8A" w:rsidRPr="00772BC3" w:rsidRDefault="008C7E8A" w:rsidP="00A3583A">
            <w:pPr>
              <w:pStyle w:val="Tabletextleft"/>
            </w:pPr>
            <w:r w:rsidRPr="00772BC3">
              <w:t xml:space="preserve">- </w:t>
            </w:r>
            <w:r w:rsidR="007C65F8" w:rsidRPr="00772BC3">
              <w:t>patient journey</w:t>
            </w:r>
            <w:r w:rsidRPr="00772BC3">
              <w:t xml:space="preserve"> across life stages</w:t>
            </w:r>
          </w:p>
        </w:tc>
        <w:tc>
          <w:tcPr>
            <w:tcW w:w="1843" w:type="dxa"/>
          </w:tcPr>
          <w:p w14:paraId="75406CB7" w14:textId="77777777" w:rsidR="008C7E8A" w:rsidRPr="00772BC3" w:rsidRDefault="008C7E8A" w:rsidP="00A3583A">
            <w:pPr>
              <w:pStyle w:val="Tabletextleft"/>
              <w:cnfStyle w:val="000000100000" w:firstRow="0" w:lastRow="0" w:firstColumn="0" w:lastColumn="0" w:oddVBand="0" w:evenVBand="0" w:oddHBand="1" w:evenHBand="0" w:firstRowFirstColumn="0" w:firstRowLastColumn="0" w:lastRowFirstColumn="0" w:lastRowLastColumn="0"/>
            </w:pPr>
            <w:r w:rsidRPr="00772BC3">
              <w:t>Health outcomes</w:t>
            </w:r>
          </w:p>
          <w:p w14:paraId="29CD5CF9" w14:textId="43979341" w:rsidR="008C7E8A" w:rsidRPr="00772BC3" w:rsidRDefault="008C7E8A" w:rsidP="00A3583A">
            <w:pPr>
              <w:pStyle w:val="Tabletextleft"/>
              <w:cnfStyle w:val="000000100000" w:firstRow="0" w:lastRow="0" w:firstColumn="0" w:lastColumn="0" w:oddVBand="0" w:evenVBand="0" w:oddHBand="1" w:evenHBand="0" w:firstRowFirstColumn="0" w:firstRowLastColumn="0" w:lastRowFirstColumn="0" w:lastRowLastColumn="0"/>
            </w:pPr>
            <w:r w:rsidRPr="00772BC3">
              <w:t>Treatment and management</w:t>
            </w:r>
          </w:p>
        </w:tc>
        <w:tc>
          <w:tcPr>
            <w:tcW w:w="3013" w:type="dxa"/>
          </w:tcPr>
          <w:p w14:paraId="2A407981" w14:textId="1AD959A9" w:rsidR="00D01552" w:rsidRPr="00772BC3" w:rsidRDefault="00D01552" w:rsidP="00A3583A">
            <w:pPr>
              <w:pStyle w:val="Tabletextleft"/>
              <w:cnfStyle w:val="000000100000" w:firstRow="0" w:lastRow="0" w:firstColumn="0" w:lastColumn="0" w:oddVBand="0" w:evenVBand="0" w:oddHBand="1" w:evenHBand="0" w:firstRowFirstColumn="0" w:firstRowLastColumn="0" w:lastRowFirstColumn="0" w:lastRowLastColumn="0"/>
            </w:pPr>
            <w:r w:rsidRPr="00772BC3">
              <w:t xml:space="preserve">Linked </w:t>
            </w:r>
            <w:r w:rsidR="00643C7D" w:rsidRPr="00772BC3">
              <w:t xml:space="preserve">administrative health </w:t>
            </w:r>
            <w:r w:rsidRPr="00772BC3">
              <w:t>data (such as National Health Data Hub and National Disability Data Asset)</w:t>
            </w:r>
          </w:p>
          <w:p w14:paraId="53584E35" w14:textId="62A3354B" w:rsidR="00746145" w:rsidRPr="00772BC3" w:rsidRDefault="00746145" w:rsidP="00A3583A">
            <w:pPr>
              <w:pStyle w:val="Tabletextleft"/>
              <w:cnfStyle w:val="000000100000" w:firstRow="0" w:lastRow="0" w:firstColumn="0" w:lastColumn="0" w:oddVBand="0" w:evenVBand="0" w:oddHBand="1" w:evenHBand="0" w:firstRowFirstColumn="0" w:firstRowLastColumn="0" w:lastRowFirstColumn="0" w:lastRowLastColumn="0"/>
            </w:pPr>
            <w:r w:rsidRPr="00772BC3">
              <w:t>Intergenerational Health and Mental Health Study</w:t>
            </w:r>
          </w:p>
          <w:p w14:paraId="46747D45" w14:textId="41AF0E1B" w:rsidR="008C7E8A" w:rsidRPr="00772BC3" w:rsidRDefault="33BE2266" w:rsidP="00A3583A">
            <w:pPr>
              <w:pStyle w:val="Tabletextleft"/>
              <w:cnfStyle w:val="000000100000" w:firstRow="0" w:lastRow="0" w:firstColumn="0" w:lastColumn="0" w:oddVBand="0" w:evenVBand="0" w:oddHBand="1" w:evenHBand="0" w:firstRowFirstColumn="0" w:firstRowLastColumn="0" w:lastRowFirstColumn="0" w:lastRowLastColumn="0"/>
            </w:pPr>
            <w:r w:rsidRPr="0B3BCADA">
              <w:t xml:space="preserve">Longitudinal health surveys (such as </w:t>
            </w:r>
            <w:r w:rsidRPr="00E80E4E">
              <w:t>Ten to Men</w:t>
            </w:r>
            <w:r w:rsidRPr="0B3BCADA">
              <w:t xml:space="preserve"> and the </w:t>
            </w:r>
            <w:r w:rsidRPr="00E80E4E">
              <w:t>Australian Longitudinal Study on Women’s Health</w:t>
            </w:r>
            <w:r w:rsidRPr="0B3BCADA">
              <w:t>)</w:t>
            </w:r>
          </w:p>
        </w:tc>
        <w:tc>
          <w:tcPr>
            <w:tcW w:w="2872" w:type="dxa"/>
          </w:tcPr>
          <w:p w14:paraId="7DF69E79" w14:textId="77777777" w:rsidR="008C7E8A" w:rsidRPr="00772BC3" w:rsidRDefault="008C7E8A" w:rsidP="00A3583A">
            <w:pPr>
              <w:pStyle w:val="Tabletextleft"/>
              <w:cnfStyle w:val="000000100000" w:firstRow="0" w:lastRow="0" w:firstColumn="0" w:lastColumn="0" w:oddVBand="0" w:evenVBand="0" w:oddHBand="1" w:evenHBand="0" w:firstRowFirstColumn="0" w:firstRowLastColumn="0" w:lastRowFirstColumn="0" w:lastRowLastColumn="0"/>
            </w:pPr>
          </w:p>
        </w:tc>
        <w:tc>
          <w:tcPr>
            <w:tcW w:w="2872" w:type="dxa"/>
          </w:tcPr>
          <w:p w14:paraId="61F38801" w14:textId="5F8681C8" w:rsidR="008C7E8A" w:rsidRPr="00772BC3" w:rsidRDefault="00D01552" w:rsidP="00A3583A">
            <w:pPr>
              <w:pStyle w:val="Tabletextleft"/>
              <w:cnfStyle w:val="000000100000" w:firstRow="0" w:lastRow="0" w:firstColumn="0" w:lastColumn="0" w:oddVBand="0" w:evenVBand="0" w:oddHBand="1" w:evenHBand="0" w:firstRowFirstColumn="0" w:firstRowLastColumn="0" w:lastRowFirstColumn="0" w:lastRowLastColumn="0"/>
            </w:pPr>
            <w:r w:rsidRPr="00772BC3">
              <w:t>(</w:t>
            </w:r>
            <w:r w:rsidR="00707676" w:rsidRPr="00772BC3">
              <w:t xml:space="preserve">2.2, </w:t>
            </w:r>
            <w:r w:rsidRPr="00772BC3">
              <w:t>3.1, 3.2)</w:t>
            </w:r>
          </w:p>
          <w:p w14:paraId="792A8310" w14:textId="23E3D03E" w:rsidR="007C65F8" w:rsidRPr="00772BC3" w:rsidRDefault="0070534B" w:rsidP="00A3583A">
            <w:pPr>
              <w:pStyle w:val="Tabletextleft"/>
              <w:cnfStyle w:val="000000100000" w:firstRow="0" w:lastRow="0" w:firstColumn="0" w:lastColumn="0" w:oddVBand="0" w:evenVBand="0" w:oddHBand="1" w:evenHBand="0" w:firstRowFirstColumn="0" w:firstRowLastColumn="0" w:lastRowFirstColumn="0" w:lastRowLastColumn="0"/>
            </w:pPr>
            <w:r w:rsidRPr="00772BC3">
              <w:t xml:space="preserve">Longitudinal survey and linked administrative data can support analysis of transitions of care </w:t>
            </w:r>
            <w:r w:rsidR="003A38F3" w:rsidRPr="00772BC3">
              <w:t xml:space="preserve">across </w:t>
            </w:r>
            <w:r w:rsidR="23B330B5" w:rsidRPr="77359645">
              <w:t>healthcare</w:t>
            </w:r>
            <w:r w:rsidR="003A38F3" w:rsidRPr="00772BC3">
              <w:t xml:space="preserve"> services, across sectors (e.g. social services and aged care), and across life stages.</w:t>
            </w:r>
          </w:p>
        </w:tc>
      </w:tr>
      <w:tr w:rsidR="008C7E8A" w:rsidRPr="00772BC3" w14:paraId="69F8E1EC" w14:textId="77777777" w:rsidTr="0B3BCAD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14:paraId="02D78B10" w14:textId="77777777" w:rsidR="008C7E8A" w:rsidRPr="00772BC3" w:rsidRDefault="008C7E8A" w:rsidP="00A3583A">
            <w:pPr>
              <w:pStyle w:val="Tabletextleft"/>
            </w:pPr>
            <w:r w:rsidRPr="00772BC3">
              <w:t>Digital health</w:t>
            </w:r>
          </w:p>
          <w:p w14:paraId="6C08A310" w14:textId="35E87DC4" w:rsidR="008C7E8A" w:rsidRPr="00772BC3" w:rsidRDefault="008C7E8A" w:rsidP="00A3583A">
            <w:pPr>
              <w:pStyle w:val="Tabletextleft"/>
            </w:pPr>
            <w:r w:rsidRPr="00772BC3">
              <w:t>- use of digital health services</w:t>
            </w:r>
          </w:p>
          <w:p w14:paraId="277D19A9" w14:textId="6C5BE0F7" w:rsidR="008C7E8A" w:rsidRPr="00772BC3" w:rsidRDefault="008C7E8A" w:rsidP="00A3583A">
            <w:pPr>
              <w:pStyle w:val="Tabletextleft"/>
            </w:pPr>
            <w:r w:rsidRPr="00772BC3">
              <w:t>- MBS claims for telehealth items</w:t>
            </w:r>
          </w:p>
        </w:tc>
        <w:tc>
          <w:tcPr>
            <w:tcW w:w="1843" w:type="dxa"/>
          </w:tcPr>
          <w:p w14:paraId="054E2AEF" w14:textId="6427CCD3" w:rsidR="008C7E8A" w:rsidRPr="00772BC3" w:rsidRDefault="008C7E8A" w:rsidP="00A3583A">
            <w:pPr>
              <w:pStyle w:val="Tabletextleft"/>
              <w:cnfStyle w:val="000000010000" w:firstRow="0" w:lastRow="0" w:firstColumn="0" w:lastColumn="0" w:oddVBand="0" w:evenVBand="0" w:oddHBand="0" w:evenHBand="1" w:firstRowFirstColumn="0" w:firstRowLastColumn="0" w:lastRowFirstColumn="0" w:lastRowLastColumn="0"/>
            </w:pPr>
            <w:r w:rsidRPr="00772BC3">
              <w:t>Treatment and management</w:t>
            </w:r>
          </w:p>
        </w:tc>
        <w:tc>
          <w:tcPr>
            <w:tcW w:w="3013" w:type="dxa"/>
          </w:tcPr>
          <w:p w14:paraId="22D1D1B1" w14:textId="09942F6B" w:rsidR="008C7E8A" w:rsidRPr="00772BC3" w:rsidRDefault="008C7E8A" w:rsidP="00A3583A">
            <w:pPr>
              <w:pStyle w:val="Tabletextleft"/>
              <w:cnfStyle w:val="000000010000" w:firstRow="0" w:lastRow="0" w:firstColumn="0" w:lastColumn="0" w:oddVBand="0" w:evenVBand="0" w:oddHBand="0" w:evenHBand="1" w:firstRowFirstColumn="0" w:firstRowLastColumn="0" w:lastRowFirstColumn="0" w:lastRowLastColumn="0"/>
            </w:pPr>
            <w:r w:rsidRPr="00772BC3">
              <w:t>Medicare Benefits Schedule data</w:t>
            </w:r>
          </w:p>
        </w:tc>
        <w:tc>
          <w:tcPr>
            <w:tcW w:w="2872" w:type="dxa"/>
          </w:tcPr>
          <w:p w14:paraId="666635FC" w14:textId="58E0B647" w:rsidR="008C7E8A" w:rsidRPr="00772BC3" w:rsidRDefault="008C7E8A" w:rsidP="00A3583A">
            <w:pPr>
              <w:pStyle w:val="Tabletextleft"/>
              <w:cnfStyle w:val="000000010000" w:firstRow="0" w:lastRow="0" w:firstColumn="0" w:lastColumn="0" w:oddVBand="0" w:evenVBand="0" w:oddHBand="0" w:evenHBand="1" w:firstRowFirstColumn="0" w:firstRowLastColumn="0" w:lastRowFirstColumn="0" w:lastRowLastColumn="0"/>
              <w:rPr>
                <w:sz w:val="16"/>
                <w:szCs w:val="16"/>
              </w:rPr>
            </w:pPr>
            <w:hyperlink r:id="rId141" w:history="1">
              <w:r w:rsidRPr="00A3583A">
                <w:rPr>
                  <w:rStyle w:val="HyperlinkstableChar"/>
                </w:rPr>
                <w:t>Australian Digital Health Agency</w:t>
              </w:r>
            </w:hyperlink>
            <w:r w:rsidRPr="00A3583A">
              <w:t xml:space="preserve"> (annual report)</w:t>
            </w:r>
          </w:p>
        </w:tc>
        <w:tc>
          <w:tcPr>
            <w:tcW w:w="2872" w:type="dxa"/>
          </w:tcPr>
          <w:p w14:paraId="34BD5F7E" w14:textId="28546651" w:rsidR="008C7E8A" w:rsidRPr="00772BC3" w:rsidRDefault="008C7E8A" w:rsidP="00A3583A">
            <w:pPr>
              <w:pStyle w:val="Tabletextleft"/>
              <w:cnfStyle w:val="000000010000" w:firstRow="0" w:lastRow="0" w:firstColumn="0" w:lastColumn="0" w:oddVBand="0" w:evenVBand="0" w:oddHBand="0" w:evenHBand="1" w:firstRowFirstColumn="0" w:firstRowLastColumn="0" w:lastRowFirstColumn="0" w:lastRowLastColumn="0"/>
            </w:pPr>
            <w:r w:rsidRPr="00772BC3">
              <w:t>(</w:t>
            </w:r>
            <w:r w:rsidR="00CF7CF2" w:rsidRPr="00772BC3">
              <w:t xml:space="preserve">2.2, </w:t>
            </w:r>
            <w:r w:rsidRPr="00772BC3">
              <w:t>4.2)</w:t>
            </w:r>
          </w:p>
          <w:p w14:paraId="7A31F7B5" w14:textId="0DC9FCAA" w:rsidR="008C7E8A" w:rsidRPr="00772BC3" w:rsidRDefault="002240A8" w:rsidP="00A3583A">
            <w:pPr>
              <w:pStyle w:val="Tabletextleft"/>
              <w:cnfStyle w:val="000000010000" w:firstRow="0" w:lastRow="0" w:firstColumn="0" w:lastColumn="0" w:oddVBand="0" w:evenVBand="0" w:oddHBand="0" w:evenHBand="1" w:firstRowFirstColumn="0" w:firstRowLastColumn="0" w:lastRowFirstColumn="0" w:lastRowLastColumn="0"/>
            </w:pPr>
            <w:r w:rsidRPr="00772BC3">
              <w:t>Digital health enables better care coordination and timely access to health information.</w:t>
            </w:r>
            <w:r w:rsidR="000819F4" w:rsidRPr="00772BC3">
              <w:t xml:space="preserve"> </w:t>
            </w:r>
            <w:r w:rsidR="008C7E8A" w:rsidRPr="00772BC3">
              <w:t>Includes adoption of digital health services by consumers and health care providers.</w:t>
            </w:r>
          </w:p>
        </w:tc>
      </w:tr>
      <w:tr w:rsidR="008C7E8A" w:rsidRPr="00772BC3" w14:paraId="7AB1731C" w14:textId="77777777" w:rsidTr="0B3BCA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14:paraId="6072A497" w14:textId="4215CA3D" w:rsidR="008C7E8A" w:rsidRPr="00772BC3" w:rsidRDefault="008C7E8A" w:rsidP="00A3583A">
            <w:pPr>
              <w:pStyle w:val="Tabletextleft"/>
            </w:pPr>
            <w:r w:rsidRPr="00772BC3">
              <w:t xml:space="preserve">Cultural safety of </w:t>
            </w:r>
            <w:r w:rsidR="18E122A5" w:rsidRPr="77359645">
              <w:t>healthcare</w:t>
            </w:r>
            <w:r w:rsidRPr="00772BC3">
              <w:t xml:space="preserve"> services</w:t>
            </w:r>
          </w:p>
        </w:tc>
        <w:tc>
          <w:tcPr>
            <w:tcW w:w="1843" w:type="dxa"/>
          </w:tcPr>
          <w:p w14:paraId="292121CE" w14:textId="7A0367D3" w:rsidR="008C7E8A" w:rsidRPr="00772BC3" w:rsidRDefault="008C7E8A" w:rsidP="00A3583A">
            <w:pPr>
              <w:pStyle w:val="Tabletextleft"/>
              <w:cnfStyle w:val="000000100000" w:firstRow="0" w:lastRow="0" w:firstColumn="0" w:lastColumn="0" w:oddVBand="0" w:evenVBand="0" w:oddHBand="1" w:evenHBand="0" w:firstRowFirstColumn="0" w:firstRowLastColumn="0" w:lastRowFirstColumn="0" w:lastRowLastColumn="0"/>
            </w:pPr>
            <w:r w:rsidRPr="00772BC3">
              <w:t>Treatment and management</w:t>
            </w:r>
          </w:p>
        </w:tc>
        <w:tc>
          <w:tcPr>
            <w:tcW w:w="3013" w:type="dxa"/>
          </w:tcPr>
          <w:p w14:paraId="59D3AE15" w14:textId="7BB62086" w:rsidR="008C7E8A" w:rsidRPr="00772BC3" w:rsidRDefault="008C7E8A" w:rsidP="00A3583A">
            <w:pPr>
              <w:pStyle w:val="Tabletextleft"/>
              <w:cnfStyle w:val="000000100000" w:firstRow="0" w:lastRow="0" w:firstColumn="0" w:lastColumn="0" w:oddVBand="0" w:evenVBand="0" w:oddHBand="1" w:evenHBand="0" w:firstRowFirstColumn="0" w:firstRowLastColumn="0" w:lastRowFirstColumn="0" w:lastRowLastColumn="0"/>
            </w:pPr>
            <w:r w:rsidRPr="00772BC3">
              <w:t>National Aboriginal and Torres Strait Islander Health Survey</w:t>
            </w:r>
          </w:p>
          <w:p w14:paraId="771A935B" w14:textId="55F626AD" w:rsidR="008C7E8A" w:rsidRPr="00772BC3" w:rsidRDefault="008C7E8A" w:rsidP="00A3583A">
            <w:pPr>
              <w:pStyle w:val="Tabletextleft"/>
              <w:cnfStyle w:val="000000100000" w:firstRow="0" w:lastRow="0" w:firstColumn="0" w:lastColumn="0" w:oddVBand="0" w:evenVBand="0" w:oddHBand="1" w:evenHBand="0" w:firstRowFirstColumn="0" w:firstRowLastColumn="0" w:lastRowFirstColumn="0" w:lastRowLastColumn="0"/>
              <w:rPr>
                <w:sz w:val="16"/>
                <w:szCs w:val="16"/>
              </w:rPr>
            </w:pPr>
            <w:hyperlink r:id="rId142">
              <w:r w:rsidRPr="00A3583A">
                <w:rPr>
                  <w:rStyle w:val="HyperlinkstableChar"/>
                </w:rPr>
                <w:t>Online Services Report</w:t>
              </w:r>
            </w:hyperlink>
            <w:r w:rsidRPr="00A3583A">
              <w:t xml:space="preserve"> for Aboriginal and Torres Strait Islander people</w:t>
            </w:r>
            <w:r w:rsidR="020B8598" w:rsidRPr="00A3583A">
              <w:t>s</w:t>
            </w:r>
          </w:p>
        </w:tc>
        <w:tc>
          <w:tcPr>
            <w:tcW w:w="2872" w:type="dxa"/>
          </w:tcPr>
          <w:p w14:paraId="5193FAC0" w14:textId="096D37E8" w:rsidR="008C7E8A" w:rsidRPr="00A3583A" w:rsidRDefault="008C7E8A" w:rsidP="00A3583A">
            <w:pPr>
              <w:pStyle w:val="Hyperlinkstable"/>
              <w:cnfStyle w:val="000000100000" w:firstRow="0" w:lastRow="0" w:firstColumn="0" w:lastColumn="0" w:oddVBand="0" w:evenVBand="0" w:oddHBand="1" w:evenHBand="0" w:firstRowFirstColumn="0" w:firstRowLastColumn="0" w:lastRowFirstColumn="0" w:lastRowLastColumn="0"/>
              <w:rPr>
                <w:rStyle w:val="Hyperlink"/>
              </w:rPr>
            </w:pPr>
            <w:hyperlink r:id="rId143" w:history="1">
              <w:r w:rsidRPr="00A3583A">
                <w:rPr>
                  <w:rStyle w:val="Hyperlink"/>
                </w:rPr>
                <w:t>Cultural safety in health care for Indigenous Australians: monitoring framework</w:t>
              </w:r>
            </w:hyperlink>
          </w:p>
        </w:tc>
        <w:tc>
          <w:tcPr>
            <w:tcW w:w="2872" w:type="dxa"/>
          </w:tcPr>
          <w:p w14:paraId="370DA1C5" w14:textId="77777777" w:rsidR="008C7E8A" w:rsidRPr="00772BC3" w:rsidRDefault="008C7E8A" w:rsidP="00A3583A">
            <w:pPr>
              <w:pStyle w:val="Tabletextleft"/>
              <w:cnfStyle w:val="000000100000" w:firstRow="0" w:lastRow="0" w:firstColumn="0" w:lastColumn="0" w:oddVBand="0" w:evenVBand="0" w:oddHBand="1" w:evenHBand="0" w:firstRowFirstColumn="0" w:firstRowLastColumn="0" w:lastRowFirstColumn="0" w:lastRowLastColumn="0"/>
            </w:pPr>
            <w:r w:rsidRPr="00772BC3">
              <w:t>(5.1)</w:t>
            </w:r>
          </w:p>
          <w:p w14:paraId="350778C8" w14:textId="5A1DEFDF" w:rsidR="000819F4" w:rsidRPr="00772BC3" w:rsidRDefault="00DF19A1" w:rsidP="00A3583A">
            <w:pPr>
              <w:pStyle w:val="Tabletextleft"/>
              <w:cnfStyle w:val="000000100000" w:firstRow="0" w:lastRow="0" w:firstColumn="0" w:lastColumn="0" w:oddVBand="0" w:evenVBand="0" w:oddHBand="1" w:evenHBand="0" w:firstRowFirstColumn="0" w:firstRowLastColumn="0" w:lastRowFirstColumn="0" w:lastRowLastColumn="0"/>
            </w:pPr>
            <w:r w:rsidRPr="00772BC3">
              <w:t>Cultural safety helps build trust, improve engagement and support better health outcomes through inclusive and respectful care.</w:t>
            </w:r>
          </w:p>
        </w:tc>
      </w:tr>
      <w:tr w:rsidR="008C7E8A" w:rsidRPr="00772BC3" w14:paraId="5C22648E" w14:textId="77777777" w:rsidTr="0B3BCAD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14:paraId="452C6B2C" w14:textId="74ACDA2B" w:rsidR="008C7E8A" w:rsidRPr="00772BC3" w:rsidRDefault="008C7E8A" w:rsidP="00A3583A">
            <w:pPr>
              <w:pStyle w:val="Tabletextleft"/>
            </w:pPr>
            <w:r w:rsidRPr="00772BC3">
              <w:t xml:space="preserve">Aboriginal and Torres Strait Islander </w:t>
            </w:r>
            <w:r w:rsidRPr="282437F7">
              <w:t>people</w:t>
            </w:r>
            <w:r w:rsidR="68B3168D" w:rsidRPr="282437F7">
              <w:t>s</w:t>
            </w:r>
          </w:p>
        </w:tc>
        <w:tc>
          <w:tcPr>
            <w:tcW w:w="1843" w:type="dxa"/>
          </w:tcPr>
          <w:p w14:paraId="54184C7A" w14:textId="64E70192" w:rsidR="008C7E8A" w:rsidRPr="00772BC3" w:rsidRDefault="008C7E8A" w:rsidP="00A3583A">
            <w:pPr>
              <w:pStyle w:val="Tabletextleft"/>
              <w:cnfStyle w:val="000000010000" w:firstRow="0" w:lastRow="0" w:firstColumn="0" w:lastColumn="0" w:oddVBand="0" w:evenVBand="0" w:oddHBand="0" w:evenHBand="1" w:firstRowFirstColumn="0" w:firstRowLastColumn="0" w:lastRowFirstColumn="0" w:lastRowLastColumn="0"/>
            </w:pPr>
            <w:r w:rsidRPr="00772BC3">
              <w:t>Priority populations</w:t>
            </w:r>
          </w:p>
        </w:tc>
        <w:tc>
          <w:tcPr>
            <w:tcW w:w="3013" w:type="dxa"/>
          </w:tcPr>
          <w:p w14:paraId="42FC94A1" w14:textId="1EFB058B" w:rsidR="008C7E8A" w:rsidRPr="00A3583A" w:rsidRDefault="008C7E8A" w:rsidP="00A3583A">
            <w:pPr>
              <w:pStyle w:val="Hyperlinkstable"/>
              <w:cnfStyle w:val="000000010000" w:firstRow="0" w:lastRow="0" w:firstColumn="0" w:lastColumn="0" w:oddVBand="0" w:evenVBand="0" w:oddHBand="0" w:evenHBand="1" w:firstRowFirstColumn="0" w:firstRowLastColumn="0" w:lastRowFirstColumn="0" w:lastRowLastColumn="0"/>
              <w:rPr>
                <w:rStyle w:val="Hyperlink"/>
              </w:rPr>
            </w:pPr>
            <w:hyperlink r:id="rId144" w:history="1">
              <w:r w:rsidRPr="00A3583A">
                <w:rPr>
                  <w:rStyle w:val="Hyperlink"/>
                </w:rPr>
                <w:t>National Aboriginal and Torres Strait Islander Health Survey</w:t>
              </w:r>
            </w:hyperlink>
          </w:p>
          <w:p w14:paraId="0D428886" w14:textId="77777777" w:rsidR="008C7E8A" w:rsidRPr="00772BC3" w:rsidRDefault="008C7E8A" w:rsidP="00A3583A">
            <w:pPr>
              <w:pStyle w:val="Tabletextleft"/>
              <w:cnfStyle w:val="000000010000" w:firstRow="0" w:lastRow="0" w:firstColumn="0" w:lastColumn="0" w:oddVBand="0" w:evenVBand="0" w:oddHBand="0" w:evenHBand="1" w:firstRowFirstColumn="0" w:firstRowLastColumn="0" w:lastRowFirstColumn="0" w:lastRowLastColumn="0"/>
            </w:pPr>
            <w:r w:rsidRPr="00772BC3">
              <w:t>Australian Burden of Disease Study</w:t>
            </w:r>
          </w:p>
          <w:p w14:paraId="26C8C948" w14:textId="77777777" w:rsidR="008C7E8A" w:rsidRPr="00772BC3" w:rsidRDefault="008C7E8A" w:rsidP="00A3583A">
            <w:pPr>
              <w:pStyle w:val="Tabletextleft"/>
              <w:cnfStyle w:val="000000010000" w:firstRow="0" w:lastRow="0" w:firstColumn="0" w:lastColumn="0" w:oddVBand="0" w:evenVBand="0" w:oddHBand="0" w:evenHBand="1" w:firstRowFirstColumn="0" w:firstRowLastColumn="0" w:lastRowFirstColumn="0" w:lastRowLastColumn="0"/>
            </w:pPr>
            <w:r w:rsidRPr="00772BC3">
              <w:t>National Aboriginal and Torres Strait Islander Social Survey</w:t>
            </w:r>
          </w:p>
          <w:p w14:paraId="433AC7D3" w14:textId="34366B8D" w:rsidR="008C7E8A" w:rsidRPr="00772BC3" w:rsidRDefault="008C7E8A" w:rsidP="00A3583A">
            <w:pPr>
              <w:pStyle w:val="Tabletextleft"/>
              <w:cnfStyle w:val="000000010000" w:firstRow="0" w:lastRow="0" w:firstColumn="0" w:lastColumn="0" w:oddVBand="0" w:evenVBand="0" w:oddHBand="0" w:evenHBand="1" w:firstRowFirstColumn="0" w:firstRowLastColumn="0" w:lastRowFirstColumn="0" w:lastRowLastColumn="0"/>
            </w:pPr>
            <w:r w:rsidRPr="00772BC3">
              <w:t>Australian Reconciliation Barometer (survey)</w:t>
            </w:r>
          </w:p>
        </w:tc>
        <w:tc>
          <w:tcPr>
            <w:tcW w:w="2872" w:type="dxa"/>
          </w:tcPr>
          <w:p w14:paraId="770BAAAC" w14:textId="3761A8D3" w:rsidR="008C7E8A" w:rsidRPr="00A3583A" w:rsidRDefault="008C7E8A" w:rsidP="00A3583A">
            <w:pPr>
              <w:pStyle w:val="Hyperlinkstable"/>
              <w:cnfStyle w:val="000000010000" w:firstRow="0" w:lastRow="0" w:firstColumn="0" w:lastColumn="0" w:oddVBand="0" w:evenVBand="0" w:oddHBand="0" w:evenHBand="1" w:firstRowFirstColumn="0" w:firstRowLastColumn="0" w:lastRowFirstColumn="0" w:lastRowLastColumn="0"/>
              <w:rPr>
                <w:rStyle w:val="Hyperlink"/>
              </w:rPr>
            </w:pPr>
            <w:hyperlink r:id="rId145" w:history="1">
              <w:r w:rsidRPr="00A3583A">
                <w:rPr>
                  <w:rStyle w:val="Hyperlink"/>
                </w:rPr>
                <w:t>Aboriginal and Torres Strait Islander Health Performance Framework</w:t>
              </w:r>
            </w:hyperlink>
            <w:r w:rsidRPr="00A3583A">
              <w:rPr>
                <w:rStyle w:val="Hyperlink"/>
              </w:rPr>
              <w:t xml:space="preserve"> </w:t>
            </w:r>
          </w:p>
          <w:p w14:paraId="22ECE977" w14:textId="628E9171" w:rsidR="008C7E8A" w:rsidRPr="00A3583A" w:rsidRDefault="008C7E8A" w:rsidP="00A3583A">
            <w:pPr>
              <w:pStyle w:val="Hyperlinkstable"/>
              <w:cnfStyle w:val="000000010000" w:firstRow="0" w:lastRow="0" w:firstColumn="0" w:lastColumn="0" w:oddVBand="0" w:evenVBand="0" w:oddHBand="0" w:evenHBand="1" w:firstRowFirstColumn="0" w:firstRowLastColumn="0" w:lastRowFirstColumn="0" w:lastRowLastColumn="0"/>
              <w:rPr>
                <w:rStyle w:val="Hyperlink"/>
              </w:rPr>
            </w:pPr>
            <w:hyperlink r:id="rId146" w:history="1">
              <w:r w:rsidRPr="00A3583A">
                <w:rPr>
                  <w:rStyle w:val="Hyperlink"/>
                </w:rPr>
                <w:t>Regional Insights for Indigenous Communities</w:t>
              </w:r>
            </w:hyperlink>
            <w:r w:rsidRPr="00A3583A">
              <w:rPr>
                <w:rStyle w:val="Hyperlink"/>
              </w:rPr>
              <w:t xml:space="preserve"> </w:t>
            </w:r>
          </w:p>
          <w:p w14:paraId="2A0C9831" w14:textId="3706954D" w:rsidR="008C7E8A" w:rsidRPr="00A3583A" w:rsidRDefault="008C7E8A" w:rsidP="00A3583A">
            <w:pPr>
              <w:pStyle w:val="Hyperlinkstable"/>
              <w:cnfStyle w:val="000000010000" w:firstRow="0" w:lastRow="0" w:firstColumn="0" w:lastColumn="0" w:oddVBand="0" w:evenVBand="0" w:oddHBand="0" w:evenHBand="1" w:firstRowFirstColumn="0" w:firstRowLastColumn="0" w:lastRowFirstColumn="0" w:lastRowLastColumn="0"/>
              <w:rPr>
                <w:rStyle w:val="Hyperlink"/>
              </w:rPr>
            </w:pPr>
            <w:hyperlink r:id="rId147" w:history="1">
              <w:r w:rsidRPr="00A3583A">
                <w:rPr>
                  <w:rStyle w:val="Hyperlink"/>
                </w:rPr>
                <w:t>Cultural safety in health care for Indigenous Australians: monitoring framework</w:t>
              </w:r>
            </w:hyperlink>
            <w:r w:rsidRPr="00A3583A">
              <w:rPr>
                <w:rStyle w:val="Hyperlink"/>
              </w:rPr>
              <w:t xml:space="preserve"> </w:t>
            </w:r>
          </w:p>
          <w:p w14:paraId="4110CBE2" w14:textId="403763A5" w:rsidR="008C7E8A" w:rsidRPr="00772BC3" w:rsidRDefault="008C7E8A" w:rsidP="00A3583A">
            <w:pPr>
              <w:pStyle w:val="Tabletextleft"/>
              <w:cnfStyle w:val="000000010000" w:firstRow="0" w:lastRow="0" w:firstColumn="0" w:lastColumn="0" w:oddVBand="0" w:evenVBand="0" w:oddHBand="0" w:evenHBand="1" w:firstRowFirstColumn="0" w:firstRowLastColumn="0" w:lastRowFirstColumn="0" w:lastRowLastColumn="0"/>
            </w:pPr>
            <w:r w:rsidRPr="00772BC3">
              <w:t>Australian Burden of Disease Study: impact and cause of illness and death in Aboriginal and Torres Strait Islander people (web report)</w:t>
            </w:r>
          </w:p>
        </w:tc>
        <w:tc>
          <w:tcPr>
            <w:tcW w:w="2872" w:type="dxa"/>
          </w:tcPr>
          <w:p w14:paraId="4F0C7EEB" w14:textId="77777777" w:rsidR="008C7E8A" w:rsidRPr="00772BC3" w:rsidRDefault="008C7E8A" w:rsidP="00A3583A">
            <w:pPr>
              <w:pStyle w:val="Tabletextleft"/>
              <w:cnfStyle w:val="000000010000" w:firstRow="0" w:lastRow="0" w:firstColumn="0" w:lastColumn="0" w:oddVBand="0" w:evenVBand="0" w:oddHBand="0" w:evenHBand="1" w:firstRowFirstColumn="0" w:firstRowLastColumn="0" w:lastRowFirstColumn="0" w:lastRowLastColumn="0"/>
            </w:pPr>
            <w:r w:rsidRPr="00772BC3">
              <w:t>(5.1, 5.2, 5.3)</w:t>
            </w:r>
          </w:p>
          <w:p w14:paraId="346EE8E4" w14:textId="346484F9" w:rsidR="008C7E8A" w:rsidRPr="00772BC3" w:rsidRDefault="008C7E8A" w:rsidP="00A3583A">
            <w:pPr>
              <w:pStyle w:val="Tabletextleft"/>
              <w:cnfStyle w:val="000000010000" w:firstRow="0" w:lastRow="0" w:firstColumn="0" w:lastColumn="0" w:oddVBand="0" w:evenVBand="0" w:oddHBand="0" w:evenHBand="1" w:firstRowFirstColumn="0" w:firstRowLastColumn="0" w:lastRowFirstColumn="0" w:lastRowLastColumn="0"/>
            </w:pPr>
            <w:r w:rsidRPr="00772BC3">
              <w:t>National data is often presented by Indigenous status.</w:t>
            </w:r>
          </w:p>
          <w:p w14:paraId="3C6A7BF6" w14:textId="46E6FFEB" w:rsidR="008C7E8A" w:rsidRPr="00772BC3" w:rsidRDefault="008C7E8A" w:rsidP="00A3583A">
            <w:pPr>
              <w:pStyle w:val="Tabletextleft"/>
              <w:cnfStyle w:val="000000010000" w:firstRow="0" w:lastRow="0" w:firstColumn="0" w:lastColumn="0" w:oddVBand="0" w:evenVBand="0" w:oddHBand="0" w:evenHBand="1" w:firstRowFirstColumn="0" w:firstRowLastColumn="0" w:lastRowFirstColumn="0" w:lastRowLastColumn="0"/>
            </w:pPr>
            <w:r w:rsidRPr="00772BC3">
              <w:t>Measures should include improved data collection (including completeness and consistency).</w:t>
            </w:r>
          </w:p>
        </w:tc>
      </w:tr>
      <w:tr w:rsidR="008C7E8A" w:rsidRPr="00772BC3" w14:paraId="51449391" w14:textId="77777777" w:rsidTr="0B3BCA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14:paraId="183B535A" w14:textId="36644133" w:rsidR="008C7E8A" w:rsidRPr="00772BC3" w:rsidRDefault="008C7E8A" w:rsidP="00A3583A">
            <w:pPr>
              <w:pStyle w:val="Tabletextleft"/>
            </w:pPr>
            <w:r w:rsidRPr="00772BC3">
              <w:t>People living in rural, regional and remote areas</w:t>
            </w:r>
          </w:p>
        </w:tc>
        <w:tc>
          <w:tcPr>
            <w:tcW w:w="1843" w:type="dxa"/>
          </w:tcPr>
          <w:p w14:paraId="36F95E11" w14:textId="6FA47184" w:rsidR="008C7E8A" w:rsidRPr="00772BC3" w:rsidRDefault="008C7E8A" w:rsidP="00A3583A">
            <w:pPr>
              <w:pStyle w:val="Tabletextleft"/>
              <w:cnfStyle w:val="000000100000" w:firstRow="0" w:lastRow="0" w:firstColumn="0" w:lastColumn="0" w:oddVBand="0" w:evenVBand="0" w:oddHBand="1" w:evenHBand="0" w:firstRowFirstColumn="0" w:firstRowLastColumn="0" w:lastRowFirstColumn="0" w:lastRowLastColumn="0"/>
            </w:pPr>
            <w:r w:rsidRPr="00772BC3">
              <w:t>Priority populations</w:t>
            </w:r>
          </w:p>
        </w:tc>
        <w:tc>
          <w:tcPr>
            <w:tcW w:w="3013" w:type="dxa"/>
          </w:tcPr>
          <w:p w14:paraId="179A78C3" w14:textId="53627628" w:rsidR="008C7E8A" w:rsidRPr="00772BC3" w:rsidRDefault="008C7E8A" w:rsidP="00A3583A">
            <w:pPr>
              <w:pStyle w:val="Tabletextleft"/>
              <w:cnfStyle w:val="000000100000" w:firstRow="0" w:lastRow="0" w:firstColumn="0" w:lastColumn="0" w:oddVBand="0" w:evenVBand="0" w:oddHBand="1" w:evenHBand="0" w:firstRowFirstColumn="0" w:firstRowLastColumn="0" w:lastRowFirstColumn="0" w:lastRowLastColumn="0"/>
            </w:pPr>
            <w:r w:rsidRPr="00772BC3">
              <w:t>See comment</w:t>
            </w:r>
          </w:p>
        </w:tc>
        <w:tc>
          <w:tcPr>
            <w:tcW w:w="2872" w:type="dxa"/>
          </w:tcPr>
          <w:p w14:paraId="1C17885D" w14:textId="3FFA9364" w:rsidR="008C7E8A" w:rsidRPr="00772BC3" w:rsidRDefault="008C7E8A" w:rsidP="00A3583A">
            <w:pPr>
              <w:pStyle w:val="Tabletextleft"/>
              <w:cnfStyle w:val="000000100000" w:firstRow="0" w:lastRow="0" w:firstColumn="0" w:lastColumn="0" w:oddVBand="0" w:evenVBand="0" w:oddHBand="1" w:evenHBand="0" w:firstRowFirstColumn="0" w:firstRowLastColumn="0" w:lastRowFirstColumn="0" w:lastRowLastColumn="0"/>
              <w:rPr>
                <w:sz w:val="16"/>
                <w:szCs w:val="16"/>
              </w:rPr>
            </w:pPr>
            <w:r w:rsidRPr="00A3583A">
              <w:t>Australia's Health, ‘</w:t>
            </w:r>
            <w:hyperlink r:id="rId148" w:history="1">
              <w:r w:rsidRPr="00772BC3">
                <w:rPr>
                  <w:rStyle w:val="Hyperlink"/>
                </w:rPr>
                <w:t>Rural and remote health</w:t>
              </w:r>
            </w:hyperlink>
            <w:r w:rsidRPr="00A3583A">
              <w:t>’ topic summary</w:t>
            </w:r>
          </w:p>
        </w:tc>
        <w:tc>
          <w:tcPr>
            <w:tcW w:w="2872" w:type="dxa"/>
          </w:tcPr>
          <w:p w14:paraId="6596A2F6" w14:textId="77777777" w:rsidR="008C7E8A" w:rsidRPr="00772BC3" w:rsidRDefault="008C7E8A" w:rsidP="00A3583A">
            <w:pPr>
              <w:pStyle w:val="Tabletextleft"/>
              <w:cnfStyle w:val="000000100000" w:firstRow="0" w:lastRow="0" w:firstColumn="0" w:lastColumn="0" w:oddVBand="0" w:evenVBand="0" w:oddHBand="1" w:evenHBand="0" w:firstRowFirstColumn="0" w:firstRowLastColumn="0" w:lastRowFirstColumn="0" w:lastRowLastColumn="0"/>
            </w:pPr>
            <w:r w:rsidRPr="00772BC3">
              <w:t>(5.1, 5.2, 5.3)</w:t>
            </w:r>
          </w:p>
          <w:p w14:paraId="4DD7221D" w14:textId="194BA557" w:rsidR="008C7E8A" w:rsidRPr="00772BC3" w:rsidRDefault="008C7E8A" w:rsidP="00A3583A">
            <w:pPr>
              <w:pStyle w:val="Tabletextleft"/>
              <w:cnfStyle w:val="000000100000" w:firstRow="0" w:lastRow="0" w:firstColumn="0" w:lastColumn="0" w:oddVBand="0" w:evenVBand="0" w:oddHBand="1" w:evenHBand="0" w:firstRowFirstColumn="0" w:firstRowLastColumn="0" w:lastRowFirstColumn="0" w:lastRowLastColumn="0"/>
              <w:rPr>
                <w:sz w:val="16"/>
                <w:szCs w:val="16"/>
              </w:rPr>
            </w:pPr>
            <w:r w:rsidRPr="00A3583A">
              <w:t xml:space="preserve">National data is often presented by remoteness area based on the </w:t>
            </w:r>
            <w:hyperlink r:id="rId149" w:history="1">
              <w:r w:rsidRPr="00772BC3">
                <w:rPr>
                  <w:rStyle w:val="Hyperlink"/>
                </w:rPr>
                <w:t>Australian Statistical Geography Standard Remoteness Structure</w:t>
              </w:r>
            </w:hyperlink>
            <w:r w:rsidRPr="00A3583A">
              <w:t xml:space="preserve"> or </w:t>
            </w:r>
            <w:hyperlink r:id="rId150" w:history="1">
              <w:r w:rsidRPr="00772BC3">
                <w:rPr>
                  <w:rStyle w:val="Hyperlink"/>
                </w:rPr>
                <w:t>Modified Monash Model</w:t>
              </w:r>
            </w:hyperlink>
          </w:p>
        </w:tc>
      </w:tr>
      <w:tr w:rsidR="008C7E8A" w:rsidRPr="00772BC3" w14:paraId="2FB46991" w14:textId="77777777" w:rsidTr="0B3BCAD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14:paraId="639C1023" w14:textId="37C63EBA" w:rsidR="008C7E8A" w:rsidRPr="00772BC3" w:rsidRDefault="008C7E8A" w:rsidP="00A3583A">
            <w:pPr>
              <w:pStyle w:val="Tabletextleft"/>
            </w:pPr>
            <w:r w:rsidRPr="00772BC3">
              <w:t>People from CALD backgrounds</w:t>
            </w:r>
          </w:p>
        </w:tc>
        <w:tc>
          <w:tcPr>
            <w:tcW w:w="1843" w:type="dxa"/>
          </w:tcPr>
          <w:p w14:paraId="7523FF2E" w14:textId="12493B0F" w:rsidR="008C7E8A" w:rsidRPr="00772BC3" w:rsidRDefault="008C7E8A" w:rsidP="00A3583A">
            <w:pPr>
              <w:pStyle w:val="Tabletextleft"/>
              <w:cnfStyle w:val="000000010000" w:firstRow="0" w:lastRow="0" w:firstColumn="0" w:lastColumn="0" w:oddVBand="0" w:evenVBand="0" w:oddHBand="0" w:evenHBand="1" w:firstRowFirstColumn="0" w:firstRowLastColumn="0" w:lastRowFirstColumn="0" w:lastRowLastColumn="0"/>
            </w:pPr>
            <w:r w:rsidRPr="00772BC3">
              <w:t>Priority populations</w:t>
            </w:r>
          </w:p>
        </w:tc>
        <w:tc>
          <w:tcPr>
            <w:tcW w:w="3013" w:type="dxa"/>
          </w:tcPr>
          <w:p w14:paraId="643E76FB" w14:textId="62DB7759" w:rsidR="008C7E8A" w:rsidRPr="00772BC3" w:rsidRDefault="008C7E8A" w:rsidP="00A3583A">
            <w:pPr>
              <w:pStyle w:val="Tabletextleft"/>
              <w:cnfStyle w:val="000000010000" w:firstRow="0" w:lastRow="0" w:firstColumn="0" w:lastColumn="0" w:oddVBand="0" w:evenVBand="0" w:oddHBand="0" w:evenHBand="1" w:firstRowFirstColumn="0" w:firstRowLastColumn="0" w:lastRowFirstColumn="0" w:lastRowLastColumn="0"/>
            </w:pPr>
            <w:r w:rsidRPr="00772BC3">
              <w:t xml:space="preserve">Census of Population and Housing </w:t>
            </w:r>
          </w:p>
          <w:p w14:paraId="5BA4DA42" w14:textId="578FC82E" w:rsidR="008C7E8A" w:rsidRPr="00772BC3" w:rsidRDefault="008C7E8A" w:rsidP="00A3583A">
            <w:pPr>
              <w:pStyle w:val="Tabletextleft"/>
              <w:cnfStyle w:val="000000010000" w:firstRow="0" w:lastRow="0" w:firstColumn="0" w:lastColumn="0" w:oddVBand="0" w:evenVBand="0" w:oddHBand="0" w:evenHBand="1" w:firstRowFirstColumn="0" w:firstRowLastColumn="0" w:lastRowFirstColumn="0" w:lastRowLastColumn="0"/>
            </w:pPr>
            <w:r w:rsidRPr="00772BC3">
              <w:t xml:space="preserve">National Health Survey </w:t>
            </w:r>
          </w:p>
          <w:p w14:paraId="21D836DC" w14:textId="49D3BD2B" w:rsidR="008C7E8A" w:rsidRPr="00A3583A" w:rsidRDefault="008C7E8A" w:rsidP="00A3583A">
            <w:pPr>
              <w:pStyle w:val="Tabletextleft"/>
              <w:cnfStyle w:val="000000010000" w:firstRow="0" w:lastRow="0" w:firstColumn="0" w:lastColumn="0" w:oddVBand="0" w:evenVBand="0" w:oddHBand="0" w:evenHBand="1" w:firstRowFirstColumn="0" w:firstRowLastColumn="0" w:lastRowFirstColumn="0" w:lastRowLastColumn="0"/>
            </w:pPr>
            <w:hyperlink r:id="rId151" w:history="1">
              <w:r w:rsidRPr="00772BC3">
                <w:rPr>
                  <w:rStyle w:val="Hyperlink"/>
                </w:rPr>
                <w:t>Building a New Life in Australia</w:t>
              </w:r>
            </w:hyperlink>
            <w:r w:rsidRPr="00A3583A">
              <w:t xml:space="preserve"> </w:t>
            </w:r>
          </w:p>
          <w:p w14:paraId="01017A35" w14:textId="7EBD5130" w:rsidR="008C7E8A" w:rsidRPr="00772BC3" w:rsidRDefault="008C7E8A" w:rsidP="00A3583A">
            <w:pPr>
              <w:pStyle w:val="Tabletextleft"/>
              <w:cnfStyle w:val="000000010000" w:firstRow="0" w:lastRow="0" w:firstColumn="0" w:lastColumn="0" w:oddVBand="0" w:evenVBand="0" w:oddHBand="0" w:evenHBand="1" w:firstRowFirstColumn="0" w:firstRowLastColumn="0" w:lastRowFirstColumn="0" w:lastRowLastColumn="0"/>
            </w:pPr>
            <w:r w:rsidRPr="00772BC3">
              <w:t>Linked CALD status and health data (such as Australian Migrants and Census Integrated Dataset and Person Level Integrated Data Asset)</w:t>
            </w:r>
          </w:p>
        </w:tc>
        <w:tc>
          <w:tcPr>
            <w:tcW w:w="2872" w:type="dxa"/>
          </w:tcPr>
          <w:p w14:paraId="65CFA56C" w14:textId="2F188ACA" w:rsidR="008C7E8A" w:rsidRPr="00A3583A" w:rsidRDefault="008C7E8A" w:rsidP="00A3583A">
            <w:pPr>
              <w:pStyle w:val="Tabletextleft"/>
              <w:cnfStyle w:val="000000010000" w:firstRow="0" w:lastRow="0" w:firstColumn="0" w:lastColumn="0" w:oddVBand="0" w:evenVBand="0" w:oddHBand="0" w:evenHBand="1" w:firstRowFirstColumn="0" w:firstRowLastColumn="0" w:lastRowFirstColumn="0" w:lastRowLastColumn="0"/>
            </w:pPr>
            <w:hyperlink r:id="rId152" w:history="1">
              <w:r w:rsidRPr="00772BC3">
                <w:rPr>
                  <w:rStyle w:val="Hyperlink"/>
                </w:rPr>
                <w:t>Permanent migrants in Australia</w:t>
              </w:r>
            </w:hyperlink>
            <w:r w:rsidRPr="00A3583A">
              <w:t>, ABS release</w:t>
            </w:r>
          </w:p>
          <w:p w14:paraId="30B9E559" w14:textId="115858D1" w:rsidR="008C7E8A" w:rsidRPr="00772BC3" w:rsidRDefault="008C7E8A" w:rsidP="00A3583A">
            <w:pPr>
              <w:pStyle w:val="Tabletextleft"/>
              <w:cnfStyle w:val="000000010000" w:firstRow="0" w:lastRow="0" w:firstColumn="0" w:lastColumn="0" w:oddVBand="0" w:evenVBand="0" w:oddHBand="0" w:evenHBand="1" w:firstRowFirstColumn="0" w:firstRowLastColumn="0" w:lastRowFirstColumn="0" w:lastRowLastColumn="0"/>
            </w:pPr>
            <w:r w:rsidRPr="00A3583A">
              <w:t>‘</w:t>
            </w:r>
            <w:hyperlink r:id="rId153" w:history="1">
              <w:r w:rsidRPr="00772BC3">
                <w:rPr>
                  <w:rStyle w:val="Hyperlink"/>
                </w:rPr>
                <w:t>Cultural and linguistically diverse Australians</w:t>
              </w:r>
            </w:hyperlink>
            <w:r w:rsidRPr="00A3583A">
              <w:t>’, AIHW topic page</w:t>
            </w:r>
          </w:p>
        </w:tc>
        <w:tc>
          <w:tcPr>
            <w:tcW w:w="2872" w:type="dxa"/>
          </w:tcPr>
          <w:p w14:paraId="06FD1281" w14:textId="77777777" w:rsidR="008C7E8A" w:rsidRPr="00772BC3" w:rsidRDefault="008C7E8A" w:rsidP="00A3583A">
            <w:pPr>
              <w:pStyle w:val="Tabletextleft"/>
              <w:cnfStyle w:val="000000010000" w:firstRow="0" w:lastRow="0" w:firstColumn="0" w:lastColumn="0" w:oddVBand="0" w:evenVBand="0" w:oddHBand="0" w:evenHBand="1" w:firstRowFirstColumn="0" w:firstRowLastColumn="0" w:lastRowFirstColumn="0" w:lastRowLastColumn="0"/>
            </w:pPr>
            <w:r w:rsidRPr="00772BC3">
              <w:t>(5.1, 5.2, 5.3)</w:t>
            </w:r>
          </w:p>
          <w:p w14:paraId="70727DAB" w14:textId="5BEC7D7E" w:rsidR="008C7E8A" w:rsidRPr="00A3583A" w:rsidRDefault="008C7E8A" w:rsidP="00A3583A">
            <w:pPr>
              <w:pStyle w:val="Tabletextleft"/>
              <w:cnfStyle w:val="000000010000" w:firstRow="0" w:lastRow="0" w:firstColumn="0" w:lastColumn="0" w:oddVBand="0" w:evenVBand="0" w:oddHBand="0" w:evenHBand="1" w:firstRowFirstColumn="0" w:firstRowLastColumn="0" w:lastRowFirstColumn="0" w:lastRowLastColumn="0"/>
            </w:pPr>
            <w:r w:rsidRPr="00A3583A">
              <w:t xml:space="preserve">The set of cultural and language indicators described in the </w:t>
            </w:r>
            <w:hyperlink r:id="rId154" w:history="1">
              <w:r w:rsidRPr="00772BC3">
                <w:rPr>
                  <w:rStyle w:val="Hyperlink"/>
                </w:rPr>
                <w:t>ABS Standards for Statistics on Cultural and Language Diversity</w:t>
              </w:r>
            </w:hyperlink>
            <w:r w:rsidRPr="00A3583A">
              <w:t xml:space="preserve"> are not routinely captured in national health data. Some data sources capture country of birth (e.g. ABS Death Registrations collection). Measures should include improved data collection (including completeness and consistency).</w:t>
            </w:r>
          </w:p>
          <w:p w14:paraId="66A0539C" w14:textId="734C0C8B" w:rsidR="008C7E8A" w:rsidRPr="00772BC3" w:rsidRDefault="008C7E8A" w:rsidP="00A3583A">
            <w:pPr>
              <w:pStyle w:val="Tabletextleft"/>
              <w:cnfStyle w:val="000000010000" w:firstRow="0" w:lastRow="0" w:firstColumn="0" w:lastColumn="0" w:oddVBand="0" w:evenVBand="0" w:oddHBand="0" w:evenHBand="1" w:firstRowFirstColumn="0" w:firstRowLastColumn="0" w:lastRowFirstColumn="0" w:lastRowLastColumn="0"/>
            </w:pPr>
            <w:r w:rsidRPr="00772BC3">
              <w:t>Refugee and humanitarian entrant status can be identified using the Settlement Database and linked with health data.</w:t>
            </w:r>
          </w:p>
        </w:tc>
      </w:tr>
      <w:tr w:rsidR="008C7E8A" w:rsidRPr="00772BC3" w14:paraId="59F0A9E1" w14:textId="77777777" w:rsidTr="0B3BCA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14:paraId="155E668D" w14:textId="26E7B156" w:rsidR="008C7E8A" w:rsidRPr="00772BC3" w:rsidRDefault="008C7E8A" w:rsidP="00A3583A">
            <w:pPr>
              <w:pStyle w:val="Tabletextleft"/>
            </w:pPr>
            <w:r w:rsidRPr="00772BC3">
              <w:t>People with disability</w:t>
            </w:r>
          </w:p>
        </w:tc>
        <w:tc>
          <w:tcPr>
            <w:tcW w:w="1843" w:type="dxa"/>
          </w:tcPr>
          <w:p w14:paraId="6190F667" w14:textId="36DF9BEB" w:rsidR="008C7E8A" w:rsidRPr="00772BC3" w:rsidRDefault="008C7E8A" w:rsidP="00A3583A">
            <w:pPr>
              <w:pStyle w:val="Tabletextleft"/>
              <w:cnfStyle w:val="000000100000" w:firstRow="0" w:lastRow="0" w:firstColumn="0" w:lastColumn="0" w:oddVBand="0" w:evenVBand="0" w:oddHBand="1" w:evenHBand="0" w:firstRowFirstColumn="0" w:firstRowLastColumn="0" w:lastRowFirstColumn="0" w:lastRowLastColumn="0"/>
            </w:pPr>
            <w:r w:rsidRPr="00772BC3">
              <w:t>Priority populations</w:t>
            </w:r>
          </w:p>
        </w:tc>
        <w:tc>
          <w:tcPr>
            <w:tcW w:w="3013" w:type="dxa"/>
          </w:tcPr>
          <w:p w14:paraId="6092D188" w14:textId="5EAF0843" w:rsidR="008C7E8A" w:rsidRPr="00772BC3" w:rsidRDefault="008C7E8A" w:rsidP="00A3583A">
            <w:pPr>
              <w:pStyle w:val="Tabletextleft"/>
              <w:cnfStyle w:val="000000100000" w:firstRow="0" w:lastRow="0" w:firstColumn="0" w:lastColumn="0" w:oddVBand="0" w:evenVBand="0" w:oddHBand="1" w:evenHBand="0" w:firstRowFirstColumn="0" w:firstRowLastColumn="0" w:lastRowFirstColumn="0" w:lastRowLastColumn="0"/>
            </w:pPr>
            <w:r w:rsidRPr="00772BC3">
              <w:t xml:space="preserve">Survey of Disability, Ageing and Carers </w:t>
            </w:r>
          </w:p>
          <w:p w14:paraId="0D1BB7F0" w14:textId="261DC0FE" w:rsidR="008C7E8A" w:rsidRPr="00772BC3" w:rsidRDefault="008C7E8A" w:rsidP="00A3583A">
            <w:pPr>
              <w:pStyle w:val="Tabletextleft"/>
              <w:cnfStyle w:val="000000100000" w:firstRow="0" w:lastRow="0" w:firstColumn="0" w:lastColumn="0" w:oddVBand="0" w:evenVBand="0" w:oddHBand="1" w:evenHBand="0" w:firstRowFirstColumn="0" w:firstRowLastColumn="0" w:lastRowFirstColumn="0" w:lastRowLastColumn="0"/>
            </w:pPr>
            <w:r w:rsidRPr="00772BC3">
              <w:t xml:space="preserve">National Health Survey </w:t>
            </w:r>
          </w:p>
          <w:p w14:paraId="1149BCB1" w14:textId="7B6C39BE" w:rsidR="008C7E8A" w:rsidRPr="00772BC3" w:rsidRDefault="008C7E8A" w:rsidP="00A3583A">
            <w:pPr>
              <w:pStyle w:val="Tabletextleft"/>
              <w:cnfStyle w:val="000000100000" w:firstRow="0" w:lastRow="0" w:firstColumn="0" w:lastColumn="0" w:oddVBand="0" w:evenVBand="0" w:oddHBand="1" w:evenHBand="0" w:firstRowFirstColumn="0" w:firstRowLastColumn="0" w:lastRowFirstColumn="0" w:lastRowLastColumn="0"/>
            </w:pPr>
            <w:r w:rsidRPr="00772BC3">
              <w:t>Household Income and Labour Dynamics in Australia (HILDA)</w:t>
            </w:r>
          </w:p>
        </w:tc>
        <w:tc>
          <w:tcPr>
            <w:tcW w:w="2872" w:type="dxa"/>
          </w:tcPr>
          <w:p w14:paraId="01F019C6" w14:textId="77777777" w:rsidR="008C7E8A" w:rsidRPr="00A3583A" w:rsidRDefault="008C7E8A" w:rsidP="00A3583A">
            <w:pPr>
              <w:pStyle w:val="Tabletextleft"/>
              <w:cnfStyle w:val="000000100000" w:firstRow="0" w:lastRow="0" w:firstColumn="0" w:lastColumn="0" w:oddVBand="0" w:evenVBand="0" w:oddHBand="1" w:evenHBand="0" w:firstRowFirstColumn="0" w:firstRowLastColumn="0" w:lastRowFirstColumn="0" w:lastRowLastColumn="0"/>
            </w:pPr>
            <w:hyperlink r:id="rId155" w:history="1">
              <w:r w:rsidRPr="00772BC3">
                <w:rPr>
                  <w:rStyle w:val="Hyperlink"/>
                </w:rPr>
                <w:t>Reporting on Australia’s Disability Strategy 2021–2031</w:t>
              </w:r>
            </w:hyperlink>
            <w:r w:rsidRPr="00A3583A">
              <w:t xml:space="preserve"> </w:t>
            </w:r>
          </w:p>
          <w:p w14:paraId="73197C32" w14:textId="77777777" w:rsidR="008C7E8A" w:rsidRPr="00A3583A" w:rsidRDefault="008C7E8A" w:rsidP="00A3583A">
            <w:pPr>
              <w:pStyle w:val="Tabletextleft"/>
              <w:cnfStyle w:val="000000100000" w:firstRow="0" w:lastRow="0" w:firstColumn="0" w:lastColumn="0" w:oddVBand="0" w:evenVBand="0" w:oddHBand="1" w:evenHBand="0" w:firstRowFirstColumn="0" w:firstRowLastColumn="0" w:lastRowFirstColumn="0" w:lastRowLastColumn="0"/>
            </w:pPr>
            <w:hyperlink r:id="rId156" w:history="1">
              <w:r w:rsidRPr="00772BC3">
                <w:rPr>
                  <w:rStyle w:val="Hyperlink"/>
                </w:rPr>
                <w:t>People with disability in Australia</w:t>
              </w:r>
            </w:hyperlink>
          </w:p>
          <w:p w14:paraId="33BE7E02" w14:textId="77777777" w:rsidR="008C7E8A" w:rsidRPr="00A3583A" w:rsidRDefault="008C7E8A" w:rsidP="00A3583A">
            <w:pPr>
              <w:pStyle w:val="Tabletextleft"/>
              <w:cnfStyle w:val="000000100000" w:firstRow="0" w:lastRow="0" w:firstColumn="0" w:lastColumn="0" w:oddVBand="0" w:evenVBand="0" w:oddHBand="1" w:evenHBand="0" w:firstRowFirstColumn="0" w:firstRowLastColumn="0" w:lastRowFirstColumn="0" w:lastRowLastColumn="0"/>
            </w:pPr>
            <w:hyperlink r:id="rId157" w:history="1">
              <w:r w:rsidRPr="00772BC3">
                <w:rPr>
                  <w:rStyle w:val="Hyperlink"/>
                </w:rPr>
                <w:t>Disability, Ageing and Carers, Australia: Summary of Findings</w:t>
              </w:r>
            </w:hyperlink>
          </w:p>
          <w:p w14:paraId="54D87BA9" w14:textId="2DF4D63D" w:rsidR="008C7E8A" w:rsidRPr="00772BC3" w:rsidRDefault="008C7E8A" w:rsidP="00A3583A">
            <w:pPr>
              <w:pStyle w:val="Tabletextleft"/>
              <w:cnfStyle w:val="000000100000" w:firstRow="0" w:lastRow="0" w:firstColumn="0" w:lastColumn="0" w:oddVBand="0" w:evenVBand="0" w:oddHBand="1" w:evenHBand="0" w:firstRowFirstColumn="0" w:firstRowLastColumn="0" w:lastRowFirstColumn="0" w:lastRowLastColumn="0"/>
            </w:pPr>
            <w:r w:rsidRPr="00772BC3">
              <w:t>Measuring What Matters</w:t>
            </w:r>
          </w:p>
        </w:tc>
        <w:tc>
          <w:tcPr>
            <w:tcW w:w="2872" w:type="dxa"/>
          </w:tcPr>
          <w:p w14:paraId="5D8A7868" w14:textId="78AB97F3" w:rsidR="00172675" w:rsidRPr="00772BC3" w:rsidRDefault="008C7E8A" w:rsidP="00A3583A">
            <w:pPr>
              <w:pStyle w:val="Tabletextleft"/>
              <w:cnfStyle w:val="000000100000" w:firstRow="0" w:lastRow="0" w:firstColumn="0" w:lastColumn="0" w:oddVBand="0" w:evenVBand="0" w:oddHBand="1" w:evenHBand="0" w:firstRowFirstColumn="0" w:firstRowLastColumn="0" w:lastRowFirstColumn="0" w:lastRowLastColumn="0"/>
            </w:pPr>
            <w:r w:rsidRPr="00772BC3">
              <w:t>(5.1, 5.2, 5.3)</w:t>
            </w:r>
          </w:p>
          <w:p w14:paraId="100CE66D" w14:textId="3A88A91E" w:rsidR="003E1296" w:rsidRPr="00772BC3" w:rsidRDefault="008C7E8A" w:rsidP="00A3583A">
            <w:pPr>
              <w:pStyle w:val="Tabletextleft"/>
              <w:cnfStyle w:val="000000100000" w:firstRow="0" w:lastRow="0" w:firstColumn="0" w:lastColumn="0" w:oddVBand="0" w:evenVBand="0" w:oddHBand="1" w:evenHBand="0" w:firstRowFirstColumn="0" w:firstRowLastColumn="0" w:lastRowFirstColumn="0" w:lastRowLastColumn="0"/>
            </w:pPr>
            <w:r w:rsidRPr="00772BC3">
              <w:t>Measures should include improved data collection (including completeness and consistency).</w:t>
            </w:r>
            <w:r w:rsidR="00001983" w:rsidRPr="00772BC3">
              <w:t xml:space="preserve"> This may include more consistent information about the type and severity of disability and linkage to data about chronic conditions.</w:t>
            </w:r>
          </w:p>
        </w:tc>
      </w:tr>
      <w:tr w:rsidR="008C7E8A" w:rsidRPr="00772BC3" w14:paraId="07511015" w14:textId="77777777" w:rsidTr="0B3BCAD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14:paraId="653DD4D5" w14:textId="0F73B806" w:rsidR="008C7E8A" w:rsidRPr="00772BC3" w:rsidRDefault="008C7E8A" w:rsidP="00A3583A">
            <w:pPr>
              <w:pStyle w:val="Tabletextleft"/>
            </w:pPr>
            <w:r w:rsidRPr="00772BC3">
              <w:t>LGBTQIA+ people</w:t>
            </w:r>
          </w:p>
        </w:tc>
        <w:tc>
          <w:tcPr>
            <w:tcW w:w="1843" w:type="dxa"/>
          </w:tcPr>
          <w:p w14:paraId="101AE34C" w14:textId="252854DE" w:rsidR="008C7E8A" w:rsidRPr="00772BC3" w:rsidRDefault="008C7E8A" w:rsidP="00A3583A">
            <w:pPr>
              <w:pStyle w:val="Tabletextleft"/>
              <w:cnfStyle w:val="000000010000" w:firstRow="0" w:lastRow="0" w:firstColumn="0" w:lastColumn="0" w:oddVBand="0" w:evenVBand="0" w:oddHBand="0" w:evenHBand="1" w:firstRowFirstColumn="0" w:firstRowLastColumn="0" w:lastRowFirstColumn="0" w:lastRowLastColumn="0"/>
            </w:pPr>
            <w:r w:rsidRPr="00772BC3">
              <w:t>Priority populations</w:t>
            </w:r>
          </w:p>
        </w:tc>
        <w:tc>
          <w:tcPr>
            <w:tcW w:w="3013" w:type="dxa"/>
          </w:tcPr>
          <w:p w14:paraId="04E5030B" w14:textId="3464923C" w:rsidR="008C7E8A" w:rsidRPr="00772BC3" w:rsidRDefault="008C7E8A" w:rsidP="00A3583A">
            <w:pPr>
              <w:pStyle w:val="Tabletextleft"/>
              <w:cnfStyle w:val="000000010000" w:firstRow="0" w:lastRow="0" w:firstColumn="0" w:lastColumn="0" w:oddVBand="0" w:evenVBand="0" w:oddHBand="0" w:evenHBand="1" w:firstRowFirstColumn="0" w:firstRowLastColumn="0" w:lastRowFirstColumn="0" w:lastRowLastColumn="0"/>
            </w:pPr>
            <w:r w:rsidRPr="00772BC3">
              <w:t xml:space="preserve">Census of Population and Housing </w:t>
            </w:r>
          </w:p>
          <w:p w14:paraId="37E2DFA9" w14:textId="77777777" w:rsidR="008C7E8A" w:rsidRPr="00772BC3" w:rsidRDefault="008C7E8A" w:rsidP="00A3583A">
            <w:pPr>
              <w:pStyle w:val="Tabletextleft"/>
              <w:cnfStyle w:val="000000010000" w:firstRow="0" w:lastRow="0" w:firstColumn="0" w:lastColumn="0" w:oddVBand="0" w:evenVBand="0" w:oddHBand="0" w:evenHBand="1" w:firstRowFirstColumn="0" w:firstRowLastColumn="0" w:lastRowFirstColumn="0" w:lastRowLastColumn="0"/>
            </w:pPr>
            <w:r w:rsidRPr="00772BC3">
              <w:t>National Drug Strategy Household Survey</w:t>
            </w:r>
          </w:p>
          <w:p w14:paraId="728EA503" w14:textId="455130B3" w:rsidR="008C7E8A" w:rsidRPr="00772BC3" w:rsidRDefault="008C7E8A" w:rsidP="00A3583A">
            <w:pPr>
              <w:pStyle w:val="Tabletextleft"/>
              <w:cnfStyle w:val="000000010000" w:firstRow="0" w:lastRow="0" w:firstColumn="0" w:lastColumn="0" w:oddVBand="0" w:evenVBand="0" w:oddHBand="0" w:evenHBand="1" w:firstRowFirstColumn="0" w:firstRowLastColumn="0" w:lastRowFirstColumn="0" w:lastRowLastColumn="0"/>
            </w:pPr>
            <w:r w:rsidRPr="00772BC3">
              <w:t>Linked LGBTQIA+ status and health data (such as Person Level Integrated Data Asset)</w:t>
            </w:r>
          </w:p>
        </w:tc>
        <w:tc>
          <w:tcPr>
            <w:tcW w:w="2872" w:type="dxa"/>
          </w:tcPr>
          <w:p w14:paraId="75BD82B3" w14:textId="2A025430" w:rsidR="008C7E8A" w:rsidRPr="00A3583A" w:rsidRDefault="008C7E8A" w:rsidP="00A3583A">
            <w:pPr>
              <w:pStyle w:val="Tabletextleft"/>
              <w:cnfStyle w:val="000000010000" w:firstRow="0" w:lastRow="0" w:firstColumn="0" w:lastColumn="0" w:oddVBand="0" w:evenVBand="0" w:oddHBand="0" w:evenHBand="1" w:firstRowFirstColumn="0" w:firstRowLastColumn="0" w:lastRowFirstColumn="0" w:lastRowLastColumn="0"/>
            </w:pPr>
            <w:r w:rsidRPr="00A3583A">
              <w:t>‘</w:t>
            </w:r>
            <w:hyperlink r:id="rId158" w:history="1">
              <w:r w:rsidRPr="00772BC3">
                <w:rPr>
                  <w:rStyle w:val="Hyperlink"/>
                </w:rPr>
                <w:t>LGBTIQ+ communities</w:t>
              </w:r>
            </w:hyperlink>
            <w:r w:rsidRPr="00A3583A">
              <w:t>’, AIHW topic page</w:t>
            </w:r>
          </w:p>
          <w:p w14:paraId="655D4C17" w14:textId="7B151C34" w:rsidR="008C7E8A" w:rsidRPr="00772BC3" w:rsidRDefault="008C7E8A" w:rsidP="00A3583A">
            <w:pPr>
              <w:pStyle w:val="Tabletextleft"/>
              <w:cnfStyle w:val="000000010000" w:firstRow="0" w:lastRow="0" w:firstColumn="0" w:lastColumn="0" w:oddVBand="0" w:evenVBand="0" w:oddHBand="0" w:evenHBand="1" w:firstRowFirstColumn="0" w:firstRowLastColumn="0" w:lastRowFirstColumn="0" w:lastRowLastColumn="0"/>
              <w:rPr>
                <w:sz w:val="16"/>
                <w:szCs w:val="16"/>
              </w:rPr>
            </w:pPr>
            <w:hyperlink r:id="rId159" w:history="1">
              <w:r w:rsidRPr="00772BC3">
                <w:rPr>
                  <w:rStyle w:val="Hyperlink"/>
                </w:rPr>
                <w:t>Estimates and characteristics of LGBTI+ populations in Australia</w:t>
              </w:r>
            </w:hyperlink>
            <w:r w:rsidRPr="00A3583A">
              <w:t>, ABS release</w:t>
            </w:r>
          </w:p>
        </w:tc>
        <w:tc>
          <w:tcPr>
            <w:tcW w:w="2872" w:type="dxa"/>
          </w:tcPr>
          <w:p w14:paraId="148B0585" w14:textId="77777777" w:rsidR="008C7E8A" w:rsidRPr="00772BC3" w:rsidRDefault="008C7E8A" w:rsidP="00A3583A">
            <w:pPr>
              <w:pStyle w:val="Tabletextleft"/>
              <w:cnfStyle w:val="000000010000" w:firstRow="0" w:lastRow="0" w:firstColumn="0" w:lastColumn="0" w:oddVBand="0" w:evenVBand="0" w:oddHBand="0" w:evenHBand="1" w:firstRowFirstColumn="0" w:firstRowLastColumn="0" w:lastRowFirstColumn="0" w:lastRowLastColumn="0"/>
            </w:pPr>
            <w:r w:rsidRPr="00772BC3">
              <w:t>(5.1, 5.2, 5.3)</w:t>
            </w:r>
          </w:p>
          <w:p w14:paraId="785A7B5A" w14:textId="5D574CD4" w:rsidR="008C7E8A" w:rsidRPr="00A3583A" w:rsidRDefault="008C7E8A" w:rsidP="00A3583A">
            <w:pPr>
              <w:pStyle w:val="Tabletextleft"/>
              <w:cnfStyle w:val="000000010000" w:firstRow="0" w:lastRow="0" w:firstColumn="0" w:lastColumn="0" w:oddVBand="0" w:evenVBand="0" w:oddHBand="0" w:evenHBand="1" w:firstRowFirstColumn="0" w:firstRowLastColumn="0" w:lastRowFirstColumn="0" w:lastRowLastColumn="0"/>
            </w:pPr>
            <w:r w:rsidRPr="00A3583A">
              <w:t xml:space="preserve">The </w:t>
            </w:r>
            <w:hyperlink r:id="rId160" w:history="1">
              <w:r w:rsidRPr="00772BC3">
                <w:rPr>
                  <w:rStyle w:val="Hyperlink"/>
                </w:rPr>
                <w:t>Standard for Sex, Gender, Variations of Sex Characteristics and Sexual Orientation Variables</w:t>
              </w:r>
            </w:hyperlink>
            <w:r w:rsidRPr="00A3583A">
              <w:t xml:space="preserve"> aims to standardise the collection of data related to sex, gender, variations of sex characteristics and sexual orientation. Measures should include improved data collection (including completeness and consistency).</w:t>
            </w:r>
          </w:p>
          <w:p w14:paraId="473CECB1" w14:textId="5C4398F9" w:rsidR="008C7E8A" w:rsidRPr="00772BC3" w:rsidRDefault="008C7E8A" w:rsidP="00A3583A">
            <w:pPr>
              <w:pStyle w:val="Tabletextleft"/>
              <w:cnfStyle w:val="000000010000" w:firstRow="0" w:lastRow="0" w:firstColumn="0" w:lastColumn="0" w:oddVBand="0" w:evenVBand="0" w:oddHBand="0" w:evenHBand="1" w:firstRowFirstColumn="0" w:firstRowLastColumn="0" w:lastRowFirstColumn="0" w:lastRowLastColumn="0"/>
            </w:pPr>
            <w:r w:rsidRPr="00772BC3">
              <w:t>The small size of the population can make it difficult to report meaningful findings from population surveys.</w:t>
            </w:r>
          </w:p>
        </w:tc>
      </w:tr>
      <w:tr w:rsidR="008C7E8A" w:rsidRPr="00772BC3" w14:paraId="301BA207" w14:textId="77777777" w:rsidTr="0B3BCA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14:paraId="50EA8D1E" w14:textId="20B755F3" w:rsidR="008C7E8A" w:rsidRPr="00772BC3" w:rsidRDefault="008C7E8A" w:rsidP="00A3583A">
            <w:pPr>
              <w:pStyle w:val="Tabletextleft"/>
            </w:pPr>
            <w:r w:rsidRPr="00772BC3">
              <w:t>People with mental health conditions</w:t>
            </w:r>
          </w:p>
        </w:tc>
        <w:tc>
          <w:tcPr>
            <w:tcW w:w="1843" w:type="dxa"/>
          </w:tcPr>
          <w:p w14:paraId="51348E4A" w14:textId="7C7AEF4B" w:rsidR="008C7E8A" w:rsidRPr="00772BC3" w:rsidRDefault="008C7E8A" w:rsidP="00A3583A">
            <w:pPr>
              <w:pStyle w:val="Tabletextleft"/>
              <w:cnfStyle w:val="000000100000" w:firstRow="0" w:lastRow="0" w:firstColumn="0" w:lastColumn="0" w:oddVBand="0" w:evenVBand="0" w:oddHBand="1" w:evenHBand="0" w:firstRowFirstColumn="0" w:firstRowLastColumn="0" w:lastRowFirstColumn="0" w:lastRowLastColumn="0"/>
            </w:pPr>
            <w:r w:rsidRPr="00772BC3">
              <w:t>Priority populations</w:t>
            </w:r>
          </w:p>
        </w:tc>
        <w:tc>
          <w:tcPr>
            <w:tcW w:w="3013" w:type="dxa"/>
          </w:tcPr>
          <w:p w14:paraId="5077558B" w14:textId="77777777" w:rsidR="008C7E8A" w:rsidRPr="00772BC3" w:rsidRDefault="008C7E8A" w:rsidP="00A3583A">
            <w:pPr>
              <w:pStyle w:val="Tabletextleft"/>
              <w:cnfStyle w:val="000000100000" w:firstRow="0" w:lastRow="0" w:firstColumn="0" w:lastColumn="0" w:oddVBand="0" w:evenVBand="0" w:oddHBand="1" w:evenHBand="0" w:firstRowFirstColumn="0" w:firstRowLastColumn="0" w:lastRowFirstColumn="0" w:lastRowLastColumn="0"/>
            </w:pPr>
            <w:r w:rsidRPr="00772BC3">
              <w:t>National Study of Mental Health and Wellbeing</w:t>
            </w:r>
          </w:p>
          <w:p w14:paraId="68439747" w14:textId="394A8924" w:rsidR="008C7E8A" w:rsidRPr="00772BC3" w:rsidRDefault="008C7E8A" w:rsidP="00A3583A">
            <w:pPr>
              <w:pStyle w:val="Tabletextleft"/>
              <w:cnfStyle w:val="000000100000" w:firstRow="0" w:lastRow="0" w:firstColumn="0" w:lastColumn="0" w:oddVBand="0" w:evenVBand="0" w:oddHBand="1" w:evenHBand="0" w:firstRowFirstColumn="0" w:firstRowLastColumn="0" w:lastRowFirstColumn="0" w:lastRowLastColumn="0"/>
            </w:pPr>
            <w:r w:rsidRPr="00772BC3">
              <w:t>National Health Survey</w:t>
            </w:r>
          </w:p>
        </w:tc>
        <w:tc>
          <w:tcPr>
            <w:tcW w:w="2872" w:type="dxa"/>
          </w:tcPr>
          <w:p w14:paraId="040F7C4D" w14:textId="77777777" w:rsidR="008C7E8A" w:rsidRPr="00772BC3" w:rsidRDefault="008C7E8A" w:rsidP="00A3583A">
            <w:pPr>
              <w:pStyle w:val="Tabletextright0"/>
              <w:cnfStyle w:val="000000100000" w:firstRow="0" w:lastRow="0" w:firstColumn="0" w:lastColumn="0" w:oddVBand="0" w:evenVBand="0" w:oddHBand="1" w:evenHBand="0" w:firstRowFirstColumn="0" w:firstRowLastColumn="0" w:lastRowFirstColumn="0" w:lastRowLastColumn="0"/>
            </w:pPr>
          </w:p>
        </w:tc>
        <w:tc>
          <w:tcPr>
            <w:tcW w:w="2872" w:type="dxa"/>
          </w:tcPr>
          <w:p w14:paraId="15F5E596" w14:textId="77777777" w:rsidR="008C7E8A" w:rsidRPr="00772BC3" w:rsidRDefault="008C7E8A" w:rsidP="00A3583A">
            <w:pPr>
              <w:pStyle w:val="Tabletextleft"/>
              <w:cnfStyle w:val="000000100000" w:firstRow="0" w:lastRow="0" w:firstColumn="0" w:lastColumn="0" w:oddVBand="0" w:evenVBand="0" w:oddHBand="1" w:evenHBand="0" w:firstRowFirstColumn="0" w:firstRowLastColumn="0" w:lastRowFirstColumn="0" w:lastRowLastColumn="0"/>
            </w:pPr>
            <w:r w:rsidRPr="00772BC3">
              <w:t>(5.1, 5.2, 5.3)</w:t>
            </w:r>
          </w:p>
          <w:p w14:paraId="612052F6" w14:textId="3D499D31" w:rsidR="00901861" w:rsidRPr="00772BC3" w:rsidRDefault="008C7E8A" w:rsidP="00A3583A">
            <w:pPr>
              <w:pStyle w:val="Tabletextleft"/>
              <w:cnfStyle w:val="000000100000" w:firstRow="0" w:lastRow="0" w:firstColumn="0" w:lastColumn="0" w:oddVBand="0" w:evenVBand="0" w:oddHBand="1" w:evenHBand="0" w:firstRowFirstColumn="0" w:firstRowLastColumn="0" w:lastRowFirstColumn="0" w:lastRowLastColumn="0"/>
            </w:pPr>
            <w:r w:rsidRPr="00772BC3">
              <w:t>Measures should include improved data collection (including completeness and consistency).</w:t>
            </w:r>
            <w:r w:rsidR="00901861" w:rsidRPr="00772BC3">
              <w:t xml:space="preserve"> This may include more consistent mental health indicators and linkage to </w:t>
            </w:r>
            <w:r w:rsidR="00001983" w:rsidRPr="00772BC3">
              <w:t>data about physical chronic conditions.</w:t>
            </w:r>
          </w:p>
        </w:tc>
      </w:tr>
      <w:tr w:rsidR="008C7E8A" w:rsidRPr="00772BC3" w14:paraId="13E4ED93" w14:textId="77777777" w:rsidTr="0B3BCAD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14:paraId="745AF0E9" w14:textId="54A8F1D6" w:rsidR="008C7E8A" w:rsidRPr="00772BC3" w:rsidRDefault="008C7E8A" w:rsidP="00A3583A">
            <w:pPr>
              <w:pStyle w:val="Tabletextleft"/>
            </w:pPr>
            <w:r w:rsidRPr="00772BC3">
              <w:t>Impacts of intersectionality</w:t>
            </w:r>
          </w:p>
        </w:tc>
        <w:tc>
          <w:tcPr>
            <w:tcW w:w="1843" w:type="dxa"/>
          </w:tcPr>
          <w:p w14:paraId="5FD90A23" w14:textId="5CC4C0A9" w:rsidR="008C7E8A" w:rsidRPr="00772BC3" w:rsidRDefault="008C7E8A" w:rsidP="00A3583A">
            <w:pPr>
              <w:pStyle w:val="Tabletextleft"/>
              <w:cnfStyle w:val="000000010000" w:firstRow="0" w:lastRow="0" w:firstColumn="0" w:lastColumn="0" w:oddVBand="0" w:evenVBand="0" w:oddHBand="0" w:evenHBand="1" w:firstRowFirstColumn="0" w:firstRowLastColumn="0" w:lastRowFirstColumn="0" w:lastRowLastColumn="0"/>
            </w:pPr>
            <w:r w:rsidRPr="00772BC3">
              <w:t>Priority populations</w:t>
            </w:r>
          </w:p>
        </w:tc>
        <w:tc>
          <w:tcPr>
            <w:tcW w:w="3013" w:type="dxa"/>
          </w:tcPr>
          <w:p w14:paraId="4AC0AD12" w14:textId="5C4150D7" w:rsidR="008C7E8A" w:rsidRPr="00772BC3" w:rsidRDefault="008C7E8A" w:rsidP="00A3583A">
            <w:pPr>
              <w:pStyle w:val="Tabletextleft"/>
              <w:cnfStyle w:val="000000010000" w:firstRow="0" w:lastRow="0" w:firstColumn="0" w:lastColumn="0" w:oddVBand="0" w:evenVBand="0" w:oddHBand="0" w:evenHBand="1" w:firstRowFirstColumn="0" w:firstRowLastColumn="0" w:lastRowFirstColumn="0" w:lastRowLastColumn="0"/>
            </w:pPr>
            <w:r w:rsidRPr="00772BC3">
              <w:t>Linked demographic and health data (such as Person Level Integrated Data Asset)</w:t>
            </w:r>
          </w:p>
          <w:p w14:paraId="2466C558" w14:textId="384EDF76" w:rsidR="008C7E8A" w:rsidRPr="00772BC3" w:rsidRDefault="008C7E8A" w:rsidP="00A3583A">
            <w:pPr>
              <w:pStyle w:val="Tabletextleft"/>
              <w:cnfStyle w:val="000000010000" w:firstRow="0" w:lastRow="0" w:firstColumn="0" w:lastColumn="0" w:oddVBand="0" w:evenVBand="0" w:oddHBand="0" w:evenHBand="1" w:firstRowFirstColumn="0" w:firstRowLastColumn="0" w:lastRowFirstColumn="0" w:lastRowLastColumn="0"/>
            </w:pPr>
            <w:r w:rsidRPr="00772BC3">
              <w:t>Census of Population and Housing</w:t>
            </w:r>
          </w:p>
        </w:tc>
        <w:tc>
          <w:tcPr>
            <w:tcW w:w="2872" w:type="dxa"/>
          </w:tcPr>
          <w:p w14:paraId="15AD98A3" w14:textId="77777777" w:rsidR="008C7E8A" w:rsidRPr="00772BC3" w:rsidRDefault="008C7E8A" w:rsidP="00A3583A">
            <w:pPr>
              <w:pStyle w:val="Tabletextright0"/>
              <w:cnfStyle w:val="000000010000" w:firstRow="0" w:lastRow="0" w:firstColumn="0" w:lastColumn="0" w:oddVBand="0" w:evenVBand="0" w:oddHBand="0" w:evenHBand="1" w:firstRowFirstColumn="0" w:firstRowLastColumn="0" w:lastRowFirstColumn="0" w:lastRowLastColumn="0"/>
            </w:pPr>
          </w:p>
        </w:tc>
        <w:tc>
          <w:tcPr>
            <w:tcW w:w="2872" w:type="dxa"/>
          </w:tcPr>
          <w:p w14:paraId="73AAFD81" w14:textId="77777777" w:rsidR="008C7E8A" w:rsidRPr="00772BC3" w:rsidRDefault="008C7E8A" w:rsidP="00A3583A">
            <w:pPr>
              <w:pStyle w:val="Tabletextleft"/>
              <w:cnfStyle w:val="000000010000" w:firstRow="0" w:lastRow="0" w:firstColumn="0" w:lastColumn="0" w:oddVBand="0" w:evenVBand="0" w:oddHBand="0" w:evenHBand="1" w:firstRowFirstColumn="0" w:firstRowLastColumn="0" w:lastRowFirstColumn="0" w:lastRowLastColumn="0"/>
            </w:pPr>
            <w:r w:rsidRPr="00772BC3">
              <w:t>(5.4)</w:t>
            </w:r>
          </w:p>
          <w:p w14:paraId="3FC56C9F" w14:textId="33663925" w:rsidR="008C7E8A" w:rsidRPr="00772BC3" w:rsidRDefault="008C7E8A" w:rsidP="00A3583A">
            <w:pPr>
              <w:pStyle w:val="Tabletextleft"/>
              <w:cnfStyle w:val="000000010000" w:firstRow="0" w:lastRow="0" w:firstColumn="0" w:lastColumn="0" w:oddVBand="0" w:evenVBand="0" w:oddHBand="0" w:evenHBand="1" w:firstRowFirstColumn="0" w:firstRowLastColumn="0" w:lastRowFirstColumn="0" w:lastRowLastColumn="0"/>
            </w:pPr>
            <w:r w:rsidRPr="00772BC3">
              <w:t>The Census includes information about multiple aspects of identity. Linkage of this information with health data (such as PLIDA) can provide insights into overlapping vulnerabilities.</w:t>
            </w:r>
          </w:p>
        </w:tc>
      </w:tr>
      <w:tr w:rsidR="008C7E8A" w:rsidRPr="00772BC3" w14:paraId="508EA803" w14:textId="77777777" w:rsidTr="0B3BCA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14:paraId="74BE90CC" w14:textId="5FA46F5E" w:rsidR="008C7E8A" w:rsidRPr="00772BC3" w:rsidRDefault="008C7E8A" w:rsidP="00A3583A">
            <w:pPr>
              <w:pStyle w:val="Tabletextleft"/>
            </w:pPr>
            <w:r w:rsidRPr="00772BC3">
              <w:t>Population</w:t>
            </w:r>
          </w:p>
          <w:p w14:paraId="56982B6F" w14:textId="77777777" w:rsidR="008C7E8A" w:rsidRPr="00772BC3" w:rsidRDefault="008C7E8A" w:rsidP="00A3583A">
            <w:pPr>
              <w:pStyle w:val="Tabletextleft"/>
            </w:pPr>
            <w:r w:rsidRPr="00772BC3">
              <w:t>- total population</w:t>
            </w:r>
          </w:p>
          <w:p w14:paraId="1382BCF2" w14:textId="7CC813C4" w:rsidR="008C7E8A" w:rsidRPr="00772BC3" w:rsidRDefault="008C7E8A" w:rsidP="00A3583A">
            <w:pPr>
              <w:pStyle w:val="Tabletextleft"/>
            </w:pPr>
            <w:r w:rsidRPr="00772BC3">
              <w:t>- age profile of population</w:t>
            </w:r>
          </w:p>
        </w:tc>
        <w:tc>
          <w:tcPr>
            <w:tcW w:w="1843" w:type="dxa"/>
          </w:tcPr>
          <w:p w14:paraId="19974903" w14:textId="4533DD92" w:rsidR="008C7E8A" w:rsidRPr="00772BC3" w:rsidRDefault="008C7E8A" w:rsidP="00A3583A">
            <w:pPr>
              <w:pStyle w:val="Tabletextleft"/>
              <w:cnfStyle w:val="000000100000" w:firstRow="0" w:lastRow="0" w:firstColumn="0" w:lastColumn="0" w:oddVBand="0" w:evenVBand="0" w:oddHBand="1" w:evenHBand="0" w:firstRowFirstColumn="0" w:firstRowLastColumn="0" w:lastRowFirstColumn="0" w:lastRowLastColumn="0"/>
            </w:pPr>
            <w:r w:rsidRPr="00772BC3">
              <w:t>Demographics</w:t>
            </w:r>
          </w:p>
        </w:tc>
        <w:tc>
          <w:tcPr>
            <w:tcW w:w="3013" w:type="dxa"/>
          </w:tcPr>
          <w:p w14:paraId="5BD8BB4D" w14:textId="069B268C" w:rsidR="008C7E8A" w:rsidRPr="00772BC3" w:rsidRDefault="008C7E8A" w:rsidP="00A3583A">
            <w:pPr>
              <w:pStyle w:val="Tabletextleft"/>
              <w:cnfStyle w:val="000000100000" w:firstRow="0" w:lastRow="0" w:firstColumn="0" w:lastColumn="0" w:oddVBand="0" w:evenVBand="0" w:oddHBand="1" w:evenHBand="0" w:firstRowFirstColumn="0" w:firstRowLastColumn="0" w:lastRowFirstColumn="0" w:lastRowLastColumn="0"/>
            </w:pPr>
            <w:r w:rsidRPr="00772BC3">
              <w:t>Census of Population and Housing</w:t>
            </w:r>
          </w:p>
        </w:tc>
        <w:tc>
          <w:tcPr>
            <w:tcW w:w="2872" w:type="dxa"/>
          </w:tcPr>
          <w:p w14:paraId="24965031" w14:textId="53570F2F" w:rsidR="008C7E8A" w:rsidRPr="00772BC3" w:rsidRDefault="008C7E8A" w:rsidP="00A3583A">
            <w:pPr>
              <w:pStyle w:val="Tabletextleft"/>
              <w:cnfStyle w:val="000000100000" w:firstRow="0" w:lastRow="0" w:firstColumn="0" w:lastColumn="0" w:oddVBand="0" w:evenVBand="0" w:oddHBand="1" w:evenHBand="0" w:firstRowFirstColumn="0" w:firstRowLastColumn="0" w:lastRowFirstColumn="0" w:lastRowLastColumn="0"/>
            </w:pPr>
            <w:r w:rsidRPr="00772BC3">
              <w:t>Measure What Matters</w:t>
            </w:r>
          </w:p>
        </w:tc>
        <w:tc>
          <w:tcPr>
            <w:tcW w:w="2872" w:type="dxa"/>
          </w:tcPr>
          <w:p w14:paraId="29E59C91" w14:textId="77777777" w:rsidR="008C7E8A" w:rsidRPr="00772BC3" w:rsidRDefault="008C7E8A" w:rsidP="00A3583A">
            <w:pPr>
              <w:pStyle w:val="Tabletextleft"/>
              <w:cnfStyle w:val="000000100000" w:firstRow="0" w:lastRow="0" w:firstColumn="0" w:lastColumn="0" w:oddVBand="0" w:evenVBand="0" w:oddHBand="1" w:evenHBand="0" w:firstRowFirstColumn="0" w:firstRowLastColumn="0" w:lastRowFirstColumn="0" w:lastRowLastColumn="0"/>
            </w:pPr>
            <w:r w:rsidRPr="00772BC3">
              <w:t>Presented by sex, age and across remoteness and socio-economic areas, and other geographies.</w:t>
            </w:r>
          </w:p>
          <w:p w14:paraId="358F2BC3" w14:textId="4B0FE902" w:rsidR="008C7E8A" w:rsidRPr="00772BC3" w:rsidRDefault="008C7E8A" w:rsidP="00A3583A">
            <w:pPr>
              <w:pStyle w:val="Tabletextleft"/>
              <w:cnfStyle w:val="000000100000" w:firstRow="0" w:lastRow="0" w:firstColumn="0" w:lastColumn="0" w:oddVBand="0" w:evenVBand="0" w:oddHBand="1" w:evenHBand="0" w:firstRowFirstColumn="0" w:firstRowLastColumn="0" w:lastRowFirstColumn="0" w:lastRowLastColumn="0"/>
            </w:pPr>
            <w:r w:rsidRPr="00772BC3">
              <w:t>Can be used to calculate rates or proportions, or projections based on population changes.</w:t>
            </w:r>
          </w:p>
        </w:tc>
      </w:tr>
    </w:tbl>
    <w:p w14:paraId="6342912A" w14:textId="1C662940" w:rsidR="00470EC8" w:rsidRPr="00772BC3" w:rsidRDefault="00470EC8" w:rsidP="00470EC8"/>
    <w:p w14:paraId="0BC7EE46" w14:textId="77777777" w:rsidR="00470EC8" w:rsidRPr="00772BC3" w:rsidRDefault="00470EC8" w:rsidP="00470EC8">
      <w:pPr>
        <w:sectPr w:rsidR="00470EC8" w:rsidRPr="00772BC3" w:rsidSect="007851E1">
          <w:pgSz w:w="16838" w:h="11906" w:orient="landscape"/>
          <w:pgMar w:top="1418" w:right="1701" w:bottom="1418" w:left="1418" w:header="709" w:footer="709" w:gutter="0"/>
          <w:cols w:space="708"/>
          <w:docGrid w:linePitch="360"/>
        </w:sectPr>
      </w:pPr>
    </w:p>
    <w:p w14:paraId="100CAA21" w14:textId="3291E1BA" w:rsidR="00470EC8" w:rsidRPr="00772BC3" w:rsidRDefault="6C9552B6" w:rsidP="00470EC8">
      <w:pPr>
        <w:pStyle w:val="Heading1"/>
      </w:pPr>
      <w:bookmarkStart w:id="44" w:name="_Toc204345084"/>
      <w:bookmarkStart w:id="45" w:name="_Toc224557220"/>
      <w:r>
        <w:t>Abbreviations and glossary</w:t>
      </w:r>
      <w:bookmarkEnd w:id="44"/>
      <w:bookmarkEnd w:id="45"/>
    </w:p>
    <w:p w14:paraId="50E77E64" w14:textId="32E746E5" w:rsidR="00470EC8" w:rsidRPr="00772BC3" w:rsidRDefault="6C9552B6" w:rsidP="00470EC8">
      <w:pPr>
        <w:pStyle w:val="Heading2"/>
      </w:pPr>
      <w:bookmarkStart w:id="46" w:name="_Toc224557221"/>
      <w:r>
        <w:t>Abbreviations and acronyms</w:t>
      </w:r>
      <w:bookmarkEnd w:id="46"/>
    </w:p>
    <w:tbl>
      <w:tblPr>
        <w:tblStyle w:val="DepartmentofHealthtable"/>
        <w:tblW w:w="0" w:type="auto"/>
        <w:tblLook w:val="04A0" w:firstRow="1" w:lastRow="0" w:firstColumn="1" w:lastColumn="0" w:noHBand="0" w:noVBand="1"/>
      </w:tblPr>
      <w:tblGrid>
        <w:gridCol w:w="2268"/>
        <w:gridCol w:w="6802"/>
      </w:tblGrid>
      <w:tr w:rsidR="00C02198" w:rsidRPr="00772BC3" w14:paraId="375C222E" w14:textId="77777777" w:rsidTr="7ED665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shd w:val="clear" w:color="auto" w:fill="auto"/>
          </w:tcPr>
          <w:p w14:paraId="3797663C" w14:textId="4979527D" w:rsidR="00C02198" w:rsidRPr="00772BC3" w:rsidRDefault="00C02198" w:rsidP="00A3583A">
            <w:pPr>
              <w:pStyle w:val="Tabletextleft"/>
            </w:pPr>
            <w:r w:rsidRPr="00772BC3">
              <w:t>ABS</w:t>
            </w:r>
          </w:p>
        </w:tc>
        <w:tc>
          <w:tcPr>
            <w:tcW w:w="0" w:type="dxa"/>
            <w:shd w:val="clear" w:color="auto" w:fill="auto"/>
          </w:tcPr>
          <w:p w14:paraId="4639ED94" w14:textId="4E5E67CA" w:rsidR="00C02198" w:rsidRPr="00772BC3" w:rsidRDefault="00C02198" w:rsidP="00A3583A">
            <w:pPr>
              <w:pStyle w:val="Tabletextleft"/>
              <w:cnfStyle w:val="100000000000" w:firstRow="1" w:lastRow="0" w:firstColumn="0" w:lastColumn="0" w:oddVBand="0" w:evenVBand="0" w:oddHBand="0" w:evenHBand="0" w:firstRowFirstColumn="0" w:firstRowLastColumn="0" w:lastRowFirstColumn="0" w:lastRowLastColumn="0"/>
            </w:pPr>
            <w:r w:rsidRPr="00772BC3">
              <w:t>Australian Bureau of Statistics</w:t>
            </w:r>
          </w:p>
        </w:tc>
      </w:tr>
      <w:tr w:rsidR="00C02198" w:rsidRPr="00772BC3" w14:paraId="4D768AE3" w14:textId="77777777" w:rsidTr="7ED665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64980943" w14:textId="16C09D2E" w:rsidR="00C02198" w:rsidRPr="00772BC3" w:rsidRDefault="00C02198" w:rsidP="00A3583A">
            <w:pPr>
              <w:pStyle w:val="Tabletextleft"/>
            </w:pPr>
            <w:r w:rsidRPr="00772BC3">
              <w:t>ACCHO</w:t>
            </w:r>
          </w:p>
        </w:tc>
        <w:tc>
          <w:tcPr>
            <w:tcW w:w="6802" w:type="dxa"/>
          </w:tcPr>
          <w:p w14:paraId="37A84547" w14:textId="765ABDA8" w:rsidR="00C02198" w:rsidRPr="00772BC3" w:rsidRDefault="00C02198" w:rsidP="00A3583A">
            <w:pPr>
              <w:pStyle w:val="Tabletextleft"/>
              <w:cnfStyle w:val="000000100000" w:firstRow="0" w:lastRow="0" w:firstColumn="0" w:lastColumn="0" w:oddVBand="0" w:evenVBand="0" w:oddHBand="1" w:evenHBand="0" w:firstRowFirstColumn="0" w:firstRowLastColumn="0" w:lastRowFirstColumn="0" w:lastRowLastColumn="0"/>
            </w:pPr>
            <w:r w:rsidRPr="00772BC3">
              <w:t>Aboriginal Community Controlled Health Organisation</w:t>
            </w:r>
          </w:p>
        </w:tc>
      </w:tr>
      <w:tr w:rsidR="00C02198" w:rsidRPr="00772BC3" w14:paraId="7B8AEA9F" w14:textId="77777777" w:rsidTr="7ED665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57BAF4FD" w14:textId="122ACEF8" w:rsidR="00C02198" w:rsidRPr="00772BC3" w:rsidRDefault="00C02198" w:rsidP="00A3583A">
            <w:pPr>
              <w:pStyle w:val="Tabletextleft"/>
            </w:pPr>
            <w:r w:rsidRPr="00772BC3">
              <w:t>AIHW</w:t>
            </w:r>
          </w:p>
        </w:tc>
        <w:tc>
          <w:tcPr>
            <w:tcW w:w="6802" w:type="dxa"/>
          </w:tcPr>
          <w:p w14:paraId="3A557589" w14:textId="0F52BA2B" w:rsidR="00C02198" w:rsidRPr="00772BC3" w:rsidRDefault="00C02198" w:rsidP="00A3583A">
            <w:pPr>
              <w:pStyle w:val="Tabletextleft"/>
              <w:cnfStyle w:val="000000010000" w:firstRow="0" w:lastRow="0" w:firstColumn="0" w:lastColumn="0" w:oddVBand="0" w:evenVBand="0" w:oddHBand="0" w:evenHBand="1" w:firstRowFirstColumn="0" w:firstRowLastColumn="0" w:lastRowFirstColumn="0" w:lastRowLastColumn="0"/>
            </w:pPr>
            <w:r w:rsidRPr="00772BC3">
              <w:t>Australian Institute of Health and Welfare</w:t>
            </w:r>
          </w:p>
        </w:tc>
      </w:tr>
      <w:tr w:rsidR="00C02198" w:rsidRPr="00772BC3" w14:paraId="3869EE37" w14:textId="77777777" w:rsidTr="7ED665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1B57DE82" w14:textId="73BCAE54" w:rsidR="00C02198" w:rsidRPr="00772BC3" w:rsidRDefault="00C02198" w:rsidP="00A3583A">
            <w:pPr>
              <w:pStyle w:val="Tabletextleft"/>
            </w:pPr>
            <w:r w:rsidRPr="00772BC3">
              <w:t>CALD</w:t>
            </w:r>
          </w:p>
        </w:tc>
        <w:tc>
          <w:tcPr>
            <w:tcW w:w="6802" w:type="dxa"/>
          </w:tcPr>
          <w:p w14:paraId="14FFE7BD" w14:textId="2878BAE3" w:rsidR="00C02198" w:rsidRPr="00772BC3" w:rsidRDefault="00C02198" w:rsidP="00A3583A">
            <w:pPr>
              <w:pStyle w:val="Tabletextleft"/>
              <w:cnfStyle w:val="000000100000" w:firstRow="0" w:lastRow="0" w:firstColumn="0" w:lastColumn="0" w:oddVBand="0" w:evenVBand="0" w:oddHBand="1" w:evenHBand="0" w:firstRowFirstColumn="0" w:firstRowLastColumn="0" w:lastRowFirstColumn="0" w:lastRowLastColumn="0"/>
            </w:pPr>
            <w:r w:rsidRPr="00772BC3">
              <w:t>Culturally and linguistically diverse</w:t>
            </w:r>
          </w:p>
        </w:tc>
      </w:tr>
      <w:tr w:rsidR="00C02198" w:rsidRPr="00772BC3" w14:paraId="7CBCC75A" w14:textId="77777777" w:rsidTr="7ED665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208E35CB" w14:textId="3AA65F5F" w:rsidR="00C02198" w:rsidRPr="00772BC3" w:rsidRDefault="00C02198" w:rsidP="00A3583A">
            <w:pPr>
              <w:pStyle w:val="Tabletextleft"/>
            </w:pPr>
            <w:r w:rsidRPr="00772BC3">
              <w:t>eCDS</w:t>
            </w:r>
          </w:p>
        </w:tc>
        <w:tc>
          <w:tcPr>
            <w:tcW w:w="6802" w:type="dxa"/>
          </w:tcPr>
          <w:p w14:paraId="0AB27EF2" w14:textId="1BA58F3D" w:rsidR="00C02198" w:rsidRPr="00772BC3" w:rsidRDefault="00C02198" w:rsidP="00A3583A">
            <w:pPr>
              <w:pStyle w:val="Tabletextleft"/>
              <w:cnfStyle w:val="000000010000" w:firstRow="0" w:lastRow="0" w:firstColumn="0" w:lastColumn="0" w:oddVBand="0" w:evenVBand="0" w:oddHBand="0" w:evenHBand="1" w:firstRowFirstColumn="0" w:firstRowLastColumn="0" w:lastRowFirstColumn="0" w:lastRowLastColumn="0"/>
            </w:pPr>
            <w:r w:rsidRPr="00772BC3">
              <w:t>Electronic clinical decision support</w:t>
            </w:r>
          </w:p>
        </w:tc>
      </w:tr>
      <w:tr w:rsidR="00265A9A" w:rsidRPr="00772BC3" w14:paraId="20838423" w14:textId="77777777" w:rsidTr="7ED665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4FABD9DD" w14:textId="061DD786" w:rsidR="00265A9A" w:rsidRPr="00772BC3" w:rsidRDefault="00265A9A" w:rsidP="00A3583A">
            <w:pPr>
              <w:pStyle w:val="Tabletextleft"/>
            </w:pPr>
            <w:r w:rsidRPr="00772BC3">
              <w:t>HiAP</w:t>
            </w:r>
          </w:p>
        </w:tc>
        <w:tc>
          <w:tcPr>
            <w:tcW w:w="6802" w:type="dxa"/>
          </w:tcPr>
          <w:p w14:paraId="0ED1C51C" w14:textId="41E1EAB9" w:rsidR="00265A9A" w:rsidRPr="00772BC3" w:rsidRDefault="00265A9A" w:rsidP="00A3583A">
            <w:pPr>
              <w:pStyle w:val="Tabletextleft"/>
              <w:cnfStyle w:val="000000100000" w:firstRow="0" w:lastRow="0" w:firstColumn="0" w:lastColumn="0" w:oddVBand="0" w:evenVBand="0" w:oddHBand="1" w:evenHBand="0" w:firstRowFirstColumn="0" w:firstRowLastColumn="0" w:lastRowFirstColumn="0" w:lastRowLastColumn="0"/>
            </w:pPr>
            <w:r w:rsidRPr="00772BC3">
              <w:t>Health in All Policies</w:t>
            </w:r>
          </w:p>
        </w:tc>
      </w:tr>
      <w:tr w:rsidR="00265A9A" w:rsidRPr="00772BC3" w14:paraId="3540DD27" w14:textId="77777777" w:rsidTr="7ED665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7E06C64A" w14:textId="12F69A25" w:rsidR="00265A9A" w:rsidRPr="00772BC3" w:rsidRDefault="00265A9A" w:rsidP="00A3583A">
            <w:pPr>
              <w:pStyle w:val="Tabletextleft"/>
            </w:pPr>
            <w:r w:rsidRPr="00772BC3">
              <w:t>HITH</w:t>
            </w:r>
          </w:p>
        </w:tc>
        <w:tc>
          <w:tcPr>
            <w:tcW w:w="6802" w:type="dxa"/>
          </w:tcPr>
          <w:p w14:paraId="64F20F46" w14:textId="1984363D" w:rsidR="00265A9A" w:rsidRPr="00772BC3" w:rsidRDefault="00265A9A" w:rsidP="00A3583A">
            <w:pPr>
              <w:pStyle w:val="Tabletextleft"/>
              <w:cnfStyle w:val="000000010000" w:firstRow="0" w:lastRow="0" w:firstColumn="0" w:lastColumn="0" w:oddVBand="0" w:evenVBand="0" w:oddHBand="0" w:evenHBand="1" w:firstRowFirstColumn="0" w:firstRowLastColumn="0" w:lastRowFirstColumn="0" w:lastRowLastColumn="0"/>
            </w:pPr>
            <w:r w:rsidRPr="00772BC3">
              <w:t>Hospital in the Home</w:t>
            </w:r>
          </w:p>
        </w:tc>
      </w:tr>
      <w:tr w:rsidR="00265A9A" w:rsidRPr="00772BC3" w14:paraId="6ED6CAA1" w14:textId="77777777" w:rsidTr="7ED665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5CCF0AF1" w14:textId="00218FDD" w:rsidR="00265A9A" w:rsidRPr="00772BC3" w:rsidRDefault="00265A9A" w:rsidP="00A3583A">
            <w:pPr>
              <w:pStyle w:val="Tabletextleft"/>
            </w:pPr>
            <w:r w:rsidRPr="00772BC3">
              <w:t>LGBTQIA+</w:t>
            </w:r>
          </w:p>
        </w:tc>
        <w:tc>
          <w:tcPr>
            <w:tcW w:w="6802" w:type="dxa"/>
          </w:tcPr>
          <w:p w14:paraId="0DE394F9" w14:textId="18EEC407" w:rsidR="00265A9A" w:rsidRPr="00772BC3" w:rsidRDefault="133C2447" w:rsidP="00A3583A">
            <w:pPr>
              <w:pStyle w:val="Tabletextleft"/>
              <w:cnfStyle w:val="000000100000" w:firstRow="0" w:lastRow="0" w:firstColumn="0" w:lastColumn="0" w:oddVBand="0" w:evenVBand="0" w:oddHBand="1" w:evenHBand="0" w:firstRowFirstColumn="0" w:firstRowLastColumn="0" w:lastRowFirstColumn="0" w:lastRowLastColumn="0"/>
            </w:pPr>
            <w:r>
              <w:t>L</w:t>
            </w:r>
            <w:r w:rsidR="147FE376">
              <w:t>esbian, gay, bisexual, transgender, intersex, queer and asexual, or people otherwise diverse in gender, sexual orientation and/or innate variations of sex characteristics</w:t>
            </w:r>
          </w:p>
        </w:tc>
      </w:tr>
      <w:tr w:rsidR="00265A9A" w:rsidRPr="00772BC3" w14:paraId="1DA61764" w14:textId="77777777" w:rsidTr="7ED665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42C175EA" w14:textId="5BD50696" w:rsidR="00265A9A" w:rsidRPr="00772BC3" w:rsidRDefault="00265A9A" w:rsidP="00A3583A">
            <w:pPr>
              <w:pStyle w:val="Tabletextleft"/>
            </w:pPr>
            <w:r w:rsidRPr="00772BC3">
              <w:t>MBS</w:t>
            </w:r>
          </w:p>
        </w:tc>
        <w:tc>
          <w:tcPr>
            <w:tcW w:w="6802" w:type="dxa"/>
          </w:tcPr>
          <w:p w14:paraId="12D55838" w14:textId="166A9524" w:rsidR="00265A9A" w:rsidRPr="00772BC3" w:rsidRDefault="00265A9A" w:rsidP="00A3583A">
            <w:pPr>
              <w:pStyle w:val="Tabletextleft"/>
              <w:cnfStyle w:val="000000010000" w:firstRow="0" w:lastRow="0" w:firstColumn="0" w:lastColumn="0" w:oddVBand="0" w:evenVBand="0" w:oddHBand="0" w:evenHBand="1" w:firstRowFirstColumn="0" w:firstRowLastColumn="0" w:lastRowFirstColumn="0" w:lastRowLastColumn="0"/>
            </w:pPr>
            <w:r w:rsidRPr="00772BC3">
              <w:t>Medicare Benefits Schedule</w:t>
            </w:r>
          </w:p>
        </w:tc>
      </w:tr>
      <w:tr w:rsidR="00265A9A" w:rsidRPr="00772BC3" w14:paraId="69298398" w14:textId="77777777" w:rsidTr="7ED665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6565A49E" w14:textId="11E84818" w:rsidR="00265A9A" w:rsidRPr="00772BC3" w:rsidRDefault="00265A9A" w:rsidP="00A3583A">
            <w:pPr>
              <w:pStyle w:val="Tabletextleft"/>
            </w:pPr>
            <w:r w:rsidRPr="00772BC3">
              <w:t>mHealth</w:t>
            </w:r>
          </w:p>
        </w:tc>
        <w:tc>
          <w:tcPr>
            <w:tcW w:w="6802" w:type="dxa"/>
          </w:tcPr>
          <w:p w14:paraId="07692E7F" w14:textId="1722752C" w:rsidR="00265A9A" w:rsidRPr="00772BC3" w:rsidRDefault="00265A9A" w:rsidP="00A3583A">
            <w:pPr>
              <w:pStyle w:val="Tabletextleft"/>
              <w:cnfStyle w:val="000000100000" w:firstRow="0" w:lastRow="0" w:firstColumn="0" w:lastColumn="0" w:oddVBand="0" w:evenVBand="0" w:oddHBand="1" w:evenHBand="0" w:firstRowFirstColumn="0" w:firstRowLastColumn="0" w:lastRowFirstColumn="0" w:lastRowLastColumn="0"/>
            </w:pPr>
            <w:r w:rsidRPr="00772BC3">
              <w:t>mobile health</w:t>
            </w:r>
          </w:p>
        </w:tc>
      </w:tr>
      <w:tr w:rsidR="00265A9A" w:rsidRPr="00772BC3" w14:paraId="302DB4CF" w14:textId="77777777" w:rsidTr="7ED665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65F37200" w14:textId="1FF5D228" w:rsidR="00265A9A" w:rsidRPr="00772BC3" w:rsidRDefault="00265A9A" w:rsidP="00A3583A">
            <w:pPr>
              <w:pStyle w:val="Tabletextleft"/>
            </w:pPr>
            <w:r w:rsidRPr="00772BC3">
              <w:t>WHO</w:t>
            </w:r>
          </w:p>
        </w:tc>
        <w:tc>
          <w:tcPr>
            <w:tcW w:w="6802" w:type="dxa"/>
          </w:tcPr>
          <w:p w14:paraId="47695D51" w14:textId="18873A4E" w:rsidR="00265A9A" w:rsidRPr="00772BC3" w:rsidRDefault="00265A9A" w:rsidP="00A3583A">
            <w:pPr>
              <w:pStyle w:val="Tabletextleft"/>
              <w:cnfStyle w:val="000000010000" w:firstRow="0" w:lastRow="0" w:firstColumn="0" w:lastColumn="0" w:oddVBand="0" w:evenVBand="0" w:oddHBand="0" w:evenHBand="1" w:firstRowFirstColumn="0" w:firstRowLastColumn="0" w:lastRowFirstColumn="0" w:lastRowLastColumn="0"/>
            </w:pPr>
            <w:r w:rsidRPr="00772BC3">
              <w:t>World Health Organi</w:t>
            </w:r>
            <w:r w:rsidR="00A14FAB" w:rsidRPr="00772BC3">
              <w:t>z</w:t>
            </w:r>
            <w:r w:rsidRPr="00772BC3">
              <w:t>ation</w:t>
            </w:r>
          </w:p>
        </w:tc>
      </w:tr>
    </w:tbl>
    <w:p w14:paraId="4DB9671F" w14:textId="77777777" w:rsidR="00C8456E" w:rsidRPr="00A3583A" w:rsidRDefault="00C8456E" w:rsidP="00A3583A">
      <w:r w:rsidRPr="00772BC3">
        <w:br w:type="page"/>
      </w:r>
    </w:p>
    <w:p w14:paraId="07DB36DB" w14:textId="4F44617F" w:rsidR="00470EC8" w:rsidRPr="00772BC3" w:rsidRDefault="6C9552B6" w:rsidP="00470EC8">
      <w:pPr>
        <w:pStyle w:val="Heading2"/>
      </w:pPr>
      <w:bookmarkStart w:id="47" w:name="_Toc224557222"/>
      <w:r>
        <w:t>Glossary</w:t>
      </w:r>
      <w:bookmarkEnd w:id="47"/>
    </w:p>
    <w:tbl>
      <w:tblPr>
        <w:tblStyle w:val="DepartmentofHealthtable"/>
        <w:tblW w:w="0" w:type="auto"/>
        <w:tblLook w:val="04A0" w:firstRow="1" w:lastRow="0" w:firstColumn="1" w:lastColumn="0" w:noHBand="0" w:noVBand="1"/>
      </w:tblPr>
      <w:tblGrid>
        <w:gridCol w:w="2268"/>
        <w:gridCol w:w="6802"/>
      </w:tblGrid>
      <w:tr w:rsidR="00685332" w:rsidRPr="00772BC3" w14:paraId="08758495"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68" w:type="dxa"/>
          </w:tcPr>
          <w:p w14:paraId="420C6289" w14:textId="4C411994" w:rsidR="00685332" w:rsidRPr="00772BC3" w:rsidRDefault="00685332">
            <w:pPr>
              <w:pStyle w:val="TableHeaderWhite"/>
            </w:pPr>
            <w:r w:rsidRPr="00772BC3">
              <w:t>Term</w:t>
            </w:r>
          </w:p>
        </w:tc>
        <w:tc>
          <w:tcPr>
            <w:tcW w:w="6802" w:type="dxa"/>
          </w:tcPr>
          <w:p w14:paraId="702CF9BC" w14:textId="49E76A50" w:rsidR="00685332" w:rsidRPr="00772BC3" w:rsidRDefault="00685332">
            <w:pPr>
              <w:pStyle w:val="TableHeader"/>
              <w:cnfStyle w:val="100000000000" w:firstRow="1" w:lastRow="0" w:firstColumn="0" w:lastColumn="0" w:oddVBand="0" w:evenVBand="0" w:oddHBand="0" w:evenHBand="0" w:firstRowFirstColumn="0" w:firstRowLastColumn="0" w:lastRowFirstColumn="0" w:lastRowLastColumn="0"/>
            </w:pPr>
            <w:r w:rsidRPr="00772BC3">
              <w:t>Definition</w:t>
            </w:r>
          </w:p>
        </w:tc>
      </w:tr>
      <w:tr w:rsidR="003F2C13" w:rsidRPr="00772BC3" w14:paraId="511F3BF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1F6BEF2B" w14:textId="35E0CDD5" w:rsidR="003F2C13" w:rsidRPr="00772BC3" w:rsidRDefault="003F2C13" w:rsidP="00A3583A">
            <w:pPr>
              <w:pStyle w:val="Tabletextleft"/>
            </w:pPr>
            <w:r w:rsidRPr="00772BC3">
              <w:t>Aboriginal or Torres Strait Islander</w:t>
            </w:r>
          </w:p>
        </w:tc>
        <w:tc>
          <w:tcPr>
            <w:tcW w:w="6802" w:type="dxa"/>
          </w:tcPr>
          <w:p w14:paraId="785ADEB8" w14:textId="0C452652" w:rsidR="003F2C13" w:rsidRPr="00772BC3" w:rsidRDefault="003F2C13" w:rsidP="00A3583A">
            <w:pPr>
              <w:pStyle w:val="Tabletextleft"/>
              <w:cnfStyle w:val="000000100000" w:firstRow="0" w:lastRow="0" w:firstColumn="0" w:lastColumn="0" w:oddVBand="0" w:evenVBand="0" w:oddHBand="1" w:evenHBand="0" w:firstRowFirstColumn="0" w:firstRowLastColumn="0" w:lastRowFirstColumn="0" w:lastRowLastColumn="0"/>
            </w:pPr>
            <w:r w:rsidRPr="00772BC3">
              <w:t>A person who identifies themselves as being of Aboriginal or Torres Strait Islander origin</w:t>
            </w:r>
          </w:p>
        </w:tc>
      </w:tr>
      <w:tr w:rsidR="003F2C13" w:rsidRPr="00772BC3" w14:paraId="3B5F254B"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364C6E23" w14:textId="78334202" w:rsidR="003F2C13" w:rsidRPr="00772BC3" w:rsidRDefault="003F2C13" w:rsidP="00A3583A">
            <w:pPr>
              <w:pStyle w:val="Tabletextleft"/>
            </w:pPr>
            <w:r w:rsidRPr="00772BC3">
              <w:t>Aboriginal Community Controlled Health Organisation (ACCHO)</w:t>
            </w:r>
          </w:p>
        </w:tc>
        <w:tc>
          <w:tcPr>
            <w:tcW w:w="6802" w:type="dxa"/>
          </w:tcPr>
          <w:p w14:paraId="426BC486" w14:textId="617843B5" w:rsidR="003F2C13" w:rsidRPr="00772BC3" w:rsidRDefault="003F2C13" w:rsidP="00A3583A">
            <w:pPr>
              <w:pStyle w:val="Tabletextleft"/>
              <w:cnfStyle w:val="000000010000" w:firstRow="0" w:lastRow="0" w:firstColumn="0" w:lastColumn="0" w:oddVBand="0" w:evenVBand="0" w:oddHBand="0" w:evenHBand="1" w:firstRowFirstColumn="0" w:firstRowLastColumn="0" w:lastRowFirstColumn="0" w:lastRowLastColumn="0"/>
            </w:pPr>
            <w:r w:rsidRPr="00772BC3">
              <w:t>Health services operated by Aboriginal communities to provide culturally safe and comprehensive primary health care</w:t>
            </w:r>
          </w:p>
        </w:tc>
      </w:tr>
      <w:tr w:rsidR="003F2C13" w:rsidRPr="00772BC3" w14:paraId="7BA767B2"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4C267534" w14:textId="16D47FDB" w:rsidR="003F2C13" w:rsidRPr="00772BC3" w:rsidRDefault="47069C16" w:rsidP="00A3583A">
            <w:pPr>
              <w:pStyle w:val="Tabletextleft"/>
            </w:pPr>
            <w:r w:rsidRPr="00772BC3">
              <w:t>A</w:t>
            </w:r>
            <w:r w:rsidR="003F2C13" w:rsidRPr="00772BC3">
              <w:t>dvanced care planning</w:t>
            </w:r>
          </w:p>
        </w:tc>
        <w:tc>
          <w:tcPr>
            <w:tcW w:w="6802" w:type="dxa"/>
          </w:tcPr>
          <w:p w14:paraId="7A6B2640" w14:textId="1FCBCC23" w:rsidR="003F2C13" w:rsidRPr="00772BC3" w:rsidRDefault="003F2C13" w:rsidP="00A3583A">
            <w:pPr>
              <w:pStyle w:val="Tabletextleft"/>
              <w:cnfStyle w:val="000000100000" w:firstRow="0" w:lastRow="0" w:firstColumn="0" w:lastColumn="0" w:oddVBand="0" w:evenVBand="0" w:oddHBand="1" w:evenHBand="0" w:firstRowFirstColumn="0" w:firstRowLastColumn="0" w:lastRowFirstColumn="0" w:lastRowLastColumn="0"/>
            </w:pPr>
            <w:r w:rsidRPr="00772BC3">
              <w:t>Documenting a person’s preferences for future health care in case they become unable to make decisions</w:t>
            </w:r>
          </w:p>
        </w:tc>
      </w:tr>
      <w:tr w:rsidR="00367877" w:rsidRPr="00772BC3" w14:paraId="323223D2"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3BA2C3D9" w14:textId="4CAB5EE4" w:rsidR="00367877" w:rsidRPr="00772BC3" w:rsidRDefault="00367877" w:rsidP="00A3583A">
            <w:pPr>
              <w:pStyle w:val="Tabletextleft"/>
            </w:pPr>
            <w:r w:rsidRPr="00367877">
              <w:t>Burden of Disease</w:t>
            </w:r>
          </w:p>
        </w:tc>
        <w:tc>
          <w:tcPr>
            <w:tcW w:w="6802" w:type="dxa"/>
          </w:tcPr>
          <w:p w14:paraId="3A79ABE6" w14:textId="763C46F8" w:rsidR="00367877" w:rsidRPr="00367877" w:rsidRDefault="00367877" w:rsidP="00A3583A">
            <w:pPr>
              <w:pStyle w:val="Tabletextleft"/>
              <w:cnfStyle w:val="000000010000" w:firstRow="0" w:lastRow="0" w:firstColumn="0" w:lastColumn="0" w:oddVBand="0" w:evenVBand="0" w:oddHBand="0" w:evenHBand="1" w:firstRowFirstColumn="0" w:firstRowLastColumn="0" w:lastRowFirstColumn="0" w:lastRowLastColumn="0"/>
            </w:pPr>
            <w:r w:rsidRPr="00367877">
              <w:t>A measure of the years of healthy life lost, either through premature death or through living with illness due to disease and/or injury. It is a measure used to quantify the burden of disease and injury in a population</w:t>
            </w:r>
          </w:p>
          <w:p w14:paraId="6E404208" w14:textId="77777777" w:rsidR="00367877" w:rsidRPr="00772BC3" w:rsidRDefault="00367877" w:rsidP="00A3583A">
            <w:pPr>
              <w:pStyle w:val="Tabletextright0"/>
              <w:cnfStyle w:val="000000010000" w:firstRow="0" w:lastRow="0" w:firstColumn="0" w:lastColumn="0" w:oddVBand="0" w:evenVBand="0" w:oddHBand="0" w:evenHBand="1" w:firstRowFirstColumn="0" w:firstRowLastColumn="0" w:lastRowFirstColumn="0" w:lastRowLastColumn="0"/>
            </w:pPr>
          </w:p>
        </w:tc>
      </w:tr>
      <w:tr w:rsidR="003F2C13" w:rsidRPr="00772BC3" w14:paraId="678B86B5"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60422102" w14:textId="7139ACE7" w:rsidR="003F2C13" w:rsidRPr="00772BC3" w:rsidRDefault="6CAB4F61" w:rsidP="00A3583A">
            <w:pPr>
              <w:pStyle w:val="Tabletextleft"/>
            </w:pPr>
            <w:r w:rsidRPr="00772BC3">
              <w:t>C</w:t>
            </w:r>
            <w:r w:rsidR="003F2C13" w:rsidRPr="00772BC3">
              <w:t>hronic conditions</w:t>
            </w:r>
          </w:p>
        </w:tc>
        <w:tc>
          <w:tcPr>
            <w:tcW w:w="6802" w:type="dxa"/>
          </w:tcPr>
          <w:p w14:paraId="63F9219E" w14:textId="300D2D59" w:rsidR="003F2C13" w:rsidRPr="00772BC3" w:rsidRDefault="003F2C13" w:rsidP="00A3583A">
            <w:pPr>
              <w:pStyle w:val="Tabletextleft"/>
              <w:cnfStyle w:val="000000100000" w:firstRow="0" w:lastRow="0" w:firstColumn="0" w:lastColumn="0" w:oddVBand="0" w:evenVBand="0" w:oddHBand="1" w:evenHBand="0" w:firstRowFirstColumn="0" w:firstRowLastColumn="0" w:lastRowFirstColumn="0" w:lastRowLastColumn="0"/>
            </w:pPr>
            <w:r w:rsidRPr="00772BC3">
              <w:t>A diverse group of disease/conditions, such as heart disease, cancer and arthritis, which tend to be long lasting and persistent in their symptoms or development</w:t>
            </w:r>
          </w:p>
        </w:tc>
      </w:tr>
      <w:tr w:rsidR="003F2C13" w:rsidRPr="00772BC3" w14:paraId="2253CFA3"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6EBBC590" w14:textId="4CAB0A89" w:rsidR="003F2C13" w:rsidRPr="00772BC3" w:rsidRDefault="3FE112FE" w:rsidP="00A3583A">
            <w:pPr>
              <w:pStyle w:val="Tabletextleft"/>
            </w:pPr>
            <w:r w:rsidRPr="00772BC3">
              <w:t>C</w:t>
            </w:r>
            <w:r w:rsidR="003F2C13" w:rsidRPr="00772BC3">
              <w:t>hronic condition management plan</w:t>
            </w:r>
          </w:p>
        </w:tc>
        <w:tc>
          <w:tcPr>
            <w:tcW w:w="6802" w:type="dxa"/>
          </w:tcPr>
          <w:p w14:paraId="34971029" w14:textId="502FBAB7" w:rsidR="003F2C13" w:rsidRPr="00772BC3" w:rsidRDefault="003F2C13" w:rsidP="00A3583A">
            <w:pPr>
              <w:pStyle w:val="Tabletextleft"/>
              <w:cnfStyle w:val="000000010000" w:firstRow="0" w:lastRow="0" w:firstColumn="0" w:lastColumn="0" w:oddVBand="0" w:evenVBand="0" w:oddHBand="0" w:evenHBand="1" w:firstRowFirstColumn="0" w:firstRowLastColumn="0" w:lastRowFirstColumn="0" w:lastRowLastColumn="0"/>
            </w:pPr>
            <w:r w:rsidRPr="00772BC3">
              <w:t xml:space="preserve">Structured plans developed by </w:t>
            </w:r>
            <w:r w:rsidR="2E75A0C7">
              <w:t>healthcare</w:t>
            </w:r>
            <w:r w:rsidRPr="00772BC3">
              <w:t xml:space="preserve"> providers to coordinate care for individuals with chronic conditions</w:t>
            </w:r>
          </w:p>
        </w:tc>
      </w:tr>
      <w:tr w:rsidR="007072E7" w:rsidRPr="00772BC3" w14:paraId="57DAE7B4"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0451526C" w14:textId="58C003E8" w:rsidR="007072E7" w:rsidRPr="00772BC3" w:rsidRDefault="0AA93AB1" w:rsidP="00A3583A">
            <w:pPr>
              <w:pStyle w:val="Tabletextleft"/>
            </w:pPr>
            <w:r w:rsidRPr="00772BC3">
              <w:t>C</w:t>
            </w:r>
            <w:r w:rsidR="007072E7" w:rsidRPr="00772BC3">
              <w:t>linical decision support</w:t>
            </w:r>
          </w:p>
        </w:tc>
        <w:tc>
          <w:tcPr>
            <w:tcW w:w="6802" w:type="dxa"/>
          </w:tcPr>
          <w:p w14:paraId="3ED3A12C" w14:textId="232C1EDC" w:rsidR="007072E7" w:rsidRPr="00772BC3" w:rsidRDefault="007072E7" w:rsidP="00A3583A">
            <w:pPr>
              <w:pStyle w:val="Tabletextleft"/>
              <w:cnfStyle w:val="000000100000" w:firstRow="0" w:lastRow="0" w:firstColumn="0" w:lastColumn="0" w:oddVBand="0" w:evenVBand="0" w:oddHBand="1" w:evenHBand="0" w:firstRowFirstColumn="0" w:firstRowLastColumn="0" w:lastRowFirstColumn="0" w:lastRowLastColumn="0"/>
            </w:pPr>
            <w:r w:rsidRPr="00772BC3">
              <w:t>Tools and systems that provide evidence-based guidance to support clinical decisions</w:t>
            </w:r>
          </w:p>
        </w:tc>
      </w:tr>
      <w:tr w:rsidR="007072E7" w:rsidRPr="00772BC3" w14:paraId="1A9FFA76"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03F7D29D" w14:textId="5962C8D3" w:rsidR="007072E7" w:rsidRPr="00772BC3" w:rsidRDefault="12A06FD4" w:rsidP="00A3583A">
            <w:pPr>
              <w:pStyle w:val="Tabletextleft"/>
            </w:pPr>
            <w:r w:rsidRPr="00772BC3">
              <w:t>C</w:t>
            </w:r>
            <w:r w:rsidR="007072E7" w:rsidRPr="00772BC3">
              <w:t>o-design</w:t>
            </w:r>
          </w:p>
        </w:tc>
        <w:tc>
          <w:tcPr>
            <w:tcW w:w="6802" w:type="dxa"/>
          </w:tcPr>
          <w:p w14:paraId="55578BEE" w14:textId="2103ECD3" w:rsidR="007072E7" w:rsidRPr="00772BC3" w:rsidRDefault="007072E7" w:rsidP="00A3583A">
            <w:pPr>
              <w:pStyle w:val="Tabletextleft"/>
              <w:cnfStyle w:val="000000010000" w:firstRow="0" w:lastRow="0" w:firstColumn="0" w:lastColumn="0" w:oddVBand="0" w:evenVBand="0" w:oddHBand="0" w:evenHBand="1" w:firstRowFirstColumn="0" w:firstRowLastColumn="0" w:lastRowFirstColumn="0" w:lastRowLastColumn="0"/>
            </w:pPr>
            <w:r w:rsidRPr="00772BC3">
              <w:t xml:space="preserve">Collaborative design of health interventions involving individuals, caregivers and </w:t>
            </w:r>
            <w:r w:rsidR="12F56FC8">
              <w:t>healthcare</w:t>
            </w:r>
            <w:r w:rsidRPr="00772BC3">
              <w:t xml:space="preserve"> providers</w:t>
            </w:r>
          </w:p>
        </w:tc>
      </w:tr>
      <w:tr w:rsidR="007072E7" w:rsidRPr="00772BC3" w14:paraId="2D2B7C2E"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065841E9" w14:textId="3DBF35EC" w:rsidR="007072E7" w:rsidRPr="00772BC3" w:rsidRDefault="52423F6E" w:rsidP="00A3583A">
            <w:pPr>
              <w:pStyle w:val="Tabletextleft"/>
            </w:pPr>
            <w:r w:rsidRPr="00772BC3">
              <w:t>C</w:t>
            </w:r>
            <w:r w:rsidR="007072E7" w:rsidRPr="00772BC3">
              <w:t>ontinuity of care</w:t>
            </w:r>
          </w:p>
        </w:tc>
        <w:tc>
          <w:tcPr>
            <w:tcW w:w="6802" w:type="dxa"/>
          </w:tcPr>
          <w:p w14:paraId="02E52E3D" w14:textId="0DC6FD8D" w:rsidR="007072E7" w:rsidRPr="00772BC3" w:rsidRDefault="007072E7" w:rsidP="00A3583A">
            <w:pPr>
              <w:pStyle w:val="Tabletextleft"/>
              <w:cnfStyle w:val="000000100000" w:firstRow="0" w:lastRow="0" w:firstColumn="0" w:lastColumn="0" w:oddVBand="0" w:evenVBand="0" w:oddHBand="1" w:evenHBand="0" w:firstRowFirstColumn="0" w:firstRowLastColumn="0" w:lastRowFirstColumn="0" w:lastRowLastColumn="0"/>
            </w:pPr>
            <w:r w:rsidRPr="00772BC3">
              <w:t>Consistent and coordinated health care across different providers and settings over time</w:t>
            </w:r>
          </w:p>
        </w:tc>
      </w:tr>
      <w:tr w:rsidR="007072E7" w:rsidRPr="00772BC3" w14:paraId="20AA412A"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721FD34E" w14:textId="6B846E75" w:rsidR="007072E7" w:rsidRPr="00772BC3" w:rsidRDefault="69FBC2C9" w:rsidP="00A3583A">
            <w:pPr>
              <w:pStyle w:val="Tabletextleft"/>
            </w:pPr>
            <w:r w:rsidRPr="00772BC3">
              <w:t>C</w:t>
            </w:r>
            <w:r w:rsidR="007072E7" w:rsidRPr="00772BC3">
              <w:t>ulturally safe care</w:t>
            </w:r>
          </w:p>
        </w:tc>
        <w:tc>
          <w:tcPr>
            <w:tcW w:w="6802" w:type="dxa"/>
          </w:tcPr>
          <w:p w14:paraId="49FA415C" w14:textId="0FCFD7D8" w:rsidR="007072E7" w:rsidRPr="00772BC3" w:rsidRDefault="007072E7" w:rsidP="00A3583A">
            <w:pPr>
              <w:pStyle w:val="Tabletextleft"/>
              <w:cnfStyle w:val="000000010000" w:firstRow="0" w:lastRow="0" w:firstColumn="0" w:lastColumn="0" w:oddVBand="0" w:evenVBand="0" w:oddHBand="0" w:evenHBand="1" w:firstRowFirstColumn="0" w:firstRowLastColumn="0" w:lastRowFirstColumn="0" w:lastRowLastColumn="0"/>
            </w:pPr>
            <w:r w:rsidRPr="00772BC3">
              <w:t xml:space="preserve">Care that is respectful of and responsive to the cultural identity and needs of individuals, particularly Aboriginal and Torres Strait Islander </w:t>
            </w:r>
            <w:r>
              <w:t>people</w:t>
            </w:r>
            <w:r w:rsidR="67556E1C">
              <w:t>s</w:t>
            </w:r>
            <w:r w:rsidRPr="00772BC3">
              <w:t xml:space="preserve"> and people from CALD backgrounds</w:t>
            </w:r>
          </w:p>
        </w:tc>
      </w:tr>
      <w:tr w:rsidR="007072E7" w:rsidRPr="00772BC3" w14:paraId="15C03EB3"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4E27B4BE" w14:textId="528E6288" w:rsidR="007072E7" w:rsidRPr="00772BC3" w:rsidRDefault="6173363C" w:rsidP="00A3583A">
            <w:pPr>
              <w:pStyle w:val="Tabletextleft"/>
            </w:pPr>
            <w:r w:rsidRPr="00772BC3">
              <w:t>D</w:t>
            </w:r>
            <w:r w:rsidR="007072E7" w:rsidRPr="00772BC3">
              <w:t>ata linkage</w:t>
            </w:r>
          </w:p>
        </w:tc>
        <w:tc>
          <w:tcPr>
            <w:tcW w:w="6802" w:type="dxa"/>
          </w:tcPr>
          <w:p w14:paraId="644DBFB4" w14:textId="11065A05" w:rsidR="007072E7" w:rsidRPr="00772BC3" w:rsidRDefault="007072E7" w:rsidP="00A3583A">
            <w:pPr>
              <w:pStyle w:val="Tabletextleft"/>
              <w:cnfStyle w:val="000000100000" w:firstRow="0" w:lastRow="0" w:firstColumn="0" w:lastColumn="0" w:oddVBand="0" w:evenVBand="0" w:oddHBand="1" w:evenHBand="0" w:firstRowFirstColumn="0" w:firstRowLastColumn="0" w:lastRowFirstColumn="0" w:lastRowLastColumn="0"/>
            </w:pPr>
            <w:r w:rsidRPr="00772BC3">
              <w:t>Bringing together (linking) information from two or more data sources believed to relate to the same entity, such as the same individual or the same institution. The resulting data set is called linked data.</w:t>
            </w:r>
          </w:p>
        </w:tc>
      </w:tr>
      <w:tr w:rsidR="006D6959" w:rsidRPr="00772BC3" w14:paraId="69D54560"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2D7A5F76" w14:textId="3B66E821" w:rsidR="006D6959" w:rsidRPr="00772BC3" w:rsidRDefault="071B895B" w:rsidP="00A3583A">
            <w:pPr>
              <w:pStyle w:val="Tabletextleft"/>
            </w:pPr>
            <w:r w:rsidRPr="00772BC3">
              <w:t>D</w:t>
            </w:r>
            <w:r w:rsidR="006D6959" w:rsidRPr="00772BC3">
              <w:t>eterminants of health</w:t>
            </w:r>
          </w:p>
        </w:tc>
        <w:tc>
          <w:tcPr>
            <w:tcW w:w="6802" w:type="dxa"/>
          </w:tcPr>
          <w:p w14:paraId="4AACFF91" w14:textId="23E4A1C0" w:rsidR="006D6959" w:rsidRPr="00772BC3" w:rsidRDefault="006D6959" w:rsidP="00A3583A">
            <w:pPr>
              <w:pStyle w:val="Tabletextleft"/>
              <w:cnfStyle w:val="000000010000" w:firstRow="0" w:lastRow="0" w:firstColumn="0" w:lastColumn="0" w:oddVBand="0" w:evenVBand="0" w:oddHBand="0" w:evenHBand="1" w:firstRowFirstColumn="0" w:firstRowLastColumn="0" w:lastRowFirstColumn="0" w:lastRowLastColumn="0"/>
            </w:pPr>
            <w:r w:rsidRPr="00772BC3">
              <w:t>Any factor that can increase the chances of ill health (risk factors) or good health (protective factors) in a population or individual</w:t>
            </w:r>
          </w:p>
        </w:tc>
      </w:tr>
      <w:tr w:rsidR="006D6959" w:rsidRPr="00772BC3" w14:paraId="5FB4FAC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288E5E15" w14:textId="75E402F7" w:rsidR="006D6959" w:rsidRPr="00772BC3" w:rsidRDefault="3AF0F21D" w:rsidP="00A3583A">
            <w:pPr>
              <w:pStyle w:val="Tabletextleft"/>
            </w:pPr>
            <w:r w:rsidRPr="00772BC3">
              <w:t>D</w:t>
            </w:r>
            <w:r w:rsidR="006D6959" w:rsidRPr="00772BC3">
              <w:t>igital health</w:t>
            </w:r>
          </w:p>
        </w:tc>
        <w:tc>
          <w:tcPr>
            <w:tcW w:w="6802" w:type="dxa"/>
          </w:tcPr>
          <w:p w14:paraId="78BC0266" w14:textId="1AE2F1D9" w:rsidR="006D6959" w:rsidRPr="00772BC3" w:rsidRDefault="006D6959" w:rsidP="00A3583A">
            <w:pPr>
              <w:pStyle w:val="Tabletextleft"/>
              <w:cnfStyle w:val="000000100000" w:firstRow="0" w:lastRow="0" w:firstColumn="0" w:lastColumn="0" w:oddVBand="0" w:evenVBand="0" w:oddHBand="1" w:evenHBand="0" w:firstRowFirstColumn="0" w:firstRowLastColumn="0" w:lastRowFirstColumn="0" w:lastRowLastColumn="0"/>
            </w:pPr>
            <w:r w:rsidRPr="00772BC3">
              <w:t xml:space="preserve">The electronic management of health information. This includes using technology to collect and share a person’s health information to support </w:t>
            </w:r>
            <w:r w:rsidR="5432D37C">
              <w:t>healthcare</w:t>
            </w:r>
            <w:r w:rsidRPr="00772BC3">
              <w:t xml:space="preserve"> delivery</w:t>
            </w:r>
          </w:p>
        </w:tc>
      </w:tr>
      <w:tr w:rsidR="006D6959" w:rsidRPr="00772BC3" w14:paraId="5D51A117"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1CBA38E8" w14:textId="4752BAC9" w:rsidR="006D6959" w:rsidRPr="00772BC3" w:rsidRDefault="78931120" w:rsidP="00A3583A">
            <w:pPr>
              <w:pStyle w:val="Tabletextleft"/>
            </w:pPr>
            <w:r w:rsidRPr="00772BC3">
              <w:t>H</w:t>
            </w:r>
            <w:r w:rsidR="006D6959" w:rsidRPr="00772BC3">
              <w:t>ealth equity</w:t>
            </w:r>
          </w:p>
        </w:tc>
        <w:tc>
          <w:tcPr>
            <w:tcW w:w="6802" w:type="dxa"/>
          </w:tcPr>
          <w:p w14:paraId="2F25EF14" w14:textId="491EA147" w:rsidR="006D6959" w:rsidRPr="00772BC3" w:rsidRDefault="006D6959" w:rsidP="00A3583A">
            <w:pPr>
              <w:pStyle w:val="Tabletextleft"/>
              <w:cnfStyle w:val="000000010000" w:firstRow="0" w:lastRow="0" w:firstColumn="0" w:lastColumn="0" w:oddVBand="0" w:evenVBand="0" w:oddHBand="0" w:evenHBand="1" w:firstRowFirstColumn="0" w:firstRowLastColumn="0" w:lastRowFirstColumn="0" w:lastRowLastColumn="0"/>
            </w:pPr>
            <w:r w:rsidRPr="00772BC3">
              <w:t>Ensuring that everyone has a fair opportunity to attain their highest level of health</w:t>
            </w:r>
          </w:p>
        </w:tc>
      </w:tr>
      <w:tr w:rsidR="006D6959" w:rsidRPr="00772BC3" w14:paraId="385C09F0"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319EA31F" w14:textId="371DF84F" w:rsidR="006D6959" w:rsidRPr="00772BC3" w:rsidRDefault="006D6959" w:rsidP="00A3583A">
            <w:pPr>
              <w:pStyle w:val="Tabletextleft"/>
            </w:pPr>
            <w:r w:rsidRPr="00772BC3">
              <w:t>Health in All Policies (HiAP)</w:t>
            </w:r>
          </w:p>
        </w:tc>
        <w:tc>
          <w:tcPr>
            <w:tcW w:w="6802" w:type="dxa"/>
          </w:tcPr>
          <w:p w14:paraId="2DE4AA0A" w14:textId="13CBCE89" w:rsidR="006D6959" w:rsidRPr="00772BC3" w:rsidRDefault="006D6959" w:rsidP="00A3583A">
            <w:pPr>
              <w:pStyle w:val="Tabletextleft"/>
              <w:cnfStyle w:val="000000100000" w:firstRow="0" w:lastRow="0" w:firstColumn="0" w:lastColumn="0" w:oddVBand="0" w:evenVBand="0" w:oddHBand="1" w:evenHBand="0" w:firstRowFirstColumn="0" w:firstRowLastColumn="0" w:lastRowFirstColumn="0" w:lastRowLastColumn="0"/>
            </w:pPr>
            <w:r w:rsidRPr="00772BC3">
              <w:t>An approach that integrates health considerations into policymaking across different sectors to improve population health</w:t>
            </w:r>
          </w:p>
        </w:tc>
      </w:tr>
      <w:tr w:rsidR="006D6959" w:rsidRPr="00772BC3" w14:paraId="7F8080EE"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294A5EFE" w14:textId="4BD49101" w:rsidR="006D6959" w:rsidRPr="00772BC3" w:rsidRDefault="7265A504" w:rsidP="00A3583A">
            <w:pPr>
              <w:pStyle w:val="Tabletextleft"/>
            </w:pPr>
            <w:r w:rsidRPr="00772BC3">
              <w:t>H</w:t>
            </w:r>
            <w:r w:rsidR="006D6959" w:rsidRPr="00772BC3">
              <w:t>ealth literacy</w:t>
            </w:r>
          </w:p>
        </w:tc>
        <w:tc>
          <w:tcPr>
            <w:tcW w:w="6802" w:type="dxa"/>
          </w:tcPr>
          <w:p w14:paraId="252B0C38" w14:textId="1AD9FA7B" w:rsidR="006D6959" w:rsidRPr="00772BC3" w:rsidRDefault="006D6959" w:rsidP="00A3583A">
            <w:pPr>
              <w:pStyle w:val="Tabletextleft"/>
              <w:cnfStyle w:val="000000010000" w:firstRow="0" w:lastRow="0" w:firstColumn="0" w:lastColumn="0" w:oddVBand="0" w:evenVBand="0" w:oddHBand="0" w:evenHBand="1" w:firstRowFirstColumn="0" w:firstRowLastColumn="0" w:lastRowFirstColumn="0" w:lastRowLastColumn="0"/>
            </w:pPr>
            <w:r w:rsidRPr="00772BC3">
              <w:t>The ability of people to access, understand and apply information about health and the health care system to make decisions that relate to their health</w:t>
            </w:r>
          </w:p>
        </w:tc>
      </w:tr>
      <w:tr w:rsidR="007C20C1" w:rsidRPr="00772BC3" w14:paraId="3DF853D6"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13A42CB1" w14:textId="34CBA0FD" w:rsidR="007C20C1" w:rsidRPr="00772BC3" w:rsidRDefault="0018DE7F" w:rsidP="00A3583A">
            <w:pPr>
              <w:pStyle w:val="Tabletextleft"/>
            </w:pPr>
            <w:r w:rsidRPr="00772BC3">
              <w:t>I</w:t>
            </w:r>
            <w:r w:rsidR="007C20C1" w:rsidRPr="00772BC3">
              <w:t>ntersectionality</w:t>
            </w:r>
          </w:p>
        </w:tc>
        <w:tc>
          <w:tcPr>
            <w:tcW w:w="6802" w:type="dxa"/>
          </w:tcPr>
          <w:p w14:paraId="1C532D2A" w14:textId="5FD9CD17" w:rsidR="007C20C1" w:rsidRPr="00772BC3" w:rsidRDefault="007C20C1" w:rsidP="00A3583A">
            <w:pPr>
              <w:pStyle w:val="Tabletextleft"/>
              <w:cnfStyle w:val="000000100000" w:firstRow="0" w:lastRow="0" w:firstColumn="0" w:lastColumn="0" w:oddVBand="0" w:evenVBand="0" w:oddHBand="1" w:evenHBand="0" w:firstRowFirstColumn="0" w:firstRowLastColumn="0" w:lastRowFirstColumn="0" w:lastRowLastColumn="0"/>
            </w:pPr>
            <w:r w:rsidRPr="00772BC3">
              <w:t>The ways in which different aspects of a person’s identity can expose them to overlapping forms of discrimination and marginalisation</w:t>
            </w:r>
          </w:p>
        </w:tc>
      </w:tr>
      <w:tr w:rsidR="007C20C1" w:rsidRPr="00772BC3" w14:paraId="757C4D47"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05C77E24" w14:textId="02EBEAA6" w:rsidR="007C20C1" w:rsidRPr="00772BC3" w:rsidRDefault="75CDC0B0" w:rsidP="00A3583A">
            <w:pPr>
              <w:pStyle w:val="Tabletextleft"/>
            </w:pPr>
            <w:r w:rsidRPr="00772BC3">
              <w:t>M</w:t>
            </w:r>
            <w:r w:rsidR="007C20C1" w:rsidRPr="00772BC3">
              <w:t>ultimorbidity</w:t>
            </w:r>
          </w:p>
        </w:tc>
        <w:tc>
          <w:tcPr>
            <w:tcW w:w="6802" w:type="dxa"/>
          </w:tcPr>
          <w:p w14:paraId="513EE8F8" w14:textId="5EE1C6F8" w:rsidR="007C20C1" w:rsidRPr="00772BC3" w:rsidRDefault="007C20C1" w:rsidP="00A3583A">
            <w:pPr>
              <w:pStyle w:val="Tabletextleft"/>
              <w:cnfStyle w:val="000000010000" w:firstRow="0" w:lastRow="0" w:firstColumn="0" w:lastColumn="0" w:oddVBand="0" w:evenVBand="0" w:oddHBand="0" w:evenHBand="1" w:firstRowFirstColumn="0" w:firstRowLastColumn="0" w:lastRowFirstColumn="0" w:lastRowLastColumn="0"/>
            </w:pPr>
            <w:r w:rsidRPr="00772BC3">
              <w:t>The presence of two or more chronic conditions in a person at the same time</w:t>
            </w:r>
          </w:p>
        </w:tc>
      </w:tr>
      <w:tr w:rsidR="007C20C1" w:rsidRPr="00772BC3" w14:paraId="0B28CBE4"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32EF4F47" w14:textId="2F958286" w:rsidR="007C20C1" w:rsidRPr="00772BC3" w:rsidRDefault="31727E6A" w:rsidP="00A3583A">
            <w:pPr>
              <w:pStyle w:val="Tabletextleft"/>
            </w:pPr>
            <w:r w:rsidRPr="00772BC3">
              <w:t>O</w:t>
            </w:r>
            <w:r w:rsidR="007C20C1" w:rsidRPr="00772BC3">
              <w:t>utreach program</w:t>
            </w:r>
          </w:p>
        </w:tc>
        <w:tc>
          <w:tcPr>
            <w:tcW w:w="6802" w:type="dxa"/>
          </w:tcPr>
          <w:p w14:paraId="21C12EB0" w14:textId="5425CE21" w:rsidR="007C20C1" w:rsidRPr="00772BC3" w:rsidRDefault="007C20C1" w:rsidP="00A3583A">
            <w:pPr>
              <w:pStyle w:val="Tabletextleft"/>
              <w:cnfStyle w:val="000000100000" w:firstRow="0" w:lastRow="0" w:firstColumn="0" w:lastColumn="0" w:oddVBand="0" w:evenVBand="0" w:oddHBand="1" w:evenHBand="0" w:firstRowFirstColumn="0" w:firstRowLastColumn="0" w:lastRowFirstColumn="0" w:lastRowLastColumn="0"/>
            </w:pPr>
            <w:r w:rsidRPr="00772BC3">
              <w:t>Health initiative that extends services to under-serviced populations, often in remote or regional areas</w:t>
            </w:r>
          </w:p>
        </w:tc>
      </w:tr>
      <w:tr w:rsidR="007C20C1" w:rsidRPr="00772BC3" w14:paraId="64BF2132"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67C40653" w14:textId="15BD2C92" w:rsidR="007C20C1" w:rsidRPr="00772BC3" w:rsidRDefault="3F0158CE" w:rsidP="00A3583A">
            <w:pPr>
              <w:pStyle w:val="Tabletextleft"/>
            </w:pPr>
            <w:r w:rsidRPr="00772BC3">
              <w:t>P</w:t>
            </w:r>
            <w:r w:rsidR="007C20C1" w:rsidRPr="00772BC3">
              <w:t>alliative care</w:t>
            </w:r>
          </w:p>
        </w:tc>
        <w:tc>
          <w:tcPr>
            <w:tcW w:w="6802" w:type="dxa"/>
          </w:tcPr>
          <w:p w14:paraId="66339A9B" w14:textId="431C8195" w:rsidR="007C20C1" w:rsidRPr="00772BC3" w:rsidRDefault="007C20C1" w:rsidP="00A3583A">
            <w:pPr>
              <w:pStyle w:val="Tabletextleft"/>
              <w:cnfStyle w:val="000000010000" w:firstRow="0" w:lastRow="0" w:firstColumn="0" w:lastColumn="0" w:oddVBand="0" w:evenVBand="0" w:oddHBand="0" w:evenHBand="1" w:firstRowFirstColumn="0" w:firstRowLastColumn="0" w:lastRowFirstColumn="0" w:lastRowLastColumn="0"/>
            </w:pPr>
            <w:r w:rsidRPr="00772BC3">
              <w:t>An approach to treatment that improves the quality of life of patients and their families facing a life-limiting illness, as well as reducing the physical and emotional stress of dying</w:t>
            </w:r>
          </w:p>
        </w:tc>
      </w:tr>
      <w:tr w:rsidR="007C20C1" w:rsidRPr="00772BC3" w14:paraId="2B7E83F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61B82AD5" w14:textId="15639803" w:rsidR="007C20C1" w:rsidRPr="00772BC3" w:rsidRDefault="407BB5FE" w:rsidP="00A3583A">
            <w:pPr>
              <w:pStyle w:val="Tabletextleft"/>
            </w:pPr>
            <w:r w:rsidRPr="00772BC3">
              <w:t>P</w:t>
            </w:r>
            <w:r w:rsidR="007C20C1" w:rsidRPr="00772BC3">
              <w:t>erson-centred care</w:t>
            </w:r>
          </w:p>
        </w:tc>
        <w:tc>
          <w:tcPr>
            <w:tcW w:w="6802" w:type="dxa"/>
          </w:tcPr>
          <w:p w14:paraId="71502A95" w14:textId="2AFAE121" w:rsidR="007C20C1" w:rsidRPr="00772BC3" w:rsidRDefault="007C20C1" w:rsidP="00A3583A">
            <w:pPr>
              <w:pStyle w:val="Tabletextleft"/>
              <w:cnfStyle w:val="000000100000" w:firstRow="0" w:lastRow="0" w:firstColumn="0" w:lastColumn="0" w:oddVBand="0" w:evenVBand="0" w:oddHBand="1" w:evenHBand="0" w:firstRowFirstColumn="0" w:firstRowLastColumn="0" w:lastRowFirstColumn="0" w:lastRowLastColumn="0"/>
            </w:pPr>
            <w:r w:rsidRPr="00772BC3">
              <w:t>Care that is focused on the individual’s preferences, needs and values, involving shared decision-making</w:t>
            </w:r>
          </w:p>
        </w:tc>
      </w:tr>
      <w:tr w:rsidR="003A1D63" w:rsidRPr="00772BC3" w14:paraId="35BA0027"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3427AC93" w14:textId="28CB5CB2" w:rsidR="003A1D63" w:rsidRPr="00772BC3" w:rsidRDefault="22610425" w:rsidP="00A3583A">
            <w:pPr>
              <w:pStyle w:val="Tabletextleft"/>
            </w:pPr>
            <w:r w:rsidRPr="00772BC3">
              <w:t>P</w:t>
            </w:r>
            <w:r w:rsidR="003A1D63" w:rsidRPr="00772BC3">
              <w:t>olypharmacy</w:t>
            </w:r>
          </w:p>
        </w:tc>
        <w:tc>
          <w:tcPr>
            <w:tcW w:w="6802" w:type="dxa"/>
          </w:tcPr>
          <w:p w14:paraId="71146029" w14:textId="249D8264" w:rsidR="003A1D63" w:rsidRPr="00772BC3" w:rsidRDefault="003A1D63" w:rsidP="00A3583A">
            <w:pPr>
              <w:pStyle w:val="Tabletextleft"/>
              <w:cnfStyle w:val="000000010000" w:firstRow="0" w:lastRow="0" w:firstColumn="0" w:lastColumn="0" w:oddVBand="0" w:evenVBand="0" w:oddHBand="0" w:evenHBand="1" w:firstRowFirstColumn="0" w:firstRowLastColumn="0" w:lastRowFirstColumn="0" w:lastRowLastColumn="0"/>
            </w:pPr>
            <w:r w:rsidRPr="00772BC3">
              <w:t>The concurrent use of multiple medications by a person, often associated with multimorbidity</w:t>
            </w:r>
          </w:p>
        </w:tc>
      </w:tr>
      <w:tr w:rsidR="003A1D63" w:rsidRPr="00772BC3" w14:paraId="3C25F23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6E1E68AD" w14:textId="1CAFD595" w:rsidR="003A1D63" w:rsidRPr="00772BC3" w:rsidRDefault="187B5697" w:rsidP="00A3583A">
            <w:pPr>
              <w:pStyle w:val="Tabletextleft"/>
            </w:pPr>
            <w:r w:rsidRPr="00772BC3">
              <w:t>P</w:t>
            </w:r>
            <w:r w:rsidR="003A1D63" w:rsidRPr="00772BC3">
              <w:t>rimary health care</w:t>
            </w:r>
          </w:p>
        </w:tc>
        <w:tc>
          <w:tcPr>
            <w:tcW w:w="6802" w:type="dxa"/>
          </w:tcPr>
          <w:p w14:paraId="1FA29B21" w14:textId="18BC3FC9" w:rsidR="003A1D63" w:rsidRPr="00772BC3" w:rsidRDefault="003A1D63" w:rsidP="00A3583A">
            <w:pPr>
              <w:pStyle w:val="Tabletextleft"/>
              <w:cnfStyle w:val="000000100000" w:firstRow="0" w:lastRow="0" w:firstColumn="0" w:lastColumn="0" w:oddVBand="0" w:evenVBand="0" w:oddHBand="1" w:evenHBand="0" w:firstRowFirstColumn="0" w:firstRowLastColumn="0" w:lastRowFirstColumn="0" w:lastRowLastColumn="0"/>
            </w:pPr>
            <w:r w:rsidRPr="00772BC3">
              <w:t>These are services delivered in many community settings, such as general practices, community health centres, Aboriginal health services and allied health practices (for example, physiotherapy, dietetic and chiropractic practices)</w:t>
            </w:r>
          </w:p>
        </w:tc>
      </w:tr>
      <w:tr w:rsidR="003A1D63" w:rsidRPr="00772BC3" w14:paraId="4FECD3FB"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590B93D7" w14:textId="20A18275" w:rsidR="003A1D63" w:rsidRPr="00772BC3" w:rsidRDefault="4704BE61" w:rsidP="00A3583A">
            <w:pPr>
              <w:pStyle w:val="Tabletextleft"/>
            </w:pPr>
            <w:r w:rsidRPr="00772BC3">
              <w:t>R</w:t>
            </w:r>
            <w:r w:rsidR="003A1D63" w:rsidRPr="00772BC3">
              <w:t>isk factor</w:t>
            </w:r>
          </w:p>
        </w:tc>
        <w:tc>
          <w:tcPr>
            <w:tcW w:w="6802" w:type="dxa"/>
          </w:tcPr>
          <w:p w14:paraId="523D6106" w14:textId="77777777" w:rsidR="00603D1B" w:rsidRPr="00603D1B" w:rsidRDefault="00603D1B" w:rsidP="00A3583A">
            <w:pPr>
              <w:pStyle w:val="Tabletextleft"/>
              <w:cnfStyle w:val="000000010000" w:firstRow="0" w:lastRow="0" w:firstColumn="0" w:lastColumn="0" w:oddVBand="0" w:evenVBand="0" w:oddHBand="0" w:evenHBand="1" w:firstRowFirstColumn="0" w:firstRowLastColumn="0" w:lastRowFirstColumn="0" w:lastRowLastColumn="0"/>
            </w:pPr>
            <w:r w:rsidRPr="00603D1B">
              <w:t xml:space="preserve">Risk factors are attributes, characteristics or exposures that increase the likelihood of a person developing a disease or health disorder </w:t>
            </w:r>
          </w:p>
          <w:p w14:paraId="2C3387C8" w14:textId="0F64D93E" w:rsidR="003A1D63" w:rsidRPr="00772BC3" w:rsidRDefault="003A1D63" w:rsidP="00A3583A">
            <w:pPr>
              <w:pStyle w:val="Tabletextright0"/>
              <w:cnfStyle w:val="000000010000" w:firstRow="0" w:lastRow="0" w:firstColumn="0" w:lastColumn="0" w:oddVBand="0" w:evenVBand="0" w:oddHBand="0" w:evenHBand="1" w:firstRowFirstColumn="0" w:firstRowLastColumn="0" w:lastRowFirstColumn="0" w:lastRowLastColumn="0"/>
            </w:pPr>
          </w:p>
        </w:tc>
      </w:tr>
      <w:tr w:rsidR="003A1D63" w:rsidRPr="00772BC3" w14:paraId="49602FE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2DC7145E" w14:textId="6F16875C" w:rsidR="003A1D63" w:rsidRPr="00772BC3" w:rsidRDefault="11A533E9" w:rsidP="00A3583A">
            <w:pPr>
              <w:pStyle w:val="Tabletextleft"/>
            </w:pPr>
            <w:r w:rsidRPr="00772BC3">
              <w:t>S</w:t>
            </w:r>
            <w:r w:rsidR="003A1D63" w:rsidRPr="00772BC3">
              <w:t>elf-management</w:t>
            </w:r>
          </w:p>
        </w:tc>
        <w:tc>
          <w:tcPr>
            <w:tcW w:w="6802" w:type="dxa"/>
          </w:tcPr>
          <w:p w14:paraId="49652C45" w14:textId="313A9900" w:rsidR="003A1D63" w:rsidRPr="00772BC3" w:rsidRDefault="003A1D63" w:rsidP="00A3583A">
            <w:pPr>
              <w:pStyle w:val="Tabletextleft"/>
              <w:cnfStyle w:val="000000100000" w:firstRow="0" w:lastRow="0" w:firstColumn="0" w:lastColumn="0" w:oddVBand="0" w:evenVBand="0" w:oddHBand="1" w:evenHBand="0" w:firstRowFirstColumn="0" w:firstRowLastColumn="0" w:lastRowFirstColumn="0" w:lastRowLastColumn="0"/>
            </w:pPr>
            <w:r w:rsidRPr="00772BC3">
              <w:t>The ability of individuals to manage symptoms, treatment and lifestyle changes associated with chronic conditions</w:t>
            </w:r>
          </w:p>
        </w:tc>
      </w:tr>
      <w:tr w:rsidR="003A1D63" w:rsidRPr="00772BC3" w14:paraId="43243C22"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128A45C0" w14:textId="4E53D1DA" w:rsidR="003A1D63" w:rsidRPr="00772BC3" w:rsidRDefault="0AD09396" w:rsidP="00A3583A">
            <w:pPr>
              <w:pStyle w:val="Tabletextleft"/>
            </w:pPr>
            <w:r w:rsidRPr="00772BC3">
              <w:t>S</w:t>
            </w:r>
            <w:r w:rsidR="003A1D63" w:rsidRPr="00772BC3">
              <w:t>hared decision-making</w:t>
            </w:r>
          </w:p>
        </w:tc>
        <w:tc>
          <w:tcPr>
            <w:tcW w:w="6802" w:type="dxa"/>
          </w:tcPr>
          <w:p w14:paraId="5DA2A1C0" w14:textId="61BAFAF4" w:rsidR="003A1D63" w:rsidRPr="00772BC3" w:rsidRDefault="003A1D63" w:rsidP="00A3583A">
            <w:pPr>
              <w:pStyle w:val="Tabletextleft"/>
              <w:cnfStyle w:val="000000010000" w:firstRow="0" w:lastRow="0" w:firstColumn="0" w:lastColumn="0" w:oddVBand="0" w:evenVBand="0" w:oddHBand="0" w:evenHBand="1" w:firstRowFirstColumn="0" w:firstRowLastColumn="0" w:lastRowFirstColumn="0" w:lastRowLastColumn="0"/>
            </w:pPr>
            <w:r w:rsidRPr="00772BC3">
              <w:t xml:space="preserve">A collaborative process where </w:t>
            </w:r>
            <w:r w:rsidR="242E817E">
              <w:t>healthcare</w:t>
            </w:r>
            <w:r w:rsidRPr="00772BC3">
              <w:t xml:space="preserve"> providers and patients make health decisions together</w:t>
            </w:r>
          </w:p>
        </w:tc>
      </w:tr>
      <w:tr w:rsidR="00D35348" w:rsidRPr="00772BC3" w14:paraId="1F326542"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3FE640C3" w14:textId="00A674BC" w:rsidR="00D35348" w:rsidRPr="00772BC3" w:rsidRDefault="6C24A3CF" w:rsidP="00A3583A">
            <w:pPr>
              <w:pStyle w:val="Tabletextleft"/>
            </w:pPr>
            <w:r w:rsidRPr="00772BC3">
              <w:t>S</w:t>
            </w:r>
            <w:r w:rsidR="00D35348" w:rsidRPr="00772BC3">
              <w:t>ocial prescribing</w:t>
            </w:r>
          </w:p>
        </w:tc>
        <w:tc>
          <w:tcPr>
            <w:tcW w:w="6802" w:type="dxa"/>
          </w:tcPr>
          <w:p w14:paraId="7F4F45B6" w14:textId="47F634A6" w:rsidR="00D35348" w:rsidRPr="00772BC3" w:rsidRDefault="00D35348" w:rsidP="00A3583A">
            <w:pPr>
              <w:pStyle w:val="Tabletextleft"/>
              <w:cnfStyle w:val="000000100000" w:firstRow="0" w:lastRow="0" w:firstColumn="0" w:lastColumn="0" w:oddVBand="0" w:evenVBand="0" w:oddHBand="1" w:evenHBand="0" w:firstRowFirstColumn="0" w:firstRowLastColumn="0" w:lastRowFirstColumn="0" w:lastRowLastColumn="0"/>
            </w:pPr>
            <w:r w:rsidRPr="00772BC3">
              <w:t>Connecting people with non-clinical community services to improve health and wellbeing</w:t>
            </w:r>
          </w:p>
        </w:tc>
      </w:tr>
      <w:tr w:rsidR="00D35348" w:rsidRPr="00772BC3" w14:paraId="02EE6917"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5B617161" w14:textId="0CD9104A" w:rsidR="00D35348" w:rsidRPr="00772BC3" w:rsidRDefault="14BA2797" w:rsidP="00A3583A">
            <w:pPr>
              <w:pStyle w:val="Tabletextleft"/>
            </w:pPr>
            <w:r w:rsidRPr="00772BC3">
              <w:t>T</w:t>
            </w:r>
            <w:r w:rsidR="00D35348" w:rsidRPr="00772BC3">
              <w:t>rauma-informed care</w:t>
            </w:r>
          </w:p>
        </w:tc>
        <w:tc>
          <w:tcPr>
            <w:tcW w:w="6802" w:type="dxa"/>
          </w:tcPr>
          <w:p w14:paraId="44476B5B" w14:textId="1FE25C77" w:rsidR="00D35348" w:rsidRPr="00772BC3" w:rsidRDefault="00D35348" w:rsidP="00A3583A">
            <w:pPr>
              <w:pStyle w:val="Tabletextleft"/>
              <w:cnfStyle w:val="000000010000" w:firstRow="0" w:lastRow="0" w:firstColumn="0" w:lastColumn="0" w:oddVBand="0" w:evenVBand="0" w:oddHBand="0" w:evenHBand="1" w:firstRowFirstColumn="0" w:firstRowLastColumn="0" w:lastRowFirstColumn="0" w:lastRowLastColumn="0"/>
            </w:pPr>
            <w:r w:rsidRPr="00772BC3">
              <w:t>An approach to health care that recognises and responds to the impact of trauma, based on principles of safety, trust, choice, collaboration, empowerment and respect for diversity</w:t>
            </w:r>
          </w:p>
        </w:tc>
      </w:tr>
    </w:tbl>
    <w:p w14:paraId="068216C4" w14:textId="77777777" w:rsidR="00470EC8" w:rsidRPr="00772BC3" w:rsidRDefault="00470EC8" w:rsidP="00470EC8">
      <w:pPr>
        <w:sectPr w:rsidR="00470EC8" w:rsidRPr="00772BC3" w:rsidSect="00470EC8">
          <w:pgSz w:w="11906" w:h="16838"/>
          <w:pgMar w:top="1701" w:right="1418" w:bottom="1418" w:left="1418" w:header="709" w:footer="709" w:gutter="0"/>
          <w:cols w:space="708"/>
          <w:docGrid w:linePitch="360"/>
        </w:sectPr>
      </w:pPr>
    </w:p>
    <w:p w14:paraId="47B01B9E" w14:textId="77777777" w:rsidR="00470EC8" w:rsidRPr="00772BC3" w:rsidRDefault="00470EC8" w:rsidP="00470EC8">
      <w:pPr>
        <w:pStyle w:val="URL"/>
      </w:pPr>
      <w:r w:rsidRPr="00772BC3">
        <w:t>Health.gov.au</w:t>
      </w:r>
    </w:p>
    <w:p w14:paraId="4A206200" w14:textId="7E529F00" w:rsidR="00470EC8" w:rsidRPr="004D1339" w:rsidRDefault="00470EC8" w:rsidP="00470EC8">
      <w:pPr>
        <w:jc w:val="center"/>
      </w:pPr>
      <w:r w:rsidRPr="00772BC3">
        <w:t xml:space="preserve">All information in this publication is correct as at </w:t>
      </w:r>
      <w:r w:rsidR="7A73FC83" w:rsidRPr="00772BC3">
        <w:t>October</w:t>
      </w:r>
      <w:r w:rsidRPr="00772BC3">
        <w:t xml:space="preserve"> 2025</w:t>
      </w:r>
    </w:p>
    <w:p w14:paraId="276640BF" w14:textId="280AF07C" w:rsidR="00205A93" w:rsidRPr="004D1339" w:rsidRDefault="00205A93" w:rsidP="006638F9"/>
    <w:sectPr w:rsidR="00205A93" w:rsidRPr="004D1339" w:rsidSect="00205A93">
      <w:headerReference w:type="default" r:id="rId161"/>
      <w:footerReference w:type="default" r:id="rId162"/>
      <w:type w:val="oddPage"/>
      <w:pgSz w:w="11906" w:h="16838"/>
      <w:pgMar w:top="1701" w:right="1418" w:bottom="1418" w:left="141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F24A40" w14:textId="77777777" w:rsidR="00225B53" w:rsidRDefault="00225B53" w:rsidP="00346C4A">
      <w:r>
        <w:separator/>
      </w:r>
    </w:p>
    <w:p w14:paraId="5D173843" w14:textId="77777777" w:rsidR="00225B53" w:rsidRDefault="00225B53" w:rsidP="00346C4A"/>
  </w:endnote>
  <w:endnote w:type="continuationSeparator" w:id="0">
    <w:p w14:paraId="602DB013" w14:textId="77777777" w:rsidR="00225B53" w:rsidRDefault="00225B53" w:rsidP="00346C4A">
      <w:r>
        <w:continuationSeparator/>
      </w:r>
    </w:p>
    <w:p w14:paraId="53C8AA75" w14:textId="77777777" w:rsidR="00225B53" w:rsidRDefault="00225B53" w:rsidP="00346C4A"/>
  </w:endnote>
  <w:endnote w:type="continuationNotice" w:id="1">
    <w:p w14:paraId="3E9934CB" w14:textId="77777777" w:rsidR="00225B53" w:rsidRDefault="00225B53" w:rsidP="00346C4A"/>
  </w:endnote>
  <w:endnote w:id="2">
    <w:p w14:paraId="0179C4E3" w14:textId="0B780113" w:rsidR="3FA1224E" w:rsidRDefault="3FA1224E" w:rsidP="00E80E4E">
      <w:pPr>
        <w:pStyle w:val="EndnoteText"/>
      </w:pPr>
      <w:r w:rsidRPr="3FA1224E">
        <w:rPr>
          <w:rStyle w:val="EndnoteReference"/>
        </w:rPr>
        <w:endnoteRef/>
      </w:r>
      <w:r w:rsidR="3DA6DCB0">
        <w:t xml:space="preserve"> Years Lived with Disability (YLD) is a way of measuring how much illness affects people by counting the years they spend living with health problems or disabilities. This webpage developed by the AIHW provides further details: </w:t>
      </w:r>
      <w:hyperlink r:id="rId1" w:history="1">
        <w:r w:rsidR="3DA6DCB0" w:rsidRPr="3FA1224E">
          <w:rPr>
            <w:rStyle w:val="Hyperlink"/>
          </w:rPr>
          <w:t>Australian Burden of Disease Study: Methods and supplementary material 2018, Years lived with disability (YLD) - Australian Institute of Health and Welfare</w:t>
        </w:r>
      </w:hyperlink>
    </w:p>
  </w:endnote>
  <w:endnote w:id="3">
    <w:p w14:paraId="5880202B" w14:textId="6B2B825E" w:rsidR="3FA1224E" w:rsidRDefault="3FA1224E" w:rsidP="00E80E4E">
      <w:pPr>
        <w:pStyle w:val="EndnoteText"/>
      </w:pPr>
      <w:r w:rsidRPr="3FA1224E">
        <w:rPr>
          <w:rStyle w:val="EndnoteReference"/>
        </w:rPr>
        <w:endnoteRef/>
      </w:r>
      <w:r>
        <w:t xml:space="preserve"> Burden of disease is a measure of the impact of disease and injury in a population. It combines years of healthy life lost due to living with ill health with years lost due to dying prematurely.</w:t>
      </w:r>
    </w:p>
  </w:endnote>
  <w:endnote w:id="4">
    <w:p w14:paraId="28ED9FD6" w14:textId="51482356" w:rsidR="3FA1224E" w:rsidRDefault="3FA1224E" w:rsidP="00E80E4E">
      <w:pPr>
        <w:pStyle w:val="EndnoteText"/>
      </w:pPr>
      <w:r w:rsidRPr="3FA1224E">
        <w:rPr>
          <w:rStyle w:val="EndnoteReference"/>
        </w:rPr>
        <w:endnoteRef/>
      </w:r>
      <w:r>
        <w:t xml:space="preserve"> The Principles define transition of care as when all or part of a person’s health care is transferred between care providers. This may involve transfer of responsibility for some aspects of a person’s health care, or all of their health care, on a temporary or permanent basis. </w:t>
      </w:r>
    </w:p>
  </w:endnote>
  <w:endnote w:id="5">
    <w:p w14:paraId="5545AF5B" w14:textId="07B3133E" w:rsidR="3FA1224E" w:rsidRDefault="3FA1224E" w:rsidP="00E80E4E">
      <w:pPr>
        <w:pStyle w:val="EndnoteText"/>
      </w:pPr>
      <w:r w:rsidRPr="3FA1224E">
        <w:rPr>
          <w:rStyle w:val="EndnoteReference"/>
        </w:rPr>
        <w:endnoteRef/>
      </w:r>
      <w:r>
        <w:t xml:space="preserve"> Social prescribing is a means of connecting individuals to a range of non-clinical services in the community to improve their health and wellbeing. </w:t>
      </w:r>
    </w:p>
  </w:endnote>
  <w:endnote w:id="6">
    <w:p w14:paraId="1620D1BB" w14:textId="399A9495" w:rsidR="3FA1224E" w:rsidRDefault="3FA1224E" w:rsidP="00E80E4E">
      <w:pPr>
        <w:pStyle w:val="EndnoteText"/>
      </w:pPr>
      <w:r w:rsidRPr="3FA1224E">
        <w:rPr>
          <w:rStyle w:val="EndnoteReference"/>
        </w:rPr>
        <w:endnoteRef/>
      </w:r>
      <w:r w:rsidR="3DA6DCB0">
        <w:t xml:space="preserve"> </w:t>
      </w:r>
      <w:hyperlink r:id="rId2" w:history="1">
        <w:r w:rsidR="3DA6DCB0" w:rsidRPr="3DA6DCB0">
          <w:rPr>
            <w:rStyle w:val="Hyperlink"/>
          </w:rPr>
          <w:t>A toolkit on how to implement. social prescribing.</w:t>
        </w:r>
      </w:hyperlink>
    </w:p>
  </w:endnote>
  <w:endnote w:id="7">
    <w:p w14:paraId="3F78C142" w14:textId="7B38E25B" w:rsidR="3FA1224E" w:rsidRDefault="3FA1224E" w:rsidP="00E80E4E">
      <w:pPr>
        <w:pStyle w:val="EndnoteText"/>
      </w:pPr>
      <w:r w:rsidRPr="3FA1224E">
        <w:rPr>
          <w:rStyle w:val="EndnoteReference"/>
        </w:rPr>
        <w:endnoteRef/>
      </w:r>
      <w:r>
        <w:t xml:space="preserve"> Potentially preventable hospitalisations are for conditions where hospitalisation is considered preventable if timely and adequate health care has been provided through population health services, primary care and outpatient services.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8861F7" w14:textId="578E0B31" w:rsidR="0043413F" w:rsidRDefault="0043413F">
    <w:pPr>
      <w:pStyle w:val="Footer"/>
    </w:pPr>
    <w:r>
      <w:rPr>
        <w:noProof/>
      </w:rPr>
      <mc:AlternateContent>
        <mc:Choice Requires="wps">
          <w:drawing>
            <wp:anchor distT="0" distB="0" distL="0" distR="0" simplePos="0" relativeHeight="251658251" behindDoc="0" locked="0" layoutInCell="1" allowOverlap="1" wp14:anchorId="7F5038A7" wp14:editId="17D3B407">
              <wp:simplePos x="635" y="635"/>
              <wp:positionH relativeFrom="page">
                <wp:align>center</wp:align>
              </wp:positionH>
              <wp:positionV relativeFrom="page">
                <wp:align>bottom</wp:align>
              </wp:positionV>
              <wp:extent cx="552450" cy="476250"/>
              <wp:effectExtent l="0" t="0" r="0" b="0"/>
              <wp:wrapNone/>
              <wp:docPr id="775002125" name="Text Box 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2450" cy="476250"/>
                      </a:xfrm>
                      <a:prstGeom prst="rect">
                        <a:avLst/>
                      </a:prstGeom>
                      <a:noFill/>
                      <a:ln>
                        <a:noFill/>
                      </a:ln>
                    </wps:spPr>
                    <wps:txbx>
                      <w:txbxContent>
                        <w:p w14:paraId="20D2B45F" w14:textId="4E5E6EF6" w:rsidR="0043413F" w:rsidRPr="0043413F" w:rsidRDefault="0043413F" w:rsidP="0043413F">
                          <w:pPr>
                            <w:spacing w:after="0"/>
                            <w:rPr>
                              <w:rFonts w:ascii="Calibri" w:eastAsia="Calibri" w:hAnsi="Calibri" w:cs="Calibri"/>
                              <w:noProof/>
                              <w:color w:val="FF0000"/>
                              <w:sz w:val="24"/>
                            </w:rPr>
                          </w:pPr>
                          <w:r w:rsidRPr="0043413F">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F5038A7" id="_x0000_t202" coordsize="21600,21600" o:spt="202" path="m,l,21600r21600,l21600,xe">
              <v:stroke joinstyle="miter"/>
              <v:path gradientshapeok="t" o:connecttype="rect"/>
            </v:shapetype>
            <v:shape id="Text Box 9" o:spid="_x0000_s1028" type="#_x0000_t202" alt="OFFICIAL" style="position:absolute;left:0;text-align:left;margin-left:0;margin-top:0;width:43.5pt;height:37.5pt;z-index:25165825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" filled="f" stroked="f">
              <v:textbox style="mso-fit-shape-to-text:t" inset="0,0,0,15pt">
                <w:txbxContent>
                  <w:p w14:paraId="20D2B45F" w14:textId="4E5E6EF6" w:rsidR="0043413F" w:rsidRPr="0043413F" w:rsidRDefault="0043413F" w:rsidP="0043413F">
                    <w:pPr>
                      <w:spacing w:after="0"/>
                      <w:rPr>
                        <w:rFonts w:ascii="Calibri" w:eastAsia="Calibri" w:hAnsi="Calibri" w:cs="Calibri"/>
                        <w:noProof/>
                        <w:color w:val="FF0000"/>
                        <w:sz w:val="24"/>
                      </w:rPr>
                    </w:pPr>
                    <w:r w:rsidRPr="0043413F">
                      <w:rPr>
                        <w:rFonts w:ascii="Calibri" w:eastAsia="Calibri" w:hAnsi="Calibri" w:cs="Calibri"/>
                        <w:noProof/>
                        <w:color w:val="FF0000"/>
                        <w:sz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9126C8" w14:textId="487A508A" w:rsidR="0043413F" w:rsidRDefault="0043413F">
    <w:pPr>
      <w:pStyle w:val="Footer"/>
    </w:pPr>
    <w:r>
      <w:rPr>
        <w:noProof/>
      </w:rPr>
      <mc:AlternateContent>
        <mc:Choice Requires="wps">
          <w:drawing>
            <wp:anchor distT="0" distB="0" distL="0" distR="0" simplePos="0" relativeHeight="251658252" behindDoc="0" locked="0" layoutInCell="1" allowOverlap="1" wp14:anchorId="17708817" wp14:editId="4FC21A6F">
              <wp:simplePos x="635" y="635"/>
              <wp:positionH relativeFrom="page">
                <wp:align>center</wp:align>
              </wp:positionH>
              <wp:positionV relativeFrom="page">
                <wp:align>bottom</wp:align>
              </wp:positionV>
              <wp:extent cx="552450" cy="476250"/>
              <wp:effectExtent l="0" t="0" r="0" b="0"/>
              <wp:wrapNone/>
              <wp:docPr id="151143357" name="Text Box 1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2450" cy="476250"/>
                      </a:xfrm>
                      <a:prstGeom prst="rect">
                        <a:avLst/>
                      </a:prstGeom>
                      <a:noFill/>
                      <a:ln>
                        <a:noFill/>
                      </a:ln>
                    </wps:spPr>
                    <wps:txbx>
                      <w:txbxContent>
                        <w:p w14:paraId="75235079" w14:textId="66D335C1" w:rsidR="0043413F" w:rsidRPr="0043413F" w:rsidRDefault="0043413F" w:rsidP="0043413F">
                          <w:pPr>
                            <w:spacing w:after="0"/>
                            <w:rPr>
                              <w:rFonts w:ascii="Calibri" w:eastAsia="Calibri" w:hAnsi="Calibri" w:cs="Calibri"/>
                              <w:noProof/>
                              <w:color w:val="FF0000"/>
                              <w:sz w:val="24"/>
                            </w:rPr>
                          </w:pPr>
                          <w:r w:rsidRPr="0043413F">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7708817" id="_x0000_t202" coordsize="21600,21600" o:spt="202" path="m,l,21600r21600,l21600,xe">
              <v:stroke joinstyle="miter"/>
              <v:path gradientshapeok="t" o:connecttype="rect"/>
            </v:shapetype>
            <v:shape id="Text Box 10" o:spid="_x0000_s1029" type="#_x0000_t202" alt="OFFICIAL" style="position:absolute;left:0;text-align:left;margin-left:0;margin-top:0;width:43.5pt;height:37.5pt;z-index:25165825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" filled="f" stroked="f">
              <v:textbox style="mso-fit-shape-to-text:t" inset="0,0,0,15pt">
                <w:txbxContent>
                  <w:p w14:paraId="75235079" w14:textId="66D335C1" w:rsidR="0043413F" w:rsidRPr="0043413F" w:rsidRDefault="0043413F" w:rsidP="0043413F">
                    <w:pPr>
                      <w:spacing w:after="0"/>
                      <w:rPr>
                        <w:rFonts w:ascii="Calibri" w:eastAsia="Calibri" w:hAnsi="Calibri" w:cs="Calibri"/>
                        <w:noProof/>
                        <w:color w:val="FF0000"/>
                        <w:sz w:val="24"/>
                      </w:rPr>
                    </w:pPr>
                    <w:r w:rsidRPr="0043413F">
                      <w:rPr>
                        <w:rFonts w:ascii="Calibri" w:eastAsia="Calibri" w:hAnsi="Calibri" w:cs="Calibri"/>
                        <w:noProof/>
                        <w:color w:val="FF0000"/>
                        <w:sz w:val="24"/>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D4BB13" w14:textId="1F2FCD36" w:rsidR="0043413F" w:rsidRDefault="0043413F">
    <w:pPr>
      <w:pStyle w:val="Footer"/>
    </w:pPr>
    <w:r>
      <w:rPr>
        <w:noProof/>
      </w:rPr>
      <mc:AlternateContent>
        <mc:Choice Requires="wps">
          <w:drawing>
            <wp:anchor distT="0" distB="0" distL="0" distR="0" simplePos="0" relativeHeight="251658250" behindDoc="0" locked="0" layoutInCell="1" allowOverlap="1" wp14:anchorId="07E047FE" wp14:editId="6F12365B">
              <wp:simplePos x="635" y="635"/>
              <wp:positionH relativeFrom="page">
                <wp:align>center</wp:align>
              </wp:positionH>
              <wp:positionV relativeFrom="page">
                <wp:align>bottom</wp:align>
              </wp:positionV>
              <wp:extent cx="552450" cy="476250"/>
              <wp:effectExtent l="0" t="0" r="0" b="0"/>
              <wp:wrapNone/>
              <wp:docPr id="129253273" name="Text Box 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2450" cy="476250"/>
                      </a:xfrm>
                      <a:prstGeom prst="rect">
                        <a:avLst/>
                      </a:prstGeom>
                      <a:noFill/>
                      <a:ln>
                        <a:noFill/>
                      </a:ln>
                    </wps:spPr>
                    <wps:txbx>
                      <w:txbxContent>
                        <w:p w14:paraId="1E099A9D" w14:textId="122D86C1" w:rsidR="0043413F" w:rsidRPr="0043413F" w:rsidRDefault="0043413F" w:rsidP="0043413F">
                          <w:pPr>
                            <w:spacing w:after="0"/>
                            <w:rPr>
                              <w:rFonts w:ascii="Calibri" w:eastAsia="Calibri" w:hAnsi="Calibri" w:cs="Calibri"/>
                              <w:noProof/>
                              <w:color w:val="FF0000"/>
                              <w:sz w:val="24"/>
                            </w:rPr>
                          </w:pP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7E047FE" id="_x0000_t202" coordsize="21600,21600" o:spt="202" path="m,l,21600r21600,l21600,xe">
              <v:stroke joinstyle="miter"/>
              <v:path gradientshapeok="t" o:connecttype="rect"/>
            </v:shapetype>
            <v:shape id="Text Box 8" o:spid="_x0000_s1030" type="#_x0000_t202" alt="OFFICIAL" style="position:absolute;left:0;text-align:left;margin-left:0;margin-top:0;width:43.5pt;height:37.5pt;z-index:25165825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" filled="f" stroked="f">
              <v:textbox style="mso-fit-shape-to-text:t" inset="0,0,0,15pt">
                <w:txbxContent>
                  <w:p w14:paraId="1E099A9D" w14:textId="122D86C1" w:rsidR="0043413F" w:rsidRPr="0043413F" w:rsidRDefault="0043413F" w:rsidP="0043413F">
                    <w:pPr>
                      <w:spacing w:after="0"/>
                      <w:rPr>
                        <w:rFonts w:ascii="Calibri" w:eastAsia="Calibri" w:hAnsi="Calibri" w:cs="Calibri"/>
                        <w:noProof/>
                        <w:color w:val="FF0000"/>
                        <w:sz w:val="24"/>
                      </w:rPr>
                    </w:pP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89D9EA" w14:textId="653E696A" w:rsidR="00236073" w:rsidRDefault="0043413F" w:rsidP="00841111">
    <w:pPr>
      <w:pStyle w:val="Footer"/>
    </w:pPr>
    <w:r>
      <w:rPr>
        <w:noProof/>
      </w:rPr>
      <mc:AlternateContent>
        <mc:Choice Requires="wps">
          <w:drawing>
            <wp:anchor distT="0" distB="0" distL="0" distR="0" simplePos="0" relativeHeight="251658254" behindDoc="0" locked="0" layoutInCell="1" allowOverlap="1" wp14:anchorId="265F0743" wp14:editId="6E4E2F0E">
              <wp:simplePos x="635" y="635"/>
              <wp:positionH relativeFrom="page">
                <wp:align>center</wp:align>
              </wp:positionH>
              <wp:positionV relativeFrom="page">
                <wp:align>bottom</wp:align>
              </wp:positionV>
              <wp:extent cx="552450" cy="476250"/>
              <wp:effectExtent l="0" t="0" r="0" b="0"/>
              <wp:wrapNone/>
              <wp:docPr id="643547447" name="Text Box 1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2450" cy="476250"/>
                      </a:xfrm>
                      <a:prstGeom prst="rect">
                        <a:avLst/>
                      </a:prstGeom>
                      <a:noFill/>
                      <a:ln>
                        <a:noFill/>
                      </a:ln>
                    </wps:spPr>
                    <wps:txbx>
                      <w:txbxContent>
                        <w:p w14:paraId="2346B0F1" w14:textId="69FEC811" w:rsidR="0043413F" w:rsidRPr="0043413F" w:rsidRDefault="0043413F" w:rsidP="0043413F">
                          <w:pPr>
                            <w:spacing w:after="0"/>
                            <w:rPr>
                              <w:rFonts w:ascii="Calibri" w:eastAsia="Calibri" w:hAnsi="Calibri" w:cs="Calibri"/>
                              <w:noProof/>
                              <w:color w:val="FF0000"/>
                              <w:sz w:val="24"/>
                            </w:rPr>
                          </w:pPr>
                          <w:r w:rsidRPr="0043413F">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65F0743" id="_x0000_t202" coordsize="21600,21600" o:spt="202" path="m,l,21600r21600,l21600,xe">
              <v:stroke joinstyle="miter"/>
              <v:path gradientshapeok="t" o:connecttype="rect"/>
            </v:shapetype>
            <v:shape id="Text Box 12" o:spid="_x0000_s1032" type="#_x0000_t202" alt="OFFICIAL" style="position:absolute;left:0;text-align:left;margin-left:0;margin-top:0;width:43.5pt;height:37.5pt;z-index:25165825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" filled="f" stroked="f">
              <v:textbox style="mso-fit-shape-to-text:t" inset="0,0,0,15pt">
                <w:txbxContent>
                  <w:p w14:paraId="2346B0F1" w14:textId="69FEC811" w:rsidR="0043413F" w:rsidRPr="0043413F" w:rsidRDefault="0043413F" w:rsidP="0043413F">
                    <w:pPr>
                      <w:spacing w:after="0"/>
                      <w:rPr>
                        <w:rFonts w:ascii="Calibri" w:eastAsia="Calibri" w:hAnsi="Calibri" w:cs="Calibri"/>
                        <w:noProof/>
                        <w:color w:val="FF0000"/>
                        <w:sz w:val="24"/>
                      </w:rPr>
                    </w:pPr>
                    <w:r w:rsidRPr="0043413F">
                      <w:rPr>
                        <w:rFonts w:ascii="Calibri" w:eastAsia="Calibri" w:hAnsi="Calibri" w:cs="Calibri"/>
                        <w:noProof/>
                        <w:color w:val="FF0000"/>
                        <w:sz w:val="24"/>
                      </w:rPr>
                      <w:t>OFFICIAL</w:t>
                    </w:r>
                  </w:p>
                </w:txbxContent>
              </v:textbox>
              <w10:wrap anchorx="page" anchory="page"/>
            </v:shape>
          </w:pict>
        </mc:Fallback>
      </mc:AlternateContent>
    </w:r>
    <w:r w:rsidR="00236073">
      <w:fldChar w:fldCharType="begin"/>
    </w:r>
    <w:r w:rsidR="00236073">
      <w:instrText xml:space="preserve"> PAGE   \* MERGEFORMAT </w:instrText>
    </w:r>
    <w:r w:rsidR="00236073">
      <w:fldChar w:fldCharType="separate"/>
    </w:r>
    <w:r w:rsidR="00207793">
      <w:rPr>
        <w:noProof/>
      </w:rPr>
      <w:t>4</w:t>
    </w:r>
    <w:r w:rsidR="00236073">
      <w:rPr>
        <w:noProof/>
      </w:rPr>
      <w:fldChar w:fldCharType="end"/>
    </w:r>
    <w:r w:rsidR="00236073" w:rsidRPr="000D56E4">
      <w:tab/>
      <w:t>Insert document title</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1162288"/>
      <w:docPartObj>
        <w:docPartGallery w:val="Page Numbers (Bottom of Page)"/>
        <w:docPartUnique/>
      </w:docPartObj>
    </w:sdtPr>
    <w:sdtEndPr>
      <w:rPr>
        <w:noProof/>
      </w:rPr>
    </w:sdtEndPr>
    <w:sdtContent>
      <w:p w14:paraId="3F9012E8" w14:textId="7E9BDBC6" w:rsidR="00236073" w:rsidRDefault="00F602D9" w:rsidP="000D56E4">
        <w:pPr>
          <w:pStyle w:val="Footer"/>
        </w:pPr>
        <w:r>
          <w:t>National Strategic Framework for Chronic Conditions 202</w:t>
        </w:r>
        <w:r w:rsidR="0068130C">
          <w:t>6</w:t>
        </w:r>
        <w:r>
          <w:t>–2035</w:t>
        </w:r>
        <w:r w:rsidR="00236073">
          <w:tab/>
        </w:r>
        <w:r w:rsidR="00236073">
          <w:fldChar w:fldCharType="begin"/>
        </w:r>
        <w:r w:rsidR="00236073">
          <w:instrText xml:space="preserve"> PAGE   \* MERGEFORMAT </w:instrText>
        </w:r>
        <w:r w:rsidR="00236073">
          <w:fldChar w:fldCharType="separate"/>
        </w:r>
        <w:r w:rsidR="00207793">
          <w:rPr>
            <w:noProof/>
          </w:rPr>
          <w:t>3</w:t>
        </w:r>
        <w:r w:rsidR="00236073">
          <w:rPr>
            <w:noProof/>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3F661B" w14:textId="27DDB207" w:rsidR="00236073" w:rsidRDefault="0043413F" w:rsidP="000D56E4">
    <w:pPr>
      <w:pStyle w:val="Footer"/>
    </w:pPr>
    <w:r>
      <w:rPr>
        <w:noProof/>
      </w:rPr>
      <mc:AlternateContent>
        <mc:Choice Requires="wps">
          <w:drawing>
            <wp:anchor distT="0" distB="0" distL="0" distR="0" simplePos="0" relativeHeight="251658253" behindDoc="0" locked="0" layoutInCell="1" allowOverlap="1" wp14:anchorId="7F037315" wp14:editId="0568B785">
              <wp:simplePos x="635" y="635"/>
              <wp:positionH relativeFrom="page">
                <wp:align>center</wp:align>
              </wp:positionH>
              <wp:positionV relativeFrom="page">
                <wp:align>bottom</wp:align>
              </wp:positionV>
              <wp:extent cx="552450" cy="476250"/>
              <wp:effectExtent l="0" t="0" r="0" b="0"/>
              <wp:wrapNone/>
              <wp:docPr id="1863287642" name="Text Box 1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2450" cy="476250"/>
                      </a:xfrm>
                      <a:prstGeom prst="rect">
                        <a:avLst/>
                      </a:prstGeom>
                      <a:noFill/>
                      <a:ln>
                        <a:noFill/>
                      </a:ln>
                    </wps:spPr>
                    <wps:txbx>
                      <w:txbxContent>
                        <w:p w14:paraId="2945FE1B" w14:textId="7D321551" w:rsidR="0043413F" w:rsidRPr="0043413F" w:rsidRDefault="0043413F" w:rsidP="0043413F">
                          <w:pPr>
                            <w:spacing w:after="0"/>
                            <w:rPr>
                              <w:rFonts w:ascii="Calibri" w:eastAsia="Calibri" w:hAnsi="Calibri" w:cs="Calibri"/>
                              <w:noProof/>
                              <w:color w:val="FF0000"/>
                              <w:sz w:val="24"/>
                            </w:rPr>
                          </w:pPr>
                          <w:r w:rsidRPr="0043413F">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F037315" id="_x0000_t202" coordsize="21600,21600" o:spt="202" path="m,l,21600r21600,l21600,xe">
              <v:stroke joinstyle="miter"/>
              <v:path gradientshapeok="t" o:connecttype="rect"/>
            </v:shapetype>
            <v:shape id="Text Box 11" o:spid="_x0000_s1034" type="#_x0000_t202" alt="OFFICIAL" style="position:absolute;left:0;text-align:left;margin-left:0;margin-top:0;width:43.5pt;height:37.5pt;z-index:25165825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" filled="f" stroked="f">
              <v:textbox style="mso-fit-shape-to-text:t" inset="0,0,0,15pt">
                <w:txbxContent>
                  <w:p w14:paraId="2945FE1B" w14:textId="7D321551" w:rsidR="0043413F" w:rsidRPr="0043413F" w:rsidRDefault="0043413F" w:rsidP="0043413F">
                    <w:pPr>
                      <w:spacing w:after="0"/>
                      <w:rPr>
                        <w:rFonts w:ascii="Calibri" w:eastAsia="Calibri" w:hAnsi="Calibri" w:cs="Calibri"/>
                        <w:noProof/>
                        <w:color w:val="FF0000"/>
                        <w:sz w:val="24"/>
                      </w:rPr>
                    </w:pPr>
                    <w:r w:rsidRPr="0043413F">
                      <w:rPr>
                        <w:rFonts w:ascii="Calibri" w:eastAsia="Calibri" w:hAnsi="Calibri" w:cs="Calibri"/>
                        <w:noProof/>
                        <w:color w:val="FF0000"/>
                        <w:sz w:val="24"/>
                      </w:rPr>
                      <w:t>OFFICIAL</w:t>
                    </w:r>
                  </w:p>
                </w:txbxContent>
              </v:textbox>
              <w10:wrap anchorx="page" anchory="page"/>
            </v:shape>
          </w:pict>
        </mc:Fallback>
      </mc:AlternateContent>
    </w:r>
  </w:p>
  <w:sdt>
    <w:sdtPr>
      <w:id w:val="463169317"/>
      <w:docPartObj>
        <w:docPartGallery w:val="Page Numbers (Bottom of Page)"/>
        <w:docPartUnique/>
      </w:docPartObj>
    </w:sdtPr>
    <w:sdtEndPr>
      <w:rPr>
        <w:noProof/>
      </w:rPr>
    </w:sdtEndPr>
    <w:sdtContent>
      <w:p w14:paraId="5DE7CDB6" w14:textId="27DDB207" w:rsidR="00236073" w:rsidRDefault="00236073" w:rsidP="000D56E4">
        <w:pPr>
          <w:pStyle w:val="Footer"/>
        </w:pPr>
        <w:r>
          <w:t>Insert document title</w:t>
        </w:r>
        <w:r w:rsidR="00CF14A6">
          <w:tab/>
        </w:r>
        <w:r w:rsidR="00CF14A6">
          <w:fldChar w:fldCharType="begin"/>
        </w:r>
        <w:r w:rsidR="00CF14A6">
          <w:instrText xml:space="preserve"> PAGE   \* MERGEFORMAT </w:instrText>
        </w:r>
        <w:r w:rsidR="00CF14A6">
          <w:fldChar w:fldCharType="separate"/>
        </w:r>
        <w:r w:rsidR="00CF14A6">
          <w:rPr>
            <w:noProof/>
          </w:rPr>
          <w:t>1</w:t>
        </w:r>
        <w:r w:rsidR="00CF14A6">
          <w:rPr>
            <w:noProof/>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A3930F" w14:textId="00260FFD" w:rsidR="00205A93" w:rsidRDefault="0043413F" w:rsidP="000D56E4">
    <w:pPr>
      <w:pStyle w:val="Footer"/>
    </w:pPr>
    <w:r>
      <w:rPr>
        <w:noProof/>
      </w:rPr>
      <mc:AlternateContent>
        <mc:Choice Requires="wps">
          <w:drawing>
            <wp:anchor distT="0" distB="0" distL="0" distR="0" simplePos="0" relativeHeight="251658256" behindDoc="0" locked="0" layoutInCell="1" allowOverlap="1" wp14:anchorId="4F400765" wp14:editId="174A9ED1">
              <wp:simplePos x="635" y="635"/>
              <wp:positionH relativeFrom="page">
                <wp:align>center</wp:align>
              </wp:positionH>
              <wp:positionV relativeFrom="page">
                <wp:align>bottom</wp:align>
              </wp:positionV>
              <wp:extent cx="552450" cy="476250"/>
              <wp:effectExtent l="0" t="0" r="0" b="0"/>
              <wp:wrapNone/>
              <wp:docPr id="1066718350" name="Text Box 1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2450" cy="476250"/>
                      </a:xfrm>
                      <a:prstGeom prst="rect">
                        <a:avLst/>
                      </a:prstGeom>
                      <a:noFill/>
                      <a:ln>
                        <a:noFill/>
                      </a:ln>
                    </wps:spPr>
                    <wps:txbx>
                      <w:txbxContent>
                        <w:p w14:paraId="0B363460" w14:textId="3983FB40" w:rsidR="0043413F" w:rsidRPr="0043413F" w:rsidRDefault="0043413F" w:rsidP="0043413F">
                          <w:pPr>
                            <w:spacing w:after="0"/>
                            <w:rPr>
                              <w:rFonts w:ascii="Calibri" w:eastAsia="Calibri" w:hAnsi="Calibri" w:cs="Calibri"/>
                              <w:noProof/>
                              <w:color w:val="FF0000"/>
                              <w:sz w:val="24"/>
                            </w:rPr>
                          </w:pPr>
                          <w:r w:rsidRPr="0043413F">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F400765" id="_x0000_t202" coordsize="21600,21600" o:spt="202" path="m,l,21600r21600,l21600,xe">
              <v:stroke joinstyle="miter"/>
              <v:path gradientshapeok="t" o:connecttype="rect"/>
            </v:shapetype>
            <v:shape id="Text Box 14" o:spid="_x0000_s1036" type="#_x0000_t202" alt="OFFICIAL" style="position:absolute;left:0;text-align:left;margin-left:0;margin-top:0;width:43.5pt;height:37.5pt;z-index:25165825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" filled="f" stroked="f">
              <v:textbox style="mso-fit-shape-to-text:t" inset="0,0,0,15pt">
                <w:txbxContent>
                  <w:p w14:paraId="0B363460" w14:textId="3983FB40" w:rsidR="0043413F" w:rsidRPr="0043413F" w:rsidRDefault="0043413F" w:rsidP="0043413F">
                    <w:pPr>
                      <w:spacing w:after="0"/>
                      <w:rPr>
                        <w:rFonts w:ascii="Calibri" w:eastAsia="Calibri" w:hAnsi="Calibri" w:cs="Calibri"/>
                        <w:noProof/>
                        <w:color w:val="FF0000"/>
                        <w:sz w:val="24"/>
                      </w:rPr>
                    </w:pPr>
                    <w:r w:rsidRPr="0043413F">
                      <w:rPr>
                        <w:rFonts w:ascii="Calibri" w:eastAsia="Calibri" w:hAnsi="Calibri" w:cs="Calibri"/>
                        <w:noProof/>
                        <w:color w:val="FF0000"/>
                        <w:sz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C0FC59" w14:textId="77777777" w:rsidR="00225B53" w:rsidRDefault="00225B53" w:rsidP="00346C4A">
      <w:r>
        <w:separator/>
      </w:r>
    </w:p>
    <w:p w14:paraId="0C9DBFD9" w14:textId="77777777" w:rsidR="00225B53" w:rsidRDefault="00225B53" w:rsidP="00346C4A"/>
  </w:footnote>
  <w:footnote w:type="continuationSeparator" w:id="0">
    <w:p w14:paraId="0DE80C11" w14:textId="77777777" w:rsidR="00225B53" w:rsidRDefault="00225B53" w:rsidP="00346C4A">
      <w:r>
        <w:continuationSeparator/>
      </w:r>
    </w:p>
    <w:p w14:paraId="1A23A266" w14:textId="77777777" w:rsidR="00225B53" w:rsidRDefault="00225B53" w:rsidP="00346C4A"/>
  </w:footnote>
  <w:footnote w:type="continuationNotice" w:id="1">
    <w:p w14:paraId="4F0E4827" w14:textId="77777777" w:rsidR="00225B53" w:rsidRDefault="00225B53" w:rsidP="00346C4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E920CE" w14:textId="1A681870" w:rsidR="0043413F" w:rsidRDefault="0043413F">
    <w:pPr>
      <w:pStyle w:val="Header"/>
    </w:pPr>
    <w:r>
      <w:rPr>
        <w:noProof/>
      </w:rPr>
      <mc:AlternateContent>
        <mc:Choice Requires="wps">
          <w:drawing>
            <wp:anchor distT="0" distB="0" distL="0" distR="0" simplePos="0" relativeHeight="251658244" behindDoc="0" locked="0" layoutInCell="1" allowOverlap="1" wp14:anchorId="267E3D4E" wp14:editId="4DC8FA79">
              <wp:simplePos x="635" y="635"/>
              <wp:positionH relativeFrom="page">
                <wp:align>center</wp:align>
              </wp:positionH>
              <wp:positionV relativeFrom="page">
                <wp:align>top</wp:align>
              </wp:positionV>
              <wp:extent cx="552450" cy="476250"/>
              <wp:effectExtent l="0" t="0" r="0" b="0"/>
              <wp:wrapNone/>
              <wp:docPr id="1323770910"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2450" cy="476250"/>
                      </a:xfrm>
                      <a:prstGeom prst="rect">
                        <a:avLst/>
                      </a:prstGeom>
                      <a:noFill/>
                      <a:ln>
                        <a:noFill/>
                      </a:ln>
                    </wps:spPr>
                    <wps:txbx>
                      <w:txbxContent>
                        <w:p w14:paraId="38614929" w14:textId="07406E02" w:rsidR="0043413F" w:rsidRPr="0043413F" w:rsidRDefault="0043413F" w:rsidP="0043413F">
                          <w:pPr>
                            <w:spacing w:after="0"/>
                            <w:rPr>
                              <w:rFonts w:ascii="Calibri" w:eastAsia="Calibri" w:hAnsi="Calibri" w:cs="Calibri"/>
                              <w:noProof/>
                              <w:color w:val="FF0000"/>
                              <w:sz w:val="24"/>
                            </w:rPr>
                          </w:pPr>
                          <w:r w:rsidRPr="0043413F">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67E3D4E" id="_x0000_t202" coordsize="21600,21600" o:spt="202" path="m,l,21600r21600,l21600,xe">
              <v:stroke joinstyle="miter"/>
              <v:path gradientshapeok="t" o:connecttype="rect"/>
            </v:shapetype>
            <v:shape id="Text Box 2" o:spid="_x0000_s1026" type="#_x0000_t202" alt="OFFICIAL" style="position:absolute;margin-left:0;margin-top:0;width:43.5pt;height:37.5pt;z-index:2516582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" filled="f" stroked="f">
              <v:textbox style="mso-fit-shape-to-text:t" inset="0,15pt,0,0">
                <w:txbxContent>
                  <w:p w14:paraId="38614929" w14:textId="07406E02" w:rsidR="0043413F" w:rsidRPr="0043413F" w:rsidRDefault="0043413F" w:rsidP="0043413F">
                    <w:pPr>
                      <w:spacing w:after="0"/>
                      <w:rPr>
                        <w:rFonts w:ascii="Calibri" w:eastAsia="Calibri" w:hAnsi="Calibri" w:cs="Calibri"/>
                        <w:noProof/>
                        <w:color w:val="FF0000"/>
                        <w:sz w:val="24"/>
                      </w:rPr>
                    </w:pPr>
                    <w:r w:rsidRPr="0043413F">
                      <w:rPr>
                        <w:rFonts w:ascii="Calibri" w:eastAsia="Calibri" w:hAnsi="Calibri" w:cs="Calibri"/>
                        <w:noProof/>
                        <w:color w:val="FF0000"/>
                        <w:sz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66EEFC" w14:textId="08DBD379" w:rsidR="008E0C77" w:rsidRDefault="0043413F" w:rsidP="008E0C77">
    <w:pPr>
      <w:pStyle w:val="Headertext"/>
      <w:spacing w:after="180"/>
      <w:jc w:val="left"/>
    </w:pPr>
    <w:r>
      <w:rPr>
        <w:noProof/>
        <w:lang w:eastAsia="en-AU"/>
      </w:rPr>
      <mc:AlternateContent>
        <mc:Choice Requires="wps">
          <w:drawing>
            <wp:anchor distT="0" distB="0" distL="0" distR="0" simplePos="0" relativeHeight="251658245" behindDoc="0" locked="0" layoutInCell="1" allowOverlap="1" wp14:anchorId="744C862C" wp14:editId="39ECA59B">
              <wp:simplePos x="635" y="635"/>
              <wp:positionH relativeFrom="page">
                <wp:align>center</wp:align>
              </wp:positionH>
              <wp:positionV relativeFrom="page">
                <wp:align>top</wp:align>
              </wp:positionV>
              <wp:extent cx="552450" cy="476250"/>
              <wp:effectExtent l="0" t="0" r="0" b="0"/>
              <wp:wrapNone/>
              <wp:docPr id="1270605052"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2450" cy="476250"/>
                      </a:xfrm>
                      <a:prstGeom prst="rect">
                        <a:avLst/>
                      </a:prstGeom>
                      <a:noFill/>
                      <a:ln>
                        <a:noFill/>
                      </a:ln>
                    </wps:spPr>
                    <wps:txbx>
                      <w:txbxContent>
                        <w:p w14:paraId="4D201C21" w14:textId="63E3EC49" w:rsidR="0043413F" w:rsidRPr="0043413F" w:rsidRDefault="0043413F" w:rsidP="0043413F">
                          <w:pPr>
                            <w:spacing w:after="0"/>
                            <w:rPr>
                              <w:rFonts w:ascii="Calibri" w:eastAsia="Calibri" w:hAnsi="Calibri" w:cs="Calibri"/>
                              <w:noProof/>
                              <w:color w:val="FF0000"/>
                              <w:sz w:val="24"/>
                            </w:rPr>
                          </w:pPr>
                          <w:r w:rsidRPr="0043413F">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44C862C" id="_x0000_t202" coordsize="21600,21600" o:spt="202" path="m,l,21600r21600,l21600,xe">
              <v:stroke joinstyle="miter"/>
              <v:path gradientshapeok="t" o:connecttype="rect"/>
            </v:shapetype>
            <v:shape id="Text Box 3" o:spid="_x0000_s1027" type="#_x0000_t202" alt="OFFICIAL" style="position:absolute;margin-left:0;margin-top:0;width:43.5pt;height:37.5pt;z-index:25165824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" filled="f" stroked="f">
              <v:textbox style="mso-fit-shape-to-text:t" inset="0,15pt,0,0">
                <w:txbxContent>
                  <w:p w14:paraId="4D201C21" w14:textId="63E3EC49" w:rsidR="0043413F" w:rsidRPr="0043413F" w:rsidRDefault="0043413F" w:rsidP="0043413F">
                    <w:pPr>
                      <w:spacing w:after="0"/>
                      <w:rPr>
                        <w:rFonts w:ascii="Calibri" w:eastAsia="Calibri" w:hAnsi="Calibri" w:cs="Calibri"/>
                        <w:noProof/>
                        <w:color w:val="FF0000"/>
                        <w:sz w:val="24"/>
                      </w:rPr>
                    </w:pPr>
                    <w:r w:rsidRPr="0043413F">
                      <w:rPr>
                        <w:rFonts w:ascii="Calibri" w:eastAsia="Calibri" w:hAnsi="Calibri" w:cs="Calibri"/>
                        <w:noProof/>
                        <w:color w:val="FF0000"/>
                        <w:sz w:val="24"/>
                      </w:rPr>
                      <w:t>OFFICIAL</w:t>
                    </w:r>
                  </w:p>
                </w:txbxContent>
              </v:textbox>
              <w10:wrap anchorx="page" anchory="page"/>
            </v:shape>
          </w:pict>
        </mc:Fallback>
      </mc:AlternateContent>
    </w:r>
    <w:r w:rsidR="00CA79CF">
      <w:rPr>
        <w:noProof/>
        <w:lang w:eastAsia="en-AU"/>
      </w:rPr>
      <w:drawing>
        <wp:anchor distT="0" distB="0" distL="114300" distR="114300" simplePos="0" relativeHeight="251658240" behindDoc="1" locked="0" layoutInCell="1" allowOverlap="1" wp14:anchorId="6BE152DD" wp14:editId="3E34DD40">
          <wp:simplePos x="0" y="0"/>
          <wp:positionH relativeFrom="page">
            <wp:align>center</wp:align>
          </wp:positionH>
          <wp:positionV relativeFrom="page">
            <wp:align>center</wp:align>
          </wp:positionV>
          <wp:extent cx="7560000" cy="10692000"/>
          <wp:effectExtent l="0" t="0" r="3175" b="0"/>
          <wp:wrapNone/>
          <wp:docPr id="818954091" name="Picture 8189540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C65DF4" w14:textId="1DE7D9A6" w:rsidR="00CA79CF" w:rsidRDefault="00CA79CF" w:rsidP="00205A93">
    <w:pPr>
      <w:pStyle w:val="Header"/>
      <w:tabs>
        <w:tab w:val="clear" w:pos="4513"/>
        <w:tab w:val="clear" w:pos="9026"/>
        <w:tab w:val="center" w:pos="4535"/>
      </w:tabs>
    </w:pPr>
    <w:r>
      <w:rPr>
        <w:noProof/>
        <w:lang w:eastAsia="en-AU"/>
      </w:rPr>
      <w:drawing>
        <wp:anchor distT="0" distB="0" distL="114300" distR="114300" simplePos="0" relativeHeight="251658241" behindDoc="1" locked="0" layoutInCell="1" allowOverlap="1" wp14:anchorId="0D18A88F" wp14:editId="629578E3">
          <wp:simplePos x="0" y="0"/>
          <wp:positionH relativeFrom="page">
            <wp:align>center</wp:align>
          </wp:positionH>
          <wp:positionV relativeFrom="page">
            <wp:align>center</wp:align>
          </wp:positionV>
          <wp:extent cx="7558768" cy="10691999"/>
          <wp:effectExtent l="0" t="0" r="0" b="1905"/>
          <wp:wrapNone/>
          <wp:docPr id="1015773729" name="Picture 10157737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8768" cy="10691999"/>
                  </a:xfrm>
                  <a:prstGeom prst="rect">
                    <a:avLst/>
                  </a:prstGeom>
                </pic:spPr>
              </pic:pic>
            </a:graphicData>
          </a:graphic>
          <wp14:sizeRelH relativeFrom="page">
            <wp14:pctWidth>0</wp14:pctWidth>
          </wp14:sizeRelH>
          <wp14:sizeRelV relativeFrom="page">
            <wp14:pctHeight>0</wp14:pctHeight>
          </wp14:sizeRelV>
        </wp:anchor>
      </w:drawing>
    </w:r>
    <w:r w:rsidR="00205A93">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DD8643" w14:textId="0E148D81" w:rsidR="000D56E4" w:rsidRDefault="0043413F">
    <w:pPr>
      <w:pStyle w:val="Header"/>
    </w:pPr>
    <w:r>
      <w:rPr>
        <w:noProof/>
      </w:rPr>
      <mc:AlternateContent>
        <mc:Choice Requires="wps">
          <w:drawing>
            <wp:anchor distT="0" distB="0" distL="0" distR="0" simplePos="0" relativeHeight="251658247" behindDoc="0" locked="0" layoutInCell="1" allowOverlap="1" wp14:anchorId="45854ADB" wp14:editId="0095678A">
              <wp:simplePos x="635" y="635"/>
              <wp:positionH relativeFrom="page">
                <wp:align>center</wp:align>
              </wp:positionH>
              <wp:positionV relativeFrom="page">
                <wp:align>top</wp:align>
              </wp:positionV>
              <wp:extent cx="552450" cy="476250"/>
              <wp:effectExtent l="0" t="0" r="0" b="0"/>
              <wp:wrapNone/>
              <wp:docPr id="535424528" name="Text Box 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2450" cy="476250"/>
                      </a:xfrm>
                      <a:prstGeom prst="rect">
                        <a:avLst/>
                      </a:prstGeom>
                      <a:noFill/>
                      <a:ln>
                        <a:noFill/>
                      </a:ln>
                    </wps:spPr>
                    <wps:txbx>
                      <w:txbxContent>
                        <w:p w14:paraId="5E64440D" w14:textId="47937FAA" w:rsidR="0043413F" w:rsidRPr="0043413F" w:rsidRDefault="0043413F" w:rsidP="0043413F">
                          <w:pPr>
                            <w:spacing w:after="0"/>
                            <w:rPr>
                              <w:rFonts w:ascii="Calibri" w:eastAsia="Calibri" w:hAnsi="Calibri" w:cs="Calibri"/>
                              <w:noProof/>
                              <w:color w:val="FF0000"/>
                              <w:sz w:val="24"/>
                            </w:rPr>
                          </w:pPr>
                          <w:r w:rsidRPr="0043413F">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5854ADB" id="_x0000_t202" coordsize="21600,21600" o:spt="202" path="m,l,21600r21600,l21600,xe">
              <v:stroke joinstyle="miter"/>
              <v:path gradientshapeok="t" o:connecttype="rect"/>
            </v:shapetype>
            <v:shape id="Text Box 5" o:spid="_x0000_s1031" type="#_x0000_t202" alt="OFFICIAL" style="position:absolute;margin-left:0;margin-top:0;width:43.5pt;height:37.5pt;z-index:251658247;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" filled="f" stroked="f">
              <v:textbox style="mso-fit-shape-to-text:t" inset="0,15pt,0,0">
                <w:txbxContent>
                  <w:p w14:paraId="5E64440D" w14:textId="47937FAA" w:rsidR="0043413F" w:rsidRPr="0043413F" w:rsidRDefault="0043413F" w:rsidP="0043413F">
                    <w:pPr>
                      <w:spacing w:after="0"/>
                      <w:rPr>
                        <w:rFonts w:ascii="Calibri" w:eastAsia="Calibri" w:hAnsi="Calibri" w:cs="Calibri"/>
                        <w:noProof/>
                        <w:color w:val="FF0000"/>
                        <w:sz w:val="24"/>
                      </w:rPr>
                    </w:pPr>
                    <w:r w:rsidRPr="0043413F">
                      <w:rPr>
                        <w:rFonts w:ascii="Calibri" w:eastAsia="Calibri" w:hAnsi="Calibri" w:cs="Calibri"/>
                        <w:noProof/>
                        <w:color w:val="FF0000"/>
                        <w:sz w:val="24"/>
                      </w:rPr>
                      <w:t>OFFICIAL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83729F" w14:textId="7EE3E319" w:rsidR="000D56E4" w:rsidRDefault="000D56E4" w:rsidP="008E0C77">
    <w:pPr>
      <w:pStyle w:val="Headertext"/>
      <w:spacing w:after="180"/>
      <w:jc w:val="lef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FA1F06" w14:textId="1B127384" w:rsidR="000D56E4" w:rsidRDefault="0043413F">
    <w:pPr>
      <w:pStyle w:val="Header"/>
    </w:pPr>
    <w:r>
      <w:rPr>
        <w:noProof/>
      </w:rPr>
      <mc:AlternateContent>
        <mc:Choice Requires="wps">
          <w:drawing>
            <wp:anchor distT="0" distB="0" distL="0" distR="0" simplePos="0" relativeHeight="251658246" behindDoc="0" locked="0" layoutInCell="1" allowOverlap="1" wp14:anchorId="2DE65FF4" wp14:editId="64BD9FDE">
              <wp:simplePos x="635" y="635"/>
              <wp:positionH relativeFrom="page">
                <wp:align>center</wp:align>
              </wp:positionH>
              <wp:positionV relativeFrom="page">
                <wp:align>top</wp:align>
              </wp:positionV>
              <wp:extent cx="552450" cy="476250"/>
              <wp:effectExtent l="0" t="0" r="0" b="0"/>
              <wp:wrapNone/>
              <wp:docPr id="1754554931" name="Text Box 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2450" cy="476250"/>
                      </a:xfrm>
                      <a:prstGeom prst="rect">
                        <a:avLst/>
                      </a:prstGeom>
                      <a:noFill/>
                      <a:ln>
                        <a:noFill/>
                      </a:ln>
                    </wps:spPr>
                    <wps:txbx>
                      <w:txbxContent>
                        <w:p w14:paraId="1BAFE7B7" w14:textId="465923C2" w:rsidR="0043413F" w:rsidRPr="0043413F" w:rsidRDefault="0043413F" w:rsidP="0043413F">
                          <w:pPr>
                            <w:spacing w:after="0"/>
                            <w:rPr>
                              <w:rFonts w:ascii="Calibri" w:eastAsia="Calibri" w:hAnsi="Calibri" w:cs="Calibri"/>
                              <w:noProof/>
                              <w:color w:val="FF0000"/>
                              <w:sz w:val="24"/>
                            </w:rPr>
                          </w:pPr>
                          <w:r w:rsidRPr="0043413F">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DE65FF4" id="_x0000_t202" coordsize="21600,21600" o:spt="202" path="m,l,21600r21600,l21600,xe">
              <v:stroke joinstyle="miter"/>
              <v:path gradientshapeok="t" o:connecttype="rect"/>
            </v:shapetype>
            <v:shape id="Text Box 4" o:spid="_x0000_s1033" type="#_x0000_t202" alt="OFFICIAL" style="position:absolute;margin-left:0;margin-top:0;width:43.5pt;height:37.5pt;z-index:25165824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" filled="f" stroked="f">
              <v:textbox style="mso-fit-shape-to-text:t" inset="0,15pt,0,0">
                <w:txbxContent>
                  <w:p w14:paraId="1BAFE7B7" w14:textId="465923C2" w:rsidR="0043413F" w:rsidRPr="0043413F" w:rsidRDefault="0043413F" w:rsidP="0043413F">
                    <w:pPr>
                      <w:spacing w:after="0"/>
                      <w:rPr>
                        <w:rFonts w:ascii="Calibri" w:eastAsia="Calibri" w:hAnsi="Calibri" w:cs="Calibri"/>
                        <w:noProof/>
                        <w:color w:val="FF0000"/>
                        <w:sz w:val="24"/>
                      </w:rPr>
                    </w:pPr>
                    <w:r w:rsidRPr="0043413F">
                      <w:rPr>
                        <w:rFonts w:ascii="Calibri" w:eastAsia="Calibri" w:hAnsi="Calibri" w:cs="Calibri"/>
                        <w:noProof/>
                        <w:color w:val="FF0000"/>
                        <w:sz w:val="24"/>
                      </w:rPr>
                      <w:t>OFFICIAL</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FD7445" w14:textId="17FD7CC4" w:rsidR="00205A93" w:rsidRDefault="0043413F" w:rsidP="008E0C77">
    <w:pPr>
      <w:pStyle w:val="Headertext"/>
      <w:spacing w:after="180"/>
      <w:jc w:val="left"/>
    </w:pPr>
    <w:r>
      <w:rPr>
        <w:noProof/>
        <w:lang w:eastAsia="en-AU"/>
      </w:rPr>
      <mc:AlternateContent>
        <mc:Choice Requires="wps">
          <w:drawing>
            <wp:anchor distT="0" distB="0" distL="0" distR="0" simplePos="0" relativeHeight="251658249" behindDoc="0" locked="0" layoutInCell="1" allowOverlap="1" wp14:anchorId="72A82CEA" wp14:editId="3DB1CC51">
              <wp:simplePos x="635" y="635"/>
              <wp:positionH relativeFrom="page">
                <wp:align>center</wp:align>
              </wp:positionH>
              <wp:positionV relativeFrom="page">
                <wp:align>top</wp:align>
              </wp:positionV>
              <wp:extent cx="552450" cy="476250"/>
              <wp:effectExtent l="0" t="0" r="0" b="0"/>
              <wp:wrapNone/>
              <wp:docPr id="1490526656" name="Text Box 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2450" cy="476250"/>
                      </a:xfrm>
                      <a:prstGeom prst="rect">
                        <a:avLst/>
                      </a:prstGeom>
                      <a:noFill/>
                      <a:ln>
                        <a:noFill/>
                      </a:ln>
                    </wps:spPr>
                    <wps:txbx>
                      <w:txbxContent>
                        <w:p w14:paraId="4F7B4B86" w14:textId="480D34DD" w:rsidR="0043413F" w:rsidRPr="0043413F" w:rsidRDefault="0043413F" w:rsidP="0043413F">
                          <w:pPr>
                            <w:spacing w:after="0"/>
                            <w:rPr>
                              <w:rFonts w:ascii="Calibri" w:eastAsia="Calibri" w:hAnsi="Calibri" w:cs="Calibri"/>
                              <w:noProof/>
                              <w:color w:val="FF0000"/>
                              <w:sz w:val="24"/>
                            </w:rPr>
                          </w:pPr>
                          <w:r w:rsidRPr="0043413F">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2A82CEA" id="_x0000_t202" coordsize="21600,21600" o:spt="202" path="m,l,21600r21600,l21600,xe">
              <v:stroke joinstyle="miter"/>
              <v:path gradientshapeok="t" o:connecttype="rect"/>
            </v:shapetype>
            <v:shape id="Text Box 7" o:spid="_x0000_s1035" type="#_x0000_t202" alt="OFFICIAL" style="position:absolute;margin-left:0;margin-top:0;width:43.5pt;height:37.5pt;z-index:251658249;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" filled="f" stroked="f">
              <v:textbox style="mso-fit-shape-to-text:t" inset="0,15pt,0,0">
                <w:txbxContent>
                  <w:p w14:paraId="4F7B4B86" w14:textId="480D34DD" w:rsidR="0043413F" w:rsidRPr="0043413F" w:rsidRDefault="0043413F" w:rsidP="0043413F">
                    <w:pPr>
                      <w:spacing w:after="0"/>
                      <w:rPr>
                        <w:rFonts w:ascii="Calibri" w:eastAsia="Calibri" w:hAnsi="Calibri" w:cs="Calibri"/>
                        <w:noProof/>
                        <w:color w:val="FF0000"/>
                        <w:sz w:val="24"/>
                      </w:rPr>
                    </w:pPr>
                    <w:r w:rsidRPr="0043413F">
                      <w:rPr>
                        <w:rFonts w:ascii="Calibri" w:eastAsia="Calibri" w:hAnsi="Calibri" w:cs="Calibri"/>
                        <w:noProof/>
                        <w:color w:val="FF0000"/>
                        <w:sz w:val="24"/>
                      </w:rPr>
                      <w:t>OFFICIAL</w:t>
                    </w:r>
                  </w:p>
                </w:txbxContent>
              </v:textbox>
              <w10:wrap anchorx="page" anchory="page"/>
            </v:shape>
          </w:pict>
        </mc:Fallback>
      </mc:AlternateContent>
    </w:r>
    <w:r w:rsidR="00205A93">
      <w:rPr>
        <w:noProof/>
        <w:lang w:eastAsia="en-AU"/>
      </w:rPr>
      <w:drawing>
        <wp:anchor distT="0" distB="0" distL="114300" distR="114300" simplePos="0" relativeHeight="251658242" behindDoc="1" locked="0" layoutInCell="1" allowOverlap="1" wp14:anchorId="5D6DD984" wp14:editId="5A3E869A">
          <wp:simplePos x="0" y="0"/>
          <wp:positionH relativeFrom="page">
            <wp:posOffset>0</wp:posOffset>
          </wp:positionH>
          <wp:positionV relativeFrom="page">
            <wp:posOffset>3458210</wp:posOffset>
          </wp:positionV>
          <wp:extent cx="7559040" cy="7232650"/>
          <wp:effectExtent l="0" t="0" r="3810" b="635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rotWithShape="1">
                  <a:blip r:embed="rId1" cstate="print">
                    <a:extLst>
                      <a:ext uri="{28A0092B-C50C-407E-A947-70E740481C1C}">
                        <a14:useLocalDpi xmlns:a14="http://schemas.microsoft.com/office/drawing/2010/main" val="0"/>
                      </a:ext>
                    </a:extLst>
                  </a:blip>
                  <a:srcRect t="32351"/>
                  <a:stretch/>
                </pic:blipFill>
                <pic:spPr bwMode="auto">
                  <a:xfrm>
                    <a:off x="0" y="0"/>
                    <a:ext cx="7559040" cy="7232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81F031A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01ECC26"/>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F1E210A8"/>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84A8A60E"/>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B93E0866"/>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FEBE6068"/>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F2322D50"/>
    <w:lvl w:ilvl="0">
      <w:start w:val="1"/>
      <w:numFmt w:val="decimal"/>
      <w:pStyle w:val="ListNumber"/>
      <w:lvlText w:val="%1."/>
      <w:lvlJc w:val="left"/>
      <w:pPr>
        <w:tabs>
          <w:tab w:val="num" w:pos="360"/>
        </w:tabs>
        <w:ind w:left="360" w:hanging="360"/>
      </w:pPr>
    </w:lvl>
  </w:abstractNum>
  <w:abstractNum w:abstractNumId="7" w15:restartNumberingAfterBreak="0">
    <w:nsid w:val="FFFFFF89"/>
    <w:multiLevelType w:val="singleLevel"/>
    <w:tmpl w:val="BBEE320C"/>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3311526"/>
    <w:multiLevelType w:val="hybridMultilevel"/>
    <w:tmpl w:val="78FE049A"/>
    <w:lvl w:ilvl="0" w:tplc="66E82B30">
      <w:start w:val="1"/>
      <w:numFmt w:val="decimal"/>
      <w:pStyle w:val="Tablelistnumber"/>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0A1D3ADF"/>
    <w:multiLevelType w:val="hybridMultilevel"/>
    <w:tmpl w:val="1AD4A19C"/>
    <w:lvl w:ilvl="0" w:tplc="6556FF00">
      <w:start w:val="1"/>
      <w:numFmt w:val="bullet"/>
      <w:lvlText w:val="•"/>
      <w:lvlJc w:val="left"/>
      <w:pPr>
        <w:tabs>
          <w:tab w:val="num" w:pos="720"/>
        </w:tabs>
        <w:ind w:left="720" w:hanging="360"/>
      </w:pPr>
      <w:rPr>
        <w:rFonts w:ascii="Calibri" w:hAnsi="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3363506"/>
    <w:multiLevelType w:val="hybridMultilevel"/>
    <w:tmpl w:val="9FEA7CEA"/>
    <w:lvl w:ilvl="0" w:tplc="E96C518A">
      <w:start w:val="1"/>
      <w:numFmt w:val="bullet"/>
      <w:pStyle w:val="List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EB23D3C"/>
    <w:multiLevelType w:val="hybridMultilevel"/>
    <w:tmpl w:val="D77C3A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93B64F4"/>
    <w:multiLevelType w:val="hybridMultilevel"/>
    <w:tmpl w:val="BF1622CC"/>
    <w:lvl w:ilvl="0" w:tplc="D590713E">
      <w:start w:val="1"/>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4CD50FD"/>
    <w:multiLevelType w:val="hybridMultilevel"/>
    <w:tmpl w:val="2EC6E5F4"/>
    <w:lvl w:ilvl="0" w:tplc="E1921B64">
      <w:start w:val="1"/>
      <w:numFmt w:val="bullet"/>
      <w:pStyle w:val="ListNumber2"/>
      <w:lvlText w:val=""/>
      <w:lvlJc w:val="left"/>
      <w:pPr>
        <w:ind w:left="644" w:hanging="360"/>
      </w:pPr>
      <w:rPr>
        <w:rFonts w:ascii="Symbol" w:hAnsi="Symbol" w:hint="default"/>
        <w:color w:val="auto"/>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4" w15:restartNumberingAfterBreak="0">
    <w:nsid w:val="4354390E"/>
    <w:multiLevelType w:val="hybridMultilevel"/>
    <w:tmpl w:val="221CF9CA"/>
    <w:lvl w:ilvl="0" w:tplc="6556FF00">
      <w:start w:val="1"/>
      <w:numFmt w:val="bullet"/>
      <w:lvlText w:val="•"/>
      <w:lvlJc w:val="left"/>
      <w:pPr>
        <w:tabs>
          <w:tab w:val="num" w:pos="720"/>
        </w:tabs>
        <w:ind w:left="720" w:hanging="360"/>
      </w:pPr>
      <w:rPr>
        <w:rFonts w:ascii="Calibri" w:hAnsi="Calibri" w:hint="default"/>
      </w:rPr>
    </w:lvl>
    <w:lvl w:ilvl="1" w:tplc="B770D50E">
      <w:start w:val="1"/>
      <w:numFmt w:val="bullet"/>
      <w:lvlText w:val="•"/>
      <w:lvlJc w:val="left"/>
      <w:pPr>
        <w:tabs>
          <w:tab w:val="num" w:pos="1440"/>
        </w:tabs>
        <w:ind w:left="1440" w:hanging="360"/>
      </w:pPr>
      <w:rPr>
        <w:rFonts w:ascii="Calibri" w:hAnsi="Calibri" w:hint="default"/>
      </w:rPr>
    </w:lvl>
    <w:lvl w:ilvl="2" w:tplc="D1AC3FE6">
      <w:start w:val="1"/>
      <w:numFmt w:val="bullet"/>
      <w:lvlText w:val=""/>
      <w:lvlJc w:val="left"/>
      <w:pPr>
        <w:tabs>
          <w:tab w:val="num" w:pos="2084"/>
        </w:tabs>
        <w:ind w:left="2084" w:hanging="284"/>
      </w:pPr>
      <w:rPr>
        <w:rFonts w:ascii="Symbol" w:hAnsi="Symbol" w:hint="default"/>
      </w:rPr>
    </w:lvl>
    <w:lvl w:ilvl="3" w:tplc="2E722BD4">
      <w:start w:val="1"/>
      <w:numFmt w:val="bullet"/>
      <w:lvlText w:val="•"/>
      <w:lvlJc w:val="left"/>
      <w:pPr>
        <w:tabs>
          <w:tab w:val="num" w:pos="2880"/>
        </w:tabs>
        <w:ind w:left="2880" w:hanging="360"/>
      </w:pPr>
      <w:rPr>
        <w:rFonts w:ascii="Calibri" w:hAnsi="Calibri" w:hint="default"/>
      </w:rPr>
    </w:lvl>
    <w:lvl w:ilvl="4" w:tplc="CDB2B8BC" w:tentative="1">
      <w:start w:val="1"/>
      <w:numFmt w:val="bullet"/>
      <w:lvlText w:val="•"/>
      <w:lvlJc w:val="left"/>
      <w:pPr>
        <w:tabs>
          <w:tab w:val="num" w:pos="3600"/>
        </w:tabs>
        <w:ind w:left="3600" w:hanging="360"/>
      </w:pPr>
      <w:rPr>
        <w:rFonts w:ascii="Calibri" w:hAnsi="Calibri" w:hint="default"/>
      </w:rPr>
    </w:lvl>
    <w:lvl w:ilvl="5" w:tplc="7D8CFA76" w:tentative="1">
      <w:start w:val="1"/>
      <w:numFmt w:val="bullet"/>
      <w:lvlText w:val="•"/>
      <w:lvlJc w:val="left"/>
      <w:pPr>
        <w:tabs>
          <w:tab w:val="num" w:pos="4320"/>
        </w:tabs>
        <w:ind w:left="4320" w:hanging="360"/>
      </w:pPr>
      <w:rPr>
        <w:rFonts w:ascii="Calibri" w:hAnsi="Calibri" w:hint="default"/>
      </w:rPr>
    </w:lvl>
    <w:lvl w:ilvl="6" w:tplc="349224D0" w:tentative="1">
      <w:start w:val="1"/>
      <w:numFmt w:val="bullet"/>
      <w:lvlText w:val="•"/>
      <w:lvlJc w:val="left"/>
      <w:pPr>
        <w:tabs>
          <w:tab w:val="num" w:pos="5040"/>
        </w:tabs>
        <w:ind w:left="5040" w:hanging="360"/>
      </w:pPr>
      <w:rPr>
        <w:rFonts w:ascii="Calibri" w:hAnsi="Calibri" w:hint="default"/>
      </w:rPr>
    </w:lvl>
    <w:lvl w:ilvl="7" w:tplc="AD2E393C" w:tentative="1">
      <w:start w:val="1"/>
      <w:numFmt w:val="bullet"/>
      <w:lvlText w:val="•"/>
      <w:lvlJc w:val="left"/>
      <w:pPr>
        <w:tabs>
          <w:tab w:val="num" w:pos="5760"/>
        </w:tabs>
        <w:ind w:left="5760" w:hanging="360"/>
      </w:pPr>
      <w:rPr>
        <w:rFonts w:ascii="Calibri" w:hAnsi="Calibri" w:hint="default"/>
      </w:rPr>
    </w:lvl>
    <w:lvl w:ilvl="8" w:tplc="22B27F60" w:tentative="1">
      <w:start w:val="1"/>
      <w:numFmt w:val="bullet"/>
      <w:lvlText w:val="•"/>
      <w:lvlJc w:val="left"/>
      <w:pPr>
        <w:tabs>
          <w:tab w:val="num" w:pos="6480"/>
        </w:tabs>
        <w:ind w:left="6480" w:hanging="360"/>
      </w:pPr>
      <w:rPr>
        <w:rFonts w:ascii="Calibri" w:hAnsi="Calibri" w:hint="default"/>
      </w:rPr>
    </w:lvl>
  </w:abstractNum>
  <w:abstractNum w:abstractNumId="15" w15:restartNumberingAfterBreak="0">
    <w:nsid w:val="45FC109B"/>
    <w:multiLevelType w:val="hybridMultilevel"/>
    <w:tmpl w:val="7A92A084"/>
    <w:lvl w:ilvl="0" w:tplc="0A28217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500A4EAD"/>
    <w:multiLevelType w:val="hybridMultilevel"/>
    <w:tmpl w:val="2654DC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1E0409D"/>
    <w:multiLevelType w:val="hybridMultilevel"/>
    <w:tmpl w:val="B9020172"/>
    <w:lvl w:ilvl="0" w:tplc="C4020892">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60EF7DEB"/>
    <w:multiLevelType w:val="hybridMultilevel"/>
    <w:tmpl w:val="650031C6"/>
    <w:lvl w:ilvl="0" w:tplc="FF12EB74">
      <w:start w:val="1"/>
      <w:numFmt w:val="lowerLetter"/>
      <w:pStyle w:val="ListNumber3"/>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68F41A2F"/>
    <w:multiLevelType w:val="hybridMultilevel"/>
    <w:tmpl w:val="50320C18"/>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0" w15:restartNumberingAfterBreak="0">
    <w:nsid w:val="6CF8287E"/>
    <w:multiLevelType w:val="hybridMultilevel"/>
    <w:tmpl w:val="4EB61FD0"/>
    <w:lvl w:ilvl="0" w:tplc="0152271C">
      <w:start w:val="1"/>
      <w:numFmt w:val="bullet"/>
      <w:pStyle w:val="Tablelist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7E391716"/>
    <w:multiLevelType w:val="hybridMultilevel"/>
    <w:tmpl w:val="DDBC3032"/>
    <w:lvl w:ilvl="0" w:tplc="F4C86310">
      <w:start w:val="1"/>
      <w:numFmt w:val="bullet"/>
      <w:pStyle w:val="ListBullet2"/>
      <w:lvlText w:val="o"/>
      <w:lvlJc w:val="left"/>
      <w:pPr>
        <w:ind w:left="1004" w:hanging="360"/>
      </w:pPr>
      <w:rPr>
        <w:rFonts w:ascii="Courier New" w:hAnsi="Courier New" w:cs="Courier New"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num w:numId="1" w16cid:durableId="1763332387">
    <w:abstractNumId w:val="7"/>
  </w:num>
  <w:num w:numId="2" w16cid:durableId="584998934">
    <w:abstractNumId w:val="17"/>
  </w:num>
  <w:num w:numId="3" w16cid:durableId="321859378">
    <w:abstractNumId w:val="20"/>
  </w:num>
  <w:num w:numId="4" w16cid:durableId="995652124">
    <w:abstractNumId w:val="8"/>
  </w:num>
  <w:num w:numId="5" w16cid:durableId="26878074">
    <w:abstractNumId w:val="8"/>
    <w:lvlOverride w:ilvl="0">
      <w:startOverride w:val="1"/>
    </w:lvlOverride>
  </w:num>
  <w:num w:numId="6" w16cid:durableId="962610267">
    <w:abstractNumId w:val="9"/>
  </w:num>
  <w:num w:numId="7" w16cid:durableId="592711108">
    <w:abstractNumId w:val="14"/>
  </w:num>
  <w:num w:numId="8" w16cid:durableId="220597043">
    <w:abstractNumId w:val="19"/>
  </w:num>
  <w:num w:numId="9" w16cid:durableId="160513176">
    <w:abstractNumId w:val="5"/>
  </w:num>
  <w:num w:numId="10" w16cid:durableId="1253784824">
    <w:abstractNumId w:val="4"/>
  </w:num>
  <w:num w:numId="11" w16cid:durableId="761999305">
    <w:abstractNumId w:val="3"/>
  </w:num>
  <w:num w:numId="12" w16cid:durableId="2142918560">
    <w:abstractNumId w:val="2"/>
  </w:num>
  <w:num w:numId="13" w16cid:durableId="1011012">
    <w:abstractNumId w:val="6"/>
  </w:num>
  <w:num w:numId="14" w16cid:durableId="647786097">
    <w:abstractNumId w:val="1"/>
  </w:num>
  <w:num w:numId="15" w16cid:durableId="633607402">
    <w:abstractNumId w:val="0"/>
  </w:num>
  <w:num w:numId="16" w16cid:durableId="1186747887">
    <w:abstractNumId w:val="21"/>
  </w:num>
  <w:num w:numId="17" w16cid:durableId="1338772380">
    <w:abstractNumId w:val="10"/>
  </w:num>
  <w:num w:numId="18" w16cid:durableId="40521289">
    <w:abstractNumId w:val="11"/>
  </w:num>
  <w:num w:numId="19" w16cid:durableId="1952668765">
    <w:abstractNumId w:val="13"/>
  </w:num>
  <w:num w:numId="20" w16cid:durableId="1347753968">
    <w:abstractNumId w:val="16"/>
  </w:num>
  <w:num w:numId="21" w16cid:durableId="1981616438">
    <w:abstractNumId w:val="10"/>
  </w:num>
  <w:num w:numId="22" w16cid:durableId="1199969139">
    <w:abstractNumId w:val="6"/>
  </w:num>
  <w:num w:numId="23" w16cid:durableId="1204947947">
    <w:abstractNumId w:val="6"/>
  </w:num>
  <w:num w:numId="24" w16cid:durableId="173764509">
    <w:abstractNumId w:val="6"/>
  </w:num>
  <w:num w:numId="25" w16cid:durableId="48505143">
    <w:abstractNumId w:val="12"/>
  </w:num>
  <w:num w:numId="26" w16cid:durableId="833683543">
    <w:abstractNumId w:val="8"/>
  </w:num>
  <w:num w:numId="27" w16cid:durableId="1683818299">
    <w:abstractNumId w:val="8"/>
  </w:num>
  <w:num w:numId="28" w16cid:durableId="575818438">
    <w:abstractNumId w:val="18"/>
  </w:num>
  <w:num w:numId="29" w16cid:durableId="179046580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stylePaneFormatFilter w:val="3F28" w:allStyles="0" w:customStyles="0" w:latentStyles="0" w:stylesInUse="1" w:headingStyles="1" w:numberingStyles="0" w:tableStyles="0" w:directFormattingOnRuns="1" w:directFormattingOnParagraphs="1" w:directFormattingOnNumbering="1" w:directFormattingOnTables="1" w:clearFormatting="1" w:top3HeadingStyles="1" w:visibleStyles="0" w:alternateStyleNames="0"/>
  <w:stylePaneSortMethod w:val="0000"/>
  <w:documentProtection w:formatting="1" w:enforcement="0"/>
  <w:defaultTabStop w:val="720"/>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4CD0"/>
    <w:rsid w:val="000012BE"/>
    <w:rsid w:val="0000133D"/>
    <w:rsid w:val="00001983"/>
    <w:rsid w:val="000024FA"/>
    <w:rsid w:val="0000259A"/>
    <w:rsid w:val="00002CB3"/>
    <w:rsid w:val="00002D25"/>
    <w:rsid w:val="00002DB3"/>
    <w:rsid w:val="00002E97"/>
    <w:rsid w:val="00003743"/>
    <w:rsid w:val="00003ED1"/>
    <w:rsid w:val="000047B4"/>
    <w:rsid w:val="000049F1"/>
    <w:rsid w:val="0000504A"/>
    <w:rsid w:val="00005712"/>
    <w:rsid w:val="0000590B"/>
    <w:rsid w:val="00005B7B"/>
    <w:rsid w:val="0000653F"/>
    <w:rsid w:val="00006AC0"/>
    <w:rsid w:val="00006D93"/>
    <w:rsid w:val="00006DBF"/>
    <w:rsid w:val="00007581"/>
    <w:rsid w:val="000077E8"/>
    <w:rsid w:val="00007CF8"/>
    <w:rsid w:val="00007CFD"/>
    <w:rsid w:val="00007EF7"/>
    <w:rsid w:val="00007FD8"/>
    <w:rsid w:val="0001055B"/>
    <w:rsid w:val="0001104F"/>
    <w:rsid w:val="00011119"/>
    <w:rsid w:val="000117F8"/>
    <w:rsid w:val="000118E8"/>
    <w:rsid w:val="00012BFF"/>
    <w:rsid w:val="00013201"/>
    <w:rsid w:val="00013F70"/>
    <w:rsid w:val="00014AAB"/>
    <w:rsid w:val="000152BC"/>
    <w:rsid w:val="00015A6A"/>
    <w:rsid w:val="00015AA6"/>
    <w:rsid w:val="0001613A"/>
    <w:rsid w:val="00016701"/>
    <w:rsid w:val="00017CE0"/>
    <w:rsid w:val="00017E89"/>
    <w:rsid w:val="000202B7"/>
    <w:rsid w:val="000212B2"/>
    <w:rsid w:val="0002141F"/>
    <w:rsid w:val="000228AF"/>
    <w:rsid w:val="00022E6C"/>
    <w:rsid w:val="0002310D"/>
    <w:rsid w:val="00023350"/>
    <w:rsid w:val="000234B4"/>
    <w:rsid w:val="000235F0"/>
    <w:rsid w:val="00023BBE"/>
    <w:rsid w:val="0002433B"/>
    <w:rsid w:val="00024999"/>
    <w:rsid w:val="00024F95"/>
    <w:rsid w:val="0002519E"/>
    <w:rsid w:val="000254C2"/>
    <w:rsid w:val="00025504"/>
    <w:rsid w:val="00025C15"/>
    <w:rsid w:val="00025DF2"/>
    <w:rsid w:val="00026139"/>
    <w:rsid w:val="00026B21"/>
    <w:rsid w:val="00027067"/>
    <w:rsid w:val="00027071"/>
    <w:rsid w:val="00027601"/>
    <w:rsid w:val="00027E68"/>
    <w:rsid w:val="000300DD"/>
    <w:rsid w:val="00031098"/>
    <w:rsid w:val="000311F8"/>
    <w:rsid w:val="00031B80"/>
    <w:rsid w:val="00031DC5"/>
    <w:rsid w:val="000325A0"/>
    <w:rsid w:val="000327B6"/>
    <w:rsid w:val="00032A31"/>
    <w:rsid w:val="00032DBF"/>
    <w:rsid w:val="00032FEE"/>
    <w:rsid w:val="00033321"/>
    <w:rsid w:val="000335C4"/>
    <w:rsid w:val="0003383B"/>
    <w:rsid w:val="000338E5"/>
    <w:rsid w:val="000339CD"/>
    <w:rsid w:val="00033ECC"/>
    <w:rsid w:val="0003422F"/>
    <w:rsid w:val="00034EAD"/>
    <w:rsid w:val="0003500F"/>
    <w:rsid w:val="00035C77"/>
    <w:rsid w:val="00036431"/>
    <w:rsid w:val="00040EB6"/>
    <w:rsid w:val="000413F5"/>
    <w:rsid w:val="000414B5"/>
    <w:rsid w:val="00041CC9"/>
    <w:rsid w:val="00041D8B"/>
    <w:rsid w:val="00042437"/>
    <w:rsid w:val="00042531"/>
    <w:rsid w:val="00042DE0"/>
    <w:rsid w:val="00042E1C"/>
    <w:rsid w:val="00043C4F"/>
    <w:rsid w:val="00043FFF"/>
    <w:rsid w:val="000444BF"/>
    <w:rsid w:val="00044F71"/>
    <w:rsid w:val="0004523B"/>
    <w:rsid w:val="000454CA"/>
    <w:rsid w:val="00045EA2"/>
    <w:rsid w:val="00045EE9"/>
    <w:rsid w:val="0004601F"/>
    <w:rsid w:val="000460C7"/>
    <w:rsid w:val="00046ACC"/>
    <w:rsid w:val="00046C28"/>
    <w:rsid w:val="00046FF0"/>
    <w:rsid w:val="0004719F"/>
    <w:rsid w:val="00050176"/>
    <w:rsid w:val="0005044E"/>
    <w:rsid w:val="00050501"/>
    <w:rsid w:val="0005162B"/>
    <w:rsid w:val="00051EDE"/>
    <w:rsid w:val="00052300"/>
    <w:rsid w:val="00053B7D"/>
    <w:rsid w:val="00053E49"/>
    <w:rsid w:val="00054242"/>
    <w:rsid w:val="00055B5B"/>
    <w:rsid w:val="00056245"/>
    <w:rsid w:val="000567AB"/>
    <w:rsid w:val="00057675"/>
    <w:rsid w:val="000607CC"/>
    <w:rsid w:val="00060A18"/>
    <w:rsid w:val="0006271E"/>
    <w:rsid w:val="0006295D"/>
    <w:rsid w:val="00062B65"/>
    <w:rsid w:val="00063F19"/>
    <w:rsid w:val="0006517A"/>
    <w:rsid w:val="000651A6"/>
    <w:rsid w:val="000651E9"/>
    <w:rsid w:val="000658AB"/>
    <w:rsid w:val="0006602F"/>
    <w:rsid w:val="0006688F"/>
    <w:rsid w:val="00066D56"/>
    <w:rsid w:val="00067456"/>
    <w:rsid w:val="000674C4"/>
    <w:rsid w:val="00067B30"/>
    <w:rsid w:val="000708BD"/>
    <w:rsid w:val="00071506"/>
    <w:rsid w:val="0007154F"/>
    <w:rsid w:val="00071635"/>
    <w:rsid w:val="0007211B"/>
    <w:rsid w:val="00072AF9"/>
    <w:rsid w:val="00072B52"/>
    <w:rsid w:val="00073D52"/>
    <w:rsid w:val="000740F8"/>
    <w:rsid w:val="0007474B"/>
    <w:rsid w:val="00074E0C"/>
    <w:rsid w:val="00075543"/>
    <w:rsid w:val="000757DC"/>
    <w:rsid w:val="00075B85"/>
    <w:rsid w:val="00075CE1"/>
    <w:rsid w:val="00076F08"/>
    <w:rsid w:val="0007700F"/>
    <w:rsid w:val="00077547"/>
    <w:rsid w:val="00080760"/>
    <w:rsid w:val="0008122B"/>
    <w:rsid w:val="000818CB"/>
    <w:rsid w:val="00081971"/>
    <w:rsid w:val="00081980"/>
    <w:rsid w:val="000819F4"/>
    <w:rsid w:val="00081AB1"/>
    <w:rsid w:val="00082765"/>
    <w:rsid w:val="00082DF0"/>
    <w:rsid w:val="000834B0"/>
    <w:rsid w:val="000835EA"/>
    <w:rsid w:val="00083761"/>
    <w:rsid w:val="00083959"/>
    <w:rsid w:val="00083DED"/>
    <w:rsid w:val="00084362"/>
    <w:rsid w:val="0008496F"/>
    <w:rsid w:val="00084D63"/>
    <w:rsid w:val="000857A0"/>
    <w:rsid w:val="00086285"/>
    <w:rsid w:val="0008653A"/>
    <w:rsid w:val="00086796"/>
    <w:rsid w:val="00086ABE"/>
    <w:rsid w:val="00086C5D"/>
    <w:rsid w:val="00086D12"/>
    <w:rsid w:val="00087099"/>
    <w:rsid w:val="00087467"/>
    <w:rsid w:val="00087A2A"/>
    <w:rsid w:val="000901CC"/>
    <w:rsid w:val="00090316"/>
    <w:rsid w:val="0009040F"/>
    <w:rsid w:val="000908EC"/>
    <w:rsid w:val="0009106E"/>
    <w:rsid w:val="000912AF"/>
    <w:rsid w:val="000917DD"/>
    <w:rsid w:val="00091A90"/>
    <w:rsid w:val="000920B1"/>
    <w:rsid w:val="000922C4"/>
    <w:rsid w:val="0009324F"/>
    <w:rsid w:val="00093469"/>
    <w:rsid w:val="0009347C"/>
    <w:rsid w:val="00093981"/>
    <w:rsid w:val="00093CD6"/>
    <w:rsid w:val="00093CD9"/>
    <w:rsid w:val="00094D34"/>
    <w:rsid w:val="00095D2B"/>
    <w:rsid w:val="00095EE3"/>
    <w:rsid w:val="00096353"/>
    <w:rsid w:val="0009663B"/>
    <w:rsid w:val="00096667"/>
    <w:rsid w:val="00096842"/>
    <w:rsid w:val="00096AD6"/>
    <w:rsid w:val="00096BB9"/>
    <w:rsid w:val="0009797D"/>
    <w:rsid w:val="000A05A0"/>
    <w:rsid w:val="000A0620"/>
    <w:rsid w:val="000A0881"/>
    <w:rsid w:val="000A08BC"/>
    <w:rsid w:val="000A0F0B"/>
    <w:rsid w:val="000A1217"/>
    <w:rsid w:val="000A13D5"/>
    <w:rsid w:val="000A18A4"/>
    <w:rsid w:val="000A1DDA"/>
    <w:rsid w:val="000A25F0"/>
    <w:rsid w:val="000A270F"/>
    <w:rsid w:val="000A32A4"/>
    <w:rsid w:val="000A3A7C"/>
    <w:rsid w:val="000A3C4E"/>
    <w:rsid w:val="000A3E47"/>
    <w:rsid w:val="000A4346"/>
    <w:rsid w:val="000A4AC1"/>
    <w:rsid w:val="000A4B04"/>
    <w:rsid w:val="000A54B0"/>
    <w:rsid w:val="000A566D"/>
    <w:rsid w:val="000A56AC"/>
    <w:rsid w:val="000A5EC8"/>
    <w:rsid w:val="000A62F3"/>
    <w:rsid w:val="000A66FE"/>
    <w:rsid w:val="000A703E"/>
    <w:rsid w:val="000A794C"/>
    <w:rsid w:val="000A7D34"/>
    <w:rsid w:val="000B067A"/>
    <w:rsid w:val="000B0B36"/>
    <w:rsid w:val="000B1540"/>
    <w:rsid w:val="000B17F3"/>
    <w:rsid w:val="000B1E45"/>
    <w:rsid w:val="000B1F4B"/>
    <w:rsid w:val="000B2646"/>
    <w:rsid w:val="000B28FB"/>
    <w:rsid w:val="000B2CF2"/>
    <w:rsid w:val="000B31D5"/>
    <w:rsid w:val="000B33FD"/>
    <w:rsid w:val="000B3426"/>
    <w:rsid w:val="000B3784"/>
    <w:rsid w:val="000B3A3F"/>
    <w:rsid w:val="000B3E16"/>
    <w:rsid w:val="000B4262"/>
    <w:rsid w:val="000B4ABA"/>
    <w:rsid w:val="000B4DE7"/>
    <w:rsid w:val="000B6295"/>
    <w:rsid w:val="000B7521"/>
    <w:rsid w:val="000B7AFE"/>
    <w:rsid w:val="000C01A6"/>
    <w:rsid w:val="000C0AD5"/>
    <w:rsid w:val="000C0FE4"/>
    <w:rsid w:val="000C1DD9"/>
    <w:rsid w:val="000C212C"/>
    <w:rsid w:val="000C2336"/>
    <w:rsid w:val="000C2509"/>
    <w:rsid w:val="000C2545"/>
    <w:rsid w:val="000C2B04"/>
    <w:rsid w:val="000C3926"/>
    <w:rsid w:val="000C3B05"/>
    <w:rsid w:val="000C4B16"/>
    <w:rsid w:val="000C50C3"/>
    <w:rsid w:val="000C558D"/>
    <w:rsid w:val="000C5816"/>
    <w:rsid w:val="000C5BA4"/>
    <w:rsid w:val="000C5E45"/>
    <w:rsid w:val="000C5E90"/>
    <w:rsid w:val="000C6215"/>
    <w:rsid w:val="000C6C54"/>
    <w:rsid w:val="000C71B0"/>
    <w:rsid w:val="000C7772"/>
    <w:rsid w:val="000C7C60"/>
    <w:rsid w:val="000D0EAD"/>
    <w:rsid w:val="000D11F6"/>
    <w:rsid w:val="000D14C6"/>
    <w:rsid w:val="000D1A09"/>
    <w:rsid w:val="000D1D4C"/>
    <w:rsid w:val="000D1D75"/>
    <w:rsid w:val="000D21F6"/>
    <w:rsid w:val="000D3820"/>
    <w:rsid w:val="000D42C3"/>
    <w:rsid w:val="000D4500"/>
    <w:rsid w:val="000D532D"/>
    <w:rsid w:val="000D56E4"/>
    <w:rsid w:val="000D6618"/>
    <w:rsid w:val="000D6B87"/>
    <w:rsid w:val="000D7169"/>
    <w:rsid w:val="000D7AEA"/>
    <w:rsid w:val="000E011C"/>
    <w:rsid w:val="000E01A9"/>
    <w:rsid w:val="000E0CFA"/>
    <w:rsid w:val="000E1E59"/>
    <w:rsid w:val="000E2C66"/>
    <w:rsid w:val="000E3FC8"/>
    <w:rsid w:val="000E4362"/>
    <w:rsid w:val="000E445B"/>
    <w:rsid w:val="000E4C5B"/>
    <w:rsid w:val="000E51DB"/>
    <w:rsid w:val="000E6E7D"/>
    <w:rsid w:val="000E70DC"/>
    <w:rsid w:val="000E7616"/>
    <w:rsid w:val="000E767A"/>
    <w:rsid w:val="000E785F"/>
    <w:rsid w:val="000E7CCD"/>
    <w:rsid w:val="000F0D02"/>
    <w:rsid w:val="000F123C"/>
    <w:rsid w:val="000F12E8"/>
    <w:rsid w:val="000F13DC"/>
    <w:rsid w:val="000F15EB"/>
    <w:rsid w:val="000F1777"/>
    <w:rsid w:val="000F18A6"/>
    <w:rsid w:val="000F2703"/>
    <w:rsid w:val="000F2FED"/>
    <w:rsid w:val="000F33C9"/>
    <w:rsid w:val="000F33D5"/>
    <w:rsid w:val="000F441B"/>
    <w:rsid w:val="000F4DFA"/>
    <w:rsid w:val="000F5419"/>
    <w:rsid w:val="000F6377"/>
    <w:rsid w:val="000F7807"/>
    <w:rsid w:val="0010076B"/>
    <w:rsid w:val="00100A59"/>
    <w:rsid w:val="00100D45"/>
    <w:rsid w:val="00100D86"/>
    <w:rsid w:val="00100F6D"/>
    <w:rsid w:val="00101267"/>
    <w:rsid w:val="001012C2"/>
    <w:rsid w:val="00101403"/>
    <w:rsid w:val="0010194C"/>
    <w:rsid w:val="00101F1B"/>
    <w:rsid w:val="00102242"/>
    <w:rsid w:val="0010224E"/>
    <w:rsid w:val="00102757"/>
    <w:rsid w:val="00102FE2"/>
    <w:rsid w:val="0010368A"/>
    <w:rsid w:val="00103EC2"/>
    <w:rsid w:val="00104205"/>
    <w:rsid w:val="00104A9D"/>
    <w:rsid w:val="00105334"/>
    <w:rsid w:val="001054A5"/>
    <w:rsid w:val="001059BA"/>
    <w:rsid w:val="00105A1A"/>
    <w:rsid w:val="0010616D"/>
    <w:rsid w:val="0010625C"/>
    <w:rsid w:val="001065A5"/>
    <w:rsid w:val="001067E9"/>
    <w:rsid w:val="001068A3"/>
    <w:rsid w:val="00107068"/>
    <w:rsid w:val="00107259"/>
    <w:rsid w:val="001075E3"/>
    <w:rsid w:val="00110478"/>
    <w:rsid w:val="00110499"/>
    <w:rsid w:val="001109F2"/>
    <w:rsid w:val="00111AEF"/>
    <w:rsid w:val="00112150"/>
    <w:rsid w:val="00113A36"/>
    <w:rsid w:val="00113C97"/>
    <w:rsid w:val="00113F15"/>
    <w:rsid w:val="00114ABB"/>
    <w:rsid w:val="00114D4E"/>
    <w:rsid w:val="0011568E"/>
    <w:rsid w:val="001157D9"/>
    <w:rsid w:val="0011592A"/>
    <w:rsid w:val="00116588"/>
    <w:rsid w:val="00116C17"/>
    <w:rsid w:val="0011710F"/>
    <w:rsid w:val="0011711B"/>
    <w:rsid w:val="001176EF"/>
    <w:rsid w:val="001178F3"/>
    <w:rsid w:val="00117E0E"/>
    <w:rsid w:val="00117F8A"/>
    <w:rsid w:val="00120331"/>
    <w:rsid w:val="00120E1A"/>
    <w:rsid w:val="00120FBE"/>
    <w:rsid w:val="0012105C"/>
    <w:rsid w:val="00121A2C"/>
    <w:rsid w:val="00121B9B"/>
    <w:rsid w:val="0012270A"/>
    <w:rsid w:val="00122934"/>
    <w:rsid w:val="00122ADC"/>
    <w:rsid w:val="00122F61"/>
    <w:rsid w:val="001234B8"/>
    <w:rsid w:val="00123D5D"/>
    <w:rsid w:val="0012412A"/>
    <w:rsid w:val="0012675B"/>
    <w:rsid w:val="0012765B"/>
    <w:rsid w:val="00127741"/>
    <w:rsid w:val="00127E93"/>
    <w:rsid w:val="001306D4"/>
    <w:rsid w:val="00130C78"/>
    <w:rsid w:val="00130F59"/>
    <w:rsid w:val="001317E0"/>
    <w:rsid w:val="00131DD2"/>
    <w:rsid w:val="001331A1"/>
    <w:rsid w:val="001331B9"/>
    <w:rsid w:val="0013333E"/>
    <w:rsid w:val="001339FA"/>
    <w:rsid w:val="00133A5B"/>
    <w:rsid w:val="00133AA7"/>
    <w:rsid w:val="00133E7E"/>
    <w:rsid w:val="00133EC0"/>
    <w:rsid w:val="00134694"/>
    <w:rsid w:val="00134BAE"/>
    <w:rsid w:val="00135454"/>
    <w:rsid w:val="00135669"/>
    <w:rsid w:val="00135EF2"/>
    <w:rsid w:val="00136601"/>
    <w:rsid w:val="00136839"/>
    <w:rsid w:val="00136E28"/>
    <w:rsid w:val="0013714B"/>
    <w:rsid w:val="00137551"/>
    <w:rsid w:val="001376A3"/>
    <w:rsid w:val="001405F4"/>
    <w:rsid w:val="00141456"/>
    <w:rsid w:val="00141CE5"/>
    <w:rsid w:val="00141E45"/>
    <w:rsid w:val="00142111"/>
    <w:rsid w:val="0014234A"/>
    <w:rsid w:val="00142A27"/>
    <w:rsid w:val="00142B18"/>
    <w:rsid w:val="00142D94"/>
    <w:rsid w:val="0014394A"/>
    <w:rsid w:val="00144632"/>
    <w:rsid w:val="00144908"/>
    <w:rsid w:val="00144AB9"/>
    <w:rsid w:val="00144EE9"/>
    <w:rsid w:val="00145471"/>
    <w:rsid w:val="001454CA"/>
    <w:rsid w:val="00145740"/>
    <w:rsid w:val="00146D62"/>
    <w:rsid w:val="001477C9"/>
    <w:rsid w:val="00147BB5"/>
    <w:rsid w:val="00147D49"/>
    <w:rsid w:val="001507E9"/>
    <w:rsid w:val="00150BB2"/>
    <w:rsid w:val="00150E7F"/>
    <w:rsid w:val="00151005"/>
    <w:rsid w:val="001516D5"/>
    <w:rsid w:val="001517BC"/>
    <w:rsid w:val="001518BE"/>
    <w:rsid w:val="001527C0"/>
    <w:rsid w:val="00152C64"/>
    <w:rsid w:val="00152CED"/>
    <w:rsid w:val="00153B3F"/>
    <w:rsid w:val="001548F0"/>
    <w:rsid w:val="00154B9A"/>
    <w:rsid w:val="00155D24"/>
    <w:rsid w:val="00156020"/>
    <w:rsid w:val="0015606B"/>
    <w:rsid w:val="00156D4C"/>
    <w:rsid w:val="001571C7"/>
    <w:rsid w:val="00157470"/>
    <w:rsid w:val="00157E21"/>
    <w:rsid w:val="001605DA"/>
    <w:rsid w:val="00161094"/>
    <w:rsid w:val="001617A9"/>
    <w:rsid w:val="00161C32"/>
    <w:rsid w:val="0016202D"/>
    <w:rsid w:val="00162BC4"/>
    <w:rsid w:val="00162BDC"/>
    <w:rsid w:val="00162C57"/>
    <w:rsid w:val="001632C0"/>
    <w:rsid w:val="00163481"/>
    <w:rsid w:val="001661EE"/>
    <w:rsid w:val="0016679A"/>
    <w:rsid w:val="00166EB4"/>
    <w:rsid w:val="00167A68"/>
    <w:rsid w:val="00167DA5"/>
    <w:rsid w:val="00167F1D"/>
    <w:rsid w:val="00170B62"/>
    <w:rsid w:val="0017126E"/>
    <w:rsid w:val="0017128B"/>
    <w:rsid w:val="00172675"/>
    <w:rsid w:val="00172780"/>
    <w:rsid w:val="001727C6"/>
    <w:rsid w:val="00172A55"/>
    <w:rsid w:val="00172AE4"/>
    <w:rsid w:val="00172BC9"/>
    <w:rsid w:val="00173BC1"/>
    <w:rsid w:val="00174108"/>
    <w:rsid w:val="00174903"/>
    <w:rsid w:val="001751AF"/>
    <w:rsid w:val="00175670"/>
    <w:rsid w:val="00175832"/>
    <w:rsid w:val="001758CD"/>
    <w:rsid w:val="0017640D"/>
    <w:rsid w:val="00176587"/>
    <w:rsid w:val="00176625"/>
    <w:rsid w:val="0017665C"/>
    <w:rsid w:val="001766CA"/>
    <w:rsid w:val="00176E17"/>
    <w:rsid w:val="00176EBF"/>
    <w:rsid w:val="00177AD2"/>
    <w:rsid w:val="00177CFB"/>
    <w:rsid w:val="0018046D"/>
    <w:rsid w:val="001804EB"/>
    <w:rsid w:val="001806BA"/>
    <w:rsid w:val="001808A1"/>
    <w:rsid w:val="00180B41"/>
    <w:rsid w:val="00180C64"/>
    <w:rsid w:val="00180D23"/>
    <w:rsid w:val="00180E09"/>
    <w:rsid w:val="00181007"/>
    <w:rsid w:val="001815A8"/>
    <w:rsid w:val="0018195A"/>
    <w:rsid w:val="0018220C"/>
    <w:rsid w:val="001823FD"/>
    <w:rsid w:val="00182582"/>
    <w:rsid w:val="00182B25"/>
    <w:rsid w:val="00182B9B"/>
    <w:rsid w:val="00183A95"/>
    <w:rsid w:val="001840FA"/>
    <w:rsid w:val="00184AC0"/>
    <w:rsid w:val="00185274"/>
    <w:rsid w:val="001853AC"/>
    <w:rsid w:val="00185493"/>
    <w:rsid w:val="00185762"/>
    <w:rsid w:val="001862B3"/>
    <w:rsid w:val="001867F2"/>
    <w:rsid w:val="0018DE7F"/>
    <w:rsid w:val="00190079"/>
    <w:rsid w:val="0019073C"/>
    <w:rsid w:val="00190A46"/>
    <w:rsid w:val="00190DD3"/>
    <w:rsid w:val="00191717"/>
    <w:rsid w:val="00191C65"/>
    <w:rsid w:val="00192046"/>
    <w:rsid w:val="00192C91"/>
    <w:rsid w:val="00192E69"/>
    <w:rsid w:val="00193A34"/>
    <w:rsid w:val="00194141"/>
    <w:rsid w:val="00194696"/>
    <w:rsid w:val="00194CB1"/>
    <w:rsid w:val="00194EE5"/>
    <w:rsid w:val="001952D0"/>
    <w:rsid w:val="00195642"/>
    <w:rsid w:val="00195922"/>
    <w:rsid w:val="0019622E"/>
    <w:rsid w:val="0019664C"/>
    <w:rsid w:val="001966A7"/>
    <w:rsid w:val="00196892"/>
    <w:rsid w:val="001970B2"/>
    <w:rsid w:val="001970CB"/>
    <w:rsid w:val="00197264"/>
    <w:rsid w:val="001A03FF"/>
    <w:rsid w:val="001A118A"/>
    <w:rsid w:val="001A186D"/>
    <w:rsid w:val="001A2364"/>
    <w:rsid w:val="001A42E9"/>
    <w:rsid w:val="001A4627"/>
    <w:rsid w:val="001A4979"/>
    <w:rsid w:val="001A49C6"/>
    <w:rsid w:val="001A50D5"/>
    <w:rsid w:val="001A5394"/>
    <w:rsid w:val="001A55EE"/>
    <w:rsid w:val="001A55F6"/>
    <w:rsid w:val="001A56B3"/>
    <w:rsid w:val="001A682C"/>
    <w:rsid w:val="001A68E5"/>
    <w:rsid w:val="001A6EB8"/>
    <w:rsid w:val="001A6F97"/>
    <w:rsid w:val="001A7135"/>
    <w:rsid w:val="001A762D"/>
    <w:rsid w:val="001A772A"/>
    <w:rsid w:val="001B03AE"/>
    <w:rsid w:val="001B0772"/>
    <w:rsid w:val="001B1255"/>
    <w:rsid w:val="001B15D3"/>
    <w:rsid w:val="001B1D02"/>
    <w:rsid w:val="001B2778"/>
    <w:rsid w:val="001B3261"/>
    <w:rsid w:val="001B3443"/>
    <w:rsid w:val="001B41BE"/>
    <w:rsid w:val="001B448A"/>
    <w:rsid w:val="001B4C69"/>
    <w:rsid w:val="001B5CD8"/>
    <w:rsid w:val="001B6048"/>
    <w:rsid w:val="001B68EB"/>
    <w:rsid w:val="001B7CA8"/>
    <w:rsid w:val="001BA4B2"/>
    <w:rsid w:val="001C0326"/>
    <w:rsid w:val="001C04F9"/>
    <w:rsid w:val="001C08A0"/>
    <w:rsid w:val="001C192F"/>
    <w:rsid w:val="001C2662"/>
    <w:rsid w:val="001C2BEA"/>
    <w:rsid w:val="001C2DF9"/>
    <w:rsid w:val="001C3C42"/>
    <w:rsid w:val="001C3CB3"/>
    <w:rsid w:val="001C42DB"/>
    <w:rsid w:val="001C4565"/>
    <w:rsid w:val="001C4982"/>
    <w:rsid w:val="001C4C5E"/>
    <w:rsid w:val="001C4EC4"/>
    <w:rsid w:val="001C5269"/>
    <w:rsid w:val="001C5D4E"/>
    <w:rsid w:val="001C6A03"/>
    <w:rsid w:val="001C6C21"/>
    <w:rsid w:val="001C78FB"/>
    <w:rsid w:val="001C7988"/>
    <w:rsid w:val="001C7AE8"/>
    <w:rsid w:val="001D0E3B"/>
    <w:rsid w:val="001D1CD1"/>
    <w:rsid w:val="001D2007"/>
    <w:rsid w:val="001D2687"/>
    <w:rsid w:val="001D2B27"/>
    <w:rsid w:val="001D2FF7"/>
    <w:rsid w:val="001D3358"/>
    <w:rsid w:val="001D440F"/>
    <w:rsid w:val="001D475A"/>
    <w:rsid w:val="001D51AB"/>
    <w:rsid w:val="001D5427"/>
    <w:rsid w:val="001D566A"/>
    <w:rsid w:val="001D5670"/>
    <w:rsid w:val="001D66C1"/>
    <w:rsid w:val="001D6A53"/>
    <w:rsid w:val="001D6BD5"/>
    <w:rsid w:val="001D7693"/>
    <w:rsid w:val="001D7869"/>
    <w:rsid w:val="001D7EED"/>
    <w:rsid w:val="001E0098"/>
    <w:rsid w:val="001E0099"/>
    <w:rsid w:val="001E0665"/>
    <w:rsid w:val="001E0DA8"/>
    <w:rsid w:val="001E127C"/>
    <w:rsid w:val="001E2363"/>
    <w:rsid w:val="001E261E"/>
    <w:rsid w:val="001E2C5C"/>
    <w:rsid w:val="001E3A43"/>
    <w:rsid w:val="001E4947"/>
    <w:rsid w:val="001E5164"/>
    <w:rsid w:val="001E5D5F"/>
    <w:rsid w:val="001E606A"/>
    <w:rsid w:val="001E670C"/>
    <w:rsid w:val="001F0434"/>
    <w:rsid w:val="001F0A98"/>
    <w:rsid w:val="001F0C5A"/>
    <w:rsid w:val="001F0FE6"/>
    <w:rsid w:val="001F1347"/>
    <w:rsid w:val="001F2A2A"/>
    <w:rsid w:val="001F2F78"/>
    <w:rsid w:val="001F41FF"/>
    <w:rsid w:val="001F497F"/>
    <w:rsid w:val="001F5AF9"/>
    <w:rsid w:val="001F61EE"/>
    <w:rsid w:val="001F62FA"/>
    <w:rsid w:val="001F687C"/>
    <w:rsid w:val="001F6EA1"/>
    <w:rsid w:val="001F79FD"/>
    <w:rsid w:val="001F7A57"/>
    <w:rsid w:val="002026CD"/>
    <w:rsid w:val="00202C4B"/>
    <w:rsid w:val="002032A8"/>
    <w:rsid w:val="002033FC"/>
    <w:rsid w:val="002035A8"/>
    <w:rsid w:val="00203685"/>
    <w:rsid w:val="00203EF5"/>
    <w:rsid w:val="00204421"/>
    <w:rsid w:val="002044BB"/>
    <w:rsid w:val="00204F39"/>
    <w:rsid w:val="00205A93"/>
    <w:rsid w:val="00205C62"/>
    <w:rsid w:val="00206AD0"/>
    <w:rsid w:val="00206AEA"/>
    <w:rsid w:val="00207076"/>
    <w:rsid w:val="002071C5"/>
    <w:rsid w:val="00207793"/>
    <w:rsid w:val="00207915"/>
    <w:rsid w:val="00210369"/>
    <w:rsid w:val="00210B09"/>
    <w:rsid w:val="00210C9E"/>
    <w:rsid w:val="00210E2B"/>
    <w:rsid w:val="00211840"/>
    <w:rsid w:val="00212627"/>
    <w:rsid w:val="00212A22"/>
    <w:rsid w:val="00212D97"/>
    <w:rsid w:val="00213924"/>
    <w:rsid w:val="00213BF8"/>
    <w:rsid w:val="00214506"/>
    <w:rsid w:val="00214D9F"/>
    <w:rsid w:val="00214DDC"/>
    <w:rsid w:val="0021511A"/>
    <w:rsid w:val="0021514C"/>
    <w:rsid w:val="002164D8"/>
    <w:rsid w:val="00216B76"/>
    <w:rsid w:val="00216F3E"/>
    <w:rsid w:val="002172B6"/>
    <w:rsid w:val="00217822"/>
    <w:rsid w:val="00220E5F"/>
    <w:rsid w:val="00220FB6"/>
    <w:rsid w:val="002212B5"/>
    <w:rsid w:val="00221A6C"/>
    <w:rsid w:val="00221D69"/>
    <w:rsid w:val="002222CC"/>
    <w:rsid w:val="00222D16"/>
    <w:rsid w:val="00223231"/>
    <w:rsid w:val="002232FA"/>
    <w:rsid w:val="00223A13"/>
    <w:rsid w:val="00223B63"/>
    <w:rsid w:val="002240A8"/>
    <w:rsid w:val="002240E2"/>
    <w:rsid w:val="002241B8"/>
    <w:rsid w:val="002241D5"/>
    <w:rsid w:val="00224751"/>
    <w:rsid w:val="00224ABE"/>
    <w:rsid w:val="00224D53"/>
    <w:rsid w:val="00225169"/>
    <w:rsid w:val="00225B53"/>
    <w:rsid w:val="00225D94"/>
    <w:rsid w:val="0022652F"/>
    <w:rsid w:val="00226668"/>
    <w:rsid w:val="002306A7"/>
    <w:rsid w:val="00231349"/>
    <w:rsid w:val="0023195B"/>
    <w:rsid w:val="00232929"/>
    <w:rsid w:val="00232D3A"/>
    <w:rsid w:val="002330C6"/>
    <w:rsid w:val="002334CE"/>
    <w:rsid w:val="00233809"/>
    <w:rsid w:val="00234067"/>
    <w:rsid w:val="002344C8"/>
    <w:rsid w:val="002346A8"/>
    <w:rsid w:val="00234D03"/>
    <w:rsid w:val="00234E5A"/>
    <w:rsid w:val="00234F50"/>
    <w:rsid w:val="00236073"/>
    <w:rsid w:val="002360E8"/>
    <w:rsid w:val="0023629E"/>
    <w:rsid w:val="0023643B"/>
    <w:rsid w:val="0023647D"/>
    <w:rsid w:val="00236B01"/>
    <w:rsid w:val="00237620"/>
    <w:rsid w:val="002376E3"/>
    <w:rsid w:val="00240046"/>
    <w:rsid w:val="0024007F"/>
    <w:rsid w:val="00240633"/>
    <w:rsid w:val="00240A07"/>
    <w:rsid w:val="00242300"/>
    <w:rsid w:val="00242496"/>
    <w:rsid w:val="00242618"/>
    <w:rsid w:val="00242D75"/>
    <w:rsid w:val="00244113"/>
    <w:rsid w:val="00244736"/>
    <w:rsid w:val="00244EBD"/>
    <w:rsid w:val="00245022"/>
    <w:rsid w:val="002453F7"/>
    <w:rsid w:val="00245F74"/>
    <w:rsid w:val="0024770A"/>
    <w:rsid w:val="0024797F"/>
    <w:rsid w:val="00247B3F"/>
    <w:rsid w:val="002509C7"/>
    <w:rsid w:val="00250A2B"/>
    <w:rsid w:val="00250D21"/>
    <w:rsid w:val="0025119E"/>
    <w:rsid w:val="00251269"/>
    <w:rsid w:val="002516E8"/>
    <w:rsid w:val="0025241D"/>
    <w:rsid w:val="0025262E"/>
    <w:rsid w:val="00252CD3"/>
    <w:rsid w:val="00253460"/>
    <w:rsid w:val="002535C0"/>
    <w:rsid w:val="00253635"/>
    <w:rsid w:val="0025409A"/>
    <w:rsid w:val="0025412E"/>
    <w:rsid w:val="00254651"/>
    <w:rsid w:val="00254E26"/>
    <w:rsid w:val="0025540A"/>
    <w:rsid w:val="00255843"/>
    <w:rsid w:val="00255B58"/>
    <w:rsid w:val="00255BF6"/>
    <w:rsid w:val="002561A9"/>
    <w:rsid w:val="00256AD8"/>
    <w:rsid w:val="00256B52"/>
    <w:rsid w:val="00256FB7"/>
    <w:rsid w:val="002579FE"/>
    <w:rsid w:val="00260508"/>
    <w:rsid w:val="0026086D"/>
    <w:rsid w:val="00260AA9"/>
    <w:rsid w:val="00261559"/>
    <w:rsid w:val="00261A75"/>
    <w:rsid w:val="002623C6"/>
    <w:rsid w:val="00262474"/>
    <w:rsid w:val="00262B53"/>
    <w:rsid w:val="00262F51"/>
    <w:rsid w:val="0026311C"/>
    <w:rsid w:val="002634E4"/>
    <w:rsid w:val="0026397A"/>
    <w:rsid w:val="00263A55"/>
    <w:rsid w:val="00263D55"/>
    <w:rsid w:val="00263F19"/>
    <w:rsid w:val="00264038"/>
    <w:rsid w:val="002640A7"/>
    <w:rsid w:val="0026427B"/>
    <w:rsid w:val="00264441"/>
    <w:rsid w:val="00264629"/>
    <w:rsid w:val="00264EEC"/>
    <w:rsid w:val="0026583C"/>
    <w:rsid w:val="00265A9A"/>
    <w:rsid w:val="00266530"/>
    <w:rsid w:val="0026668C"/>
    <w:rsid w:val="00266751"/>
    <w:rsid w:val="00266AC1"/>
    <w:rsid w:val="00266FF0"/>
    <w:rsid w:val="0026735C"/>
    <w:rsid w:val="002674C0"/>
    <w:rsid w:val="00270143"/>
    <w:rsid w:val="00270C1A"/>
    <w:rsid w:val="0027145F"/>
    <w:rsid w:val="0027178C"/>
    <w:rsid w:val="00271934"/>
    <w:rsid w:val="002719DC"/>
    <w:rsid w:val="002719FA"/>
    <w:rsid w:val="00271B9B"/>
    <w:rsid w:val="0027262F"/>
    <w:rsid w:val="00272668"/>
    <w:rsid w:val="00272C11"/>
    <w:rsid w:val="0027330B"/>
    <w:rsid w:val="002746C3"/>
    <w:rsid w:val="002749F4"/>
    <w:rsid w:val="00274EB9"/>
    <w:rsid w:val="002752C3"/>
    <w:rsid w:val="0027533A"/>
    <w:rsid w:val="00275783"/>
    <w:rsid w:val="00275E49"/>
    <w:rsid w:val="00275F1F"/>
    <w:rsid w:val="00276417"/>
    <w:rsid w:val="00277BB8"/>
    <w:rsid w:val="00277C9B"/>
    <w:rsid w:val="002803AD"/>
    <w:rsid w:val="00280420"/>
    <w:rsid w:val="002806DD"/>
    <w:rsid w:val="00280713"/>
    <w:rsid w:val="00280743"/>
    <w:rsid w:val="002809A2"/>
    <w:rsid w:val="0028132B"/>
    <w:rsid w:val="002815A3"/>
    <w:rsid w:val="002816CC"/>
    <w:rsid w:val="00281F23"/>
    <w:rsid w:val="00281FAD"/>
    <w:rsid w:val="00282052"/>
    <w:rsid w:val="00282E34"/>
    <w:rsid w:val="00283345"/>
    <w:rsid w:val="002834A4"/>
    <w:rsid w:val="002834EC"/>
    <w:rsid w:val="00284124"/>
    <w:rsid w:val="00284AD6"/>
    <w:rsid w:val="0028519E"/>
    <w:rsid w:val="002856A5"/>
    <w:rsid w:val="002856FF"/>
    <w:rsid w:val="0028574A"/>
    <w:rsid w:val="0028687C"/>
    <w:rsid w:val="00286BBA"/>
    <w:rsid w:val="00286CE1"/>
    <w:rsid w:val="00286D9F"/>
    <w:rsid w:val="002872B4"/>
    <w:rsid w:val="002872ED"/>
    <w:rsid w:val="0028783B"/>
    <w:rsid w:val="00287D7A"/>
    <w:rsid w:val="002905C2"/>
    <w:rsid w:val="0029071E"/>
    <w:rsid w:val="00290BD5"/>
    <w:rsid w:val="00290FD2"/>
    <w:rsid w:val="00293EAC"/>
    <w:rsid w:val="00293EF0"/>
    <w:rsid w:val="00294044"/>
    <w:rsid w:val="00294186"/>
    <w:rsid w:val="002941A8"/>
    <w:rsid w:val="002950EC"/>
    <w:rsid w:val="002952EA"/>
    <w:rsid w:val="0029557E"/>
    <w:rsid w:val="002958C7"/>
    <w:rsid w:val="00295AF2"/>
    <w:rsid w:val="00295C91"/>
    <w:rsid w:val="002964CA"/>
    <w:rsid w:val="00296989"/>
    <w:rsid w:val="00297151"/>
    <w:rsid w:val="00297305"/>
    <w:rsid w:val="00297508"/>
    <w:rsid w:val="00297657"/>
    <w:rsid w:val="0029799F"/>
    <w:rsid w:val="00297A5D"/>
    <w:rsid w:val="00297B9C"/>
    <w:rsid w:val="00297EEF"/>
    <w:rsid w:val="002A01B7"/>
    <w:rsid w:val="002A05E2"/>
    <w:rsid w:val="002A12B1"/>
    <w:rsid w:val="002A1B9A"/>
    <w:rsid w:val="002A1C2B"/>
    <w:rsid w:val="002A1C71"/>
    <w:rsid w:val="002A1E25"/>
    <w:rsid w:val="002A1E8C"/>
    <w:rsid w:val="002A2519"/>
    <w:rsid w:val="002A300A"/>
    <w:rsid w:val="002A31C1"/>
    <w:rsid w:val="002A37A2"/>
    <w:rsid w:val="002A3AA7"/>
    <w:rsid w:val="002A4173"/>
    <w:rsid w:val="002A4FCC"/>
    <w:rsid w:val="002A5BCE"/>
    <w:rsid w:val="002A6A13"/>
    <w:rsid w:val="002A6F37"/>
    <w:rsid w:val="002A71DE"/>
    <w:rsid w:val="002A7275"/>
    <w:rsid w:val="002A76CC"/>
    <w:rsid w:val="002A7B28"/>
    <w:rsid w:val="002A7C77"/>
    <w:rsid w:val="002A7F09"/>
    <w:rsid w:val="002B06F4"/>
    <w:rsid w:val="002B0A9A"/>
    <w:rsid w:val="002B0E98"/>
    <w:rsid w:val="002B17B3"/>
    <w:rsid w:val="002B1B82"/>
    <w:rsid w:val="002B20E6"/>
    <w:rsid w:val="002B23D1"/>
    <w:rsid w:val="002B2443"/>
    <w:rsid w:val="002B2DE5"/>
    <w:rsid w:val="002B3F5B"/>
    <w:rsid w:val="002B42A3"/>
    <w:rsid w:val="002B4381"/>
    <w:rsid w:val="002B49A2"/>
    <w:rsid w:val="002B4C22"/>
    <w:rsid w:val="002B553A"/>
    <w:rsid w:val="002B637D"/>
    <w:rsid w:val="002B68C0"/>
    <w:rsid w:val="002B6985"/>
    <w:rsid w:val="002B6C3E"/>
    <w:rsid w:val="002B6DD5"/>
    <w:rsid w:val="002B6F3D"/>
    <w:rsid w:val="002B7BD1"/>
    <w:rsid w:val="002C00FF"/>
    <w:rsid w:val="002C08C5"/>
    <w:rsid w:val="002C0CDD"/>
    <w:rsid w:val="002C0DFE"/>
    <w:rsid w:val="002C0FCE"/>
    <w:rsid w:val="002C1B66"/>
    <w:rsid w:val="002C279D"/>
    <w:rsid w:val="002C28E9"/>
    <w:rsid w:val="002C2C75"/>
    <w:rsid w:val="002C32C8"/>
    <w:rsid w:val="002C32E7"/>
    <w:rsid w:val="002C34F9"/>
    <w:rsid w:val="002C387A"/>
    <w:rsid w:val="002C3C36"/>
    <w:rsid w:val="002C4CBA"/>
    <w:rsid w:val="002C546C"/>
    <w:rsid w:val="002C66B2"/>
    <w:rsid w:val="002C68A8"/>
    <w:rsid w:val="002C7366"/>
    <w:rsid w:val="002C74E9"/>
    <w:rsid w:val="002C78B9"/>
    <w:rsid w:val="002C79C9"/>
    <w:rsid w:val="002C7AFA"/>
    <w:rsid w:val="002C7F94"/>
    <w:rsid w:val="002D004F"/>
    <w:rsid w:val="002D098F"/>
    <w:rsid w:val="002D0A23"/>
    <w:rsid w:val="002D0D36"/>
    <w:rsid w:val="002D1215"/>
    <w:rsid w:val="002D130C"/>
    <w:rsid w:val="002D1E19"/>
    <w:rsid w:val="002D1E66"/>
    <w:rsid w:val="002D2047"/>
    <w:rsid w:val="002D27D6"/>
    <w:rsid w:val="002D2FA2"/>
    <w:rsid w:val="002D30B3"/>
    <w:rsid w:val="002D3170"/>
    <w:rsid w:val="002D3610"/>
    <w:rsid w:val="002D37BF"/>
    <w:rsid w:val="002D4382"/>
    <w:rsid w:val="002D5A47"/>
    <w:rsid w:val="002D5B1C"/>
    <w:rsid w:val="002D5C71"/>
    <w:rsid w:val="002D61C1"/>
    <w:rsid w:val="002D66AA"/>
    <w:rsid w:val="002D68D4"/>
    <w:rsid w:val="002D6A3B"/>
    <w:rsid w:val="002D6A3C"/>
    <w:rsid w:val="002D738A"/>
    <w:rsid w:val="002D7BF9"/>
    <w:rsid w:val="002D7FDF"/>
    <w:rsid w:val="002E0656"/>
    <w:rsid w:val="002E099B"/>
    <w:rsid w:val="002E0E90"/>
    <w:rsid w:val="002E149A"/>
    <w:rsid w:val="002E1697"/>
    <w:rsid w:val="002E18AA"/>
    <w:rsid w:val="002E1974"/>
    <w:rsid w:val="002E1A1D"/>
    <w:rsid w:val="002E1F82"/>
    <w:rsid w:val="002E2198"/>
    <w:rsid w:val="002E2BF1"/>
    <w:rsid w:val="002E2F5C"/>
    <w:rsid w:val="002E355C"/>
    <w:rsid w:val="002E3B89"/>
    <w:rsid w:val="002E4081"/>
    <w:rsid w:val="002E4719"/>
    <w:rsid w:val="002E593F"/>
    <w:rsid w:val="002E5B78"/>
    <w:rsid w:val="002E5D7F"/>
    <w:rsid w:val="002E67C9"/>
    <w:rsid w:val="002E6B1F"/>
    <w:rsid w:val="002E6BBF"/>
    <w:rsid w:val="002E6DAA"/>
    <w:rsid w:val="002E6DD6"/>
    <w:rsid w:val="002E70D2"/>
    <w:rsid w:val="002E7223"/>
    <w:rsid w:val="002E73EB"/>
    <w:rsid w:val="002E7CF2"/>
    <w:rsid w:val="002F0165"/>
    <w:rsid w:val="002F043D"/>
    <w:rsid w:val="002F07C4"/>
    <w:rsid w:val="002F0AED"/>
    <w:rsid w:val="002F13D7"/>
    <w:rsid w:val="002F23E6"/>
    <w:rsid w:val="002F2461"/>
    <w:rsid w:val="002F260F"/>
    <w:rsid w:val="002F2A45"/>
    <w:rsid w:val="002F3AE3"/>
    <w:rsid w:val="002F4E6F"/>
    <w:rsid w:val="002F530A"/>
    <w:rsid w:val="002F56DE"/>
    <w:rsid w:val="002F5BA4"/>
    <w:rsid w:val="002F5DC0"/>
    <w:rsid w:val="002F5DE1"/>
    <w:rsid w:val="002F624B"/>
    <w:rsid w:val="002F6829"/>
    <w:rsid w:val="002F6FAA"/>
    <w:rsid w:val="002F741D"/>
    <w:rsid w:val="002F7519"/>
    <w:rsid w:val="0030011E"/>
    <w:rsid w:val="00300B26"/>
    <w:rsid w:val="00300DBE"/>
    <w:rsid w:val="00303059"/>
    <w:rsid w:val="0030326B"/>
    <w:rsid w:val="0030361B"/>
    <w:rsid w:val="003039E3"/>
    <w:rsid w:val="00303C28"/>
    <w:rsid w:val="00304089"/>
    <w:rsid w:val="0030464B"/>
    <w:rsid w:val="00305326"/>
    <w:rsid w:val="003055BF"/>
    <w:rsid w:val="0030573A"/>
    <w:rsid w:val="0030592A"/>
    <w:rsid w:val="003060EE"/>
    <w:rsid w:val="00306843"/>
    <w:rsid w:val="003069E9"/>
    <w:rsid w:val="00306A17"/>
    <w:rsid w:val="00306ACB"/>
    <w:rsid w:val="0030786C"/>
    <w:rsid w:val="00307E79"/>
    <w:rsid w:val="00310C68"/>
    <w:rsid w:val="0031137F"/>
    <w:rsid w:val="0031202B"/>
    <w:rsid w:val="00312167"/>
    <w:rsid w:val="0031255B"/>
    <w:rsid w:val="00313400"/>
    <w:rsid w:val="003142E7"/>
    <w:rsid w:val="00314364"/>
    <w:rsid w:val="003151DA"/>
    <w:rsid w:val="003154A3"/>
    <w:rsid w:val="00315CDD"/>
    <w:rsid w:val="00316002"/>
    <w:rsid w:val="00316160"/>
    <w:rsid w:val="00317BA7"/>
    <w:rsid w:val="0032053D"/>
    <w:rsid w:val="00320588"/>
    <w:rsid w:val="0032096B"/>
    <w:rsid w:val="00320A5F"/>
    <w:rsid w:val="00320BDE"/>
    <w:rsid w:val="0032217E"/>
    <w:rsid w:val="00322539"/>
    <w:rsid w:val="00322CD8"/>
    <w:rsid w:val="00322E72"/>
    <w:rsid w:val="003233DE"/>
    <w:rsid w:val="00323D18"/>
    <w:rsid w:val="0032466B"/>
    <w:rsid w:val="0032492F"/>
    <w:rsid w:val="00325010"/>
    <w:rsid w:val="00325462"/>
    <w:rsid w:val="00326124"/>
    <w:rsid w:val="003263FB"/>
    <w:rsid w:val="00326956"/>
    <w:rsid w:val="00326E60"/>
    <w:rsid w:val="00327B44"/>
    <w:rsid w:val="003310CE"/>
    <w:rsid w:val="003312DE"/>
    <w:rsid w:val="00331307"/>
    <w:rsid w:val="00331C28"/>
    <w:rsid w:val="003326C8"/>
    <w:rsid w:val="003330EB"/>
    <w:rsid w:val="00334213"/>
    <w:rsid w:val="003349D4"/>
    <w:rsid w:val="00334D53"/>
    <w:rsid w:val="00334E44"/>
    <w:rsid w:val="00334EC8"/>
    <w:rsid w:val="003359E9"/>
    <w:rsid w:val="00335EFB"/>
    <w:rsid w:val="00335F3D"/>
    <w:rsid w:val="00336063"/>
    <w:rsid w:val="003361CD"/>
    <w:rsid w:val="00336605"/>
    <w:rsid w:val="00336828"/>
    <w:rsid w:val="00336908"/>
    <w:rsid w:val="00340506"/>
    <w:rsid w:val="00340D04"/>
    <w:rsid w:val="00340DBA"/>
    <w:rsid w:val="00340F19"/>
    <w:rsid w:val="003415FD"/>
    <w:rsid w:val="0034160E"/>
    <w:rsid w:val="00341DE2"/>
    <w:rsid w:val="0034213B"/>
    <w:rsid w:val="003427A1"/>
    <w:rsid w:val="003429F0"/>
    <w:rsid w:val="00342CC5"/>
    <w:rsid w:val="0034395E"/>
    <w:rsid w:val="003439B4"/>
    <w:rsid w:val="00343F2D"/>
    <w:rsid w:val="003448FC"/>
    <w:rsid w:val="00344B85"/>
    <w:rsid w:val="00344D28"/>
    <w:rsid w:val="00344E16"/>
    <w:rsid w:val="003462C8"/>
    <w:rsid w:val="00346629"/>
    <w:rsid w:val="00346C4A"/>
    <w:rsid w:val="0035031B"/>
    <w:rsid w:val="0035097A"/>
    <w:rsid w:val="00350BAD"/>
    <w:rsid w:val="00351574"/>
    <w:rsid w:val="00351AAE"/>
    <w:rsid w:val="003538DE"/>
    <w:rsid w:val="003540A4"/>
    <w:rsid w:val="0035484B"/>
    <w:rsid w:val="00354E1E"/>
    <w:rsid w:val="00355A73"/>
    <w:rsid w:val="0035608D"/>
    <w:rsid w:val="003561F2"/>
    <w:rsid w:val="00356562"/>
    <w:rsid w:val="00356FCC"/>
    <w:rsid w:val="00357459"/>
    <w:rsid w:val="00357966"/>
    <w:rsid w:val="003579B5"/>
    <w:rsid w:val="00357E34"/>
    <w:rsid w:val="00360272"/>
    <w:rsid w:val="00360466"/>
    <w:rsid w:val="0036063A"/>
    <w:rsid w:val="00360BE6"/>
    <w:rsid w:val="00360E4E"/>
    <w:rsid w:val="003628DE"/>
    <w:rsid w:val="00362B7D"/>
    <w:rsid w:val="003633D9"/>
    <w:rsid w:val="003636FF"/>
    <w:rsid w:val="00364FF8"/>
    <w:rsid w:val="00365009"/>
    <w:rsid w:val="0036530E"/>
    <w:rsid w:val="00365B4A"/>
    <w:rsid w:val="0036639D"/>
    <w:rsid w:val="00366A64"/>
    <w:rsid w:val="00366BD2"/>
    <w:rsid w:val="003672CF"/>
    <w:rsid w:val="003674CA"/>
    <w:rsid w:val="00367877"/>
    <w:rsid w:val="00367D65"/>
    <w:rsid w:val="00370A7B"/>
    <w:rsid w:val="00370AAA"/>
    <w:rsid w:val="00371266"/>
    <w:rsid w:val="003719DB"/>
    <w:rsid w:val="00372827"/>
    <w:rsid w:val="00372BE5"/>
    <w:rsid w:val="00373508"/>
    <w:rsid w:val="00373E34"/>
    <w:rsid w:val="00374B69"/>
    <w:rsid w:val="00375A95"/>
    <w:rsid w:val="00375F77"/>
    <w:rsid w:val="00376BE2"/>
    <w:rsid w:val="00377A78"/>
    <w:rsid w:val="00380701"/>
    <w:rsid w:val="00380A05"/>
    <w:rsid w:val="00380A50"/>
    <w:rsid w:val="0038139A"/>
    <w:rsid w:val="00381BBE"/>
    <w:rsid w:val="00381BDB"/>
    <w:rsid w:val="00381C92"/>
    <w:rsid w:val="00382160"/>
    <w:rsid w:val="00382595"/>
    <w:rsid w:val="00382903"/>
    <w:rsid w:val="00382982"/>
    <w:rsid w:val="00382E7B"/>
    <w:rsid w:val="00382F19"/>
    <w:rsid w:val="003841F1"/>
    <w:rsid w:val="003841F6"/>
    <w:rsid w:val="003846FF"/>
    <w:rsid w:val="003852D7"/>
    <w:rsid w:val="003856A6"/>
    <w:rsid w:val="0038579A"/>
    <w:rsid w:val="00385850"/>
    <w:rsid w:val="00385A15"/>
    <w:rsid w:val="00385AD4"/>
    <w:rsid w:val="003863DE"/>
    <w:rsid w:val="0038667D"/>
    <w:rsid w:val="003878CC"/>
    <w:rsid w:val="00387924"/>
    <w:rsid w:val="0039050D"/>
    <w:rsid w:val="00390E94"/>
    <w:rsid w:val="00390FC2"/>
    <w:rsid w:val="003915A8"/>
    <w:rsid w:val="00391B26"/>
    <w:rsid w:val="00391E01"/>
    <w:rsid w:val="00392FC7"/>
    <w:rsid w:val="00393221"/>
    <w:rsid w:val="0039335D"/>
    <w:rsid w:val="00393676"/>
    <w:rsid w:val="0039384D"/>
    <w:rsid w:val="0039437E"/>
    <w:rsid w:val="003946BD"/>
    <w:rsid w:val="00394BC1"/>
    <w:rsid w:val="00394CDF"/>
    <w:rsid w:val="00394DC0"/>
    <w:rsid w:val="00395206"/>
    <w:rsid w:val="003958F4"/>
    <w:rsid w:val="00395C23"/>
    <w:rsid w:val="00395C70"/>
    <w:rsid w:val="003961ED"/>
    <w:rsid w:val="0039627C"/>
    <w:rsid w:val="00396BFD"/>
    <w:rsid w:val="0039701A"/>
    <w:rsid w:val="00397154"/>
    <w:rsid w:val="00397909"/>
    <w:rsid w:val="00397FCD"/>
    <w:rsid w:val="003A0204"/>
    <w:rsid w:val="003A02DD"/>
    <w:rsid w:val="003A0B10"/>
    <w:rsid w:val="003A1D63"/>
    <w:rsid w:val="003A24CB"/>
    <w:rsid w:val="003A2E4F"/>
    <w:rsid w:val="003A38F3"/>
    <w:rsid w:val="003A3F52"/>
    <w:rsid w:val="003A4438"/>
    <w:rsid w:val="003A446B"/>
    <w:rsid w:val="003A47B3"/>
    <w:rsid w:val="003A5013"/>
    <w:rsid w:val="003A5078"/>
    <w:rsid w:val="003A5803"/>
    <w:rsid w:val="003A5895"/>
    <w:rsid w:val="003A5B48"/>
    <w:rsid w:val="003A61A6"/>
    <w:rsid w:val="003A62DD"/>
    <w:rsid w:val="003A6870"/>
    <w:rsid w:val="003A6928"/>
    <w:rsid w:val="003A6CD4"/>
    <w:rsid w:val="003A7457"/>
    <w:rsid w:val="003A775A"/>
    <w:rsid w:val="003A7BB1"/>
    <w:rsid w:val="003A7E0B"/>
    <w:rsid w:val="003B0DAB"/>
    <w:rsid w:val="003B108E"/>
    <w:rsid w:val="003B1128"/>
    <w:rsid w:val="003B122F"/>
    <w:rsid w:val="003B213A"/>
    <w:rsid w:val="003B218B"/>
    <w:rsid w:val="003B33A8"/>
    <w:rsid w:val="003B38CD"/>
    <w:rsid w:val="003B3C69"/>
    <w:rsid w:val="003B4070"/>
    <w:rsid w:val="003B43AD"/>
    <w:rsid w:val="003B456A"/>
    <w:rsid w:val="003B4598"/>
    <w:rsid w:val="003B4E11"/>
    <w:rsid w:val="003B4F37"/>
    <w:rsid w:val="003B51ED"/>
    <w:rsid w:val="003B5518"/>
    <w:rsid w:val="003B5EBA"/>
    <w:rsid w:val="003B6276"/>
    <w:rsid w:val="003B7502"/>
    <w:rsid w:val="003B76BC"/>
    <w:rsid w:val="003B7E7F"/>
    <w:rsid w:val="003B7ED8"/>
    <w:rsid w:val="003C0234"/>
    <w:rsid w:val="003C08C3"/>
    <w:rsid w:val="003C0C1F"/>
    <w:rsid w:val="003C0FEC"/>
    <w:rsid w:val="003C15B8"/>
    <w:rsid w:val="003C16E3"/>
    <w:rsid w:val="003C1A09"/>
    <w:rsid w:val="003C1ECC"/>
    <w:rsid w:val="003C22B6"/>
    <w:rsid w:val="003C26B5"/>
    <w:rsid w:val="003C2A35"/>
    <w:rsid w:val="003C2AC8"/>
    <w:rsid w:val="003C2ECB"/>
    <w:rsid w:val="003C2F73"/>
    <w:rsid w:val="003C35D5"/>
    <w:rsid w:val="003C45B7"/>
    <w:rsid w:val="003C5B35"/>
    <w:rsid w:val="003C5B89"/>
    <w:rsid w:val="003C67CF"/>
    <w:rsid w:val="003C6836"/>
    <w:rsid w:val="003C6FBA"/>
    <w:rsid w:val="003C7570"/>
    <w:rsid w:val="003C7EC5"/>
    <w:rsid w:val="003D01CB"/>
    <w:rsid w:val="003D049D"/>
    <w:rsid w:val="003D0FF7"/>
    <w:rsid w:val="003D1561"/>
    <w:rsid w:val="003D17F9"/>
    <w:rsid w:val="003D190D"/>
    <w:rsid w:val="003D1E6E"/>
    <w:rsid w:val="003D2140"/>
    <w:rsid w:val="003D260A"/>
    <w:rsid w:val="003D2764"/>
    <w:rsid w:val="003D28D2"/>
    <w:rsid w:val="003D2C44"/>
    <w:rsid w:val="003D2D88"/>
    <w:rsid w:val="003D315B"/>
    <w:rsid w:val="003D32F8"/>
    <w:rsid w:val="003D41EA"/>
    <w:rsid w:val="003D46E5"/>
    <w:rsid w:val="003D4850"/>
    <w:rsid w:val="003D535A"/>
    <w:rsid w:val="003D59D9"/>
    <w:rsid w:val="003D6222"/>
    <w:rsid w:val="003D6960"/>
    <w:rsid w:val="003D6A51"/>
    <w:rsid w:val="003E05C2"/>
    <w:rsid w:val="003E086F"/>
    <w:rsid w:val="003E0BD7"/>
    <w:rsid w:val="003E0C69"/>
    <w:rsid w:val="003E10B8"/>
    <w:rsid w:val="003E1296"/>
    <w:rsid w:val="003E1A8D"/>
    <w:rsid w:val="003E1F5F"/>
    <w:rsid w:val="003E21DF"/>
    <w:rsid w:val="003E285D"/>
    <w:rsid w:val="003E28C9"/>
    <w:rsid w:val="003E3201"/>
    <w:rsid w:val="003E391D"/>
    <w:rsid w:val="003E3E3D"/>
    <w:rsid w:val="003E4ED7"/>
    <w:rsid w:val="003E5058"/>
    <w:rsid w:val="003E5265"/>
    <w:rsid w:val="003E5877"/>
    <w:rsid w:val="003E5FF1"/>
    <w:rsid w:val="003E625D"/>
    <w:rsid w:val="003E62EE"/>
    <w:rsid w:val="003E6C79"/>
    <w:rsid w:val="003E70CE"/>
    <w:rsid w:val="003E76BA"/>
    <w:rsid w:val="003E7FC7"/>
    <w:rsid w:val="003F0955"/>
    <w:rsid w:val="003F13A0"/>
    <w:rsid w:val="003F2298"/>
    <w:rsid w:val="003F22A6"/>
    <w:rsid w:val="003F2465"/>
    <w:rsid w:val="003F2C13"/>
    <w:rsid w:val="003F31A9"/>
    <w:rsid w:val="003F36A2"/>
    <w:rsid w:val="003F5EB7"/>
    <w:rsid w:val="003F68B8"/>
    <w:rsid w:val="003F68FC"/>
    <w:rsid w:val="003F6925"/>
    <w:rsid w:val="003F6B93"/>
    <w:rsid w:val="003F6F75"/>
    <w:rsid w:val="003F6FE1"/>
    <w:rsid w:val="003F7521"/>
    <w:rsid w:val="004003B0"/>
    <w:rsid w:val="00400D3C"/>
    <w:rsid w:val="00400DC8"/>
    <w:rsid w:val="00400F00"/>
    <w:rsid w:val="00401036"/>
    <w:rsid w:val="004013F9"/>
    <w:rsid w:val="0040187E"/>
    <w:rsid w:val="00402643"/>
    <w:rsid w:val="00402D5E"/>
    <w:rsid w:val="00403230"/>
    <w:rsid w:val="004035A4"/>
    <w:rsid w:val="00404077"/>
    <w:rsid w:val="00404F8B"/>
    <w:rsid w:val="00405256"/>
    <w:rsid w:val="004052B6"/>
    <w:rsid w:val="00405915"/>
    <w:rsid w:val="00407000"/>
    <w:rsid w:val="0040714C"/>
    <w:rsid w:val="004079A4"/>
    <w:rsid w:val="00410012"/>
    <w:rsid w:val="00410031"/>
    <w:rsid w:val="004107BE"/>
    <w:rsid w:val="00410C63"/>
    <w:rsid w:val="0041128D"/>
    <w:rsid w:val="0041152F"/>
    <w:rsid w:val="004115A2"/>
    <w:rsid w:val="004119F6"/>
    <w:rsid w:val="00412894"/>
    <w:rsid w:val="00412C00"/>
    <w:rsid w:val="00412E93"/>
    <w:rsid w:val="0041319E"/>
    <w:rsid w:val="004131D5"/>
    <w:rsid w:val="004134CA"/>
    <w:rsid w:val="0041416A"/>
    <w:rsid w:val="00415745"/>
    <w:rsid w:val="004157FB"/>
    <w:rsid w:val="00415C37"/>
    <w:rsid w:val="00415C81"/>
    <w:rsid w:val="00415DC4"/>
    <w:rsid w:val="00416731"/>
    <w:rsid w:val="0041682A"/>
    <w:rsid w:val="00417236"/>
    <w:rsid w:val="00417F88"/>
    <w:rsid w:val="004211C8"/>
    <w:rsid w:val="00421476"/>
    <w:rsid w:val="00421607"/>
    <w:rsid w:val="0042180D"/>
    <w:rsid w:val="00423118"/>
    <w:rsid w:val="00423289"/>
    <w:rsid w:val="0042333B"/>
    <w:rsid w:val="00423BB9"/>
    <w:rsid w:val="00423E65"/>
    <w:rsid w:val="00424044"/>
    <w:rsid w:val="004242E5"/>
    <w:rsid w:val="00424967"/>
    <w:rsid w:val="00425557"/>
    <w:rsid w:val="00425A67"/>
    <w:rsid w:val="00425C8B"/>
    <w:rsid w:val="00425D19"/>
    <w:rsid w:val="00427369"/>
    <w:rsid w:val="00427A16"/>
    <w:rsid w:val="00427FAC"/>
    <w:rsid w:val="00430141"/>
    <w:rsid w:val="0043078C"/>
    <w:rsid w:val="00430EC7"/>
    <w:rsid w:val="00431599"/>
    <w:rsid w:val="0043162A"/>
    <w:rsid w:val="00432378"/>
    <w:rsid w:val="00433200"/>
    <w:rsid w:val="0043332D"/>
    <w:rsid w:val="0043360E"/>
    <w:rsid w:val="00433610"/>
    <w:rsid w:val="0043413F"/>
    <w:rsid w:val="00434233"/>
    <w:rsid w:val="00434A01"/>
    <w:rsid w:val="004355B7"/>
    <w:rsid w:val="00435849"/>
    <w:rsid w:val="0043694C"/>
    <w:rsid w:val="00436AD6"/>
    <w:rsid w:val="00436B9E"/>
    <w:rsid w:val="00436BD1"/>
    <w:rsid w:val="00437525"/>
    <w:rsid w:val="00437CD2"/>
    <w:rsid w:val="004401BC"/>
    <w:rsid w:val="00440D65"/>
    <w:rsid w:val="00440E6C"/>
    <w:rsid w:val="004416A3"/>
    <w:rsid w:val="0044191A"/>
    <w:rsid w:val="00441B1E"/>
    <w:rsid w:val="0044289C"/>
    <w:rsid w:val="00442A11"/>
    <w:rsid w:val="0044345A"/>
    <w:rsid w:val="004435E6"/>
    <w:rsid w:val="00443BB8"/>
    <w:rsid w:val="00443C19"/>
    <w:rsid w:val="0044525A"/>
    <w:rsid w:val="00445B46"/>
    <w:rsid w:val="00446189"/>
    <w:rsid w:val="00446AA3"/>
    <w:rsid w:val="00447E31"/>
    <w:rsid w:val="004502E8"/>
    <w:rsid w:val="004505D0"/>
    <w:rsid w:val="004506CF"/>
    <w:rsid w:val="00450C4B"/>
    <w:rsid w:val="00451B3E"/>
    <w:rsid w:val="00451FB1"/>
    <w:rsid w:val="00452668"/>
    <w:rsid w:val="004528BB"/>
    <w:rsid w:val="00452DF0"/>
    <w:rsid w:val="00453923"/>
    <w:rsid w:val="00453C86"/>
    <w:rsid w:val="0045492E"/>
    <w:rsid w:val="00454B9B"/>
    <w:rsid w:val="00454DC2"/>
    <w:rsid w:val="00455005"/>
    <w:rsid w:val="00455235"/>
    <w:rsid w:val="00455498"/>
    <w:rsid w:val="00456363"/>
    <w:rsid w:val="004568C5"/>
    <w:rsid w:val="004568F3"/>
    <w:rsid w:val="00457245"/>
    <w:rsid w:val="00457858"/>
    <w:rsid w:val="00457C8B"/>
    <w:rsid w:val="00460556"/>
    <w:rsid w:val="00460B0B"/>
    <w:rsid w:val="00460BD0"/>
    <w:rsid w:val="00460DA5"/>
    <w:rsid w:val="00461023"/>
    <w:rsid w:val="00461378"/>
    <w:rsid w:val="00461499"/>
    <w:rsid w:val="004623D1"/>
    <w:rsid w:val="004629ED"/>
    <w:rsid w:val="00462FAC"/>
    <w:rsid w:val="00463350"/>
    <w:rsid w:val="00463772"/>
    <w:rsid w:val="00463CFF"/>
    <w:rsid w:val="00464121"/>
    <w:rsid w:val="00464403"/>
    <w:rsid w:val="00464631"/>
    <w:rsid w:val="0046493E"/>
    <w:rsid w:val="00464B79"/>
    <w:rsid w:val="0046536E"/>
    <w:rsid w:val="0046577A"/>
    <w:rsid w:val="004657E9"/>
    <w:rsid w:val="00466586"/>
    <w:rsid w:val="00466940"/>
    <w:rsid w:val="00467BBF"/>
    <w:rsid w:val="00467E8A"/>
    <w:rsid w:val="004708E3"/>
    <w:rsid w:val="00470BCF"/>
    <w:rsid w:val="00470EC8"/>
    <w:rsid w:val="00471108"/>
    <w:rsid w:val="00471141"/>
    <w:rsid w:val="004712E4"/>
    <w:rsid w:val="00471820"/>
    <w:rsid w:val="0047196D"/>
    <w:rsid w:val="00472013"/>
    <w:rsid w:val="00472640"/>
    <w:rsid w:val="004726A6"/>
    <w:rsid w:val="00472E96"/>
    <w:rsid w:val="004738ED"/>
    <w:rsid w:val="004740EF"/>
    <w:rsid w:val="004745F1"/>
    <w:rsid w:val="00474E12"/>
    <w:rsid w:val="00475125"/>
    <w:rsid w:val="004768D5"/>
    <w:rsid w:val="00476EBA"/>
    <w:rsid w:val="0047785F"/>
    <w:rsid w:val="004811C7"/>
    <w:rsid w:val="00481BD5"/>
    <w:rsid w:val="00481CBF"/>
    <w:rsid w:val="004820E6"/>
    <w:rsid w:val="00482DCF"/>
    <w:rsid w:val="004831DD"/>
    <w:rsid w:val="004838EA"/>
    <w:rsid w:val="004839AA"/>
    <w:rsid w:val="00483B8B"/>
    <w:rsid w:val="00483E79"/>
    <w:rsid w:val="004840E8"/>
    <w:rsid w:val="00484686"/>
    <w:rsid w:val="004847ED"/>
    <w:rsid w:val="0048484E"/>
    <w:rsid w:val="00484BAB"/>
    <w:rsid w:val="00485A93"/>
    <w:rsid w:val="004867E2"/>
    <w:rsid w:val="0048689B"/>
    <w:rsid w:val="0048731C"/>
    <w:rsid w:val="004874D4"/>
    <w:rsid w:val="0048782B"/>
    <w:rsid w:val="00487A98"/>
    <w:rsid w:val="00490255"/>
    <w:rsid w:val="004915BE"/>
    <w:rsid w:val="00492850"/>
    <w:rsid w:val="004929A9"/>
    <w:rsid w:val="00492DF1"/>
    <w:rsid w:val="00492FCF"/>
    <w:rsid w:val="0049310E"/>
    <w:rsid w:val="004941DC"/>
    <w:rsid w:val="004945FB"/>
    <w:rsid w:val="00494B1D"/>
    <w:rsid w:val="00494CD0"/>
    <w:rsid w:val="00494F9B"/>
    <w:rsid w:val="0049535A"/>
    <w:rsid w:val="004965F1"/>
    <w:rsid w:val="004969EA"/>
    <w:rsid w:val="00496B37"/>
    <w:rsid w:val="00496FA5"/>
    <w:rsid w:val="004A0619"/>
    <w:rsid w:val="004A0EE2"/>
    <w:rsid w:val="004A1E26"/>
    <w:rsid w:val="004A2922"/>
    <w:rsid w:val="004A34B2"/>
    <w:rsid w:val="004A3A48"/>
    <w:rsid w:val="004A41FF"/>
    <w:rsid w:val="004A4207"/>
    <w:rsid w:val="004A44A0"/>
    <w:rsid w:val="004A4C55"/>
    <w:rsid w:val="004A52C1"/>
    <w:rsid w:val="004A639B"/>
    <w:rsid w:val="004A6881"/>
    <w:rsid w:val="004A6A69"/>
    <w:rsid w:val="004A7677"/>
    <w:rsid w:val="004A7CA1"/>
    <w:rsid w:val="004B0A65"/>
    <w:rsid w:val="004B12A5"/>
    <w:rsid w:val="004B1949"/>
    <w:rsid w:val="004B1E3D"/>
    <w:rsid w:val="004B22A0"/>
    <w:rsid w:val="004B3AF1"/>
    <w:rsid w:val="004B4147"/>
    <w:rsid w:val="004B50E3"/>
    <w:rsid w:val="004B53AC"/>
    <w:rsid w:val="004B6949"/>
    <w:rsid w:val="004B6B4D"/>
    <w:rsid w:val="004B6D86"/>
    <w:rsid w:val="004B72E8"/>
    <w:rsid w:val="004B7CE0"/>
    <w:rsid w:val="004B7EE2"/>
    <w:rsid w:val="004C0504"/>
    <w:rsid w:val="004C0555"/>
    <w:rsid w:val="004C0826"/>
    <w:rsid w:val="004C13F6"/>
    <w:rsid w:val="004C1715"/>
    <w:rsid w:val="004C17F7"/>
    <w:rsid w:val="004C191C"/>
    <w:rsid w:val="004C2FEC"/>
    <w:rsid w:val="004C30E2"/>
    <w:rsid w:val="004C39C2"/>
    <w:rsid w:val="004C414B"/>
    <w:rsid w:val="004C4484"/>
    <w:rsid w:val="004C463A"/>
    <w:rsid w:val="004C4E3F"/>
    <w:rsid w:val="004C4E90"/>
    <w:rsid w:val="004C56ED"/>
    <w:rsid w:val="004C5C5D"/>
    <w:rsid w:val="004C5E17"/>
    <w:rsid w:val="004C5F78"/>
    <w:rsid w:val="004C5FFA"/>
    <w:rsid w:val="004C6BCF"/>
    <w:rsid w:val="004C72E4"/>
    <w:rsid w:val="004C7779"/>
    <w:rsid w:val="004C77B0"/>
    <w:rsid w:val="004D07B1"/>
    <w:rsid w:val="004D0A32"/>
    <w:rsid w:val="004D10A1"/>
    <w:rsid w:val="004D1339"/>
    <w:rsid w:val="004D2050"/>
    <w:rsid w:val="004D2155"/>
    <w:rsid w:val="004D25EB"/>
    <w:rsid w:val="004D314C"/>
    <w:rsid w:val="004D3288"/>
    <w:rsid w:val="004D333B"/>
    <w:rsid w:val="004D3791"/>
    <w:rsid w:val="004D4CD7"/>
    <w:rsid w:val="004D538F"/>
    <w:rsid w:val="004D58BF"/>
    <w:rsid w:val="004D5988"/>
    <w:rsid w:val="004D59ED"/>
    <w:rsid w:val="004D6717"/>
    <w:rsid w:val="004D6F51"/>
    <w:rsid w:val="004D71AD"/>
    <w:rsid w:val="004D72D8"/>
    <w:rsid w:val="004D760C"/>
    <w:rsid w:val="004E0086"/>
    <w:rsid w:val="004E0547"/>
    <w:rsid w:val="004E0FFC"/>
    <w:rsid w:val="004E17E4"/>
    <w:rsid w:val="004E1C6F"/>
    <w:rsid w:val="004E1F5A"/>
    <w:rsid w:val="004E23A0"/>
    <w:rsid w:val="004E39C6"/>
    <w:rsid w:val="004E4335"/>
    <w:rsid w:val="004E45D0"/>
    <w:rsid w:val="004E46DA"/>
    <w:rsid w:val="004E47D2"/>
    <w:rsid w:val="004E4CDA"/>
    <w:rsid w:val="004E5ACF"/>
    <w:rsid w:val="004E5FDD"/>
    <w:rsid w:val="004E63D0"/>
    <w:rsid w:val="004E65E8"/>
    <w:rsid w:val="004E6F02"/>
    <w:rsid w:val="004F0C29"/>
    <w:rsid w:val="004F1047"/>
    <w:rsid w:val="004F13EE"/>
    <w:rsid w:val="004F19E5"/>
    <w:rsid w:val="004F1ECE"/>
    <w:rsid w:val="004F1FE3"/>
    <w:rsid w:val="004F2022"/>
    <w:rsid w:val="004F2083"/>
    <w:rsid w:val="004F2781"/>
    <w:rsid w:val="004F28FC"/>
    <w:rsid w:val="004F3B4B"/>
    <w:rsid w:val="004F42E9"/>
    <w:rsid w:val="004F45DE"/>
    <w:rsid w:val="004F4988"/>
    <w:rsid w:val="004F4991"/>
    <w:rsid w:val="004F5355"/>
    <w:rsid w:val="004F56C7"/>
    <w:rsid w:val="004F5BD5"/>
    <w:rsid w:val="004F6AE6"/>
    <w:rsid w:val="004F6D1F"/>
    <w:rsid w:val="004F6D56"/>
    <w:rsid w:val="004F6EF0"/>
    <w:rsid w:val="004F7086"/>
    <w:rsid w:val="004F75B1"/>
    <w:rsid w:val="004F772C"/>
    <w:rsid w:val="004F7C05"/>
    <w:rsid w:val="00500071"/>
    <w:rsid w:val="005002F1"/>
    <w:rsid w:val="0050039D"/>
    <w:rsid w:val="005004A0"/>
    <w:rsid w:val="005013A8"/>
    <w:rsid w:val="00501729"/>
    <w:rsid w:val="00501C94"/>
    <w:rsid w:val="00501E20"/>
    <w:rsid w:val="00502280"/>
    <w:rsid w:val="0050285E"/>
    <w:rsid w:val="0050322D"/>
    <w:rsid w:val="00503919"/>
    <w:rsid w:val="00504308"/>
    <w:rsid w:val="00504F82"/>
    <w:rsid w:val="00504F92"/>
    <w:rsid w:val="00505450"/>
    <w:rsid w:val="005056DF"/>
    <w:rsid w:val="00506432"/>
    <w:rsid w:val="00507F3C"/>
    <w:rsid w:val="00510647"/>
    <w:rsid w:val="005106B2"/>
    <w:rsid w:val="00510980"/>
    <w:rsid w:val="005114C0"/>
    <w:rsid w:val="005117F5"/>
    <w:rsid w:val="00511BD8"/>
    <w:rsid w:val="00511C5E"/>
    <w:rsid w:val="0051242B"/>
    <w:rsid w:val="00512CE0"/>
    <w:rsid w:val="0051335F"/>
    <w:rsid w:val="00513F6E"/>
    <w:rsid w:val="0051421E"/>
    <w:rsid w:val="005146F4"/>
    <w:rsid w:val="005158E7"/>
    <w:rsid w:val="0051662A"/>
    <w:rsid w:val="00516BB8"/>
    <w:rsid w:val="005170DE"/>
    <w:rsid w:val="00517706"/>
    <w:rsid w:val="00517D12"/>
    <w:rsid w:val="00517E9A"/>
    <w:rsid w:val="0052051D"/>
    <w:rsid w:val="00521565"/>
    <w:rsid w:val="005216AD"/>
    <w:rsid w:val="00521BE2"/>
    <w:rsid w:val="00522F2A"/>
    <w:rsid w:val="00523450"/>
    <w:rsid w:val="00523A97"/>
    <w:rsid w:val="00523AF2"/>
    <w:rsid w:val="00523E04"/>
    <w:rsid w:val="005249F8"/>
    <w:rsid w:val="00524DFB"/>
    <w:rsid w:val="00525BC3"/>
    <w:rsid w:val="00525D00"/>
    <w:rsid w:val="00526960"/>
    <w:rsid w:val="00526D92"/>
    <w:rsid w:val="00527384"/>
    <w:rsid w:val="00527745"/>
    <w:rsid w:val="005279CC"/>
    <w:rsid w:val="00530317"/>
    <w:rsid w:val="005310C6"/>
    <w:rsid w:val="005310EE"/>
    <w:rsid w:val="00531786"/>
    <w:rsid w:val="00532D50"/>
    <w:rsid w:val="00533A71"/>
    <w:rsid w:val="00533B1E"/>
    <w:rsid w:val="0053409F"/>
    <w:rsid w:val="005341A6"/>
    <w:rsid w:val="00534343"/>
    <w:rsid w:val="005349EB"/>
    <w:rsid w:val="00534C27"/>
    <w:rsid w:val="005357B5"/>
    <w:rsid w:val="00535A39"/>
    <w:rsid w:val="00535EE4"/>
    <w:rsid w:val="0053612F"/>
    <w:rsid w:val="00536938"/>
    <w:rsid w:val="0053763B"/>
    <w:rsid w:val="00541670"/>
    <w:rsid w:val="0054216B"/>
    <w:rsid w:val="0054248D"/>
    <w:rsid w:val="00542A8C"/>
    <w:rsid w:val="00542A9B"/>
    <w:rsid w:val="00543AEF"/>
    <w:rsid w:val="0054405A"/>
    <w:rsid w:val="00545299"/>
    <w:rsid w:val="00545EE6"/>
    <w:rsid w:val="00546072"/>
    <w:rsid w:val="005465C0"/>
    <w:rsid w:val="00547494"/>
    <w:rsid w:val="00550275"/>
    <w:rsid w:val="00551336"/>
    <w:rsid w:val="0055199A"/>
    <w:rsid w:val="005521B6"/>
    <w:rsid w:val="0055264B"/>
    <w:rsid w:val="00552A98"/>
    <w:rsid w:val="0055356C"/>
    <w:rsid w:val="00553943"/>
    <w:rsid w:val="005539FC"/>
    <w:rsid w:val="00553CA6"/>
    <w:rsid w:val="00553F6D"/>
    <w:rsid w:val="005542BB"/>
    <w:rsid w:val="005542C3"/>
    <w:rsid w:val="00554B92"/>
    <w:rsid w:val="005550E7"/>
    <w:rsid w:val="005554F9"/>
    <w:rsid w:val="00555DFB"/>
    <w:rsid w:val="005564FB"/>
    <w:rsid w:val="00556C3B"/>
    <w:rsid w:val="005572C7"/>
    <w:rsid w:val="0055755A"/>
    <w:rsid w:val="00557D5A"/>
    <w:rsid w:val="00557FE7"/>
    <w:rsid w:val="005606E3"/>
    <w:rsid w:val="00560CE8"/>
    <w:rsid w:val="00561773"/>
    <w:rsid w:val="005618A7"/>
    <w:rsid w:val="00562A6F"/>
    <w:rsid w:val="00562E9A"/>
    <w:rsid w:val="00563711"/>
    <w:rsid w:val="005644E4"/>
    <w:rsid w:val="00564829"/>
    <w:rsid w:val="0056486D"/>
    <w:rsid w:val="005649EE"/>
    <w:rsid w:val="00564A5B"/>
    <w:rsid w:val="005650ED"/>
    <w:rsid w:val="005662B3"/>
    <w:rsid w:val="005664CD"/>
    <w:rsid w:val="00566FBD"/>
    <w:rsid w:val="005670E8"/>
    <w:rsid w:val="00567418"/>
    <w:rsid w:val="00567B76"/>
    <w:rsid w:val="00567C32"/>
    <w:rsid w:val="0057002A"/>
    <w:rsid w:val="00570AD6"/>
    <w:rsid w:val="00570BC3"/>
    <w:rsid w:val="0057108B"/>
    <w:rsid w:val="005715EF"/>
    <w:rsid w:val="005716C1"/>
    <w:rsid w:val="00571F05"/>
    <w:rsid w:val="00571F67"/>
    <w:rsid w:val="005727C4"/>
    <w:rsid w:val="00572B0B"/>
    <w:rsid w:val="005736E6"/>
    <w:rsid w:val="005737A1"/>
    <w:rsid w:val="00573E60"/>
    <w:rsid w:val="00573F10"/>
    <w:rsid w:val="0057428C"/>
    <w:rsid w:val="0057429F"/>
    <w:rsid w:val="00574EEF"/>
    <w:rsid w:val="00575127"/>
    <w:rsid w:val="00575713"/>
    <w:rsid w:val="00575754"/>
    <w:rsid w:val="00575DB0"/>
    <w:rsid w:val="00575F48"/>
    <w:rsid w:val="00576901"/>
    <w:rsid w:val="00577322"/>
    <w:rsid w:val="00577441"/>
    <w:rsid w:val="00577EF1"/>
    <w:rsid w:val="00577F70"/>
    <w:rsid w:val="00577F82"/>
    <w:rsid w:val="00580592"/>
    <w:rsid w:val="0058074A"/>
    <w:rsid w:val="0058081A"/>
    <w:rsid w:val="00580C5F"/>
    <w:rsid w:val="005811CC"/>
    <w:rsid w:val="005812F5"/>
    <w:rsid w:val="0058133D"/>
    <w:rsid w:val="00581680"/>
    <w:rsid w:val="00582437"/>
    <w:rsid w:val="00583500"/>
    <w:rsid w:val="00584D8F"/>
    <w:rsid w:val="00586ABC"/>
    <w:rsid w:val="0058729D"/>
    <w:rsid w:val="00587550"/>
    <w:rsid w:val="00587A70"/>
    <w:rsid w:val="00587B6B"/>
    <w:rsid w:val="00590560"/>
    <w:rsid w:val="005906AE"/>
    <w:rsid w:val="005909E0"/>
    <w:rsid w:val="00590A28"/>
    <w:rsid w:val="00590A54"/>
    <w:rsid w:val="00591398"/>
    <w:rsid w:val="005918F8"/>
    <w:rsid w:val="00591E20"/>
    <w:rsid w:val="00591E26"/>
    <w:rsid w:val="0059224D"/>
    <w:rsid w:val="00592BD6"/>
    <w:rsid w:val="00593685"/>
    <w:rsid w:val="0059507F"/>
    <w:rsid w:val="005951E6"/>
    <w:rsid w:val="00595408"/>
    <w:rsid w:val="0059567B"/>
    <w:rsid w:val="00595C5B"/>
    <w:rsid w:val="00595E84"/>
    <w:rsid w:val="0059610E"/>
    <w:rsid w:val="0059670E"/>
    <w:rsid w:val="00596A30"/>
    <w:rsid w:val="00596D99"/>
    <w:rsid w:val="00596F72"/>
    <w:rsid w:val="00597BAA"/>
    <w:rsid w:val="00597FA9"/>
    <w:rsid w:val="005A0C59"/>
    <w:rsid w:val="005A0F5B"/>
    <w:rsid w:val="005A1145"/>
    <w:rsid w:val="005A116A"/>
    <w:rsid w:val="005A16A6"/>
    <w:rsid w:val="005A16C3"/>
    <w:rsid w:val="005A2E28"/>
    <w:rsid w:val="005A30DE"/>
    <w:rsid w:val="005A3830"/>
    <w:rsid w:val="005A39F1"/>
    <w:rsid w:val="005A3CE8"/>
    <w:rsid w:val="005A40DE"/>
    <w:rsid w:val="005A4235"/>
    <w:rsid w:val="005A446C"/>
    <w:rsid w:val="005A48EB"/>
    <w:rsid w:val="005A4B04"/>
    <w:rsid w:val="005A4D34"/>
    <w:rsid w:val="005A5C3C"/>
    <w:rsid w:val="005A6CFB"/>
    <w:rsid w:val="005A6FE8"/>
    <w:rsid w:val="005A7732"/>
    <w:rsid w:val="005A7A82"/>
    <w:rsid w:val="005A7F20"/>
    <w:rsid w:val="005B04A9"/>
    <w:rsid w:val="005B0AB6"/>
    <w:rsid w:val="005B133B"/>
    <w:rsid w:val="005B1553"/>
    <w:rsid w:val="005B1D74"/>
    <w:rsid w:val="005B259D"/>
    <w:rsid w:val="005B283F"/>
    <w:rsid w:val="005B2D8D"/>
    <w:rsid w:val="005B2EEC"/>
    <w:rsid w:val="005B4677"/>
    <w:rsid w:val="005B4B87"/>
    <w:rsid w:val="005B52CC"/>
    <w:rsid w:val="005B5621"/>
    <w:rsid w:val="005B5F1B"/>
    <w:rsid w:val="005B64BF"/>
    <w:rsid w:val="005B6925"/>
    <w:rsid w:val="005B6B22"/>
    <w:rsid w:val="005B6C1D"/>
    <w:rsid w:val="005B6DA5"/>
    <w:rsid w:val="005B746F"/>
    <w:rsid w:val="005B752C"/>
    <w:rsid w:val="005C0265"/>
    <w:rsid w:val="005C028B"/>
    <w:rsid w:val="005C0588"/>
    <w:rsid w:val="005C0C61"/>
    <w:rsid w:val="005C0F91"/>
    <w:rsid w:val="005C1548"/>
    <w:rsid w:val="005C1934"/>
    <w:rsid w:val="005C2418"/>
    <w:rsid w:val="005C3314"/>
    <w:rsid w:val="005C3482"/>
    <w:rsid w:val="005C357A"/>
    <w:rsid w:val="005C389C"/>
    <w:rsid w:val="005C478D"/>
    <w:rsid w:val="005C4793"/>
    <w:rsid w:val="005C4D25"/>
    <w:rsid w:val="005C5AEB"/>
    <w:rsid w:val="005C6084"/>
    <w:rsid w:val="005C61D7"/>
    <w:rsid w:val="005C6843"/>
    <w:rsid w:val="005C687B"/>
    <w:rsid w:val="005C69F9"/>
    <w:rsid w:val="005C6A33"/>
    <w:rsid w:val="005C6B68"/>
    <w:rsid w:val="005C6B9F"/>
    <w:rsid w:val="005C70D9"/>
    <w:rsid w:val="005C7285"/>
    <w:rsid w:val="005C7639"/>
    <w:rsid w:val="005C77BD"/>
    <w:rsid w:val="005D0EEF"/>
    <w:rsid w:val="005D17B3"/>
    <w:rsid w:val="005D237F"/>
    <w:rsid w:val="005D27E3"/>
    <w:rsid w:val="005D2B6F"/>
    <w:rsid w:val="005D2F9F"/>
    <w:rsid w:val="005D396C"/>
    <w:rsid w:val="005D39A4"/>
    <w:rsid w:val="005D40C9"/>
    <w:rsid w:val="005D4814"/>
    <w:rsid w:val="005D498A"/>
    <w:rsid w:val="005D499B"/>
    <w:rsid w:val="005D64C1"/>
    <w:rsid w:val="005D6A45"/>
    <w:rsid w:val="005D6AA9"/>
    <w:rsid w:val="005D6FE3"/>
    <w:rsid w:val="005D71F2"/>
    <w:rsid w:val="005D79CF"/>
    <w:rsid w:val="005D7FFC"/>
    <w:rsid w:val="005E03C3"/>
    <w:rsid w:val="005E08F1"/>
    <w:rsid w:val="005E0A3F"/>
    <w:rsid w:val="005E1701"/>
    <w:rsid w:val="005E1CD1"/>
    <w:rsid w:val="005E1D0E"/>
    <w:rsid w:val="005E2153"/>
    <w:rsid w:val="005E2316"/>
    <w:rsid w:val="005E2A2D"/>
    <w:rsid w:val="005E2CBF"/>
    <w:rsid w:val="005E2F2B"/>
    <w:rsid w:val="005E2F6F"/>
    <w:rsid w:val="005E3873"/>
    <w:rsid w:val="005E39EE"/>
    <w:rsid w:val="005E4996"/>
    <w:rsid w:val="005E4F38"/>
    <w:rsid w:val="005E5496"/>
    <w:rsid w:val="005E584B"/>
    <w:rsid w:val="005E5FEF"/>
    <w:rsid w:val="005E6883"/>
    <w:rsid w:val="005E7103"/>
    <w:rsid w:val="005E772F"/>
    <w:rsid w:val="005E7E1F"/>
    <w:rsid w:val="005F03C9"/>
    <w:rsid w:val="005F139D"/>
    <w:rsid w:val="005F1BD1"/>
    <w:rsid w:val="005F1DED"/>
    <w:rsid w:val="005F1EFC"/>
    <w:rsid w:val="005F2493"/>
    <w:rsid w:val="005F2574"/>
    <w:rsid w:val="005F25B5"/>
    <w:rsid w:val="005F3359"/>
    <w:rsid w:val="005F3499"/>
    <w:rsid w:val="005F4700"/>
    <w:rsid w:val="005F47F0"/>
    <w:rsid w:val="005F4ECA"/>
    <w:rsid w:val="005F61A9"/>
    <w:rsid w:val="005F61C2"/>
    <w:rsid w:val="005F620E"/>
    <w:rsid w:val="005F79CB"/>
    <w:rsid w:val="006001D5"/>
    <w:rsid w:val="00600584"/>
    <w:rsid w:val="006008B3"/>
    <w:rsid w:val="00600A6F"/>
    <w:rsid w:val="00601C1B"/>
    <w:rsid w:val="00601CCB"/>
    <w:rsid w:val="0060251A"/>
    <w:rsid w:val="00602959"/>
    <w:rsid w:val="00603B7A"/>
    <w:rsid w:val="00603C2E"/>
    <w:rsid w:val="00603D1B"/>
    <w:rsid w:val="006041BE"/>
    <w:rsid w:val="006043C7"/>
    <w:rsid w:val="0060451F"/>
    <w:rsid w:val="00604F9A"/>
    <w:rsid w:val="00605086"/>
    <w:rsid w:val="006052A6"/>
    <w:rsid w:val="006058F6"/>
    <w:rsid w:val="00605AA1"/>
    <w:rsid w:val="00605BCE"/>
    <w:rsid w:val="006066AC"/>
    <w:rsid w:val="00606DC2"/>
    <w:rsid w:val="00607161"/>
    <w:rsid w:val="006078E4"/>
    <w:rsid w:val="00607A09"/>
    <w:rsid w:val="00607E30"/>
    <w:rsid w:val="00611870"/>
    <w:rsid w:val="00611988"/>
    <w:rsid w:val="00611F08"/>
    <w:rsid w:val="0061225C"/>
    <w:rsid w:val="0061259D"/>
    <w:rsid w:val="00612F68"/>
    <w:rsid w:val="006130B9"/>
    <w:rsid w:val="006132B5"/>
    <w:rsid w:val="00613484"/>
    <w:rsid w:val="00613895"/>
    <w:rsid w:val="00613C51"/>
    <w:rsid w:val="00613EF9"/>
    <w:rsid w:val="00614647"/>
    <w:rsid w:val="00615041"/>
    <w:rsid w:val="006150EB"/>
    <w:rsid w:val="006153D1"/>
    <w:rsid w:val="00616799"/>
    <w:rsid w:val="00616DDB"/>
    <w:rsid w:val="00616E3C"/>
    <w:rsid w:val="006177E4"/>
    <w:rsid w:val="00617BB6"/>
    <w:rsid w:val="00620185"/>
    <w:rsid w:val="00620612"/>
    <w:rsid w:val="00620911"/>
    <w:rsid w:val="00620B9A"/>
    <w:rsid w:val="00622362"/>
    <w:rsid w:val="006223A4"/>
    <w:rsid w:val="00622F0C"/>
    <w:rsid w:val="00622F5D"/>
    <w:rsid w:val="0062375E"/>
    <w:rsid w:val="00623B14"/>
    <w:rsid w:val="0062402E"/>
    <w:rsid w:val="006242C7"/>
    <w:rsid w:val="006244B7"/>
    <w:rsid w:val="00624641"/>
    <w:rsid w:val="00624A96"/>
    <w:rsid w:val="00624B3B"/>
    <w:rsid w:val="00624B52"/>
    <w:rsid w:val="006255DC"/>
    <w:rsid w:val="00625E71"/>
    <w:rsid w:val="00625FBE"/>
    <w:rsid w:val="00626168"/>
    <w:rsid w:val="00626250"/>
    <w:rsid w:val="00626C85"/>
    <w:rsid w:val="00626F5E"/>
    <w:rsid w:val="00627FA0"/>
    <w:rsid w:val="00630DD3"/>
    <w:rsid w:val="00631DF4"/>
    <w:rsid w:val="00632245"/>
    <w:rsid w:val="00632F59"/>
    <w:rsid w:val="00634175"/>
    <w:rsid w:val="006347A6"/>
    <w:rsid w:val="00634A87"/>
    <w:rsid w:val="00634A88"/>
    <w:rsid w:val="00634ECE"/>
    <w:rsid w:val="006353AA"/>
    <w:rsid w:val="00635518"/>
    <w:rsid w:val="0063569F"/>
    <w:rsid w:val="006358E4"/>
    <w:rsid w:val="00635DF8"/>
    <w:rsid w:val="0063687D"/>
    <w:rsid w:val="006379AC"/>
    <w:rsid w:val="00637B56"/>
    <w:rsid w:val="006404DC"/>
    <w:rsid w:val="006408AC"/>
    <w:rsid w:val="006418E3"/>
    <w:rsid w:val="006419D2"/>
    <w:rsid w:val="00641DEC"/>
    <w:rsid w:val="00642081"/>
    <w:rsid w:val="00642438"/>
    <w:rsid w:val="00642630"/>
    <w:rsid w:val="00643253"/>
    <w:rsid w:val="0064346F"/>
    <w:rsid w:val="00643C3A"/>
    <w:rsid w:val="00643C7D"/>
    <w:rsid w:val="00643FDD"/>
    <w:rsid w:val="0064483B"/>
    <w:rsid w:val="006452BC"/>
    <w:rsid w:val="0064544E"/>
    <w:rsid w:val="0064612A"/>
    <w:rsid w:val="006461CB"/>
    <w:rsid w:val="006464C5"/>
    <w:rsid w:val="00646C39"/>
    <w:rsid w:val="00647CAD"/>
    <w:rsid w:val="00650525"/>
    <w:rsid w:val="0065056A"/>
    <w:rsid w:val="006507E6"/>
    <w:rsid w:val="00650E6B"/>
    <w:rsid w:val="006510AE"/>
    <w:rsid w:val="006511B6"/>
    <w:rsid w:val="00651620"/>
    <w:rsid w:val="0065172D"/>
    <w:rsid w:val="00651997"/>
    <w:rsid w:val="00651C04"/>
    <w:rsid w:val="00652237"/>
    <w:rsid w:val="00652742"/>
    <w:rsid w:val="0065310C"/>
    <w:rsid w:val="006532F8"/>
    <w:rsid w:val="00653314"/>
    <w:rsid w:val="00655AD5"/>
    <w:rsid w:val="0065609B"/>
    <w:rsid w:val="00656F15"/>
    <w:rsid w:val="006574B4"/>
    <w:rsid w:val="00657A1C"/>
    <w:rsid w:val="00657FF8"/>
    <w:rsid w:val="0066070F"/>
    <w:rsid w:val="006609B5"/>
    <w:rsid w:val="00661AB1"/>
    <w:rsid w:val="00661AD5"/>
    <w:rsid w:val="006624BB"/>
    <w:rsid w:val="00662EDF"/>
    <w:rsid w:val="00663614"/>
    <w:rsid w:val="006638F9"/>
    <w:rsid w:val="006639F8"/>
    <w:rsid w:val="00664328"/>
    <w:rsid w:val="006643BE"/>
    <w:rsid w:val="0066468C"/>
    <w:rsid w:val="00664CC5"/>
    <w:rsid w:val="00664E63"/>
    <w:rsid w:val="0066524E"/>
    <w:rsid w:val="006652C2"/>
    <w:rsid w:val="00665498"/>
    <w:rsid w:val="00665AD4"/>
    <w:rsid w:val="00665EBE"/>
    <w:rsid w:val="0066615D"/>
    <w:rsid w:val="00666520"/>
    <w:rsid w:val="00667B4B"/>
    <w:rsid w:val="00670243"/>
    <w:rsid w:val="006708FD"/>
    <w:rsid w:val="00670D99"/>
    <w:rsid w:val="00670E2B"/>
    <w:rsid w:val="00671356"/>
    <w:rsid w:val="00671B71"/>
    <w:rsid w:val="0067201C"/>
    <w:rsid w:val="00672541"/>
    <w:rsid w:val="006734BB"/>
    <w:rsid w:val="006739B0"/>
    <w:rsid w:val="00674F1A"/>
    <w:rsid w:val="0067513E"/>
    <w:rsid w:val="00675425"/>
    <w:rsid w:val="0067599B"/>
    <w:rsid w:val="00676965"/>
    <w:rsid w:val="00677290"/>
    <w:rsid w:val="0067756E"/>
    <w:rsid w:val="00677E35"/>
    <w:rsid w:val="0068019A"/>
    <w:rsid w:val="0068130C"/>
    <w:rsid w:val="0068151B"/>
    <w:rsid w:val="00681A34"/>
    <w:rsid w:val="006821EB"/>
    <w:rsid w:val="006829FD"/>
    <w:rsid w:val="006830A3"/>
    <w:rsid w:val="0068380E"/>
    <w:rsid w:val="00683F4D"/>
    <w:rsid w:val="0068408B"/>
    <w:rsid w:val="00684236"/>
    <w:rsid w:val="00684445"/>
    <w:rsid w:val="006844FF"/>
    <w:rsid w:val="006848AA"/>
    <w:rsid w:val="00684FEC"/>
    <w:rsid w:val="00685072"/>
    <w:rsid w:val="00685332"/>
    <w:rsid w:val="006858B4"/>
    <w:rsid w:val="00685BB6"/>
    <w:rsid w:val="00685E24"/>
    <w:rsid w:val="006864EF"/>
    <w:rsid w:val="006871A0"/>
    <w:rsid w:val="0068723F"/>
    <w:rsid w:val="006873BD"/>
    <w:rsid w:val="0068777B"/>
    <w:rsid w:val="00687C9A"/>
    <w:rsid w:val="00687F47"/>
    <w:rsid w:val="0069049C"/>
    <w:rsid w:val="00690A6D"/>
    <w:rsid w:val="00691C7D"/>
    <w:rsid w:val="00691DFF"/>
    <w:rsid w:val="006926B3"/>
    <w:rsid w:val="00692FA3"/>
    <w:rsid w:val="006930F9"/>
    <w:rsid w:val="00693403"/>
    <w:rsid w:val="00693862"/>
    <w:rsid w:val="00693CAE"/>
    <w:rsid w:val="006971F7"/>
    <w:rsid w:val="0069779D"/>
    <w:rsid w:val="00697841"/>
    <w:rsid w:val="0069796F"/>
    <w:rsid w:val="006A08CB"/>
    <w:rsid w:val="006A1CA0"/>
    <w:rsid w:val="006A2302"/>
    <w:rsid w:val="006A255E"/>
    <w:rsid w:val="006A2FA0"/>
    <w:rsid w:val="006A39A4"/>
    <w:rsid w:val="006A4646"/>
    <w:rsid w:val="006A51EB"/>
    <w:rsid w:val="006A550F"/>
    <w:rsid w:val="006A5777"/>
    <w:rsid w:val="006A626C"/>
    <w:rsid w:val="006A6683"/>
    <w:rsid w:val="006A6CA2"/>
    <w:rsid w:val="006B036A"/>
    <w:rsid w:val="006B09E3"/>
    <w:rsid w:val="006B12CF"/>
    <w:rsid w:val="006B17B3"/>
    <w:rsid w:val="006B2020"/>
    <w:rsid w:val="006B2286"/>
    <w:rsid w:val="006B2481"/>
    <w:rsid w:val="006B33CE"/>
    <w:rsid w:val="006B4322"/>
    <w:rsid w:val="006B45AF"/>
    <w:rsid w:val="006B4683"/>
    <w:rsid w:val="006B53EC"/>
    <w:rsid w:val="006B56BB"/>
    <w:rsid w:val="006B69C6"/>
    <w:rsid w:val="006B6CDD"/>
    <w:rsid w:val="006B6F21"/>
    <w:rsid w:val="006B7526"/>
    <w:rsid w:val="006C0121"/>
    <w:rsid w:val="006C01D8"/>
    <w:rsid w:val="006C027C"/>
    <w:rsid w:val="006C0917"/>
    <w:rsid w:val="006C0934"/>
    <w:rsid w:val="006C0A31"/>
    <w:rsid w:val="006C0AB8"/>
    <w:rsid w:val="006C0DD4"/>
    <w:rsid w:val="006C1601"/>
    <w:rsid w:val="006C1969"/>
    <w:rsid w:val="006C1EBF"/>
    <w:rsid w:val="006C22D3"/>
    <w:rsid w:val="006C31A9"/>
    <w:rsid w:val="006C34F4"/>
    <w:rsid w:val="006C36D6"/>
    <w:rsid w:val="006C376C"/>
    <w:rsid w:val="006C4305"/>
    <w:rsid w:val="006C4478"/>
    <w:rsid w:val="006C4FD5"/>
    <w:rsid w:val="006C5098"/>
    <w:rsid w:val="006C56F7"/>
    <w:rsid w:val="006C583B"/>
    <w:rsid w:val="006C6242"/>
    <w:rsid w:val="006C6321"/>
    <w:rsid w:val="006C6C5D"/>
    <w:rsid w:val="006C70A4"/>
    <w:rsid w:val="006C72E0"/>
    <w:rsid w:val="006C77A8"/>
    <w:rsid w:val="006C7E0D"/>
    <w:rsid w:val="006C7FBE"/>
    <w:rsid w:val="006D184E"/>
    <w:rsid w:val="006D1B65"/>
    <w:rsid w:val="006D1BC2"/>
    <w:rsid w:val="006D1D10"/>
    <w:rsid w:val="006D1FBB"/>
    <w:rsid w:val="006D24D8"/>
    <w:rsid w:val="006D257E"/>
    <w:rsid w:val="006D2791"/>
    <w:rsid w:val="006D2FC8"/>
    <w:rsid w:val="006D3EA5"/>
    <w:rsid w:val="006D4098"/>
    <w:rsid w:val="006D4E8B"/>
    <w:rsid w:val="006D54A0"/>
    <w:rsid w:val="006D5A04"/>
    <w:rsid w:val="006D6959"/>
    <w:rsid w:val="006D6C0D"/>
    <w:rsid w:val="006D6D32"/>
    <w:rsid w:val="006D7681"/>
    <w:rsid w:val="006D771D"/>
    <w:rsid w:val="006D7B2E"/>
    <w:rsid w:val="006D7BE4"/>
    <w:rsid w:val="006D7E76"/>
    <w:rsid w:val="006E02EA"/>
    <w:rsid w:val="006E0968"/>
    <w:rsid w:val="006E0A85"/>
    <w:rsid w:val="006E16CA"/>
    <w:rsid w:val="006E1A90"/>
    <w:rsid w:val="006E271D"/>
    <w:rsid w:val="006E2AF6"/>
    <w:rsid w:val="006E2B01"/>
    <w:rsid w:val="006E2D87"/>
    <w:rsid w:val="006E3189"/>
    <w:rsid w:val="006E39FA"/>
    <w:rsid w:val="006E438D"/>
    <w:rsid w:val="006E5B3A"/>
    <w:rsid w:val="006E657F"/>
    <w:rsid w:val="006E6F5C"/>
    <w:rsid w:val="006E7718"/>
    <w:rsid w:val="006F0246"/>
    <w:rsid w:val="006F0E7D"/>
    <w:rsid w:val="006F1329"/>
    <w:rsid w:val="006F1655"/>
    <w:rsid w:val="006F1A3C"/>
    <w:rsid w:val="006F1C62"/>
    <w:rsid w:val="006F35AF"/>
    <w:rsid w:val="006F47AC"/>
    <w:rsid w:val="006F5DAC"/>
    <w:rsid w:val="006F662D"/>
    <w:rsid w:val="006F6AB1"/>
    <w:rsid w:val="006F6C2F"/>
    <w:rsid w:val="006F7230"/>
    <w:rsid w:val="006F77DE"/>
    <w:rsid w:val="006F77FC"/>
    <w:rsid w:val="006F795D"/>
    <w:rsid w:val="006F79BA"/>
    <w:rsid w:val="00700092"/>
    <w:rsid w:val="00700731"/>
    <w:rsid w:val="00701275"/>
    <w:rsid w:val="007017D4"/>
    <w:rsid w:val="00701C3C"/>
    <w:rsid w:val="00702462"/>
    <w:rsid w:val="00702581"/>
    <w:rsid w:val="00702CFD"/>
    <w:rsid w:val="0070364A"/>
    <w:rsid w:val="00704093"/>
    <w:rsid w:val="007047ED"/>
    <w:rsid w:val="00704891"/>
    <w:rsid w:val="007049A1"/>
    <w:rsid w:val="00704F5A"/>
    <w:rsid w:val="0070503A"/>
    <w:rsid w:val="0070534B"/>
    <w:rsid w:val="007058A9"/>
    <w:rsid w:val="00705E66"/>
    <w:rsid w:val="007072E7"/>
    <w:rsid w:val="0070755C"/>
    <w:rsid w:val="00707676"/>
    <w:rsid w:val="00707752"/>
    <w:rsid w:val="00707F56"/>
    <w:rsid w:val="00710A55"/>
    <w:rsid w:val="00710D55"/>
    <w:rsid w:val="00710DDC"/>
    <w:rsid w:val="00710FCD"/>
    <w:rsid w:val="0071104B"/>
    <w:rsid w:val="00711543"/>
    <w:rsid w:val="00712BCD"/>
    <w:rsid w:val="00713558"/>
    <w:rsid w:val="0071359B"/>
    <w:rsid w:val="007137BB"/>
    <w:rsid w:val="00713A01"/>
    <w:rsid w:val="00713BE8"/>
    <w:rsid w:val="00713FDE"/>
    <w:rsid w:val="007145E9"/>
    <w:rsid w:val="00714BB4"/>
    <w:rsid w:val="00714EC0"/>
    <w:rsid w:val="007156A7"/>
    <w:rsid w:val="00715BE7"/>
    <w:rsid w:val="007160CF"/>
    <w:rsid w:val="007160E2"/>
    <w:rsid w:val="00716293"/>
    <w:rsid w:val="007166AF"/>
    <w:rsid w:val="00716D59"/>
    <w:rsid w:val="0071754C"/>
    <w:rsid w:val="00717841"/>
    <w:rsid w:val="00717A34"/>
    <w:rsid w:val="0072063D"/>
    <w:rsid w:val="007206FF"/>
    <w:rsid w:val="00720D08"/>
    <w:rsid w:val="00721496"/>
    <w:rsid w:val="00721DBF"/>
    <w:rsid w:val="0072351B"/>
    <w:rsid w:val="007248AF"/>
    <w:rsid w:val="007259CC"/>
    <w:rsid w:val="00725B42"/>
    <w:rsid w:val="00725E2D"/>
    <w:rsid w:val="007261DB"/>
    <w:rsid w:val="007263B9"/>
    <w:rsid w:val="0072688C"/>
    <w:rsid w:val="00726EF7"/>
    <w:rsid w:val="0072753E"/>
    <w:rsid w:val="00730500"/>
    <w:rsid w:val="00730606"/>
    <w:rsid w:val="0073117C"/>
    <w:rsid w:val="0073219C"/>
    <w:rsid w:val="0073226D"/>
    <w:rsid w:val="0073240C"/>
    <w:rsid w:val="00732B39"/>
    <w:rsid w:val="00733499"/>
    <w:rsid w:val="007334C7"/>
    <w:rsid w:val="007334F8"/>
    <w:rsid w:val="007335DD"/>
    <w:rsid w:val="007339CD"/>
    <w:rsid w:val="00733B44"/>
    <w:rsid w:val="00734336"/>
    <w:rsid w:val="0073488E"/>
    <w:rsid w:val="00735777"/>
    <w:rsid w:val="00735967"/>
    <w:rsid w:val="007359D8"/>
    <w:rsid w:val="007362D4"/>
    <w:rsid w:val="00736EEF"/>
    <w:rsid w:val="00736F81"/>
    <w:rsid w:val="0074034B"/>
    <w:rsid w:val="007409A8"/>
    <w:rsid w:val="0074151B"/>
    <w:rsid w:val="00741534"/>
    <w:rsid w:val="00741649"/>
    <w:rsid w:val="00741F00"/>
    <w:rsid w:val="0074247F"/>
    <w:rsid w:val="007427D4"/>
    <w:rsid w:val="00742E78"/>
    <w:rsid w:val="0074405F"/>
    <w:rsid w:val="00744804"/>
    <w:rsid w:val="007451A1"/>
    <w:rsid w:val="0074564A"/>
    <w:rsid w:val="00746145"/>
    <w:rsid w:val="007469F5"/>
    <w:rsid w:val="00746E1E"/>
    <w:rsid w:val="00746E58"/>
    <w:rsid w:val="00750858"/>
    <w:rsid w:val="00750C39"/>
    <w:rsid w:val="00750F1A"/>
    <w:rsid w:val="007516D4"/>
    <w:rsid w:val="0075185C"/>
    <w:rsid w:val="00751A23"/>
    <w:rsid w:val="007524ED"/>
    <w:rsid w:val="00752BDA"/>
    <w:rsid w:val="00753067"/>
    <w:rsid w:val="007531C1"/>
    <w:rsid w:val="00753552"/>
    <w:rsid w:val="00753691"/>
    <w:rsid w:val="00753A4F"/>
    <w:rsid w:val="00753E0C"/>
    <w:rsid w:val="00755873"/>
    <w:rsid w:val="00755A6B"/>
    <w:rsid w:val="00755B74"/>
    <w:rsid w:val="00755BE8"/>
    <w:rsid w:val="00756EC4"/>
    <w:rsid w:val="00756FC4"/>
    <w:rsid w:val="0075701E"/>
    <w:rsid w:val="00760B63"/>
    <w:rsid w:val="007610CB"/>
    <w:rsid w:val="00761A1E"/>
    <w:rsid w:val="00761DB2"/>
    <w:rsid w:val="00762242"/>
    <w:rsid w:val="007623F4"/>
    <w:rsid w:val="00762914"/>
    <w:rsid w:val="007636CA"/>
    <w:rsid w:val="007639CB"/>
    <w:rsid w:val="00763BAE"/>
    <w:rsid w:val="00763E01"/>
    <w:rsid w:val="00763E83"/>
    <w:rsid w:val="00764777"/>
    <w:rsid w:val="0076547B"/>
    <w:rsid w:val="00765D91"/>
    <w:rsid w:val="00766526"/>
    <w:rsid w:val="0076672A"/>
    <w:rsid w:val="00766D55"/>
    <w:rsid w:val="0076718E"/>
    <w:rsid w:val="00767C83"/>
    <w:rsid w:val="00767FE6"/>
    <w:rsid w:val="0077052B"/>
    <w:rsid w:val="00770846"/>
    <w:rsid w:val="0077215B"/>
    <w:rsid w:val="00772162"/>
    <w:rsid w:val="00772636"/>
    <w:rsid w:val="00772A7F"/>
    <w:rsid w:val="00772B02"/>
    <w:rsid w:val="00772BC3"/>
    <w:rsid w:val="007732AE"/>
    <w:rsid w:val="007737D8"/>
    <w:rsid w:val="007738EA"/>
    <w:rsid w:val="00774257"/>
    <w:rsid w:val="00774272"/>
    <w:rsid w:val="00774B58"/>
    <w:rsid w:val="00774F94"/>
    <w:rsid w:val="00775389"/>
    <w:rsid w:val="00775C89"/>
    <w:rsid w:val="00775E45"/>
    <w:rsid w:val="00776E74"/>
    <w:rsid w:val="007771D1"/>
    <w:rsid w:val="007775B3"/>
    <w:rsid w:val="00777677"/>
    <w:rsid w:val="00777A2A"/>
    <w:rsid w:val="0078067E"/>
    <w:rsid w:val="007808F0"/>
    <w:rsid w:val="00780F1B"/>
    <w:rsid w:val="007821D4"/>
    <w:rsid w:val="0078242D"/>
    <w:rsid w:val="00782549"/>
    <w:rsid w:val="00782D43"/>
    <w:rsid w:val="00782F8F"/>
    <w:rsid w:val="00784248"/>
    <w:rsid w:val="007845B2"/>
    <w:rsid w:val="00784A8E"/>
    <w:rsid w:val="00785169"/>
    <w:rsid w:val="007851E1"/>
    <w:rsid w:val="00785230"/>
    <w:rsid w:val="00785377"/>
    <w:rsid w:val="0078593B"/>
    <w:rsid w:val="0078686A"/>
    <w:rsid w:val="00786EB5"/>
    <w:rsid w:val="00787153"/>
    <w:rsid w:val="007873C9"/>
    <w:rsid w:val="00787F51"/>
    <w:rsid w:val="0079054A"/>
    <w:rsid w:val="0079077A"/>
    <w:rsid w:val="0079122C"/>
    <w:rsid w:val="00792137"/>
    <w:rsid w:val="00792604"/>
    <w:rsid w:val="00794F47"/>
    <w:rsid w:val="0079502C"/>
    <w:rsid w:val="007954AB"/>
    <w:rsid w:val="00795572"/>
    <w:rsid w:val="00796442"/>
    <w:rsid w:val="00796BC6"/>
    <w:rsid w:val="00796CA8"/>
    <w:rsid w:val="00796E29"/>
    <w:rsid w:val="007974B6"/>
    <w:rsid w:val="00797E19"/>
    <w:rsid w:val="007A0FDB"/>
    <w:rsid w:val="007A1450"/>
    <w:rsid w:val="007A14C5"/>
    <w:rsid w:val="007A1956"/>
    <w:rsid w:val="007A247E"/>
    <w:rsid w:val="007A24B5"/>
    <w:rsid w:val="007A2B6C"/>
    <w:rsid w:val="007A2C49"/>
    <w:rsid w:val="007A3352"/>
    <w:rsid w:val="007A37B9"/>
    <w:rsid w:val="007A3B85"/>
    <w:rsid w:val="007A3C19"/>
    <w:rsid w:val="007A3E38"/>
    <w:rsid w:val="007A42AE"/>
    <w:rsid w:val="007A4319"/>
    <w:rsid w:val="007A4A10"/>
    <w:rsid w:val="007A4BFE"/>
    <w:rsid w:val="007A4EDC"/>
    <w:rsid w:val="007A6762"/>
    <w:rsid w:val="007A6C4B"/>
    <w:rsid w:val="007A72F0"/>
    <w:rsid w:val="007B00FD"/>
    <w:rsid w:val="007B055B"/>
    <w:rsid w:val="007B0687"/>
    <w:rsid w:val="007B130B"/>
    <w:rsid w:val="007B1760"/>
    <w:rsid w:val="007B2C75"/>
    <w:rsid w:val="007B3400"/>
    <w:rsid w:val="007B341B"/>
    <w:rsid w:val="007B3DB1"/>
    <w:rsid w:val="007B4CA7"/>
    <w:rsid w:val="007B557B"/>
    <w:rsid w:val="007B612E"/>
    <w:rsid w:val="007B6281"/>
    <w:rsid w:val="007B63EF"/>
    <w:rsid w:val="007B7054"/>
    <w:rsid w:val="007B78C0"/>
    <w:rsid w:val="007BD4D2"/>
    <w:rsid w:val="007C10D3"/>
    <w:rsid w:val="007C201D"/>
    <w:rsid w:val="007C20C1"/>
    <w:rsid w:val="007C23E4"/>
    <w:rsid w:val="007C259A"/>
    <w:rsid w:val="007C2835"/>
    <w:rsid w:val="007C3369"/>
    <w:rsid w:val="007C35E3"/>
    <w:rsid w:val="007C449A"/>
    <w:rsid w:val="007C581F"/>
    <w:rsid w:val="007C5980"/>
    <w:rsid w:val="007C5D11"/>
    <w:rsid w:val="007C65F8"/>
    <w:rsid w:val="007C6987"/>
    <w:rsid w:val="007C6A77"/>
    <w:rsid w:val="007C6D9C"/>
    <w:rsid w:val="007C6E77"/>
    <w:rsid w:val="007C6EC6"/>
    <w:rsid w:val="007C7DDB"/>
    <w:rsid w:val="007D0815"/>
    <w:rsid w:val="007D0CD6"/>
    <w:rsid w:val="007D0F6C"/>
    <w:rsid w:val="007D1678"/>
    <w:rsid w:val="007D1FB6"/>
    <w:rsid w:val="007D20AB"/>
    <w:rsid w:val="007D2267"/>
    <w:rsid w:val="007D2465"/>
    <w:rsid w:val="007D29B7"/>
    <w:rsid w:val="007D2CC7"/>
    <w:rsid w:val="007D2FCE"/>
    <w:rsid w:val="007D3D42"/>
    <w:rsid w:val="007D4B29"/>
    <w:rsid w:val="007D4C0D"/>
    <w:rsid w:val="007D673D"/>
    <w:rsid w:val="007E0E83"/>
    <w:rsid w:val="007E1113"/>
    <w:rsid w:val="007E17F6"/>
    <w:rsid w:val="007E1EF6"/>
    <w:rsid w:val="007E23C1"/>
    <w:rsid w:val="007E25ED"/>
    <w:rsid w:val="007E3A39"/>
    <w:rsid w:val="007E40F0"/>
    <w:rsid w:val="007E6185"/>
    <w:rsid w:val="007E6194"/>
    <w:rsid w:val="007E7E56"/>
    <w:rsid w:val="007E7FE2"/>
    <w:rsid w:val="007F01F0"/>
    <w:rsid w:val="007F0337"/>
    <w:rsid w:val="007F0495"/>
    <w:rsid w:val="007F0982"/>
    <w:rsid w:val="007F1BEF"/>
    <w:rsid w:val="007F2220"/>
    <w:rsid w:val="007F24EC"/>
    <w:rsid w:val="007F286F"/>
    <w:rsid w:val="007F2F11"/>
    <w:rsid w:val="007F315B"/>
    <w:rsid w:val="007F3720"/>
    <w:rsid w:val="007F423D"/>
    <w:rsid w:val="007F4B3E"/>
    <w:rsid w:val="007F4CCD"/>
    <w:rsid w:val="007F4DBC"/>
    <w:rsid w:val="007F4EE8"/>
    <w:rsid w:val="007F51AB"/>
    <w:rsid w:val="007F5687"/>
    <w:rsid w:val="007F588A"/>
    <w:rsid w:val="007F5E08"/>
    <w:rsid w:val="007F65B0"/>
    <w:rsid w:val="007F779F"/>
    <w:rsid w:val="00800615"/>
    <w:rsid w:val="00801426"/>
    <w:rsid w:val="008029FF"/>
    <w:rsid w:val="0080334B"/>
    <w:rsid w:val="00803479"/>
    <w:rsid w:val="008035AD"/>
    <w:rsid w:val="00803903"/>
    <w:rsid w:val="00803DD8"/>
    <w:rsid w:val="008045F6"/>
    <w:rsid w:val="00804952"/>
    <w:rsid w:val="00804B7D"/>
    <w:rsid w:val="008056FF"/>
    <w:rsid w:val="00805AE0"/>
    <w:rsid w:val="00807515"/>
    <w:rsid w:val="008077F2"/>
    <w:rsid w:val="008077FE"/>
    <w:rsid w:val="00807995"/>
    <w:rsid w:val="00810219"/>
    <w:rsid w:val="00811013"/>
    <w:rsid w:val="008127AF"/>
    <w:rsid w:val="00812B46"/>
    <w:rsid w:val="0081319B"/>
    <w:rsid w:val="00813456"/>
    <w:rsid w:val="00813CD1"/>
    <w:rsid w:val="00813DC3"/>
    <w:rsid w:val="00814964"/>
    <w:rsid w:val="008152BD"/>
    <w:rsid w:val="00815700"/>
    <w:rsid w:val="0081592F"/>
    <w:rsid w:val="00816093"/>
    <w:rsid w:val="0081644F"/>
    <w:rsid w:val="00816B99"/>
    <w:rsid w:val="00817881"/>
    <w:rsid w:val="00817B70"/>
    <w:rsid w:val="00817D40"/>
    <w:rsid w:val="008201C3"/>
    <w:rsid w:val="008201F9"/>
    <w:rsid w:val="00820D34"/>
    <w:rsid w:val="00821807"/>
    <w:rsid w:val="00821BC6"/>
    <w:rsid w:val="00821F63"/>
    <w:rsid w:val="00821FBD"/>
    <w:rsid w:val="00822534"/>
    <w:rsid w:val="00822764"/>
    <w:rsid w:val="008227A1"/>
    <w:rsid w:val="00822BA6"/>
    <w:rsid w:val="00824FBF"/>
    <w:rsid w:val="008257A1"/>
    <w:rsid w:val="00825C0B"/>
    <w:rsid w:val="008264EB"/>
    <w:rsid w:val="00826A87"/>
    <w:rsid w:val="00826B8F"/>
    <w:rsid w:val="0083071F"/>
    <w:rsid w:val="00830B4A"/>
    <w:rsid w:val="00831B6B"/>
    <w:rsid w:val="00831E8A"/>
    <w:rsid w:val="00832096"/>
    <w:rsid w:val="0083279A"/>
    <w:rsid w:val="0083296D"/>
    <w:rsid w:val="008329E8"/>
    <w:rsid w:val="00832CFE"/>
    <w:rsid w:val="00833048"/>
    <w:rsid w:val="00833A59"/>
    <w:rsid w:val="008351DC"/>
    <w:rsid w:val="008352BD"/>
    <w:rsid w:val="0083548B"/>
    <w:rsid w:val="0083599D"/>
    <w:rsid w:val="00835C76"/>
    <w:rsid w:val="00836595"/>
    <w:rsid w:val="00836B02"/>
    <w:rsid w:val="00837181"/>
    <w:rsid w:val="00837687"/>
    <w:rsid w:val="008378C7"/>
    <w:rsid w:val="00837D32"/>
    <w:rsid w:val="008409FE"/>
    <w:rsid w:val="00841111"/>
    <w:rsid w:val="00842BA1"/>
    <w:rsid w:val="00842C34"/>
    <w:rsid w:val="00843049"/>
    <w:rsid w:val="00843877"/>
    <w:rsid w:val="00843F44"/>
    <w:rsid w:val="00844BCC"/>
    <w:rsid w:val="00844F25"/>
    <w:rsid w:val="008452D0"/>
    <w:rsid w:val="00845392"/>
    <w:rsid w:val="00845605"/>
    <w:rsid w:val="0084580D"/>
    <w:rsid w:val="00845A6C"/>
    <w:rsid w:val="0084759B"/>
    <w:rsid w:val="0084785C"/>
    <w:rsid w:val="00847CAD"/>
    <w:rsid w:val="008512FC"/>
    <w:rsid w:val="0085209B"/>
    <w:rsid w:val="00852CF2"/>
    <w:rsid w:val="00853325"/>
    <w:rsid w:val="0085356D"/>
    <w:rsid w:val="00853EF1"/>
    <w:rsid w:val="00854C02"/>
    <w:rsid w:val="00854C1A"/>
    <w:rsid w:val="00854C81"/>
    <w:rsid w:val="0085575B"/>
    <w:rsid w:val="00855D62"/>
    <w:rsid w:val="008563F8"/>
    <w:rsid w:val="00856934"/>
    <w:rsid w:val="00856B66"/>
    <w:rsid w:val="00856C0C"/>
    <w:rsid w:val="00856C35"/>
    <w:rsid w:val="00856CDA"/>
    <w:rsid w:val="00856FD3"/>
    <w:rsid w:val="008574AA"/>
    <w:rsid w:val="00857AF8"/>
    <w:rsid w:val="008606BF"/>
    <w:rsid w:val="00860A97"/>
    <w:rsid w:val="00860C47"/>
    <w:rsid w:val="00860D86"/>
    <w:rsid w:val="00861A5F"/>
    <w:rsid w:val="00861BF8"/>
    <w:rsid w:val="00861D1C"/>
    <w:rsid w:val="00861E11"/>
    <w:rsid w:val="008624AA"/>
    <w:rsid w:val="008624C2"/>
    <w:rsid w:val="00862FAE"/>
    <w:rsid w:val="008638E9"/>
    <w:rsid w:val="00863AF0"/>
    <w:rsid w:val="00863C45"/>
    <w:rsid w:val="0086419C"/>
    <w:rsid w:val="008644AD"/>
    <w:rsid w:val="0086504B"/>
    <w:rsid w:val="00865662"/>
    <w:rsid w:val="00865735"/>
    <w:rsid w:val="00865752"/>
    <w:rsid w:val="00865DDB"/>
    <w:rsid w:val="00867507"/>
    <w:rsid w:val="00867538"/>
    <w:rsid w:val="00867BDB"/>
    <w:rsid w:val="00867D36"/>
    <w:rsid w:val="0087003B"/>
    <w:rsid w:val="008701F1"/>
    <w:rsid w:val="0087075F"/>
    <w:rsid w:val="00871C00"/>
    <w:rsid w:val="008721A4"/>
    <w:rsid w:val="00872D25"/>
    <w:rsid w:val="00872E56"/>
    <w:rsid w:val="00872ED1"/>
    <w:rsid w:val="00873D90"/>
    <w:rsid w:val="00873FC8"/>
    <w:rsid w:val="00874ADF"/>
    <w:rsid w:val="00874F84"/>
    <w:rsid w:val="00875157"/>
    <w:rsid w:val="00875501"/>
    <w:rsid w:val="008756B1"/>
    <w:rsid w:val="00875A1D"/>
    <w:rsid w:val="00876098"/>
    <w:rsid w:val="00876508"/>
    <w:rsid w:val="00877BD6"/>
    <w:rsid w:val="00880DC0"/>
    <w:rsid w:val="00880E7C"/>
    <w:rsid w:val="00881943"/>
    <w:rsid w:val="008822B5"/>
    <w:rsid w:val="008822CB"/>
    <w:rsid w:val="008825E8"/>
    <w:rsid w:val="00882E2A"/>
    <w:rsid w:val="00884087"/>
    <w:rsid w:val="00884C63"/>
    <w:rsid w:val="008858DB"/>
    <w:rsid w:val="00885908"/>
    <w:rsid w:val="00885E78"/>
    <w:rsid w:val="008864B7"/>
    <w:rsid w:val="0088711E"/>
    <w:rsid w:val="008871E0"/>
    <w:rsid w:val="00887D38"/>
    <w:rsid w:val="008902FD"/>
    <w:rsid w:val="00890C32"/>
    <w:rsid w:val="00890D9F"/>
    <w:rsid w:val="0089117F"/>
    <w:rsid w:val="0089173E"/>
    <w:rsid w:val="00891C14"/>
    <w:rsid w:val="00891C32"/>
    <w:rsid w:val="0089221B"/>
    <w:rsid w:val="00892267"/>
    <w:rsid w:val="0089280A"/>
    <w:rsid w:val="00892933"/>
    <w:rsid w:val="0089313C"/>
    <w:rsid w:val="00893F23"/>
    <w:rsid w:val="00894D4A"/>
    <w:rsid w:val="00894F2B"/>
    <w:rsid w:val="008950EB"/>
    <w:rsid w:val="008955B2"/>
    <w:rsid w:val="0089677E"/>
    <w:rsid w:val="008968F6"/>
    <w:rsid w:val="00896E8C"/>
    <w:rsid w:val="008979C7"/>
    <w:rsid w:val="008A0676"/>
    <w:rsid w:val="008A080C"/>
    <w:rsid w:val="008A210F"/>
    <w:rsid w:val="008A2CCF"/>
    <w:rsid w:val="008A2FAE"/>
    <w:rsid w:val="008A4528"/>
    <w:rsid w:val="008A4F93"/>
    <w:rsid w:val="008A5CD3"/>
    <w:rsid w:val="008A6070"/>
    <w:rsid w:val="008A66DB"/>
    <w:rsid w:val="008A6CFE"/>
    <w:rsid w:val="008A6EB2"/>
    <w:rsid w:val="008A6F47"/>
    <w:rsid w:val="008A7438"/>
    <w:rsid w:val="008A7694"/>
    <w:rsid w:val="008A7E1B"/>
    <w:rsid w:val="008B031C"/>
    <w:rsid w:val="008B091B"/>
    <w:rsid w:val="008B0D3D"/>
    <w:rsid w:val="008B1334"/>
    <w:rsid w:val="008B1B1F"/>
    <w:rsid w:val="008B216F"/>
    <w:rsid w:val="008B2306"/>
    <w:rsid w:val="008B2D1B"/>
    <w:rsid w:val="008B2F93"/>
    <w:rsid w:val="008B35DB"/>
    <w:rsid w:val="008B3E14"/>
    <w:rsid w:val="008B576E"/>
    <w:rsid w:val="008B5981"/>
    <w:rsid w:val="008B5BD0"/>
    <w:rsid w:val="008B6BC6"/>
    <w:rsid w:val="008B6FBC"/>
    <w:rsid w:val="008B74AA"/>
    <w:rsid w:val="008B7C22"/>
    <w:rsid w:val="008C0278"/>
    <w:rsid w:val="008C0601"/>
    <w:rsid w:val="008C08CA"/>
    <w:rsid w:val="008C1000"/>
    <w:rsid w:val="008C14FD"/>
    <w:rsid w:val="008C184E"/>
    <w:rsid w:val="008C24E9"/>
    <w:rsid w:val="008C262E"/>
    <w:rsid w:val="008C284A"/>
    <w:rsid w:val="008C332F"/>
    <w:rsid w:val="008C415C"/>
    <w:rsid w:val="008C44BF"/>
    <w:rsid w:val="008C4C1C"/>
    <w:rsid w:val="008C5765"/>
    <w:rsid w:val="008C5E99"/>
    <w:rsid w:val="008C66CD"/>
    <w:rsid w:val="008C730A"/>
    <w:rsid w:val="008C76EF"/>
    <w:rsid w:val="008C7C06"/>
    <w:rsid w:val="008C7E8A"/>
    <w:rsid w:val="008D0375"/>
    <w:rsid w:val="008D0533"/>
    <w:rsid w:val="008D0BFD"/>
    <w:rsid w:val="008D0D8E"/>
    <w:rsid w:val="008D10E0"/>
    <w:rsid w:val="008D16CD"/>
    <w:rsid w:val="008D1A4C"/>
    <w:rsid w:val="008D1B41"/>
    <w:rsid w:val="008D24FC"/>
    <w:rsid w:val="008D2947"/>
    <w:rsid w:val="008D3304"/>
    <w:rsid w:val="008D345D"/>
    <w:rsid w:val="008D3624"/>
    <w:rsid w:val="008D386B"/>
    <w:rsid w:val="008D4117"/>
    <w:rsid w:val="008D424E"/>
    <w:rsid w:val="008D42CB"/>
    <w:rsid w:val="008D44D2"/>
    <w:rsid w:val="008D48C9"/>
    <w:rsid w:val="008D49A0"/>
    <w:rsid w:val="008D4E35"/>
    <w:rsid w:val="008D5125"/>
    <w:rsid w:val="008D5995"/>
    <w:rsid w:val="008D5A81"/>
    <w:rsid w:val="008D5B79"/>
    <w:rsid w:val="008D5DD7"/>
    <w:rsid w:val="008D61FC"/>
    <w:rsid w:val="008D6381"/>
    <w:rsid w:val="008D6587"/>
    <w:rsid w:val="008D6ED5"/>
    <w:rsid w:val="008D70F2"/>
    <w:rsid w:val="008D71CC"/>
    <w:rsid w:val="008D7326"/>
    <w:rsid w:val="008D7C55"/>
    <w:rsid w:val="008E059B"/>
    <w:rsid w:val="008E06EF"/>
    <w:rsid w:val="008E0BA2"/>
    <w:rsid w:val="008E0C77"/>
    <w:rsid w:val="008E0DCB"/>
    <w:rsid w:val="008E1A0E"/>
    <w:rsid w:val="008E217A"/>
    <w:rsid w:val="008E3043"/>
    <w:rsid w:val="008E46BD"/>
    <w:rsid w:val="008E50C1"/>
    <w:rsid w:val="008E581A"/>
    <w:rsid w:val="008E5A30"/>
    <w:rsid w:val="008E5AED"/>
    <w:rsid w:val="008E625F"/>
    <w:rsid w:val="008E6436"/>
    <w:rsid w:val="008E645C"/>
    <w:rsid w:val="008E674A"/>
    <w:rsid w:val="008E68A8"/>
    <w:rsid w:val="008E7126"/>
    <w:rsid w:val="008E73C7"/>
    <w:rsid w:val="008E7509"/>
    <w:rsid w:val="008E7B87"/>
    <w:rsid w:val="008E7E72"/>
    <w:rsid w:val="008F025C"/>
    <w:rsid w:val="008F1385"/>
    <w:rsid w:val="008F2192"/>
    <w:rsid w:val="008F2624"/>
    <w:rsid w:val="008F264D"/>
    <w:rsid w:val="008F2BAA"/>
    <w:rsid w:val="008F2CA3"/>
    <w:rsid w:val="008F3218"/>
    <w:rsid w:val="008F3540"/>
    <w:rsid w:val="008F46B6"/>
    <w:rsid w:val="008F4F68"/>
    <w:rsid w:val="008F5058"/>
    <w:rsid w:val="008F5079"/>
    <w:rsid w:val="008F5177"/>
    <w:rsid w:val="008F53C8"/>
    <w:rsid w:val="008F594C"/>
    <w:rsid w:val="008F62B9"/>
    <w:rsid w:val="008F633D"/>
    <w:rsid w:val="008F64E1"/>
    <w:rsid w:val="008F663F"/>
    <w:rsid w:val="008F69CE"/>
    <w:rsid w:val="008F6E88"/>
    <w:rsid w:val="008F7639"/>
    <w:rsid w:val="008F7640"/>
    <w:rsid w:val="008F7887"/>
    <w:rsid w:val="008F7E40"/>
    <w:rsid w:val="008F7E4A"/>
    <w:rsid w:val="00900BB4"/>
    <w:rsid w:val="00900E5C"/>
    <w:rsid w:val="009011F3"/>
    <w:rsid w:val="009014D3"/>
    <w:rsid w:val="00901658"/>
    <w:rsid w:val="00901861"/>
    <w:rsid w:val="00901AD6"/>
    <w:rsid w:val="00901B94"/>
    <w:rsid w:val="00902121"/>
    <w:rsid w:val="009023C6"/>
    <w:rsid w:val="00902575"/>
    <w:rsid w:val="00902F21"/>
    <w:rsid w:val="00903699"/>
    <w:rsid w:val="009037E8"/>
    <w:rsid w:val="0090478E"/>
    <w:rsid w:val="009048DE"/>
    <w:rsid w:val="00904A3D"/>
    <w:rsid w:val="00904FFD"/>
    <w:rsid w:val="009053DF"/>
    <w:rsid w:val="00905B4F"/>
    <w:rsid w:val="00905C68"/>
    <w:rsid w:val="009064A1"/>
    <w:rsid w:val="00906928"/>
    <w:rsid w:val="00906AF6"/>
    <w:rsid w:val="009074E1"/>
    <w:rsid w:val="00910772"/>
    <w:rsid w:val="009112F7"/>
    <w:rsid w:val="00911431"/>
    <w:rsid w:val="00911785"/>
    <w:rsid w:val="009122AF"/>
    <w:rsid w:val="009127BC"/>
    <w:rsid w:val="00912D54"/>
    <w:rsid w:val="00913117"/>
    <w:rsid w:val="009137EF"/>
    <w:rsid w:val="0091389F"/>
    <w:rsid w:val="00913AEB"/>
    <w:rsid w:val="00914774"/>
    <w:rsid w:val="00914CC3"/>
    <w:rsid w:val="00914DE9"/>
    <w:rsid w:val="00915133"/>
    <w:rsid w:val="00915B29"/>
    <w:rsid w:val="009160A1"/>
    <w:rsid w:val="0091702A"/>
    <w:rsid w:val="0091746B"/>
    <w:rsid w:val="00917582"/>
    <w:rsid w:val="00920480"/>
    <w:rsid w:val="009208F7"/>
    <w:rsid w:val="00921465"/>
    <w:rsid w:val="009216CC"/>
    <w:rsid w:val="009217E1"/>
    <w:rsid w:val="009222D1"/>
    <w:rsid w:val="00922517"/>
    <w:rsid w:val="00922722"/>
    <w:rsid w:val="009238C5"/>
    <w:rsid w:val="0092467F"/>
    <w:rsid w:val="00925186"/>
    <w:rsid w:val="00925599"/>
    <w:rsid w:val="00925826"/>
    <w:rsid w:val="009259CA"/>
    <w:rsid w:val="00925A97"/>
    <w:rsid w:val="009261E6"/>
    <w:rsid w:val="009268E1"/>
    <w:rsid w:val="00926BA4"/>
    <w:rsid w:val="00927222"/>
    <w:rsid w:val="009272D0"/>
    <w:rsid w:val="009278B7"/>
    <w:rsid w:val="00930D05"/>
    <w:rsid w:val="00930FED"/>
    <w:rsid w:val="0093161E"/>
    <w:rsid w:val="009316EC"/>
    <w:rsid w:val="00931DE6"/>
    <w:rsid w:val="00932CD0"/>
    <w:rsid w:val="009331A3"/>
    <w:rsid w:val="009332AB"/>
    <w:rsid w:val="00933305"/>
    <w:rsid w:val="0093333C"/>
    <w:rsid w:val="009334DF"/>
    <w:rsid w:val="0093369C"/>
    <w:rsid w:val="00933E0A"/>
    <w:rsid w:val="00935E4A"/>
    <w:rsid w:val="00936377"/>
    <w:rsid w:val="00936E09"/>
    <w:rsid w:val="00937190"/>
    <w:rsid w:val="00937613"/>
    <w:rsid w:val="00937C81"/>
    <w:rsid w:val="00940B89"/>
    <w:rsid w:val="009420FD"/>
    <w:rsid w:val="00943193"/>
    <w:rsid w:val="00944339"/>
    <w:rsid w:val="009443F3"/>
    <w:rsid w:val="0094505A"/>
    <w:rsid w:val="009454F6"/>
    <w:rsid w:val="0094562F"/>
    <w:rsid w:val="00945E7F"/>
    <w:rsid w:val="00947871"/>
    <w:rsid w:val="009479D9"/>
    <w:rsid w:val="009502D1"/>
    <w:rsid w:val="00950FC2"/>
    <w:rsid w:val="00951B95"/>
    <w:rsid w:val="00952163"/>
    <w:rsid w:val="009521E9"/>
    <w:rsid w:val="009522D0"/>
    <w:rsid w:val="00952419"/>
    <w:rsid w:val="009525D5"/>
    <w:rsid w:val="009527A2"/>
    <w:rsid w:val="00952C7F"/>
    <w:rsid w:val="00952FA5"/>
    <w:rsid w:val="0095321C"/>
    <w:rsid w:val="00953B4C"/>
    <w:rsid w:val="00954818"/>
    <w:rsid w:val="00954FC9"/>
    <w:rsid w:val="0095538F"/>
    <w:rsid w:val="009557C1"/>
    <w:rsid w:val="00955B93"/>
    <w:rsid w:val="00956B6B"/>
    <w:rsid w:val="00956CF9"/>
    <w:rsid w:val="00957204"/>
    <w:rsid w:val="009572C7"/>
    <w:rsid w:val="00957F52"/>
    <w:rsid w:val="00960A39"/>
    <w:rsid w:val="00960D6E"/>
    <w:rsid w:val="00960EFD"/>
    <w:rsid w:val="00960F2D"/>
    <w:rsid w:val="009624BC"/>
    <w:rsid w:val="009628D8"/>
    <w:rsid w:val="00962F0A"/>
    <w:rsid w:val="00963B56"/>
    <w:rsid w:val="00963CF0"/>
    <w:rsid w:val="00963D5F"/>
    <w:rsid w:val="00963F69"/>
    <w:rsid w:val="009643A6"/>
    <w:rsid w:val="00964C4A"/>
    <w:rsid w:val="00965173"/>
    <w:rsid w:val="009668CF"/>
    <w:rsid w:val="0096691D"/>
    <w:rsid w:val="00966B37"/>
    <w:rsid w:val="009674EE"/>
    <w:rsid w:val="00967634"/>
    <w:rsid w:val="00967F87"/>
    <w:rsid w:val="009712B2"/>
    <w:rsid w:val="00972A2F"/>
    <w:rsid w:val="00972BC1"/>
    <w:rsid w:val="0097321C"/>
    <w:rsid w:val="009732C7"/>
    <w:rsid w:val="009735E3"/>
    <w:rsid w:val="009744A6"/>
    <w:rsid w:val="0097485C"/>
    <w:rsid w:val="009749C5"/>
    <w:rsid w:val="00974B59"/>
    <w:rsid w:val="009750A4"/>
    <w:rsid w:val="00975A46"/>
    <w:rsid w:val="00975A47"/>
    <w:rsid w:val="00975FD5"/>
    <w:rsid w:val="009761F5"/>
    <w:rsid w:val="009765B7"/>
    <w:rsid w:val="00976699"/>
    <w:rsid w:val="009766F1"/>
    <w:rsid w:val="0097714C"/>
    <w:rsid w:val="009772BA"/>
    <w:rsid w:val="00977360"/>
    <w:rsid w:val="0097770E"/>
    <w:rsid w:val="009779AA"/>
    <w:rsid w:val="00977A87"/>
    <w:rsid w:val="00977C04"/>
    <w:rsid w:val="00980A12"/>
    <w:rsid w:val="00981763"/>
    <w:rsid w:val="00981F72"/>
    <w:rsid w:val="0098219B"/>
    <w:rsid w:val="00982726"/>
    <w:rsid w:val="00982BE1"/>
    <w:rsid w:val="00982D18"/>
    <w:rsid w:val="0098340B"/>
    <w:rsid w:val="0098360E"/>
    <w:rsid w:val="009839E0"/>
    <w:rsid w:val="00983CE3"/>
    <w:rsid w:val="00984079"/>
    <w:rsid w:val="00984752"/>
    <w:rsid w:val="00984886"/>
    <w:rsid w:val="00984B29"/>
    <w:rsid w:val="00985AB6"/>
    <w:rsid w:val="00985EF6"/>
    <w:rsid w:val="00986830"/>
    <w:rsid w:val="009869ED"/>
    <w:rsid w:val="00986FB4"/>
    <w:rsid w:val="0098759C"/>
    <w:rsid w:val="0098776A"/>
    <w:rsid w:val="00987C06"/>
    <w:rsid w:val="0099059E"/>
    <w:rsid w:val="009917EB"/>
    <w:rsid w:val="009918B1"/>
    <w:rsid w:val="00991E43"/>
    <w:rsid w:val="009924C3"/>
    <w:rsid w:val="0099276C"/>
    <w:rsid w:val="00993102"/>
    <w:rsid w:val="00993B49"/>
    <w:rsid w:val="00993F22"/>
    <w:rsid w:val="009943F7"/>
    <w:rsid w:val="00994A01"/>
    <w:rsid w:val="00994B83"/>
    <w:rsid w:val="00994E2E"/>
    <w:rsid w:val="00996116"/>
    <w:rsid w:val="009968FA"/>
    <w:rsid w:val="00996B9F"/>
    <w:rsid w:val="00996C16"/>
    <w:rsid w:val="00996CE0"/>
    <w:rsid w:val="00996FEE"/>
    <w:rsid w:val="00997ABD"/>
    <w:rsid w:val="00997EF8"/>
    <w:rsid w:val="009A0052"/>
    <w:rsid w:val="009A0174"/>
    <w:rsid w:val="009A0315"/>
    <w:rsid w:val="009A071B"/>
    <w:rsid w:val="009A08D5"/>
    <w:rsid w:val="009A12BB"/>
    <w:rsid w:val="009A170E"/>
    <w:rsid w:val="009A1FB1"/>
    <w:rsid w:val="009A2C2A"/>
    <w:rsid w:val="009A31A4"/>
    <w:rsid w:val="009A3A4B"/>
    <w:rsid w:val="009A44B3"/>
    <w:rsid w:val="009A4832"/>
    <w:rsid w:val="009A52E9"/>
    <w:rsid w:val="009A5308"/>
    <w:rsid w:val="009A5B4E"/>
    <w:rsid w:val="009A7186"/>
    <w:rsid w:val="009A78F2"/>
    <w:rsid w:val="009A7B89"/>
    <w:rsid w:val="009A7E15"/>
    <w:rsid w:val="009B04EF"/>
    <w:rsid w:val="009B0990"/>
    <w:rsid w:val="009B0AA6"/>
    <w:rsid w:val="009B0D35"/>
    <w:rsid w:val="009B0E17"/>
    <w:rsid w:val="009B0F14"/>
    <w:rsid w:val="009B1266"/>
    <w:rsid w:val="009B1324"/>
    <w:rsid w:val="009B1409"/>
    <w:rsid w:val="009B245D"/>
    <w:rsid w:val="009B2A6F"/>
    <w:rsid w:val="009B2E22"/>
    <w:rsid w:val="009B3E4A"/>
    <w:rsid w:val="009B3EF3"/>
    <w:rsid w:val="009B4DAC"/>
    <w:rsid w:val="009B504E"/>
    <w:rsid w:val="009B5895"/>
    <w:rsid w:val="009B5A82"/>
    <w:rsid w:val="009B6328"/>
    <w:rsid w:val="009B6E07"/>
    <w:rsid w:val="009B78D8"/>
    <w:rsid w:val="009B7C8B"/>
    <w:rsid w:val="009B7CBC"/>
    <w:rsid w:val="009B7F43"/>
    <w:rsid w:val="009C0B0F"/>
    <w:rsid w:val="009C15AC"/>
    <w:rsid w:val="009C2543"/>
    <w:rsid w:val="009C2F2F"/>
    <w:rsid w:val="009C3066"/>
    <w:rsid w:val="009C3635"/>
    <w:rsid w:val="009C3C2D"/>
    <w:rsid w:val="009C41EA"/>
    <w:rsid w:val="009C4414"/>
    <w:rsid w:val="009C480F"/>
    <w:rsid w:val="009C4A39"/>
    <w:rsid w:val="009C53C4"/>
    <w:rsid w:val="009C6670"/>
    <w:rsid w:val="009C69EB"/>
    <w:rsid w:val="009C6F10"/>
    <w:rsid w:val="009C7243"/>
    <w:rsid w:val="009C798D"/>
    <w:rsid w:val="009C7BE2"/>
    <w:rsid w:val="009C7EED"/>
    <w:rsid w:val="009D0197"/>
    <w:rsid w:val="009D04A8"/>
    <w:rsid w:val="009D0A01"/>
    <w:rsid w:val="009D0E7D"/>
    <w:rsid w:val="009D0F11"/>
    <w:rsid w:val="009D1461"/>
    <w:rsid w:val="009D148F"/>
    <w:rsid w:val="009D1694"/>
    <w:rsid w:val="009D19A0"/>
    <w:rsid w:val="009D1E51"/>
    <w:rsid w:val="009D217E"/>
    <w:rsid w:val="009D2186"/>
    <w:rsid w:val="009D2382"/>
    <w:rsid w:val="009D2A78"/>
    <w:rsid w:val="009D2D40"/>
    <w:rsid w:val="009D3D70"/>
    <w:rsid w:val="009D44FB"/>
    <w:rsid w:val="009D4B95"/>
    <w:rsid w:val="009D6716"/>
    <w:rsid w:val="009D67F1"/>
    <w:rsid w:val="009D6B96"/>
    <w:rsid w:val="009D6EA1"/>
    <w:rsid w:val="009D6F3F"/>
    <w:rsid w:val="009D7AE0"/>
    <w:rsid w:val="009E07FF"/>
    <w:rsid w:val="009E2A7C"/>
    <w:rsid w:val="009E2BF2"/>
    <w:rsid w:val="009E38E0"/>
    <w:rsid w:val="009E3FE3"/>
    <w:rsid w:val="009E4F4C"/>
    <w:rsid w:val="009E5156"/>
    <w:rsid w:val="009E52F1"/>
    <w:rsid w:val="009E55F3"/>
    <w:rsid w:val="009E5A29"/>
    <w:rsid w:val="009E5D8A"/>
    <w:rsid w:val="009E6087"/>
    <w:rsid w:val="009E67E9"/>
    <w:rsid w:val="009E6AE0"/>
    <w:rsid w:val="009E6F7E"/>
    <w:rsid w:val="009E726C"/>
    <w:rsid w:val="009E785F"/>
    <w:rsid w:val="009E7A57"/>
    <w:rsid w:val="009E7B2C"/>
    <w:rsid w:val="009F1755"/>
    <w:rsid w:val="009F1ED6"/>
    <w:rsid w:val="009F2409"/>
    <w:rsid w:val="009F2F78"/>
    <w:rsid w:val="009F35B0"/>
    <w:rsid w:val="009F3746"/>
    <w:rsid w:val="009F3E3D"/>
    <w:rsid w:val="009F475F"/>
    <w:rsid w:val="009F4F6A"/>
    <w:rsid w:val="009F50F3"/>
    <w:rsid w:val="009F5A4E"/>
    <w:rsid w:val="009F5D20"/>
    <w:rsid w:val="009F63F7"/>
    <w:rsid w:val="009F73D4"/>
    <w:rsid w:val="009F748E"/>
    <w:rsid w:val="00A00E8B"/>
    <w:rsid w:val="00A02522"/>
    <w:rsid w:val="00A02D30"/>
    <w:rsid w:val="00A02EB1"/>
    <w:rsid w:val="00A0303C"/>
    <w:rsid w:val="00A0329B"/>
    <w:rsid w:val="00A03951"/>
    <w:rsid w:val="00A03D28"/>
    <w:rsid w:val="00A04084"/>
    <w:rsid w:val="00A04375"/>
    <w:rsid w:val="00A04A12"/>
    <w:rsid w:val="00A04CD0"/>
    <w:rsid w:val="00A04DA2"/>
    <w:rsid w:val="00A05146"/>
    <w:rsid w:val="00A0515C"/>
    <w:rsid w:val="00A052C3"/>
    <w:rsid w:val="00A053D8"/>
    <w:rsid w:val="00A0591D"/>
    <w:rsid w:val="00A05E80"/>
    <w:rsid w:val="00A06D12"/>
    <w:rsid w:val="00A0742E"/>
    <w:rsid w:val="00A0750B"/>
    <w:rsid w:val="00A076B8"/>
    <w:rsid w:val="00A07A59"/>
    <w:rsid w:val="00A07A60"/>
    <w:rsid w:val="00A104BD"/>
    <w:rsid w:val="00A11363"/>
    <w:rsid w:val="00A1166D"/>
    <w:rsid w:val="00A12ADD"/>
    <w:rsid w:val="00A137B8"/>
    <w:rsid w:val="00A14170"/>
    <w:rsid w:val="00A14423"/>
    <w:rsid w:val="00A14F0B"/>
    <w:rsid w:val="00A14FAB"/>
    <w:rsid w:val="00A15132"/>
    <w:rsid w:val="00A159D2"/>
    <w:rsid w:val="00A15EDF"/>
    <w:rsid w:val="00A16629"/>
    <w:rsid w:val="00A16D0B"/>
    <w:rsid w:val="00A16E36"/>
    <w:rsid w:val="00A17174"/>
    <w:rsid w:val="00A1788E"/>
    <w:rsid w:val="00A2217A"/>
    <w:rsid w:val="00A22A91"/>
    <w:rsid w:val="00A22C16"/>
    <w:rsid w:val="00A235D6"/>
    <w:rsid w:val="00A24961"/>
    <w:rsid w:val="00A24B10"/>
    <w:rsid w:val="00A25744"/>
    <w:rsid w:val="00A25794"/>
    <w:rsid w:val="00A279F7"/>
    <w:rsid w:val="00A30E9B"/>
    <w:rsid w:val="00A31092"/>
    <w:rsid w:val="00A311B5"/>
    <w:rsid w:val="00A325CC"/>
    <w:rsid w:val="00A3276C"/>
    <w:rsid w:val="00A32AB2"/>
    <w:rsid w:val="00A33A02"/>
    <w:rsid w:val="00A34B1A"/>
    <w:rsid w:val="00A3583A"/>
    <w:rsid w:val="00A367CD"/>
    <w:rsid w:val="00A36F16"/>
    <w:rsid w:val="00A37C5E"/>
    <w:rsid w:val="00A37E51"/>
    <w:rsid w:val="00A40670"/>
    <w:rsid w:val="00A40E78"/>
    <w:rsid w:val="00A410F8"/>
    <w:rsid w:val="00A410FD"/>
    <w:rsid w:val="00A42131"/>
    <w:rsid w:val="00A42862"/>
    <w:rsid w:val="00A42A88"/>
    <w:rsid w:val="00A430CA"/>
    <w:rsid w:val="00A4311F"/>
    <w:rsid w:val="00A43965"/>
    <w:rsid w:val="00A43A03"/>
    <w:rsid w:val="00A4494C"/>
    <w:rsid w:val="00A44F44"/>
    <w:rsid w:val="00A44F54"/>
    <w:rsid w:val="00A44F6C"/>
    <w:rsid w:val="00A4512D"/>
    <w:rsid w:val="00A452F3"/>
    <w:rsid w:val="00A45479"/>
    <w:rsid w:val="00A4642A"/>
    <w:rsid w:val="00A46FBA"/>
    <w:rsid w:val="00A476AF"/>
    <w:rsid w:val="00A47A65"/>
    <w:rsid w:val="00A47E8E"/>
    <w:rsid w:val="00A500E3"/>
    <w:rsid w:val="00A50244"/>
    <w:rsid w:val="00A50422"/>
    <w:rsid w:val="00A50E20"/>
    <w:rsid w:val="00A50FDE"/>
    <w:rsid w:val="00A51D52"/>
    <w:rsid w:val="00A521D4"/>
    <w:rsid w:val="00A52311"/>
    <w:rsid w:val="00A523EA"/>
    <w:rsid w:val="00A5285A"/>
    <w:rsid w:val="00A53283"/>
    <w:rsid w:val="00A53EBC"/>
    <w:rsid w:val="00A544CE"/>
    <w:rsid w:val="00A546B7"/>
    <w:rsid w:val="00A550EE"/>
    <w:rsid w:val="00A55309"/>
    <w:rsid w:val="00A55324"/>
    <w:rsid w:val="00A563EA"/>
    <w:rsid w:val="00A5673B"/>
    <w:rsid w:val="00A56A37"/>
    <w:rsid w:val="00A56F17"/>
    <w:rsid w:val="00A57358"/>
    <w:rsid w:val="00A57433"/>
    <w:rsid w:val="00A575D5"/>
    <w:rsid w:val="00A57B58"/>
    <w:rsid w:val="00A57C50"/>
    <w:rsid w:val="00A60452"/>
    <w:rsid w:val="00A60E8A"/>
    <w:rsid w:val="00A610F8"/>
    <w:rsid w:val="00A61273"/>
    <w:rsid w:val="00A618B6"/>
    <w:rsid w:val="00A61DBB"/>
    <w:rsid w:val="00A62193"/>
    <w:rsid w:val="00A62239"/>
    <w:rsid w:val="00A627D7"/>
    <w:rsid w:val="00A6397C"/>
    <w:rsid w:val="00A64556"/>
    <w:rsid w:val="00A64957"/>
    <w:rsid w:val="00A64D61"/>
    <w:rsid w:val="00A651D5"/>
    <w:rsid w:val="00A656C7"/>
    <w:rsid w:val="00A659A5"/>
    <w:rsid w:val="00A66044"/>
    <w:rsid w:val="00A66C3B"/>
    <w:rsid w:val="00A70179"/>
    <w:rsid w:val="00A705AF"/>
    <w:rsid w:val="00A71252"/>
    <w:rsid w:val="00A722B6"/>
    <w:rsid w:val="00A72454"/>
    <w:rsid w:val="00A728FF"/>
    <w:rsid w:val="00A72E0D"/>
    <w:rsid w:val="00A73A84"/>
    <w:rsid w:val="00A7490B"/>
    <w:rsid w:val="00A749A0"/>
    <w:rsid w:val="00A750A5"/>
    <w:rsid w:val="00A75673"/>
    <w:rsid w:val="00A75A06"/>
    <w:rsid w:val="00A75C41"/>
    <w:rsid w:val="00A76252"/>
    <w:rsid w:val="00A76CCF"/>
    <w:rsid w:val="00A76F4A"/>
    <w:rsid w:val="00A77696"/>
    <w:rsid w:val="00A804F9"/>
    <w:rsid w:val="00A80557"/>
    <w:rsid w:val="00A8079F"/>
    <w:rsid w:val="00A81D33"/>
    <w:rsid w:val="00A825FA"/>
    <w:rsid w:val="00A82C8B"/>
    <w:rsid w:val="00A82E8B"/>
    <w:rsid w:val="00A8328D"/>
    <w:rsid w:val="00A83639"/>
    <w:rsid w:val="00A83DE8"/>
    <w:rsid w:val="00A844F4"/>
    <w:rsid w:val="00A8572F"/>
    <w:rsid w:val="00A86704"/>
    <w:rsid w:val="00A9099E"/>
    <w:rsid w:val="00A91918"/>
    <w:rsid w:val="00A92944"/>
    <w:rsid w:val="00A930AE"/>
    <w:rsid w:val="00A93371"/>
    <w:rsid w:val="00A93A44"/>
    <w:rsid w:val="00A945AE"/>
    <w:rsid w:val="00A94C58"/>
    <w:rsid w:val="00A94DED"/>
    <w:rsid w:val="00A94FFB"/>
    <w:rsid w:val="00A95159"/>
    <w:rsid w:val="00A955BA"/>
    <w:rsid w:val="00A95A63"/>
    <w:rsid w:val="00A9682C"/>
    <w:rsid w:val="00A97D7C"/>
    <w:rsid w:val="00AA0864"/>
    <w:rsid w:val="00AA0910"/>
    <w:rsid w:val="00AA09B7"/>
    <w:rsid w:val="00AA0C60"/>
    <w:rsid w:val="00AA1157"/>
    <w:rsid w:val="00AA19F7"/>
    <w:rsid w:val="00AA1A95"/>
    <w:rsid w:val="00AA1C59"/>
    <w:rsid w:val="00AA2238"/>
    <w:rsid w:val="00AA260F"/>
    <w:rsid w:val="00AA2A38"/>
    <w:rsid w:val="00AA34E8"/>
    <w:rsid w:val="00AA3534"/>
    <w:rsid w:val="00AA378A"/>
    <w:rsid w:val="00AA381B"/>
    <w:rsid w:val="00AA4218"/>
    <w:rsid w:val="00AA4433"/>
    <w:rsid w:val="00AA4596"/>
    <w:rsid w:val="00AA4919"/>
    <w:rsid w:val="00AA547E"/>
    <w:rsid w:val="00AA5511"/>
    <w:rsid w:val="00AA56ED"/>
    <w:rsid w:val="00AA638A"/>
    <w:rsid w:val="00AA670D"/>
    <w:rsid w:val="00AA763F"/>
    <w:rsid w:val="00AA770A"/>
    <w:rsid w:val="00AA78D7"/>
    <w:rsid w:val="00AA78ED"/>
    <w:rsid w:val="00AA7CA0"/>
    <w:rsid w:val="00AB0067"/>
    <w:rsid w:val="00AB0596"/>
    <w:rsid w:val="00AB0CB5"/>
    <w:rsid w:val="00AB1073"/>
    <w:rsid w:val="00AB1EE7"/>
    <w:rsid w:val="00AB1F23"/>
    <w:rsid w:val="00AB2CB8"/>
    <w:rsid w:val="00AB2EB4"/>
    <w:rsid w:val="00AB357C"/>
    <w:rsid w:val="00AB3669"/>
    <w:rsid w:val="00AB3675"/>
    <w:rsid w:val="00AB43CC"/>
    <w:rsid w:val="00AB4667"/>
    <w:rsid w:val="00AB4ADF"/>
    <w:rsid w:val="00AB4B37"/>
    <w:rsid w:val="00AB4BE1"/>
    <w:rsid w:val="00AB4E01"/>
    <w:rsid w:val="00AB50EF"/>
    <w:rsid w:val="00AB5762"/>
    <w:rsid w:val="00AB596A"/>
    <w:rsid w:val="00AB5E1A"/>
    <w:rsid w:val="00AB6352"/>
    <w:rsid w:val="00AB6768"/>
    <w:rsid w:val="00AB693F"/>
    <w:rsid w:val="00AB6A68"/>
    <w:rsid w:val="00AB6D71"/>
    <w:rsid w:val="00AB7311"/>
    <w:rsid w:val="00AB751E"/>
    <w:rsid w:val="00AB7970"/>
    <w:rsid w:val="00AB79A9"/>
    <w:rsid w:val="00AC011D"/>
    <w:rsid w:val="00AC03EA"/>
    <w:rsid w:val="00AC04F8"/>
    <w:rsid w:val="00AC0C70"/>
    <w:rsid w:val="00AC1CBB"/>
    <w:rsid w:val="00AC25E2"/>
    <w:rsid w:val="00AC2679"/>
    <w:rsid w:val="00AC3A15"/>
    <w:rsid w:val="00AC4199"/>
    <w:rsid w:val="00AC4814"/>
    <w:rsid w:val="00AC4872"/>
    <w:rsid w:val="00AC4B07"/>
    <w:rsid w:val="00AC4B0E"/>
    <w:rsid w:val="00AC4BE4"/>
    <w:rsid w:val="00AC5F99"/>
    <w:rsid w:val="00AC67E3"/>
    <w:rsid w:val="00AC6A24"/>
    <w:rsid w:val="00AC6BF9"/>
    <w:rsid w:val="00AC6E50"/>
    <w:rsid w:val="00AC7318"/>
    <w:rsid w:val="00AC75B5"/>
    <w:rsid w:val="00AD05E6"/>
    <w:rsid w:val="00AD0901"/>
    <w:rsid w:val="00AD0CC8"/>
    <w:rsid w:val="00AD0D3F"/>
    <w:rsid w:val="00AD106C"/>
    <w:rsid w:val="00AD1155"/>
    <w:rsid w:val="00AD1E5D"/>
    <w:rsid w:val="00AD22EA"/>
    <w:rsid w:val="00AD2ED5"/>
    <w:rsid w:val="00AD3D07"/>
    <w:rsid w:val="00AD4B2D"/>
    <w:rsid w:val="00AD4D24"/>
    <w:rsid w:val="00AD5473"/>
    <w:rsid w:val="00AD598B"/>
    <w:rsid w:val="00AD6201"/>
    <w:rsid w:val="00AD659C"/>
    <w:rsid w:val="00AD7083"/>
    <w:rsid w:val="00AD708E"/>
    <w:rsid w:val="00AD79C5"/>
    <w:rsid w:val="00AD7E40"/>
    <w:rsid w:val="00ADBA1A"/>
    <w:rsid w:val="00AE07CF"/>
    <w:rsid w:val="00AE0868"/>
    <w:rsid w:val="00AE1063"/>
    <w:rsid w:val="00AE14F4"/>
    <w:rsid w:val="00AE186C"/>
    <w:rsid w:val="00AE1AD3"/>
    <w:rsid w:val="00AE1D3F"/>
    <w:rsid w:val="00AE1D7D"/>
    <w:rsid w:val="00AE1E13"/>
    <w:rsid w:val="00AE1EC7"/>
    <w:rsid w:val="00AE2A8B"/>
    <w:rsid w:val="00AE35D6"/>
    <w:rsid w:val="00AE3B9C"/>
    <w:rsid w:val="00AE3DC3"/>
    <w:rsid w:val="00AE3E35"/>
    <w:rsid w:val="00AE3F64"/>
    <w:rsid w:val="00AE491C"/>
    <w:rsid w:val="00AE5068"/>
    <w:rsid w:val="00AE554C"/>
    <w:rsid w:val="00AE5F78"/>
    <w:rsid w:val="00AE68A2"/>
    <w:rsid w:val="00AE7712"/>
    <w:rsid w:val="00AE77FD"/>
    <w:rsid w:val="00AE79DA"/>
    <w:rsid w:val="00AE7AAA"/>
    <w:rsid w:val="00AE7D22"/>
    <w:rsid w:val="00AE7DA8"/>
    <w:rsid w:val="00AE7E2C"/>
    <w:rsid w:val="00AF009C"/>
    <w:rsid w:val="00AF12AA"/>
    <w:rsid w:val="00AF1C3E"/>
    <w:rsid w:val="00AF1D21"/>
    <w:rsid w:val="00AF1E8B"/>
    <w:rsid w:val="00AF204E"/>
    <w:rsid w:val="00AF208C"/>
    <w:rsid w:val="00AF38FE"/>
    <w:rsid w:val="00AF3B87"/>
    <w:rsid w:val="00AF429A"/>
    <w:rsid w:val="00AF4609"/>
    <w:rsid w:val="00AF4722"/>
    <w:rsid w:val="00AF54B1"/>
    <w:rsid w:val="00AF6742"/>
    <w:rsid w:val="00AF6E00"/>
    <w:rsid w:val="00AF7386"/>
    <w:rsid w:val="00AF7934"/>
    <w:rsid w:val="00AF7B47"/>
    <w:rsid w:val="00B00751"/>
    <w:rsid w:val="00B00B81"/>
    <w:rsid w:val="00B00BA4"/>
    <w:rsid w:val="00B024F6"/>
    <w:rsid w:val="00B032E6"/>
    <w:rsid w:val="00B034EE"/>
    <w:rsid w:val="00B03F9E"/>
    <w:rsid w:val="00B04222"/>
    <w:rsid w:val="00B04580"/>
    <w:rsid w:val="00B04B09"/>
    <w:rsid w:val="00B04C3D"/>
    <w:rsid w:val="00B04C9B"/>
    <w:rsid w:val="00B04F89"/>
    <w:rsid w:val="00B063B5"/>
    <w:rsid w:val="00B0697C"/>
    <w:rsid w:val="00B06EED"/>
    <w:rsid w:val="00B07331"/>
    <w:rsid w:val="00B0774C"/>
    <w:rsid w:val="00B10308"/>
    <w:rsid w:val="00B10A8F"/>
    <w:rsid w:val="00B11867"/>
    <w:rsid w:val="00B1188D"/>
    <w:rsid w:val="00B11A46"/>
    <w:rsid w:val="00B12118"/>
    <w:rsid w:val="00B12947"/>
    <w:rsid w:val="00B12CA8"/>
    <w:rsid w:val="00B13046"/>
    <w:rsid w:val="00B14CA9"/>
    <w:rsid w:val="00B1564D"/>
    <w:rsid w:val="00B15A50"/>
    <w:rsid w:val="00B15DAB"/>
    <w:rsid w:val="00B161AA"/>
    <w:rsid w:val="00B1620D"/>
    <w:rsid w:val="00B1663A"/>
    <w:rsid w:val="00B16A51"/>
    <w:rsid w:val="00B16D5F"/>
    <w:rsid w:val="00B16FE6"/>
    <w:rsid w:val="00B17EC9"/>
    <w:rsid w:val="00B20C9D"/>
    <w:rsid w:val="00B21C77"/>
    <w:rsid w:val="00B21D44"/>
    <w:rsid w:val="00B21E7E"/>
    <w:rsid w:val="00B2364F"/>
    <w:rsid w:val="00B2384B"/>
    <w:rsid w:val="00B2418A"/>
    <w:rsid w:val="00B25440"/>
    <w:rsid w:val="00B2594E"/>
    <w:rsid w:val="00B25F3C"/>
    <w:rsid w:val="00B25FA8"/>
    <w:rsid w:val="00B26060"/>
    <w:rsid w:val="00B2678E"/>
    <w:rsid w:val="00B267E6"/>
    <w:rsid w:val="00B26866"/>
    <w:rsid w:val="00B27031"/>
    <w:rsid w:val="00B27226"/>
    <w:rsid w:val="00B275B4"/>
    <w:rsid w:val="00B30248"/>
    <w:rsid w:val="00B3090E"/>
    <w:rsid w:val="00B30C51"/>
    <w:rsid w:val="00B315C9"/>
    <w:rsid w:val="00B31665"/>
    <w:rsid w:val="00B32222"/>
    <w:rsid w:val="00B32244"/>
    <w:rsid w:val="00B32346"/>
    <w:rsid w:val="00B32B23"/>
    <w:rsid w:val="00B33820"/>
    <w:rsid w:val="00B33FE7"/>
    <w:rsid w:val="00B344AF"/>
    <w:rsid w:val="00B35ACE"/>
    <w:rsid w:val="00B35B9C"/>
    <w:rsid w:val="00B35BC1"/>
    <w:rsid w:val="00B35BD7"/>
    <w:rsid w:val="00B3618D"/>
    <w:rsid w:val="00B36233"/>
    <w:rsid w:val="00B370AB"/>
    <w:rsid w:val="00B37A0D"/>
    <w:rsid w:val="00B40235"/>
    <w:rsid w:val="00B40A4F"/>
    <w:rsid w:val="00B40D08"/>
    <w:rsid w:val="00B41BC0"/>
    <w:rsid w:val="00B41D55"/>
    <w:rsid w:val="00B41E7D"/>
    <w:rsid w:val="00B4239C"/>
    <w:rsid w:val="00B42851"/>
    <w:rsid w:val="00B439F5"/>
    <w:rsid w:val="00B43AD8"/>
    <w:rsid w:val="00B43D6F"/>
    <w:rsid w:val="00B446BC"/>
    <w:rsid w:val="00B45AC7"/>
    <w:rsid w:val="00B46B85"/>
    <w:rsid w:val="00B47CDF"/>
    <w:rsid w:val="00B47E13"/>
    <w:rsid w:val="00B50F04"/>
    <w:rsid w:val="00B516A4"/>
    <w:rsid w:val="00B5190E"/>
    <w:rsid w:val="00B51FEA"/>
    <w:rsid w:val="00B52100"/>
    <w:rsid w:val="00B524BB"/>
    <w:rsid w:val="00B52501"/>
    <w:rsid w:val="00B52BA7"/>
    <w:rsid w:val="00B52D18"/>
    <w:rsid w:val="00B5372F"/>
    <w:rsid w:val="00B54328"/>
    <w:rsid w:val="00B54FF3"/>
    <w:rsid w:val="00B55BA2"/>
    <w:rsid w:val="00B567B3"/>
    <w:rsid w:val="00B56968"/>
    <w:rsid w:val="00B57E53"/>
    <w:rsid w:val="00B57F45"/>
    <w:rsid w:val="00B601AF"/>
    <w:rsid w:val="00B6043F"/>
    <w:rsid w:val="00B60814"/>
    <w:rsid w:val="00B61129"/>
    <w:rsid w:val="00B61992"/>
    <w:rsid w:val="00B61BB7"/>
    <w:rsid w:val="00B62097"/>
    <w:rsid w:val="00B62EA3"/>
    <w:rsid w:val="00B63F98"/>
    <w:rsid w:val="00B65469"/>
    <w:rsid w:val="00B654AA"/>
    <w:rsid w:val="00B659D1"/>
    <w:rsid w:val="00B6620F"/>
    <w:rsid w:val="00B66348"/>
    <w:rsid w:val="00B663A0"/>
    <w:rsid w:val="00B669F4"/>
    <w:rsid w:val="00B67694"/>
    <w:rsid w:val="00B6793E"/>
    <w:rsid w:val="00B67E7F"/>
    <w:rsid w:val="00B708DF"/>
    <w:rsid w:val="00B70998"/>
    <w:rsid w:val="00B70A4B"/>
    <w:rsid w:val="00B70C87"/>
    <w:rsid w:val="00B71106"/>
    <w:rsid w:val="00B71717"/>
    <w:rsid w:val="00B7199A"/>
    <w:rsid w:val="00B71A51"/>
    <w:rsid w:val="00B71B13"/>
    <w:rsid w:val="00B71F5A"/>
    <w:rsid w:val="00B7222E"/>
    <w:rsid w:val="00B73953"/>
    <w:rsid w:val="00B73D46"/>
    <w:rsid w:val="00B74448"/>
    <w:rsid w:val="00B74ABD"/>
    <w:rsid w:val="00B75405"/>
    <w:rsid w:val="00B756E1"/>
    <w:rsid w:val="00B759B0"/>
    <w:rsid w:val="00B75A04"/>
    <w:rsid w:val="00B76DEC"/>
    <w:rsid w:val="00B76F6B"/>
    <w:rsid w:val="00B7790B"/>
    <w:rsid w:val="00B77CD7"/>
    <w:rsid w:val="00B77F77"/>
    <w:rsid w:val="00B80065"/>
    <w:rsid w:val="00B804C7"/>
    <w:rsid w:val="00B806FC"/>
    <w:rsid w:val="00B8173B"/>
    <w:rsid w:val="00B8179A"/>
    <w:rsid w:val="00B8201A"/>
    <w:rsid w:val="00B82941"/>
    <w:rsid w:val="00B82B32"/>
    <w:rsid w:val="00B83123"/>
    <w:rsid w:val="00B833F7"/>
    <w:rsid w:val="00B839B2"/>
    <w:rsid w:val="00B83A97"/>
    <w:rsid w:val="00B83EBD"/>
    <w:rsid w:val="00B8436A"/>
    <w:rsid w:val="00B858E6"/>
    <w:rsid w:val="00B862BA"/>
    <w:rsid w:val="00B86ECA"/>
    <w:rsid w:val="00B87D24"/>
    <w:rsid w:val="00B90054"/>
    <w:rsid w:val="00B906B5"/>
    <w:rsid w:val="00B907E6"/>
    <w:rsid w:val="00B908B6"/>
    <w:rsid w:val="00B9098C"/>
    <w:rsid w:val="00B90FD3"/>
    <w:rsid w:val="00B91020"/>
    <w:rsid w:val="00B925F2"/>
    <w:rsid w:val="00B92870"/>
    <w:rsid w:val="00B93182"/>
    <w:rsid w:val="00B93731"/>
    <w:rsid w:val="00B93957"/>
    <w:rsid w:val="00B93979"/>
    <w:rsid w:val="00B94252"/>
    <w:rsid w:val="00B9449B"/>
    <w:rsid w:val="00B9473C"/>
    <w:rsid w:val="00B94828"/>
    <w:rsid w:val="00B94DC3"/>
    <w:rsid w:val="00B94E58"/>
    <w:rsid w:val="00B950BC"/>
    <w:rsid w:val="00B95111"/>
    <w:rsid w:val="00B951C8"/>
    <w:rsid w:val="00B95253"/>
    <w:rsid w:val="00B95CA3"/>
    <w:rsid w:val="00B96552"/>
    <w:rsid w:val="00B96CA7"/>
    <w:rsid w:val="00B9715A"/>
    <w:rsid w:val="00B97FF2"/>
    <w:rsid w:val="00BA06DA"/>
    <w:rsid w:val="00BA0801"/>
    <w:rsid w:val="00BA0AB1"/>
    <w:rsid w:val="00BA14BE"/>
    <w:rsid w:val="00BA1639"/>
    <w:rsid w:val="00BA1781"/>
    <w:rsid w:val="00BA17A8"/>
    <w:rsid w:val="00BA183B"/>
    <w:rsid w:val="00BA1AF1"/>
    <w:rsid w:val="00BA2732"/>
    <w:rsid w:val="00BA27C6"/>
    <w:rsid w:val="00BA293D"/>
    <w:rsid w:val="00BA301B"/>
    <w:rsid w:val="00BA3C29"/>
    <w:rsid w:val="00BA442A"/>
    <w:rsid w:val="00BA47AD"/>
    <w:rsid w:val="00BA49BC"/>
    <w:rsid w:val="00BA4D2D"/>
    <w:rsid w:val="00BA51C8"/>
    <w:rsid w:val="00BA56B7"/>
    <w:rsid w:val="00BA5847"/>
    <w:rsid w:val="00BA5BAC"/>
    <w:rsid w:val="00BA70AB"/>
    <w:rsid w:val="00BA747B"/>
    <w:rsid w:val="00BA7A1E"/>
    <w:rsid w:val="00BA7CA9"/>
    <w:rsid w:val="00BB040B"/>
    <w:rsid w:val="00BB0428"/>
    <w:rsid w:val="00BB0564"/>
    <w:rsid w:val="00BB1D0E"/>
    <w:rsid w:val="00BB2064"/>
    <w:rsid w:val="00BB24D9"/>
    <w:rsid w:val="00BB25F7"/>
    <w:rsid w:val="00BB2A15"/>
    <w:rsid w:val="00BB2F6C"/>
    <w:rsid w:val="00BB3875"/>
    <w:rsid w:val="00BB5860"/>
    <w:rsid w:val="00BB5B43"/>
    <w:rsid w:val="00BB5D2F"/>
    <w:rsid w:val="00BB5E57"/>
    <w:rsid w:val="00BB69F0"/>
    <w:rsid w:val="00BB6AAD"/>
    <w:rsid w:val="00BB6EF7"/>
    <w:rsid w:val="00BB7601"/>
    <w:rsid w:val="00BB7AFE"/>
    <w:rsid w:val="00BB7C1A"/>
    <w:rsid w:val="00BC082F"/>
    <w:rsid w:val="00BC0CC7"/>
    <w:rsid w:val="00BC153A"/>
    <w:rsid w:val="00BC1AF9"/>
    <w:rsid w:val="00BC1DE8"/>
    <w:rsid w:val="00BC24A6"/>
    <w:rsid w:val="00BC2D3D"/>
    <w:rsid w:val="00BC2D4D"/>
    <w:rsid w:val="00BC30D9"/>
    <w:rsid w:val="00BC332A"/>
    <w:rsid w:val="00BC3D6A"/>
    <w:rsid w:val="00BC4278"/>
    <w:rsid w:val="00BC4996"/>
    <w:rsid w:val="00BC4A19"/>
    <w:rsid w:val="00BC4B94"/>
    <w:rsid w:val="00BC4D8D"/>
    <w:rsid w:val="00BC4E6D"/>
    <w:rsid w:val="00BC5AB8"/>
    <w:rsid w:val="00BC62C9"/>
    <w:rsid w:val="00BC6616"/>
    <w:rsid w:val="00BC673A"/>
    <w:rsid w:val="00BC6D9C"/>
    <w:rsid w:val="00BC70F9"/>
    <w:rsid w:val="00BC752E"/>
    <w:rsid w:val="00BC7981"/>
    <w:rsid w:val="00BD0617"/>
    <w:rsid w:val="00BD0B21"/>
    <w:rsid w:val="00BD0FCF"/>
    <w:rsid w:val="00BD1985"/>
    <w:rsid w:val="00BD1B8C"/>
    <w:rsid w:val="00BD2DC2"/>
    <w:rsid w:val="00BD2E9B"/>
    <w:rsid w:val="00BD2F3F"/>
    <w:rsid w:val="00BD3451"/>
    <w:rsid w:val="00BD40AD"/>
    <w:rsid w:val="00BD4FCF"/>
    <w:rsid w:val="00BD5B8C"/>
    <w:rsid w:val="00BD6773"/>
    <w:rsid w:val="00BD701C"/>
    <w:rsid w:val="00BD71FF"/>
    <w:rsid w:val="00BD7381"/>
    <w:rsid w:val="00BD75D4"/>
    <w:rsid w:val="00BD7899"/>
    <w:rsid w:val="00BD7AC2"/>
    <w:rsid w:val="00BD7FF3"/>
    <w:rsid w:val="00BE1A82"/>
    <w:rsid w:val="00BE26E4"/>
    <w:rsid w:val="00BE27B8"/>
    <w:rsid w:val="00BE2C27"/>
    <w:rsid w:val="00BE3262"/>
    <w:rsid w:val="00BE49E2"/>
    <w:rsid w:val="00BE6CA7"/>
    <w:rsid w:val="00BE7272"/>
    <w:rsid w:val="00BF0528"/>
    <w:rsid w:val="00BF05AE"/>
    <w:rsid w:val="00BF0C01"/>
    <w:rsid w:val="00BF0DDE"/>
    <w:rsid w:val="00BF1322"/>
    <w:rsid w:val="00BF1324"/>
    <w:rsid w:val="00BF1E46"/>
    <w:rsid w:val="00BF1E4E"/>
    <w:rsid w:val="00BF20EE"/>
    <w:rsid w:val="00BF2AF7"/>
    <w:rsid w:val="00BF2D45"/>
    <w:rsid w:val="00BF3407"/>
    <w:rsid w:val="00BF395B"/>
    <w:rsid w:val="00BF3D36"/>
    <w:rsid w:val="00BF3DD5"/>
    <w:rsid w:val="00BF417F"/>
    <w:rsid w:val="00BF433C"/>
    <w:rsid w:val="00BF4583"/>
    <w:rsid w:val="00BF4669"/>
    <w:rsid w:val="00BF46CE"/>
    <w:rsid w:val="00BF4A9D"/>
    <w:rsid w:val="00BF4BCD"/>
    <w:rsid w:val="00BF574C"/>
    <w:rsid w:val="00BF59E1"/>
    <w:rsid w:val="00BF5C69"/>
    <w:rsid w:val="00BF5D89"/>
    <w:rsid w:val="00BF5DC5"/>
    <w:rsid w:val="00BF60C0"/>
    <w:rsid w:val="00BF6480"/>
    <w:rsid w:val="00BF65C6"/>
    <w:rsid w:val="00BF65D3"/>
    <w:rsid w:val="00BF65F2"/>
    <w:rsid w:val="00BF7015"/>
    <w:rsid w:val="00BF7540"/>
    <w:rsid w:val="00BF7BB9"/>
    <w:rsid w:val="00C00930"/>
    <w:rsid w:val="00C00EFC"/>
    <w:rsid w:val="00C01073"/>
    <w:rsid w:val="00C01386"/>
    <w:rsid w:val="00C01B61"/>
    <w:rsid w:val="00C020B3"/>
    <w:rsid w:val="00C02198"/>
    <w:rsid w:val="00C0270E"/>
    <w:rsid w:val="00C02A99"/>
    <w:rsid w:val="00C02B10"/>
    <w:rsid w:val="00C03809"/>
    <w:rsid w:val="00C03F1B"/>
    <w:rsid w:val="00C03F9D"/>
    <w:rsid w:val="00C0437A"/>
    <w:rsid w:val="00C04403"/>
    <w:rsid w:val="00C045B0"/>
    <w:rsid w:val="00C049AB"/>
    <w:rsid w:val="00C050DC"/>
    <w:rsid w:val="00C050FA"/>
    <w:rsid w:val="00C05295"/>
    <w:rsid w:val="00C05457"/>
    <w:rsid w:val="00C060AD"/>
    <w:rsid w:val="00C06115"/>
    <w:rsid w:val="00C0628F"/>
    <w:rsid w:val="00C06306"/>
    <w:rsid w:val="00C0660C"/>
    <w:rsid w:val="00C0670D"/>
    <w:rsid w:val="00C06876"/>
    <w:rsid w:val="00C0703F"/>
    <w:rsid w:val="00C07551"/>
    <w:rsid w:val="00C075A9"/>
    <w:rsid w:val="00C07D7D"/>
    <w:rsid w:val="00C07F94"/>
    <w:rsid w:val="00C1010D"/>
    <w:rsid w:val="00C107A7"/>
    <w:rsid w:val="00C10DA5"/>
    <w:rsid w:val="00C10F56"/>
    <w:rsid w:val="00C113BF"/>
    <w:rsid w:val="00C113EC"/>
    <w:rsid w:val="00C115E8"/>
    <w:rsid w:val="00C1192C"/>
    <w:rsid w:val="00C11C7E"/>
    <w:rsid w:val="00C11E43"/>
    <w:rsid w:val="00C1228E"/>
    <w:rsid w:val="00C13DAD"/>
    <w:rsid w:val="00C1571D"/>
    <w:rsid w:val="00C15C30"/>
    <w:rsid w:val="00C15DBA"/>
    <w:rsid w:val="00C178DA"/>
    <w:rsid w:val="00C17C7A"/>
    <w:rsid w:val="00C17E03"/>
    <w:rsid w:val="00C20F32"/>
    <w:rsid w:val="00C211BF"/>
    <w:rsid w:val="00C21439"/>
    <w:rsid w:val="00C2176E"/>
    <w:rsid w:val="00C224A5"/>
    <w:rsid w:val="00C22DA4"/>
    <w:rsid w:val="00C23430"/>
    <w:rsid w:val="00C23487"/>
    <w:rsid w:val="00C24523"/>
    <w:rsid w:val="00C24F54"/>
    <w:rsid w:val="00C2518A"/>
    <w:rsid w:val="00C2549E"/>
    <w:rsid w:val="00C257E9"/>
    <w:rsid w:val="00C25AEB"/>
    <w:rsid w:val="00C260C2"/>
    <w:rsid w:val="00C26161"/>
    <w:rsid w:val="00C262E8"/>
    <w:rsid w:val="00C26411"/>
    <w:rsid w:val="00C26717"/>
    <w:rsid w:val="00C26949"/>
    <w:rsid w:val="00C26A14"/>
    <w:rsid w:val="00C27806"/>
    <w:rsid w:val="00C27B3D"/>
    <w:rsid w:val="00C27D67"/>
    <w:rsid w:val="00C30059"/>
    <w:rsid w:val="00C30095"/>
    <w:rsid w:val="00C30DAD"/>
    <w:rsid w:val="00C313C3"/>
    <w:rsid w:val="00C316BF"/>
    <w:rsid w:val="00C31801"/>
    <w:rsid w:val="00C328A8"/>
    <w:rsid w:val="00C33066"/>
    <w:rsid w:val="00C3402B"/>
    <w:rsid w:val="00C34432"/>
    <w:rsid w:val="00C35882"/>
    <w:rsid w:val="00C35D65"/>
    <w:rsid w:val="00C364BE"/>
    <w:rsid w:val="00C36807"/>
    <w:rsid w:val="00C37274"/>
    <w:rsid w:val="00C372C0"/>
    <w:rsid w:val="00C3794E"/>
    <w:rsid w:val="00C37D2F"/>
    <w:rsid w:val="00C40026"/>
    <w:rsid w:val="00C40699"/>
    <w:rsid w:val="00C41540"/>
    <w:rsid w:val="00C41799"/>
    <w:rsid w:val="00C41A89"/>
    <w:rsid w:val="00C4211D"/>
    <w:rsid w:val="00C42D49"/>
    <w:rsid w:val="00C42D91"/>
    <w:rsid w:val="00C42F4E"/>
    <w:rsid w:val="00C4303A"/>
    <w:rsid w:val="00C43882"/>
    <w:rsid w:val="00C43948"/>
    <w:rsid w:val="00C43CE7"/>
    <w:rsid w:val="00C43EAE"/>
    <w:rsid w:val="00C44333"/>
    <w:rsid w:val="00C4457B"/>
    <w:rsid w:val="00C448D6"/>
    <w:rsid w:val="00C45454"/>
    <w:rsid w:val="00C4590F"/>
    <w:rsid w:val="00C461BB"/>
    <w:rsid w:val="00C4631F"/>
    <w:rsid w:val="00C475B8"/>
    <w:rsid w:val="00C47A59"/>
    <w:rsid w:val="00C5025C"/>
    <w:rsid w:val="00C50E16"/>
    <w:rsid w:val="00C50E35"/>
    <w:rsid w:val="00C5153E"/>
    <w:rsid w:val="00C51DC2"/>
    <w:rsid w:val="00C52317"/>
    <w:rsid w:val="00C52A8D"/>
    <w:rsid w:val="00C539B5"/>
    <w:rsid w:val="00C53B93"/>
    <w:rsid w:val="00C54021"/>
    <w:rsid w:val="00C543EA"/>
    <w:rsid w:val="00C54F7B"/>
    <w:rsid w:val="00C54FC5"/>
    <w:rsid w:val="00C55258"/>
    <w:rsid w:val="00C56673"/>
    <w:rsid w:val="00C56A13"/>
    <w:rsid w:val="00C56A9C"/>
    <w:rsid w:val="00C57213"/>
    <w:rsid w:val="00C57FFB"/>
    <w:rsid w:val="00C601BD"/>
    <w:rsid w:val="00C60857"/>
    <w:rsid w:val="00C60B52"/>
    <w:rsid w:val="00C60E52"/>
    <w:rsid w:val="00C60E92"/>
    <w:rsid w:val="00C61A17"/>
    <w:rsid w:val="00C62E4A"/>
    <w:rsid w:val="00C62F8A"/>
    <w:rsid w:val="00C636AA"/>
    <w:rsid w:val="00C63976"/>
    <w:rsid w:val="00C63CD6"/>
    <w:rsid w:val="00C64B70"/>
    <w:rsid w:val="00C651CE"/>
    <w:rsid w:val="00C653FE"/>
    <w:rsid w:val="00C658A3"/>
    <w:rsid w:val="00C65C05"/>
    <w:rsid w:val="00C67293"/>
    <w:rsid w:val="00C67FC1"/>
    <w:rsid w:val="00C7019A"/>
    <w:rsid w:val="00C7061C"/>
    <w:rsid w:val="00C70961"/>
    <w:rsid w:val="00C70FFE"/>
    <w:rsid w:val="00C71602"/>
    <w:rsid w:val="00C7192E"/>
    <w:rsid w:val="00C724B6"/>
    <w:rsid w:val="00C7311C"/>
    <w:rsid w:val="00C74591"/>
    <w:rsid w:val="00C74A60"/>
    <w:rsid w:val="00C74D9C"/>
    <w:rsid w:val="00C750DC"/>
    <w:rsid w:val="00C75149"/>
    <w:rsid w:val="00C7604D"/>
    <w:rsid w:val="00C765EB"/>
    <w:rsid w:val="00C77458"/>
    <w:rsid w:val="00C7786E"/>
    <w:rsid w:val="00C8034F"/>
    <w:rsid w:val="00C809ED"/>
    <w:rsid w:val="00C8110F"/>
    <w:rsid w:val="00C813AF"/>
    <w:rsid w:val="00C817E5"/>
    <w:rsid w:val="00C82EEB"/>
    <w:rsid w:val="00C833F4"/>
    <w:rsid w:val="00C834F8"/>
    <w:rsid w:val="00C83A1C"/>
    <w:rsid w:val="00C8456E"/>
    <w:rsid w:val="00C85622"/>
    <w:rsid w:val="00C8599E"/>
    <w:rsid w:val="00C85D94"/>
    <w:rsid w:val="00C866AF"/>
    <w:rsid w:val="00C86847"/>
    <w:rsid w:val="00C86AE6"/>
    <w:rsid w:val="00C871EC"/>
    <w:rsid w:val="00C87358"/>
    <w:rsid w:val="00C87859"/>
    <w:rsid w:val="00C87ABB"/>
    <w:rsid w:val="00C87C58"/>
    <w:rsid w:val="00C90870"/>
    <w:rsid w:val="00C912C7"/>
    <w:rsid w:val="00C91ACA"/>
    <w:rsid w:val="00C92E7A"/>
    <w:rsid w:val="00C92F50"/>
    <w:rsid w:val="00C93BC2"/>
    <w:rsid w:val="00C942C2"/>
    <w:rsid w:val="00C949DF"/>
    <w:rsid w:val="00C94FB0"/>
    <w:rsid w:val="00C94FD6"/>
    <w:rsid w:val="00C970E8"/>
    <w:rsid w:val="00C971DC"/>
    <w:rsid w:val="00CA06D9"/>
    <w:rsid w:val="00CA07EC"/>
    <w:rsid w:val="00CA08E8"/>
    <w:rsid w:val="00CA1190"/>
    <w:rsid w:val="00CA14B1"/>
    <w:rsid w:val="00CA1524"/>
    <w:rsid w:val="00CA16B7"/>
    <w:rsid w:val="00CA2022"/>
    <w:rsid w:val="00CA24E4"/>
    <w:rsid w:val="00CA27A9"/>
    <w:rsid w:val="00CA2F5E"/>
    <w:rsid w:val="00CA31D0"/>
    <w:rsid w:val="00CA3B44"/>
    <w:rsid w:val="00CA425C"/>
    <w:rsid w:val="00CA47D0"/>
    <w:rsid w:val="00CA4BE3"/>
    <w:rsid w:val="00CA5123"/>
    <w:rsid w:val="00CA5304"/>
    <w:rsid w:val="00CA5722"/>
    <w:rsid w:val="00CA5B25"/>
    <w:rsid w:val="00CA5BF8"/>
    <w:rsid w:val="00CA5C31"/>
    <w:rsid w:val="00CA5F1B"/>
    <w:rsid w:val="00CA62AE"/>
    <w:rsid w:val="00CA6D71"/>
    <w:rsid w:val="00CA6DE7"/>
    <w:rsid w:val="00CA79CF"/>
    <w:rsid w:val="00CB1894"/>
    <w:rsid w:val="00CB1DE4"/>
    <w:rsid w:val="00CB2083"/>
    <w:rsid w:val="00CB28EC"/>
    <w:rsid w:val="00CB295E"/>
    <w:rsid w:val="00CB3575"/>
    <w:rsid w:val="00CB35AE"/>
    <w:rsid w:val="00CB39A8"/>
    <w:rsid w:val="00CB3D01"/>
    <w:rsid w:val="00CB3F65"/>
    <w:rsid w:val="00CB40CB"/>
    <w:rsid w:val="00CB4DB4"/>
    <w:rsid w:val="00CB4F37"/>
    <w:rsid w:val="00CB5A4C"/>
    <w:rsid w:val="00CB5B1A"/>
    <w:rsid w:val="00CB6189"/>
    <w:rsid w:val="00CB6819"/>
    <w:rsid w:val="00CB7209"/>
    <w:rsid w:val="00CB728C"/>
    <w:rsid w:val="00CB7383"/>
    <w:rsid w:val="00CB73CC"/>
    <w:rsid w:val="00CC0DEF"/>
    <w:rsid w:val="00CC115C"/>
    <w:rsid w:val="00CC1336"/>
    <w:rsid w:val="00CC220B"/>
    <w:rsid w:val="00CC2513"/>
    <w:rsid w:val="00CC2B45"/>
    <w:rsid w:val="00CC30F4"/>
    <w:rsid w:val="00CC362B"/>
    <w:rsid w:val="00CC43C6"/>
    <w:rsid w:val="00CC4523"/>
    <w:rsid w:val="00CC486A"/>
    <w:rsid w:val="00CC4B6E"/>
    <w:rsid w:val="00CC4DBA"/>
    <w:rsid w:val="00CC521B"/>
    <w:rsid w:val="00CC5C43"/>
    <w:rsid w:val="00CC6F83"/>
    <w:rsid w:val="00CC7C3D"/>
    <w:rsid w:val="00CC7E51"/>
    <w:rsid w:val="00CD02AE"/>
    <w:rsid w:val="00CD0728"/>
    <w:rsid w:val="00CD09DE"/>
    <w:rsid w:val="00CD10AD"/>
    <w:rsid w:val="00CD17FF"/>
    <w:rsid w:val="00CD1F62"/>
    <w:rsid w:val="00CD2A4F"/>
    <w:rsid w:val="00CD2AF3"/>
    <w:rsid w:val="00CD318E"/>
    <w:rsid w:val="00CD31FA"/>
    <w:rsid w:val="00CD3625"/>
    <w:rsid w:val="00CD39B1"/>
    <w:rsid w:val="00CD40E5"/>
    <w:rsid w:val="00CD4543"/>
    <w:rsid w:val="00CD4B47"/>
    <w:rsid w:val="00CD504D"/>
    <w:rsid w:val="00CD5BDD"/>
    <w:rsid w:val="00CD72B2"/>
    <w:rsid w:val="00CD7BFF"/>
    <w:rsid w:val="00CE03CA"/>
    <w:rsid w:val="00CE0DA2"/>
    <w:rsid w:val="00CE0E17"/>
    <w:rsid w:val="00CE0F87"/>
    <w:rsid w:val="00CE106D"/>
    <w:rsid w:val="00CE13C1"/>
    <w:rsid w:val="00CE13E1"/>
    <w:rsid w:val="00CE13F5"/>
    <w:rsid w:val="00CE219C"/>
    <w:rsid w:val="00CE227E"/>
    <w:rsid w:val="00CE22F1"/>
    <w:rsid w:val="00CE2C10"/>
    <w:rsid w:val="00CE3A97"/>
    <w:rsid w:val="00CE3CD5"/>
    <w:rsid w:val="00CE459D"/>
    <w:rsid w:val="00CE4AF9"/>
    <w:rsid w:val="00CE50F2"/>
    <w:rsid w:val="00CE5373"/>
    <w:rsid w:val="00CE5874"/>
    <w:rsid w:val="00CE5946"/>
    <w:rsid w:val="00CE5D8C"/>
    <w:rsid w:val="00CE5EDC"/>
    <w:rsid w:val="00CE60C2"/>
    <w:rsid w:val="00CE6502"/>
    <w:rsid w:val="00CE65D3"/>
    <w:rsid w:val="00CE66D8"/>
    <w:rsid w:val="00CE6BF3"/>
    <w:rsid w:val="00CE7264"/>
    <w:rsid w:val="00CE729B"/>
    <w:rsid w:val="00CE7C09"/>
    <w:rsid w:val="00CF0413"/>
    <w:rsid w:val="00CF0684"/>
    <w:rsid w:val="00CF0B65"/>
    <w:rsid w:val="00CF0EDF"/>
    <w:rsid w:val="00CF0F11"/>
    <w:rsid w:val="00CF144F"/>
    <w:rsid w:val="00CF14A6"/>
    <w:rsid w:val="00CF1742"/>
    <w:rsid w:val="00CF22D0"/>
    <w:rsid w:val="00CF324E"/>
    <w:rsid w:val="00CF3A3D"/>
    <w:rsid w:val="00CF3D56"/>
    <w:rsid w:val="00CF4756"/>
    <w:rsid w:val="00CF4771"/>
    <w:rsid w:val="00CF4D32"/>
    <w:rsid w:val="00CF5874"/>
    <w:rsid w:val="00CF5B26"/>
    <w:rsid w:val="00CF5FD0"/>
    <w:rsid w:val="00CF6AD8"/>
    <w:rsid w:val="00CF6D91"/>
    <w:rsid w:val="00CF70EB"/>
    <w:rsid w:val="00CF7562"/>
    <w:rsid w:val="00CF7CF2"/>
    <w:rsid w:val="00CF7D3C"/>
    <w:rsid w:val="00D000D6"/>
    <w:rsid w:val="00D005AD"/>
    <w:rsid w:val="00D00B9F"/>
    <w:rsid w:val="00D0112D"/>
    <w:rsid w:val="00D01437"/>
    <w:rsid w:val="00D01552"/>
    <w:rsid w:val="00D015C1"/>
    <w:rsid w:val="00D018EF"/>
    <w:rsid w:val="00D02778"/>
    <w:rsid w:val="00D029CA"/>
    <w:rsid w:val="00D02C39"/>
    <w:rsid w:val="00D031F6"/>
    <w:rsid w:val="00D03375"/>
    <w:rsid w:val="00D033BA"/>
    <w:rsid w:val="00D036DE"/>
    <w:rsid w:val="00D04C38"/>
    <w:rsid w:val="00D05C3B"/>
    <w:rsid w:val="00D061EC"/>
    <w:rsid w:val="00D07ACE"/>
    <w:rsid w:val="00D07C08"/>
    <w:rsid w:val="00D07E83"/>
    <w:rsid w:val="00D1095D"/>
    <w:rsid w:val="00D10AA7"/>
    <w:rsid w:val="00D10EF1"/>
    <w:rsid w:val="00D10F3A"/>
    <w:rsid w:val="00D11045"/>
    <w:rsid w:val="00D11C43"/>
    <w:rsid w:val="00D11F5B"/>
    <w:rsid w:val="00D1213D"/>
    <w:rsid w:val="00D126E5"/>
    <w:rsid w:val="00D12E1C"/>
    <w:rsid w:val="00D12F71"/>
    <w:rsid w:val="00D1360C"/>
    <w:rsid w:val="00D1368F"/>
    <w:rsid w:val="00D136F1"/>
    <w:rsid w:val="00D13C47"/>
    <w:rsid w:val="00D13F7F"/>
    <w:rsid w:val="00D140CA"/>
    <w:rsid w:val="00D1458F"/>
    <w:rsid w:val="00D14793"/>
    <w:rsid w:val="00D147EB"/>
    <w:rsid w:val="00D14EF9"/>
    <w:rsid w:val="00D14FBD"/>
    <w:rsid w:val="00D154C2"/>
    <w:rsid w:val="00D16526"/>
    <w:rsid w:val="00D166B9"/>
    <w:rsid w:val="00D172B1"/>
    <w:rsid w:val="00D17607"/>
    <w:rsid w:val="00D17B74"/>
    <w:rsid w:val="00D17D9A"/>
    <w:rsid w:val="00D20152"/>
    <w:rsid w:val="00D20C2C"/>
    <w:rsid w:val="00D20C54"/>
    <w:rsid w:val="00D20FF7"/>
    <w:rsid w:val="00D23564"/>
    <w:rsid w:val="00D23B55"/>
    <w:rsid w:val="00D241B1"/>
    <w:rsid w:val="00D24EB9"/>
    <w:rsid w:val="00D25024"/>
    <w:rsid w:val="00D2596A"/>
    <w:rsid w:val="00D268FA"/>
    <w:rsid w:val="00D27FC7"/>
    <w:rsid w:val="00D30447"/>
    <w:rsid w:val="00D30B46"/>
    <w:rsid w:val="00D311F0"/>
    <w:rsid w:val="00D31363"/>
    <w:rsid w:val="00D316A1"/>
    <w:rsid w:val="00D322C8"/>
    <w:rsid w:val="00D329A4"/>
    <w:rsid w:val="00D32D6B"/>
    <w:rsid w:val="00D3353D"/>
    <w:rsid w:val="00D33600"/>
    <w:rsid w:val="00D338C1"/>
    <w:rsid w:val="00D34283"/>
    <w:rsid w:val="00D34667"/>
    <w:rsid w:val="00D35348"/>
    <w:rsid w:val="00D3578D"/>
    <w:rsid w:val="00D35F3E"/>
    <w:rsid w:val="00D36163"/>
    <w:rsid w:val="00D36950"/>
    <w:rsid w:val="00D36968"/>
    <w:rsid w:val="00D375D2"/>
    <w:rsid w:val="00D375D9"/>
    <w:rsid w:val="00D37904"/>
    <w:rsid w:val="00D379E2"/>
    <w:rsid w:val="00D37EA2"/>
    <w:rsid w:val="00D401E1"/>
    <w:rsid w:val="00D406B8"/>
    <w:rsid w:val="00D40711"/>
    <w:rsid w:val="00D408B4"/>
    <w:rsid w:val="00D40906"/>
    <w:rsid w:val="00D411D9"/>
    <w:rsid w:val="00D415FE"/>
    <w:rsid w:val="00D4192D"/>
    <w:rsid w:val="00D419B5"/>
    <w:rsid w:val="00D420E4"/>
    <w:rsid w:val="00D427A2"/>
    <w:rsid w:val="00D438A1"/>
    <w:rsid w:val="00D4503E"/>
    <w:rsid w:val="00D45D94"/>
    <w:rsid w:val="00D462A2"/>
    <w:rsid w:val="00D46410"/>
    <w:rsid w:val="00D471F8"/>
    <w:rsid w:val="00D47225"/>
    <w:rsid w:val="00D4790B"/>
    <w:rsid w:val="00D47D63"/>
    <w:rsid w:val="00D508DF"/>
    <w:rsid w:val="00D50B44"/>
    <w:rsid w:val="00D51445"/>
    <w:rsid w:val="00D51680"/>
    <w:rsid w:val="00D51DCC"/>
    <w:rsid w:val="00D524C8"/>
    <w:rsid w:val="00D52AA2"/>
    <w:rsid w:val="00D53030"/>
    <w:rsid w:val="00D53D49"/>
    <w:rsid w:val="00D54C3E"/>
    <w:rsid w:val="00D551EB"/>
    <w:rsid w:val="00D553FB"/>
    <w:rsid w:val="00D554D0"/>
    <w:rsid w:val="00D562CA"/>
    <w:rsid w:val="00D56366"/>
    <w:rsid w:val="00D5692A"/>
    <w:rsid w:val="00D5702F"/>
    <w:rsid w:val="00D57AFE"/>
    <w:rsid w:val="00D57E17"/>
    <w:rsid w:val="00D57FFD"/>
    <w:rsid w:val="00D60226"/>
    <w:rsid w:val="00D60E25"/>
    <w:rsid w:val="00D62711"/>
    <w:rsid w:val="00D6343C"/>
    <w:rsid w:val="00D6357A"/>
    <w:rsid w:val="00D63AAF"/>
    <w:rsid w:val="00D63CC9"/>
    <w:rsid w:val="00D6442D"/>
    <w:rsid w:val="00D64927"/>
    <w:rsid w:val="00D64E02"/>
    <w:rsid w:val="00D65538"/>
    <w:rsid w:val="00D656D8"/>
    <w:rsid w:val="00D65A77"/>
    <w:rsid w:val="00D665F8"/>
    <w:rsid w:val="00D66709"/>
    <w:rsid w:val="00D67353"/>
    <w:rsid w:val="00D6767C"/>
    <w:rsid w:val="00D679C2"/>
    <w:rsid w:val="00D67AF8"/>
    <w:rsid w:val="00D67CAE"/>
    <w:rsid w:val="00D70979"/>
    <w:rsid w:val="00D70E24"/>
    <w:rsid w:val="00D710B4"/>
    <w:rsid w:val="00D716B3"/>
    <w:rsid w:val="00D71C3C"/>
    <w:rsid w:val="00D71C4B"/>
    <w:rsid w:val="00D72B61"/>
    <w:rsid w:val="00D738CF"/>
    <w:rsid w:val="00D73F5F"/>
    <w:rsid w:val="00D745EC"/>
    <w:rsid w:val="00D74BFF"/>
    <w:rsid w:val="00D74E5D"/>
    <w:rsid w:val="00D755D6"/>
    <w:rsid w:val="00D759A4"/>
    <w:rsid w:val="00D75E87"/>
    <w:rsid w:val="00D760A4"/>
    <w:rsid w:val="00D765B7"/>
    <w:rsid w:val="00D76DB2"/>
    <w:rsid w:val="00D76F06"/>
    <w:rsid w:val="00D8071A"/>
    <w:rsid w:val="00D81AB9"/>
    <w:rsid w:val="00D8255C"/>
    <w:rsid w:val="00D82BD9"/>
    <w:rsid w:val="00D8356F"/>
    <w:rsid w:val="00D83A9D"/>
    <w:rsid w:val="00D843AC"/>
    <w:rsid w:val="00D84701"/>
    <w:rsid w:val="00D84769"/>
    <w:rsid w:val="00D84820"/>
    <w:rsid w:val="00D85150"/>
    <w:rsid w:val="00D86A12"/>
    <w:rsid w:val="00D86A5D"/>
    <w:rsid w:val="00D86CBB"/>
    <w:rsid w:val="00D86FFC"/>
    <w:rsid w:val="00D873B2"/>
    <w:rsid w:val="00D878D1"/>
    <w:rsid w:val="00D87DF0"/>
    <w:rsid w:val="00D9040C"/>
    <w:rsid w:val="00D91913"/>
    <w:rsid w:val="00D91E5E"/>
    <w:rsid w:val="00D92071"/>
    <w:rsid w:val="00D9220B"/>
    <w:rsid w:val="00D9317A"/>
    <w:rsid w:val="00D93208"/>
    <w:rsid w:val="00D93966"/>
    <w:rsid w:val="00D9452C"/>
    <w:rsid w:val="00D945C2"/>
    <w:rsid w:val="00D94C52"/>
    <w:rsid w:val="00D94C5A"/>
    <w:rsid w:val="00D95651"/>
    <w:rsid w:val="00D958F3"/>
    <w:rsid w:val="00D95A5F"/>
    <w:rsid w:val="00D96266"/>
    <w:rsid w:val="00DA050D"/>
    <w:rsid w:val="00DA1970"/>
    <w:rsid w:val="00DA254A"/>
    <w:rsid w:val="00DA290F"/>
    <w:rsid w:val="00DA2C61"/>
    <w:rsid w:val="00DA321B"/>
    <w:rsid w:val="00DA3512"/>
    <w:rsid w:val="00DA3881"/>
    <w:rsid w:val="00DA3D1D"/>
    <w:rsid w:val="00DA40DF"/>
    <w:rsid w:val="00DA46F4"/>
    <w:rsid w:val="00DA4B50"/>
    <w:rsid w:val="00DA50FF"/>
    <w:rsid w:val="00DA5905"/>
    <w:rsid w:val="00DA5B1C"/>
    <w:rsid w:val="00DA676C"/>
    <w:rsid w:val="00DA6DF7"/>
    <w:rsid w:val="00DA74C7"/>
    <w:rsid w:val="00DA7672"/>
    <w:rsid w:val="00DA7B5B"/>
    <w:rsid w:val="00DA7C27"/>
    <w:rsid w:val="00DB0138"/>
    <w:rsid w:val="00DB01CE"/>
    <w:rsid w:val="00DB03F9"/>
    <w:rsid w:val="00DB0A84"/>
    <w:rsid w:val="00DB0B0F"/>
    <w:rsid w:val="00DB0DA7"/>
    <w:rsid w:val="00DB0FA9"/>
    <w:rsid w:val="00DB1568"/>
    <w:rsid w:val="00DB2005"/>
    <w:rsid w:val="00DB2F11"/>
    <w:rsid w:val="00DB32F9"/>
    <w:rsid w:val="00DB3326"/>
    <w:rsid w:val="00DB372A"/>
    <w:rsid w:val="00DB3A9A"/>
    <w:rsid w:val="00DB4160"/>
    <w:rsid w:val="00DB4E9D"/>
    <w:rsid w:val="00DB5081"/>
    <w:rsid w:val="00DB536E"/>
    <w:rsid w:val="00DB5577"/>
    <w:rsid w:val="00DB5D84"/>
    <w:rsid w:val="00DB5F4C"/>
    <w:rsid w:val="00DB6286"/>
    <w:rsid w:val="00DB645F"/>
    <w:rsid w:val="00DB696E"/>
    <w:rsid w:val="00DB73DB"/>
    <w:rsid w:val="00DB76E9"/>
    <w:rsid w:val="00DB770B"/>
    <w:rsid w:val="00DB7BDD"/>
    <w:rsid w:val="00DB7C6F"/>
    <w:rsid w:val="00DC0A67"/>
    <w:rsid w:val="00DC117B"/>
    <w:rsid w:val="00DC15C0"/>
    <w:rsid w:val="00DC1D5E"/>
    <w:rsid w:val="00DC20D0"/>
    <w:rsid w:val="00DC2313"/>
    <w:rsid w:val="00DC2952"/>
    <w:rsid w:val="00DC2D7F"/>
    <w:rsid w:val="00DC2DC0"/>
    <w:rsid w:val="00DC34F6"/>
    <w:rsid w:val="00DC379C"/>
    <w:rsid w:val="00DC39BE"/>
    <w:rsid w:val="00DC4126"/>
    <w:rsid w:val="00DC460B"/>
    <w:rsid w:val="00DC4DD6"/>
    <w:rsid w:val="00DC5220"/>
    <w:rsid w:val="00DC5FA4"/>
    <w:rsid w:val="00DC68C1"/>
    <w:rsid w:val="00DC754A"/>
    <w:rsid w:val="00DC7910"/>
    <w:rsid w:val="00DC7D04"/>
    <w:rsid w:val="00DC7DAB"/>
    <w:rsid w:val="00DD02D7"/>
    <w:rsid w:val="00DD08F1"/>
    <w:rsid w:val="00DD0B28"/>
    <w:rsid w:val="00DD116E"/>
    <w:rsid w:val="00DD146E"/>
    <w:rsid w:val="00DD1C73"/>
    <w:rsid w:val="00DD2061"/>
    <w:rsid w:val="00DD215F"/>
    <w:rsid w:val="00DD2161"/>
    <w:rsid w:val="00DD22FB"/>
    <w:rsid w:val="00DD25F7"/>
    <w:rsid w:val="00DD2B11"/>
    <w:rsid w:val="00DD2D57"/>
    <w:rsid w:val="00DD359E"/>
    <w:rsid w:val="00DD35FF"/>
    <w:rsid w:val="00DD415F"/>
    <w:rsid w:val="00DD48FA"/>
    <w:rsid w:val="00DD4A2E"/>
    <w:rsid w:val="00DD4C45"/>
    <w:rsid w:val="00DD4DDD"/>
    <w:rsid w:val="00DD53CA"/>
    <w:rsid w:val="00DD5573"/>
    <w:rsid w:val="00DD5BFC"/>
    <w:rsid w:val="00DD60BE"/>
    <w:rsid w:val="00DD6764"/>
    <w:rsid w:val="00DD7046"/>
    <w:rsid w:val="00DD7DAB"/>
    <w:rsid w:val="00DD7EDE"/>
    <w:rsid w:val="00DD7F0C"/>
    <w:rsid w:val="00DE01C0"/>
    <w:rsid w:val="00DE034F"/>
    <w:rsid w:val="00DE0B59"/>
    <w:rsid w:val="00DE1117"/>
    <w:rsid w:val="00DE2220"/>
    <w:rsid w:val="00DE25DE"/>
    <w:rsid w:val="00DE2807"/>
    <w:rsid w:val="00DE2E01"/>
    <w:rsid w:val="00DE30C4"/>
    <w:rsid w:val="00DE30EB"/>
    <w:rsid w:val="00DE310B"/>
    <w:rsid w:val="00DE3355"/>
    <w:rsid w:val="00DE37EE"/>
    <w:rsid w:val="00DE3C27"/>
    <w:rsid w:val="00DE3C2D"/>
    <w:rsid w:val="00DE4BA9"/>
    <w:rsid w:val="00DE4F7A"/>
    <w:rsid w:val="00DE5006"/>
    <w:rsid w:val="00DE55CB"/>
    <w:rsid w:val="00DE6C50"/>
    <w:rsid w:val="00DE760C"/>
    <w:rsid w:val="00DE7969"/>
    <w:rsid w:val="00DE7ED9"/>
    <w:rsid w:val="00DF04FB"/>
    <w:rsid w:val="00DF07AD"/>
    <w:rsid w:val="00DF0907"/>
    <w:rsid w:val="00DF144C"/>
    <w:rsid w:val="00DF18FF"/>
    <w:rsid w:val="00DF19A1"/>
    <w:rsid w:val="00DF247A"/>
    <w:rsid w:val="00DF2966"/>
    <w:rsid w:val="00DF3280"/>
    <w:rsid w:val="00DF3543"/>
    <w:rsid w:val="00DF39E6"/>
    <w:rsid w:val="00DF3A35"/>
    <w:rsid w:val="00DF3C5F"/>
    <w:rsid w:val="00DF403B"/>
    <w:rsid w:val="00DF41F6"/>
    <w:rsid w:val="00DF4254"/>
    <w:rsid w:val="00DF4799"/>
    <w:rsid w:val="00DF486F"/>
    <w:rsid w:val="00DF4BCF"/>
    <w:rsid w:val="00DF5B5B"/>
    <w:rsid w:val="00DF5D0F"/>
    <w:rsid w:val="00DF610A"/>
    <w:rsid w:val="00DF66FC"/>
    <w:rsid w:val="00DF7619"/>
    <w:rsid w:val="00E02078"/>
    <w:rsid w:val="00E02181"/>
    <w:rsid w:val="00E03AE5"/>
    <w:rsid w:val="00E03B4D"/>
    <w:rsid w:val="00E03E2F"/>
    <w:rsid w:val="00E042D8"/>
    <w:rsid w:val="00E04C4E"/>
    <w:rsid w:val="00E05490"/>
    <w:rsid w:val="00E060C3"/>
    <w:rsid w:val="00E061B7"/>
    <w:rsid w:val="00E06BF8"/>
    <w:rsid w:val="00E0753B"/>
    <w:rsid w:val="00E07EE7"/>
    <w:rsid w:val="00E104B9"/>
    <w:rsid w:val="00E10996"/>
    <w:rsid w:val="00E10F09"/>
    <w:rsid w:val="00E1103B"/>
    <w:rsid w:val="00E114E2"/>
    <w:rsid w:val="00E11A08"/>
    <w:rsid w:val="00E11ED8"/>
    <w:rsid w:val="00E12348"/>
    <w:rsid w:val="00E12A17"/>
    <w:rsid w:val="00E139F8"/>
    <w:rsid w:val="00E1402A"/>
    <w:rsid w:val="00E15042"/>
    <w:rsid w:val="00E159CF"/>
    <w:rsid w:val="00E15A4C"/>
    <w:rsid w:val="00E15AE9"/>
    <w:rsid w:val="00E15B1D"/>
    <w:rsid w:val="00E15B65"/>
    <w:rsid w:val="00E16322"/>
    <w:rsid w:val="00E1686B"/>
    <w:rsid w:val="00E17021"/>
    <w:rsid w:val="00E174F5"/>
    <w:rsid w:val="00E179CE"/>
    <w:rsid w:val="00E17A4D"/>
    <w:rsid w:val="00E17B44"/>
    <w:rsid w:val="00E17E58"/>
    <w:rsid w:val="00E17FAE"/>
    <w:rsid w:val="00E20116"/>
    <w:rsid w:val="00E2075C"/>
    <w:rsid w:val="00E20AD1"/>
    <w:rsid w:val="00E20C1A"/>
    <w:rsid w:val="00E21952"/>
    <w:rsid w:val="00E219CC"/>
    <w:rsid w:val="00E21C9D"/>
    <w:rsid w:val="00E2201F"/>
    <w:rsid w:val="00E221C2"/>
    <w:rsid w:val="00E2231F"/>
    <w:rsid w:val="00E22A47"/>
    <w:rsid w:val="00E22C39"/>
    <w:rsid w:val="00E24574"/>
    <w:rsid w:val="00E24C52"/>
    <w:rsid w:val="00E24D72"/>
    <w:rsid w:val="00E25781"/>
    <w:rsid w:val="00E26432"/>
    <w:rsid w:val="00E26D0F"/>
    <w:rsid w:val="00E278C4"/>
    <w:rsid w:val="00E27BBD"/>
    <w:rsid w:val="00E27FEA"/>
    <w:rsid w:val="00E3138E"/>
    <w:rsid w:val="00E31873"/>
    <w:rsid w:val="00E31AD1"/>
    <w:rsid w:val="00E3211F"/>
    <w:rsid w:val="00E32510"/>
    <w:rsid w:val="00E327F7"/>
    <w:rsid w:val="00E33AF3"/>
    <w:rsid w:val="00E3442B"/>
    <w:rsid w:val="00E3606F"/>
    <w:rsid w:val="00E3607E"/>
    <w:rsid w:val="00E363B1"/>
    <w:rsid w:val="00E36D16"/>
    <w:rsid w:val="00E37626"/>
    <w:rsid w:val="00E37863"/>
    <w:rsid w:val="00E37EBD"/>
    <w:rsid w:val="00E4030D"/>
    <w:rsid w:val="00E40353"/>
    <w:rsid w:val="00E4086F"/>
    <w:rsid w:val="00E40934"/>
    <w:rsid w:val="00E40AD9"/>
    <w:rsid w:val="00E40D25"/>
    <w:rsid w:val="00E410AD"/>
    <w:rsid w:val="00E414D5"/>
    <w:rsid w:val="00E421E8"/>
    <w:rsid w:val="00E42386"/>
    <w:rsid w:val="00E4293C"/>
    <w:rsid w:val="00E42CBF"/>
    <w:rsid w:val="00E42D2C"/>
    <w:rsid w:val="00E43396"/>
    <w:rsid w:val="00E4375E"/>
    <w:rsid w:val="00E43B3C"/>
    <w:rsid w:val="00E43C29"/>
    <w:rsid w:val="00E43C58"/>
    <w:rsid w:val="00E43D9B"/>
    <w:rsid w:val="00E44533"/>
    <w:rsid w:val="00E45537"/>
    <w:rsid w:val="00E458B4"/>
    <w:rsid w:val="00E45B9C"/>
    <w:rsid w:val="00E45E26"/>
    <w:rsid w:val="00E461E7"/>
    <w:rsid w:val="00E4654E"/>
    <w:rsid w:val="00E46957"/>
    <w:rsid w:val="00E46B87"/>
    <w:rsid w:val="00E46C67"/>
    <w:rsid w:val="00E4733A"/>
    <w:rsid w:val="00E47B96"/>
    <w:rsid w:val="00E47C46"/>
    <w:rsid w:val="00E50005"/>
    <w:rsid w:val="00E50188"/>
    <w:rsid w:val="00E51257"/>
    <w:rsid w:val="00E515CB"/>
    <w:rsid w:val="00E51676"/>
    <w:rsid w:val="00E51901"/>
    <w:rsid w:val="00E519AD"/>
    <w:rsid w:val="00E51D76"/>
    <w:rsid w:val="00E52110"/>
    <w:rsid w:val="00E52260"/>
    <w:rsid w:val="00E52543"/>
    <w:rsid w:val="00E526E7"/>
    <w:rsid w:val="00E52B7A"/>
    <w:rsid w:val="00E53089"/>
    <w:rsid w:val="00E532F9"/>
    <w:rsid w:val="00E53910"/>
    <w:rsid w:val="00E53B90"/>
    <w:rsid w:val="00E53BA2"/>
    <w:rsid w:val="00E54284"/>
    <w:rsid w:val="00E542DD"/>
    <w:rsid w:val="00E5474B"/>
    <w:rsid w:val="00E56893"/>
    <w:rsid w:val="00E570D2"/>
    <w:rsid w:val="00E60246"/>
    <w:rsid w:val="00E618FF"/>
    <w:rsid w:val="00E62DD4"/>
    <w:rsid w:val="00E639B6"/>
    <w:rsid w:val="00E63DE4"/>
    <w:rsid w:val="00E6434B"/>
    <w:rsid w:val="00E6463D"/>
    <w:rsid w:val="00E64BE3"/>
    <w:rsid w:val="00E64FCD"/>
    <w:rsid w:val="00E6673E"/>
    <w:rsid w:val="00E66804"/>
    <w:rsid w:val="00E66F10"/>
    <w:rsid w:val="00E673D1"/>
    <w:rsid w:val="00E679C0"/>
    <w:rsid w:val="00E70451"/>
    <w:rsid w:val="00E7138F"/>
    <w:rsid w:val="00E720E3"/>
    <w:rsid w:val="00E72E9B"/>
    <w:rsid w:val="00E73504"/>
    <w:rsid w:val="00E73F18"/>
    <w:rsid w:val="00E73FBC"/>
    <w:rsid w:val="00E740E6"/>
    <w:rsid w:val="00E748E1"/>
    <w:rsid w:val="00E74A55"/>
    <w:rsid w:val="00E74A82"/>
    <w:rsid w:val="00E74E56"/>
    <w:rsid w:val="00E7530D"/>
    <w:rsid w:val="00E755CE"/>
    <w:rsid w:val="00E75860"/>
    <w:rsid w:val="00E75A51"/>
    <w:rsid w:val="00E76E4D"/>
    <w:rsid w:val="00E771F1"/>
    <w:rsid w:val="00E77801"/>
    <w:rsid w:val="00E77A40"/>
    <w:rsid w:val="00E77C46"/>
    <w:rsid w:val="00E77C5F"/>
    <w:rsid w:val="00E77D6F"/>
    <w:rsid w:val="00E800CA"/>
    <w:rsid w:val="00E8013D"/>
    <w:rsid w:val="00E806E8"/>
    <w:rsid w:val="00E80E4E"/>
    <w:rsid w:val="00E80EA1"/>
    <w:rsid w:val="00E810CD"/>
    <w:rsid w:val="00E8110B"/>
    <w:rsid w:val="00E813A6"/>
    <w:rsid w:val="00E8142B"/>
    <w:rsid w:val="00E82A50"/>
    <w:rsid w:val="00E82AEE"/>
    <w:rsid w:val="00E82BA2"/>
    <w:rsid w:val="00E82F7E"/>
    <w:rsid w:val="00E836B8"/>
    <w:rsid w:val="00E849DA"/>
    <w:rsid w:val="00E85463"/>
    <w:rsid w:val="00E863E7"/>
    <w:rsid w:val="00E867E3"/>
    <w:rsid w:val="00E8688B"/>
    <w:rsid w:val="00E86958"/>
    <w:rsid w:val="00E86B86"/>
    <w:rsid w:val="00E86EFB"/>
    <w:rsid w:val="00E87B97"/>
    <w:rsid w:val="00E87BF3"/>
    <w:rsid w:val="00E87E88"/>
    <w:rsid w:val="00E9079B"/>
    <w:rsid w:val="00E90D85"/>
    <w:rsid w:val="00E90DDE"/>
    <w:rsid w:val="00E911F2"/>
    <w:rsid w:val="00E9156E"/>
    <w:rsid w:val="00E91822"/>
    <w:rsid w:val="00E9189F"/>
    <w:rsid w:val="00E92D6F"/>
    <w:rsid w:val="00E93A9B"/>
    <w:rsid w:val="00E93D02"/>
    <w:rsid w:val="00E93F8A"/>
    <w:rsid w:val="00E94015"/>
    <w:rsid w:val="00E9447C"/>
    <w:rsid w:val="00E944A7"/>
    <w:rsid w:val="00E9462E"/>
    <w:rsid w:val="00E947FD"/>
    <w:rsid w:val="00E94DD2"/>
    <w:rsid w:val="00E957A1"/>
    <w:rsid w:val="00E96043"/>
    <w:rsid w:val="00E9638D"/>
    <w:rsid w:val="00E963C8"/>
    <w:rsid w:val="00E964E4"/>
    <w:rsid w:val="00E97197"/>
    <w:rsid w:val="00E974D3"/>
    <w:rsid w:val="00E97E0F"/>
    <w:rsid w:val="00EA15E5"/>
    <w:rsid w:val="00EA1AEE"/>
    <w:rsid w:val="00EA1B34"/>
    <w:rsid w:val="00EA25D4"/>
    <w:rsid w:val="00EA2937"/>
    <w:rsid w:val="00EA2CDC"/>
    <w:rsid w:val="00EA33AF"/>
    <w:rsid w:val="00EA3E15"/>
    <w:rsid w:val="00EA430F"/>
    <w:rsid w:val="00EA470E"/>
    <w:rsid w:val="00EA47A7"/>
    <w:rsid w:val="00EA503A"/>
    <w:rsid w:val="00EA57EB"/>
    <w:rsid w:val="00EA5B00"/>
    <w:rsid w:val="00EA69B7"/>
    <w:rsid w:val="00EA77D8"/>
    <w:rsid w:val="00EA7F7E"/>
    <w:rsid w:val="00EB0AC8"/>
    <w:rsid w:val="00EB102C"/>
    <w:rsid w:val="00EB11C7"/>
    <w:rsid w:val="00EB14C8"/>
    <w:rsid w:val="00EB15DC"/>
    <w:rsid w:val="00EB21AD"/>
    <w:rsid w:val="00EB2277"/>
    <w:rsid w:val="00EB3226"/>
    <w:rsid w:val="00EB4268"/>
    <w:rsid w:val="00EB4270"/>
    <w:rsid w:val="00EB4346"/>
    <w:rsid w:val="00EB4591"/>
    <w:rsid w:val="00EB4790"/>
    <w:rsid w:val="00EB4C53"/>
    <w:rsid w:val="00EB5350"/>
    <w:rsid w:val="00EB545E"/>
    <w:rsid w:val="00EB550F"/>
    <w:rsid w:val="00EB5F05"/>
    <w:rsid w:val="00EB6AC0"/>
    <w:rsid w:val="00EB6BF6"/>
    <w:rsid w:val="00EB7320"/>
    <w:rsid w:val="00EC0F67"/>
    <w:rsid w:val="00EC19FE"/>
    <w:rsid w:val="00EC1FDD"/>
    <w:rsid w:val="00EC213A"/>
    <w:rsid w:val="00EC2B72"/>
    <w:rsid w:val="00EC34A1"/>
    <w:rsid w:val="00EC3583"/>
    <w:rsid w:val="00EC3711"/>
    <w:rsid w:val="00EC3F31"/>
    <w:rsid w:val="00EC4541"/>
    <w:rsid w:val="00EC48D7"/>
    <w:rsid w:val="00EC5AB6"/>
    <w:rsid w:val="00EC5DE1"/>
    <w:rsid w:val="00EC63AB"/>
    <w:rsid w:val="00EC6603"/>
    <w:rsid w:val="00EC68BC"/>
    <w:rsid w:val="00EC73D9"/>
    <w:rsid w:val="00EC74DE"/>
    <w:rsid w:val="00EC7537"/>
    <w:rsid w:val="00EC7744"/>
    <w:rsid w:val="00EC79D2"/>
    <w:rsid w:val="00EC79E0"/>
    <w:rsid w:val="00EC7BDA"/>
    <w:rsid w:val="00EC7C7E"/>
    <w:rsid w:val="00EC7FFD"/>
    <w:rsid w:val="00ED09D2"/>
    <w:rsid w:val="00ED0BBD"/>
    <w:rsid w:val="00ED0DAD"/>
    <w:rsid w:val="00ED0F46"/>
    <w:rsid w:val="00ED0FB1"/>
    <w:rsid w:val="00ED131F"/>
    <w:rsid w:val="00ED1E8A"/>
    <w:rsid w:val="00ED2373"/>
    <w:rsid w:val="00ED24FB"/>
    <w:rsid w:val="00ED2F6A"/>
    <w:rsid w:val="00ED30FF"/>
    <w:rsid w:val="00ED31E7"/>
    <w:rsid w:val="00ED40C0"/>
    <w:rsid w:val="00ED4B40"/>
    <w:rsid w:val="00ED5781"/>
    <w:rsid w:val="00ED5D99"/>
    <w:rsid w:val="00ED6090"/>
    <w:rsid w:val="00ED6175"/>
    <w:rsid w:val="00ED6203"/>
    <w:rsid w:val="00ED6475"/>
    <w:rsid w:val="00ED6A27"/>
    <w:rsid w:val="00ED6B1B"/>
    <w:rsid w:val="00ED706A"/>
    <w:rsid w:val="00ED70D2"/>
    <w:rsid w:val="00ED71A6"/>
    <w:rsid w:val="00EE011F"/>
    <w:rsid w:val="00EE0B96"/>
    <w:rsid w:val="00EE1070"/>
    <w:rsid w:val="00EE11C3"/>
    <w:rsid w:val="00EE16F9"/>
    <w:rsid w:val="00EE1984"/>
    <w:rsid w:val="00EE19B4"/>
    <w:rsid w:val="00EE1AC7"/>
    <w:rsid w:val="00EE1B6C"/>
    <w:rsid w:val="00EE28E5"/>
    <w:rsid w:val="00EE2954"/>
    <w:rsid w:val="00EE3159"/>
    <w:rsid w:val="00EE323D"/>
    <w:rsid w:val="00EE34C1"/>
    <w:rsid w:val="00EE3846"/>
    <w:rsid w:val="00EE3E8A"/>
    <w:rsid w:val="00EE4203"/>
    <w:rsid w:val="00EE450B"/>
    <w:rsid w:val="00EE4971"/>
    <w:rsid w:val="00EE4CC8"/>
    <w:rsid w:val="00EE51EA"/>
    <w:rsid w:val="00EE5233"/>
    <w:rsid w:val="00EE53AF"/>
    <w:rsid w:val="00EE6928"/>
    <w:rsid w:val="00EE69A3"/>
    <w:rsid w:val="00EE703B"/>
    <w:rsid w:val="00EE72B4"/>
    <w:rsid w:val="00EE771D"/>
    <w:rsid w:val="00EF074E"/>
    <w:rsid w:val="00EF091D"/>
    <w:rsid w:val="00EF0A11"/>
    <w:rsid w:val="00EF100E"/>
    <w:rsid w:val="00EF1E22"/>
    <w:rsid w:val="00EF2144"/>
    <w:rsid w:val="00EF2C67"/>
    <w:rsid w:val="00EF2F2D"/>
    <w:rsid w:val="00EF2F76"/>
    <w:rsid w:val="00EF305E"/>
    <w:rsid w:val="00EF365E"/>
    <w:rsid w:val="00EF3AA5"/>
    <w:rsid w:val="00EF4BAD"/>
    <w:rsid w:val="00EF4CD3"/>
    <w:rsid w:val="00EF616B"/>
    <w:rsid w:val="00EF6570"/>
    <w:rsid w:val="00EF6BB4"/>
    <w:rsid w:val="00EF6ECA"/>
    <w:rsid w:val="00EF7121"/>
    <w:rsid w:val="00EF7A11"/>
    <w:rsid w:val="00EF7E8A"/>
    <w:rsid w:val="00F0054B"/>
    <w:rsid w:val="00F00A59"/>
    <w:rsid w:val="00F00E6B"/>
    <w:rsid w:val="00F01A56"/>
    <w:rsid w:val="00F01DCD"/>
    <w:rsid w:val="00F01FA4"/>
    <w:rsid w:val="00F0204E"/>
    <w:rsid w:val="00F020AD"/>
    <w:rsid w:val="00F0230E"/>
    <w:rsid w:val="00F024E1"/>
    <w:rsid w:val="00F0266A"/>
    <w:rsid w:val="00F0320A"/>
    <w:rsid w:val="00F0388E"/>
    <w:rsid w:val="00F03CD1"/>
    <w:rsid w:val="00F03FDD"/>
    <w:rsid w:val="00F045D8"/>
    <w:rsid w:val="00F04660"/>
    <w:rsid w:val="00F04865"/>
    <w:rsid w:val="00F04D12"/>
    <w:rsid w:val="00F05080"/>
    <w:rsid w:val="00F05A0F"/>
    <w:rsid w:val="00F06202"/>
    <w:rsid w:val="00F066F7"/>
    <w:rsid w:val="00F06AB1"/>
    <w:rsid w:val="00F06C10"/>
    <w:rsid w:val="00F075B5"/>
    <w:rsid w:val="00F07794"/>
    <w:rsid w:val="00F07F4D"/>
    <w:rsid w:val="00F10033"/>
    <w:rsid w:val="00F1096F"/>
    <w:rsid w:val="00F10CA7"/>
    <w:rsid w:val="00F10D7B"/>
    <w:rsid w:val="00F12589"/>
    <w:rsid w:val="00F12595"/>
    <w:rsid w:val="00F134D9"/>
    <w:rsid w:val="00F13D6F"/>
    <w:rsid w:val="00F13FF8"/>
    <w:rsid w:val="00F1403D"/>
    <w:rsid w:val="00F142D5"/>
    <w:rsid w:val="00F1463F"/>
    <w:rsid w:val="00F156BB"/>
    <w:rsid w:val="00F1594E"/>
    <w:rsid w:val="00F15D96"/>
    <w:rsid w:val="00F15DD0"/>
    <w:rsid w:val="00F16006"/>
    <w:rsid w:val="00F17706"/>
    <w:rsid w:val="00F17A8F"/>
    <w:rsid w:val="00F20305"/>
    <w:rsid w:val="00F20D32"/>
    <w:rsid w:val="00F21302"/>
    <w:rsid w:val="00F214E5"/>
    <w:rsid w:val="00F21A4E"/>
    <w:rsid w:val="00F21AAC"/>
    <w:rsid w:val="00F22514"/>
    <w:rsid w:val="00F226D0"/>
    <w:rsid w:val="00F23B00"/>
    <w:rsid w:val="00F23D80"/>
    <w:rsid w:val="00F23DDA"/>
    <w:rsid w:val="00F2546B"/>
    <w:rsid w:val="00F2573E"/>
    <w:rsid w:val="00F259E8"/>
    <w:rsid w:val="00F26253"/>
    <w:rsid w:val="00F263C6"/>
    <w:rsid w:val="00F26AA2"/>
    <w:rsid w:val="00F270D5"/>
    <w:rsid w:val="00F2712D"/>
    <w:rsid w:val="00F27314"/>
    <w:rsid w:val="00F27B79"/>
    <w:rsid w:val="00F27BB8"/>
    <w:rsid w:val="00F30AE9"/>
    <w:rsid w:val="00F30FE9"/>
    <w:rsid w:val="00F31A8E"/>
    <w:rsid w:val="00F31CDD"/>
    <w:rsid w:val="00F321DE"/>
    <w:rsid w:val="00F32F9B"/>
    <w:rsid w:val="00F33728"/>
    <w:rsid w:val="00F33777"/>
    <w:rsid w:val="00F3388C"/>
    <w:rsid w:val="00F339E2"/>
    <w:rsid w:val="00F33B26"/>
    <w:rsid w:val="00F33E53"/>
    <w:rsid w:val="00F33F61"/>
    <w:rsid w:val="00F34301"/>
    <w:rsid w:val="00F343D1"/>
    <w:rsid w:val="00F349CB"/>
    <w:rsid w:val="00F34CF5"/>
    <w:rsid w:val="00F35779"/>
    <w:rsid w:val="00F35ADB"/>
    <w:rsid w:val="00F3633D"/>
    <w:rsid w:val="00F373B4"/>
    <w:rsid w:val="00F37884"/>
    <w:rsid w:val="00F3797B"/>
    <w:rsid w:val="00F40648"/>
    <w:rsid w:val="00F40E8B"/>
    <w:rsid w:val="00F42CDA"/>
    <w:rsid w:val="00F4383E"/>
    <w:rsid w:val="00F438F4"/>
    <w:rsid w:val="00F4393A"/>
    <w:rsid w:val="00F44753"/>
    <w:rsid w:val="00F447D8"/>
    <w:rsid w:val="00F44BD9"/>
    <w:rsid w:val="00F451EA"/>
    <w:rsid w:val="00F45D0B"/>
    <w:rsid w:val="00F45FBC"/>
    <w:rsid w:val="00F46CFF"/>
    <w:rsid w:val="00F46D06"/>
    <w:rsid w:val="00F47385"/>
    <w:rsid w:val="00F47AA5"/>
    <w:rsid w:val="00F47D72"/>
    <w:rsid w:val="00F47DA2"/>
    <w:rsid w:val="00F503E5"/>
    <w:rsid w:val="00F519FC"/>
    <w:rsid w:val="00F51C78"/>
    <w:rsid w:val="00F531E5"/>
    <w:rsid w:val="00F5337F"/>
    <w:rsid w:val="00F53701"/>
    <w:rsid w:val="00F54A05"/>
    <w:rsid w:val="00F54D22"/>
    <w:rsid w:val="00F54D78"/>
    <w:rsid w:val="00F5500C"/>
    <w:rsid w:val="00F550FD"/>
    <w:rsid w:val="00F55780"/>
    <w:rsid w:val="00F55AC2"/>
    <w:rsid w:val="00F55C0B"/>
    <w:rsid w:val="00F56346"/>
    <w:rsid w:val="00F56A48"/>
    <w:rsid w:val="00F56C6A"/>
    <w:rsid w:val="00F56E28"/>
    <w:rsid w:val="00F57C9E"/>
    <w:rsid w:val="00F602D9"/>
    <w:rsid w:val="00F619A1"/>
    <w:rsid w:val="00F620CC"/>
    <w:rsid w:val="00F6239D"/>
    <w:rsid w:val="00F62731"/>
    <w:rsid w:val="00F63720"/>
    <w:rsid w:val="00F63C4A"/>
    <w:rsid w:val="00F640BD"/>
    <w:rsid w:val="00F6434F"/>
    <w:rsid w:val="00F65118"/>
    <w:rsid w:val="00F66926"/>
    <w:rsid w:val="00F66D1A"/>
    <w:rsid w:val="00F6705F"/>
    <w:rsid w:val="00F67079"/>
    <w:rsid w:val="00F673FF"/>
    <w:rsid w:val="00F67807"/>
    <w:rsid w:val="00F70490"/>
    <w:rsid w:val="00F70884"/>
    <w:rsid w:val="00F7142B"/>
    <w:rsid w:val="00F715D2"/>
    <w:rsid w:val="00F71A50"/>
    <w:rsid w:val="00F71F11"/>
    <w:rsid w:val="00F720AA"/>
    <w:rsid w:val="00F723AD"/>
    <w:rsid w:val="00F7274F"/>
    <w:rsid w:val="00F72FF8"/>
    <w:rsid w:val="00F735D0"/>
    <w:rsid w:val="00F73A75"/>
    <w:rsid w:val="00F73E3A"/>
    <w:rsid w:val="00F74128"/>
    <w:rsid w:val="00F74233"/>
    <w:rsid w:val="00F749E7"/>
    <w:rsid w:val="00F74BA2"/>
    <w:rsid w:val="00F75384"/>
    <w:rsid w:val="00F75F61"/>
    <w:rsid w:val="00F760BF"/>
    <w:rsid w:val="00F762D8"/>
    <w:rsid w:val="00F76529"/>
    <w:rsid w:val="00F76B29"/>
    <w:rsid w:val="00F76FA8"/>
    <w:rsid w:val="00F77A46"/>
    <w:rsid w:val="00F77F98"/>
    <w:rsid w:val="00F8037F"/>
    <w:rsid w:val="00F80F4E"/>
    <w:rsid w:val="00F817AD"/>
    <w:rsid w:val="00F82067"/>
    <w:rsid w:val="00F82AFA"/>
    <w:rsid w:val="00F83797"/>
    <w:rsid w:val="00F84442"/>
    <w:rsid w:val="00F84715"/>
    <w:rsid w:val="00F8503F"/>
    <w:rsid w:val="00F853C4"/>
    <w:rsid w:val="00F85517"/>
    <w:rsid w:val="00F85A97"/>
    <w:rsid w:val="00F86233"/>
    <w:rsid w:val="00F8635E"/>
    <w:rsid w:val="00F86F85"/>
    <w:rsid w:val="00F87ABB"/>
    <w:rsid w:val="00F90945"/>
    <w:rsid w:val="00F90BAC"/>
    <w:rsid w:val="00F90EE3"/>
    <w:rsid w:val="00F91CAE"/>
    <w:rsid w:val="00F91FC7"/>
    <w:rsid w:val="00F936A4"/>
    <w:rsid w:val="00F93BCB"/>
    <w:rsid w:val="00F93D52"/>
    <w:rsid w:val="00F93F08"/>
    <w:rsid w:val="00F9453A"/>
    <w:rsid w:val="00F94CED"/>
    <w:rsid w:val="00F95409"/>
    <w:rsid w:val="00F95ED0"/>
    <w:rsid w:val="00F96AEC"/>
    <w:rsid w:val="00F97414"/>
    <w:rsid w:val="00F974A9"/>
    <w:rsid w:val="00F97A58"/>
    <w:rsid w:val="00FA17D9"/>
    <w:rsid w:val="00FA2CEE"/>
    <w:rsid w:val="00FA318C"/>
    <w:rsid w:val="00FA410F"/>
    <w:rsid w:val="00FA4765"/>
    <w:rsid w:val="00FA4A25"/>
    <w:rsid w:val="00FA4C7A"/>
    <w:rsid w:val="00FA4E0B"/>
    <w:rsid w:val="00FA5E1F"/>
    <w:rsid w:val="00FA5E88"/>
    <w:rsid w:val="00FA6BF4"/>
    <w:rsid w:val="00FA6CFA"/>
    <w:rsid w:val="00FA78F2"/>
    <w:rsid w:val="00FA7B86"/>
    <w:rsid w:val="00FB0C11"/>
    <w:rsid w:val="00FB0D95"/>
    <w:rsid w:val="00FB1162"/>
    <w:rsid w:val="00FB1640"/>
    <w:rsid w:val="00FB17B4"/>
    <w:rsid w:val="00FB2303"/>
    <w:rsid w:val="00FB2565"/>
    <w:rsid w:val="00FB306F"/>
    <w:rsid w:val="00FB38E9"/>
    <w:rsid w:val="00FB3AE2"/>
    <w:rsid w:val="00FB3C31"/>
    <w:rsid w:val="00FB3CCC"/>
    <w:rsid w:val="00FB4D98"/>
    <w:rsid w:val="00FB4E23"/>
    <w:rsid w:val="00FB4EFE"/>
    <w:rsid w:val="00FB55BA"/>
    <w:rsid w:val="00FB5B15"/>
    <w:rsid w:val="00FB5B30"/>
    <w:rsid w:val="00FB60A0"/>
    <w:rsid w:val="00FB6255"/>
    <w:rsid w:val="00FB6F92"/>
    <w:rsid w:val="00FB7145"/>
    <w:rsid w:val="00FB7A10"/>
    <w:rsid w:val="00FB7E32"/>
    <w:rsid w:val="00FC026E"/>
    <w:rsid w:val="00FC099D"/>
    <w:rsid w:val="00FC0EEA"/>
    <w:rsid w:val="00FC141F"/>
    <w:rsid w:val="00FC1771"/>
    <w:rsid w:val="00FC1E47"/>
    <w:rsid w:val="00FC1F89"/>
    <w:rsid w:val="00FC2B5F"/>
    <w:rsid w:val="00FC31C6"/>
    <w:rsid w:val="00FC3A22"/>
    <w:rsid w:val="00FC3CCD"/>
    <w:rsid w:val="00FC3E16"/>
    <w:rsid w:val="00FC41ED"/>
    <w:rsid w:val="00FC495D"/>
    <w:rsid w:val="00FC4F94"/>
    <w:rsid w:val="00FC5124"/>
    <w:rsid w:val="00FC5321"/>
    <w:rsid w:val="00FC534A"/>
    <w:rsid w:val="00FC613F"/>
    <w:rsid w:val="00FC65C1"/>
    <w:rsid w:val="00FC6EC6"/>
    <w:rsid w:val="00FC781E"/>
    <w:rsid w:val="00FC7CD5"/>
    <w:rsid w:val="00FD0228"/>
    <w:rsid w:val="00FD04A9"/>
    <w:rsid w:val="00FD14D8"/>
    <w:rsid w:val="00FD1B0E"/>
    <w:rsid w:val="00FD230A"/>
    <w:rsid w:val="00FD320A"/>
    <w:rsid w:val="00FD3F15"/>
    <w:rsid w:val="00FD4731"/>
    <w:rsid w:val="00FD4F78"/>
    <w:rsid w:val="00FD5083"/>
    <w:rsid w:val="00FD52CC"/>
    <w:rsid w:val="00FD53C2"/>
    <w:rsid w:val="00FD55FD"/>
    <w:rsid w:val="00FD560C"/>
    <w:rsid w:val="00FD66F8"/>
    <w:rsid w:val="00FD6B08"/>
    <w:rsid w:val="00FD73B0"/>
    <w:rsid w:val="00FD7723"/>
    <w:rsid w:val="00FE0C8E"/>
    <w:rsid w:val="00FE12B7"/>
    <w:rsid w:val="00FE1867"/>
    <w:rsid w:val="00FE1EA1"/>
    <w:rsid w:val="00FE2139"/>
    <w:rsid w:val="00FE3AF2"/>
    <w:rsid w:val="00FE4974"/>
    <w:rsid w:val="00FE4C84"/>
    <w:rsid w:val="00FE517D"/>
    <w:rsid w:val="00FE5977"/>
    <w:rsid w:val="00FE7B5F"/>
    <w:rsid w:val="00FE7D80"/>
    <w:rsid w:val="00FF0405"/>
    <w:rsid w:val="00FF0471"/>
    <w:rsid w:val="00FF056E"/>
    <w:rsid w:val="00FF0AB0"/>
    <w:rsid w:val="00FF1BBE"/>
    <w:rsid w:val="00FF1C71"/>
    <w:rsid w:val="00FF28AC"/>
    <w:rsid w:val="00FF305F"/>
    <w:rsid w:val="00FF38CC"/>
    <w:rsid w:val="00FF3982"/>
    <w:rsid w:val="00FF3C3E"/>
    <w:rsid w:val="00FF4632"/>
    <w:rsid w:val="00FF46BE"/>
    <w:rsid w:val="00FF474E"/>
    <w:rsid w:val="00FF48B7"/>
    <w:rsid w:val="00FF4946"/>
    <w:rsid w:val="00FF5562"/>
    <w:rsid w:val="00FF5885"/>
    <w:rsid w:val="00FF5927"/>
    <w:rsid w:val="00FF63A5"/>
    <w:rsid w:val="00FF6913"/>
    <w:rsid w:val="00FF6945"/>
    <w:rsid w:val="00FF6E1D"/>
    <w:rsid w:val="00FF79CF"/>
    <w:rsid w:val="00FF7F62"/>
    <w:rsid w:val="0103D7F0"/>
    <w:rsid w:val="012D5F20"/>
    <w:rsid w:val="013D0FC8"/>
    <w:rsid w:val="0162D46B"/>
    <w:rsid w:val="01BE53CE"/>
    <w:rsid w:val="01BFA1E5"/>
    <w:rsid w:val="01C15E57"/>
    <w:rsid w:val="01D3C632"/>
    <w:rsid w:val="01FB2825"/>
    <w:rsid w:val="020B8598"/>
    <w:rsid w:val="02335445"/>
    <w:rsid w:val="02400EF8"/>
    <w:rsid w:val="02AC87FB"/>
    <w:rsid w:val="039F595A"/>
    <w:rsid w:val="04185FD2"/>
    <w:rsid w:val="0433EBD8"/>
    <w:rsid w:val="048E294D"/>
    <w:rsid w:val="0512FB1F"/>
    <w:rsid w:val="05506D46"/>
    <w:rsid w:val="0572A79A"/>
    <w:rsid w:val="05AA53CE"/>
    <w:rsid w:val="05B8F91F"/>
    <w:rsid w:val="05C216F3"/>
    <w:rsid w:val="05F8FE39"/>
    <w:rsid w:val="061E9A25"/>
    <w:rsid w:val="064F524F"/>
    <w:rsid w:val="06F0C610"/>
    <w:rsid w:val="071B895B"/>
    <w:rsid w:val="071E0D5D"/>
    <w:rsid w:val="075B740C"/>
    <w:rsid w:val="077013E6"/>
    <w:rsid w:val="07A91807"/>
    <w:rsid w:val="07D0EDF1"/>
    <w:rsid w:val="0827F570"/>
    <w:rsid w:val="0829BABF"/>
    <w:rsid w:val="0846BCBD"/>
    <w:rsid w:val="0889015C"/>
    <w:rsid w:val="08DCEEC7"/>
    <w:rsid w:val="08DEAC0C"/>
    <w:rsid w:val="09ABFB9E"/>
    <w:rsid w:val="09DA82D0"/>
    <w:rsid w:val="09DF0FCC"/>
    <w:rsid w:val="0A0FC80A"/>
    <w:rsid w:val="0AA765CD"/>
    <w:rsid w:val="0AA93AB1"/>
    <w:rsid w:val="0AD09396"/>
    <w:rsid w:val="0AF001FC"/>
    <w:rsid w:val="0B1886FE"/>
    <w:rsid w:val="0B3BCADA"/>
    <w:rsid w:val="0B40842B"/>
    <w:rsid w:val="0B644833"/>
    <w:rsid w:val="0B81635A"/>
    <w:rsid w:val="0BBE0ED7"/>
    <w:rsid w:val="0C444967"/>
    <w:rsid w:val="0C85505D"/>
    <w:rsid w:val="0C92D52E"/>
    <w:rsid w:val="0D345B97"/>
    <w:rsid w:val="0D92B6B7"/>
    <w:rsid w:val="0DF8B982"/>
    <w:rsid w:val="0E219F8E"/>
    <w:rsid w:val="0E54EF45"/>
    <w:rsid w:val="0E715E80"/>
    <w:rsid w:val="0ECA2164"/>
    <w:rsid w:val="0ECE7F0B"/>
    <w:rsid w:val="0EDEAEA6"/>
    <w:rsid w:val="0EF5D717"/>
    <w:rsid w:val="0F215DB0"/>
    <w:rsid w:val="0F45DD4B"/>
    <w:rsid w:val="0F9759BD"/>
    <w:rsid w:val="0FC02B4F"/>
    <w:rsid w:val="0FF3B412"/>
    <w:rsid w:val="10115805"/>
    <w:rsid w:val="11281069"/>
    <w:rsid w:val="11286E26"/>
    <w:rsid w:val="1159D4FD"/>
    <w:rsid w:val="11734190"/>
    <w:rsid w:val="1190466B"/>
    <w:rsid w:val="11A533E9"/>
    <w:rsid w:val="11F549DF"/>
    <w:rsid w:val="12197AB0"/>
    <w:rsid w:val="12340536"/>
    <w:rsid w:val="125EC2C1"/>
    <w:rsid w:val="127B3B86"/>
    <w:rsid w:val="128D93C6"/>
    <w:rsid w:val="12A06FD4"/>
    <w:rsid w:val="12D0E993"/>
    <w:rsid w:val="12F56FC8"/>
    <w:rsid w:val="12F670F1"/>
    <w:rsid w:val="133C2447"/>
    <w:rsid w:val="13A91AD6"/>
    <w:rsid w:val="1404ECC9"/>
    <w:rsid w:val="140C8C63"/>
    <w:rsid w:val="147FE376"/>
    <w:rsid w:val="1487E7EC"/>
    <w:rsid w:val="14927F9F"/>
    <w:rsid w:val="1494C365"/>
    <w:rsid w:val="149D07AC"/>
    <w:rsid w:val="14BA2797"/>
    <w:rsid w:val="14CF96F1"/>
    <w:rsid w:val="14FC7090"/>
    <w:rsid w:val="156E809B"/>
    <w:rsid w:val="15979536"/>
    <w:rsid w:val="15A0ADFE"/>
    <w:rsid w:val="15A235D5"/>
    <w:rsid w:val="15AAE5D5"/>
    <w:rsid w:val="15FA3F04"/>
    <w:rsid w:val="1649C358"/>
    <w:rsid w:val="164DBA8E"/>
    <w:rsid w:val="1671B68C"/>
    <w:rsid w:val="1679042B"/>
    <w:rsid w:val="1697F9DD"/>
    <w:rsid w:val="16C7006F"/>
    <w:rsid w:val="17617AD0"/>
    <w:rsid w:val="1783A794"/>
    <w:rsid w:val="179A6A74"/>
    <w:rsid w:val="179FB39C"/>
    <w:rsid w:val="17E3E46B"/>
    <w:rsid w:val="1801084A"/>
    <w:rsid w:val="18480C84"/>
    <w:rsid w:val="185FED8B"/>
    <w:rsid w:val="187B5697"/>
    <w:rsid w:val="18A8BA9E"/>
    <w:rsid w:val="18B7F359"/>
    <w:rsid w:val="18DEFA47"/>
    <w:rsid w:val="18E122A5"/>
    <w:rsid w:val="18F0D8AA"/>
    <w:rsid w:val="18F8CDED"/>
    <w:rsid w:val="191B47E7"/>
    <w:rsid w:val="197C8803"/>
    <w:rsid w:val="1A1A3CFD"/>
    <w:rsid w:val="1A3DB5E3"/>
    <w:rsid w:val="1A421986"/>
    <w:rsid w:val="1AEA89AC"/>
    <w:rsid w:val="1AFCA5C6"/>
    <w:rsid w:val="1B453A4E"/>
    <w:rsid w:val="1B928FB6"/>
    <w:rsid w:val="1B94D433"/>
    <w:rsid w:val="1BB74336"/>
    <w:rsid w:val="1BBB9352"/>
    <w:rsid w:val="1BDB4D4F"/>
    <w:rsid w:val="1BF8ADB3"/>
    <w:rsid w:val="1C1AEFF8"/>
    <w:rsid w:val="1C345BD8"/>
    <w:rsid w:val="1C94D786"/>
    <w:rsid w:val="1CD7EEA4"/>
    <w:rsid w:val="1D11BB9B"/>
    <w:rsid w:val="1D130E0D"/>
    <w:rsid w:val="1D1FA06C"/>
    <w:rsid w:val="1D3AEE96"/>
    <w:rsid w:val="1D89564A"/>
    <w:rsid w:val="1E0CB8F3"/>
    <w:rsid w:val="1E5B0C3C"/>
    <w:rsid w:val="1E5C1007"/>
    <w:rsid w:val="1E70E152"/>
    <w:rsid w:val="1E92C864"/>
    <w:rsid w:val="1ED8EC6A"/>
    <w:rsid w:val="1F2C2486"/>
    <w:rsid w:val="1FF08544"/>
    <w:rsid w:val="1FFA18F7"/>
    <w:rsid w:val="1FFC1A27"/>
    <w:rsid w:val="2051D309"/>
    <w:rsid w:val="2086C717"/>
    <w:rsid w:val="20A000C5"/>
    <w:rsid w:val="20C43FCD"/>
    <w:rsid w:val="20CC70FC"/>
    <w:rsid w:val="20F39C81"/>
    <w:rsid w:val="2100E8F4"/>
    <w:rsid w:val="2167B51B"/>
    <w:rsid w:val="21804B77"/>
    <w:rsid w:val="21846B74"/>
    <w:rsid w:val="21D707F7"/>
    <w:rsid w:val="21E8DF89"/>
    <w:rsid w:val="22610425"/>
    <w:rsid w:val="2294194A"/>
    <w:rsid w:val="229BD89F"/>
    <w:rsid w:val="230D5B54"/>
    <w:rsid w:val="232D4E6E"/>
    <w:rsid w:val="23579576"/>
    <w:rsid w:val="2360CA86"/>
    <w:rsid w:val="238C36B8"/>
    <w:rsid w:val="23B330B5"/>
    <w:rsid w:val="242E817E"/>
    <w:rsid w:val="24F9BE95"/>
    <w:rsid w:val="25040791"/>
    <w:rsid w:val="256FBEEE"/>
    <w:rsid w:val="25F32B49"/>
    <w:rsid w:val="264D6E20"/>
    <w:rsid w:val="269362ED"/>
    <w:rsid w:val="26D8F261"/>
    <w:rsid w:val="27028AE7"/>
    <w:rsid w:val="275F8303"/>
    <w:rsid w:val="2773A187"/>
    <w:rsid w:val="2774E7EE"/>
    <w:rsid w:val="27A470C7"/>
    <w:rsid w:val="27C7DCB4"/>
    <w:rsid w:val="280ABC0D"/>
    <w:rsid w:val="282437F7"/>
    <w:rsid w:val="2881DB3F"/>
    <w:rsid w:val="28AF0691"/>
    <w:rsid w:val="28DBD897"/>
    <w:rsid w:val="2913C26D"/>
    <w:rsid w:val="29487091"/>
    <w:rsid w:val="294A4EC7"/>
    <w:rsid w:val="297E8278"/>
    <w:rsid w:val="298D7415"/>
    <w:rsid w:val="29F431F4"/>
    <w:rsid w:val="2A05F0BF"/>
    <w:rsid w:val="2A1AACB3"/>
    <w:rsid w:val="2A300CFD"/>
    <w:rsid w:val="2A7C4604"/>
    <w:rsid w:val="2AB3225D"/>
    <w:rsid w:val="2AC12A09"/>
    <w:rsid w:val="2AE2E9BD"/>
    <w:rsid w:val="2AEEC7D0"/>
    <w:rsid w:val="2B5B969C"/>
    <w:rsid w:val="2B75EF72"/>
    <w:rsid w:val="2BA3908F"/>
    <w:rsid w:val="2BD94831"/>
    <w:rsid w:val="2BD9F238"/>
    <w:rsid w:val="2C57BCE3"/>
    <w:rsid w:val="2CE51437"/>
    <w:rsid w:val="2CE6399F"/>
    <w:rsid w:val="2D1E55E4"/>
    <w:rsid w:val="2D483160"/>
    <w:rsid w:val="2D6D2166"/>
    <w:rsid w:val="2D6E5B37"/>
    <w:rsid w:val="2DAAC433"/>
    <w:rsid w:val="2DBA40F9"/>
    <w:rsid w:val="2E0A626D"/>
    <w:rsid w:val="2E59D179"/>
    <w:rsid w:val="2E75A0C7"/>
    <w:rsid w:val="2EB0E5E8"/>
    <w:rsid w:val="2F2953B7"/>
    <w:rsid w:val="2F47A6DE"/>
    <w:rsid w:val="2F5E6E17"/>
    <w:rsid w:val="2FD6AA15"/>
    <w:rsid w:val="2FF7127A"/>
    <w:rsid w:val="303BB4D7"/>
    <w:rsid w:val="30790DB6"/>
    <w:rsid w:val="308C3B8B"/>
    <w:rsid w:val="30C7F4AF"/>
    <w:rsid w:val="3169DCF3"/>
    <w:rsid w:val="31727E6A"/>
    <w:rsid w:val="317DBE8F"/>
    <w:rsid w:val="31C2F076"/>
    <w:rsid w:val="325F9E13"/>
    <w:rsid w:val="3276F576"/>
    <w:rsid w:val="32B3A25B"/>
    <w:rsid w:val="32EC2367"/>
    <w:rsid w:val="3309A2CE"/>
    <w:rsid w:val="3331525F"/>
    <w:rsid w:val="33437660"/>
    <w:rsid w:val="3350E705"/>
    <w:rsid w:val="33A07DD7"/>
    <w:rsid w:val="33BD8DA5"/>
    <w:rsid w:val="33BE2266"/>
    <w:rsid w:val="33FF8D3A"/>
    <w:rsid w:val="342D8BC7"/>
    <w:rsid w:val="343F2F43"/>
    <w:rsid w:val="3457B0C4"/>
    <w:rsid w:val="34B16BDC"/>
    <w:rsid w:val="3568C2D1"/>
    <w:rsid w:val="3568FFE8"/>
    <w:rsid w:val="359CBACA"/>
    <w:rsid w:val="35DB59F9"/>
    <w:rsid w:val="35F45027"/>
    <w:rsid w:val="360EAF6D"/>
    <w:rsid w:val="36546290"/>
    <w:rsid w:val="3658802B"/>
    <w:rsid w:val="365994B2"/>
    <w:rsid w:val="36AC40FD"/>
    <w:rsid w:val="36B2DB26"/>
    <w:rsid w:val="372BE67A"/>
    <w:rsid w:val="3747CE27"/>
    <w:rsid w:val="374E1112"/>
    <w:rsid w:val="377386CD"/>
    <w:rsid w:val="378975D2"/>
    <w:rsid w:val="378E8C0C"/>
    <w:rsid w:val="37915C3A"/>
    <w:rsid w:val="37BFCCCE"/>
    <w:rsid w:val="37FF9152"/>
    <w:rsid w:val="3812F99B"/>
    <w:rsid w:val="381F9E6D"/>
    <w:rsid w:val="386F6E5A"/>
    <w:rsid w:val="3885206C"/>
    <w:rsid w:val="38B0EB44"/>
    <w:rsid w:val="38B58B50"/>
    <w:rsid w:val="3913A880"/>
    <w:rsid w:val="394AD26A"/>
    <w:rsid w:val="39825DA1"/>
    <w:rsid w:val="39827517"/>
    <w:rsid w:val="39F48B01"/>
    <w:rsid w:val="3A3C6781"/>
    <w:rsid w:val="3A4BDA9B"/>
    <w:rsid w:val="3AF0F21D"/>
    <w:rsid w:val="3B023396"/>
    <w:rsid w:val="3B19D268"/>
    <w:rsid w:val="3B3230B2"/>
    <w:rsid w:val="3B42CB83"/>
    <w:rsid w:val="3B465D7A"/>
    <w:rsid w:val="3B559A4D"/>
    <w:rsid w:val="3BC5244C"/>
    <w:rsid w:val="3C379CD4"/>
    <w:rsid w:val="3C4468F3"/>
    <w:rsid w:val="3CFE0DEE"/>
    <w:rsid w:val="3CFEC229"/>
    <w:rsid w:val="3D052972"/>
    <w:rsid w:val="3DA1EA1F"/>
    <w:rsid w:val="3DA46D1A"/>
    <w:rsid w:val="3DA6DCB0"/>
    <w:rsid w:val="3DC3FFFC"/>
    <w:rsid w:val="3DEA787D"/>
    <w:rsid w:val="3E346CD0"/>
    <w:rsid w:val="3E96FC0B"/>
    <w:rsid w:val="3EB2E066"/>
    <w:rsid w:val="3ECEA522"/>
    <w:rsid w:val="3F0158CE"/>
    <w:rsid w:val="3F2B1548"/>
    <w:rsid w:val="3F514CDA"/>
    <w:rsid w:val="3F555654"/>
    <w:rsid w:val="3FA1224E"/>
    <w:rsid w:val="3FE112FE"/>
    <w:rsid w:val="400C8BD3"/>
    <w:rsid w:val="401E420C"/>
    <w:rsid w:val="405B53A9"/>
    <w:rsid w:val="407BB5FE"/>
    <w:rsid w:val="40BA6F2B"/>
    <w:rsid w:val="40C28696"/>
    <w:rsid w:val="40D20CC3"/>
    <w:rsid w:val="40E46AB8"/>
    <w:rsid w:val="411C7F94"/>
    <w:rsid w:val="4141F3E2"/>
    <w:rsid w:val="414B608E"/>
    <w:rsid w:val="4152D761"/>
    <w:rsid w:val="419ACC40"/>
    <w:rsid w:val="41C32FAC"/>
    <w:rsid w:val="41C3890F"/>
    <w:rsid w:val="4252336E"/>
    <w:rsid w:val="4269EC38"/>
    <w:rsid w:val="427232C2"/>
    <w:rsid w:val="42F480CE"/>
    <w:rsid w:val="4321DC78"/>
    <w:rsid w:val="43517D35"/>
    <w:rsid w:val="4358B7DB"/>
    <w:rsid w:val="437799A0"/>
    <w:rsid w:val="43817861"/>
    <w:rsid w:val="4391D307"/>
    <w:rsid w:val="43A24C7F"/>
    <w:rsid w:val="43ECDE89"/>
    <w:rsid w:val="44147F2E"/>
    <w:rsid w:val="444E4C97"/>
    <w:rsid w:val="44889919"/>
    <w:rsid w:val="449BBA40"/>
    <w:rsid w:val="44A12AC5"/>
    <w:rsid w:val="44AE2304"/>
    <w:rsid w:val="44D7466F"/>
    <w:rsid w:val="44DF3DBD"/>
    <w:rsid w:val="44DFEF95"/>
    <w:rsid w:val="44EAD48E"/>
    <w:rsid w:val="45445175"/>
    <w:rsid w:val="45999669"/>
    <w:rsid w:val="46147FF4"/>
    <w:rsid w:val="462BED60"/>
    <w:rsid w:val="46487424"/>
    <w:rsid w:val="46A317A9"/>
    <w:rsid w:val="46F85E9A"/>
    <w:rsid w:val="46FAE919"/>
    <w:rsid w:val="4704BE61"/>
    <w:rsid w:val="47069C16"/>
    <w:rsid w:val="47162122"/>
    <w:rsid w:val="4722608A"/>
    <w:rsid w:val="47406808"/>
    <w:rsid w:val="479B716B"/>
    <w:rsid w:val="47D67D8F"/>
    <w:rsid w:val="47F21A52"/>
    <w:rsid w:val="484D0E81"/>
    <w:rsid w:val="484FCACD"/>
    <w:rsid w:val="48A2E3AE"/>
    <w:rsid w:val="48D23AF0"/>
    <w:rsid w:val="48FC9E4B"/>
    <w:rsid w:val="494AF0A0"/>
    <w:rsid w:val="495E954D"/>
    <w:rsid w:val="4965D8A7"/>
    <w:rsid w:val="4968F8F6"/>
    <w:rsid w:val="49B022CE"/>
    <w:rsid w:val="49D19F7E"/>
    <w:rsid w:val="4ACB1E0B"/>
    <w:rsid w:val="4B25DDC2"/>
    <w:rsid w:val="4B2E54BF"/>
    <w:rsid w:val="4B87B06D"/>
    <w:rsid w:val="4BB72768"/>
    <w:rsid w:val="4BCF8E82"/>
    <w:rsid w:val="4C0DA769"/>
    <w:rsid w:val="4C5A787F"/>
    <w:rsid w:val="4C69A971"/>
    <w:rsid w:val="4C764100"/>
    <w:rsid w:val="4C8A2578"/>
    <w:rsid w:val="4CDAF665"/>
    <w:rsid w:val="4CDBF048"/>
    <w:rsid w:val="4D017164"/>
    <w:rsid w:val="4D539AAF"/>
    <w:rsid w:val="4D584B7D"/>
    <w:rsid w:val="4D78FE8A"/>
    <w:rsid w:val="4DBC4ACF"/>
    <w:rsid w:val="4E09785B"/>
    <w:rsid w:val="4E2CC09F"/>
    <w:rsid w:val="4E843ABF"/>
    <w:rsid w:val="4EA9EE7B"/>
    <w:rsid w:val="4EBDD307"/>
    <w:rsid w:val="4EED8954"/>
    <w:rsid w:val="4F7E2E61"/>
    <w:rsid w:val="4F9FF835"/>
    <w:rsid w:val="4FB954EA"/>
    <w:rsid w:val="4FD68A13"/>
    <w:rsid w:val="4FFEA3E8"/>
    <w:rsid w:val="5013CE3F"/>
    <w:rsid w:val="50530B55"/>
    <w:rsid w:val="51686B19"/>
    <w:rsid w:val="51AE9B04"/>
    <w:rsid w:val="52149EB0"/>
    <w:rsid w:val="52423F6E"/>
    <w:rsid w:val="52A8CE77"/>
    <w:rsid w:val="52ED29E6"/>
    <w:rsid w:val="5301BB12"/>
    <w:rsid w:val="534103F5"/>
    <w:rsid w:val="53C1475B"/>
    <w:rsid w:val="53C5A736"/>
    <w:rsid w:val="5432D37C"/>
    <w:rsid w:val="544B0E83"/>
    <w:rsid w:val="548924A7"/>
    <w:rsid w:val="54FACEAF"/>
    <w:rsid w:val="550B9745"/>
    <w:rsid w:val="5513B7A1"/>
    <w:rsid w:val="552E7120"/>
    <w:rsid w:val="557D1788"/>
    <w:rsid w:val="559AEEF1"/>
    <w:rsid w:val="55A1D199"/>
    <w:rsid w:val="55DC6BE3"/>
    <w:rsid w:val="56BA297E"/>
    <w:rsid w:val="56D7B04B"/>
    <w:rsid w:val="56F5AA0A"/>
    <w:rsid w:val="5720C1D3"/>
    <w:rsid w:val="572C18D0"/>
    <w:rsid w:val="57527F00"/>
    <w:rsid w:val="57A7AAB1"/>
    <w:rsid w:val="57B50571"/>
    <w:rsid w:val="57C0F88A"/>
    <w:rsid w:val="57CE1C79"/>
    <w:rsid w:val="58405CF2"/>
    <w:rsid w:val="58AE8B7F"/>
    <w:rsid w:val="58BB9A62"/>
    <w:rsid w:val="58C0EE58"/>
    <w:rsid w:val="58C4C489"/>
    <w:rsid w:val="58D73D78"/>
    <w:rsid w:val="58E72006"/>
    <w:rsid w:val="58FDB0C8"/>
    <w:rsid w:val="591191B4"/>
    <w:rsid w:val="59642180"/>
    <w:rsid w:val="59AC7402"/>
    <w:rsid w:val="59BD10DB"/>
    <w:rsid w:val="5A655C96"/>
    <w:rsid w:val="5A6F43DA"/>
    <w:rsid w:val="5A8AAB26"/>
    <w:rsid w:val="5AF83E19"/>
    <w:rsid w:val="5B0FF719"/>
    <w:rsid w:val="5B1D180F"/>
    <w:rsid w:val="5B48A55F"/>
    <w:rsid w:val="5BFCEB92"/>
    <w:rsid w:val="5C166790"/>
    <w:rsid w:val="5C1F6D83"/>
    <w:rsid w:val="5C58272F"/>
    <w:rsid w:val="5C74838E"/>
    <w:rsid w:val="5CC84C11"/>
    <w:rsid w:val="5CE7F8B1"/>
    <w:rsid w:val="5D073B60"/>
    <w:rsid w:val="5D103D18"/>
    <w:rsid w:val="5D444726"/>
    <w:rsid w:val="5D62C94A"/>
    <w:rsid w:val="5E45301C"/>
    <w:rsid w:val="5E4F9223"/>
    <w:rsid w:val="5E65603B"/>
    <w:rsid w:val="5E953977"/>
    <w:rsid w:val="5F23639B"/>
    <w:rsid w:val="5F3AF4DC"/>
    <w:rsid w:val="5F490354"/>
    <w:rsid w:val="5F99EE8F"/>
    <w:rsid w:val="5FDB4AE1"/>
    <w:rsid w:val="5FE96A5A"/>
    <w:rsid w:val="6000D081"/>
    <w:rsid w:val="6039C0B6"/>
    <w:rsid w:val="6071B787"/>
    <w:rsid w:val="607700CA"/>
    <w:rsid w:val="60C9A7D5"/>
    <w:rsid w:val="610BDF61"/>
    <w:rsid w:val="611819F4"/>
    <w:rsid w:val="612C1F63"/>
    <w:rsid w:val="614FC463"/>
    <w:rsid w:val="6173363C"/>
    <w:rsid w:val="6185464E"/>
    <w:rsid w:val="61FBC77E"/>
    <w:rsid w:val="62350379"/>
    <w:rsid w:val="629729A9"/>
    <w:rsid w:val="62A4AEB0"/>
    <w:rsid w:val="62E0CAD3"/>
    <w:rsid w:val="631AED2F"/>
    <w:rsid w:val="63558780"/>
    <w:rsid w:val="637B6464"/>
    <w:rsid w:val="63C724A6"/>
    <w:rsid w:val="63D3A34E"/>
    <w:rsid w:val="648BE24A"/>
    <w:rsid w:val="64AD3BFD"/>
    <w:rsid w:val="651E053D"/>
    <w:rsid w:val="653C413F"/>
    <w:rsid w:val="65632C0B"/>
    <w:rsid w:val="659BCC20"/>
    <w:rsid w:val="659BCFB9"/>
    <w:rsid w:val="65BA6A4D"/>
    <w:rsid w:val="65BF7FAE"/>
    <w:rsid w:val="65E1B7C4"/>
    <w:rsid w:val="65F3B066"/>
    <w:rsid w:val="66109942"/>
    <w:rsid w:val="663FDE18"/>
    <w:rsid w:val="6662AC09"/>
    <w:rsid w:val="667ED7C8"/>
    <w:rsid w:val="6682D64A"/>
    <w:rsid w:val="67556E1C"/>
    <w:rsid w:val="67AD3729"/>
    <w:rsid w:val="6873B359"/>
    <w:rsid w:val="6876EC27"/>
    <w:rsid w:val="68B3168D"/>
    <w:rsid w:val="68DA8BCE"/>
    <w:rsid w:val="6917DD21"/>
    <w:rsid w:val="69B9548E"/>
    <w:rsid w:val="69CF48C8"/>
    <w:rsid w:val="69FBC2C9"/>
    <w:rsid w:val="6A2A0F7B"/>
    <w:rsid w:val="6A6874C8"/>
    <w:rsid w:val="6AAA6BC2"/>
    <w:rsid w:val="6AAB417B"/>
    <w:rsid w:val="6AC6C602"/>
    <w:rsid w:val="6B2A199F"/>
    <w:rsid w:val="6B69B5B2"/>
    <w:rsid w:val="6BA0F602"/>
    <w:rsid w:val="6BA74A51"/>
    <w:rsid w:val="6BB1A018"/>
    <w:rsid w:val="6C247B6C"/>
    <w:rsid w:val="6C24A3CF"/>
    <w:rsid w:val="6C56F071"/>
    <w:rsid w:val="6C9552B6"/>
    <w:rsid w:val="6C9B43F7"/>
    <w:rsid w:val="6CA281F9"/>
    <w:rsid w:val="6CAB4F61"/>
    <w:rsid w:val="6CD94DAA"/>
    <w:rsid w:val="6CF8C0B3"/>
    <w:rsid w:val="6D523616"/>
    <w:rsid w:val="6E06EEBC"/>
    <w:rsid w:val="6E19B1A5"/>
    <w:rsid w:val="6EEA0106"/>
    <w:rsid w:val="6FC28C40"/>
    <w:rsid w:val="6FC4659E"/>
    <w:rsid w:val="7011C6FE"/>
    <w:rsid w:val="701EA1E2"/>
    <w:rsid w:val="712A77D9"/>
    <w:rsid w:val="714A46C0"/>
    <w:rsid w:val="71572BC1"/>
    <w:rsid w:val="71C0244D"/>
    <w:rsid w:val="71D8B02A"/>
    <w:rsid w:val="71E81C15"/>
    <w:rsid w:val="72237020"/>
    <w:rsid w:val="723C8C45"/>
    <w:rsid w:val="723D860B"/>
    <w:rsid w:val="72587FE5"/>
    <w:rsid w:val="7265A504"/>
    <w:rsid w:val="72675F56"/>
    <w:rsid w:val="726BCEAC"/>
    <w:rsid w:val="731391E4"/>
    <w:rsid w:val="73D51112"/>
    <w:rsid w:val="742300FF"/>
    <w:rsid w:val="746ECA1F"/>
    <w:rsid w:val="74768608"/>
    <w:rsid w:val="74A1E83C"/>
    <w:rsid w:val="74D4D612"/>
    <w:rsid w:val="757B1A11"/>
    <w:rsid w:val="75A76DF5"/>
    <w:rsid w:val="75C71C1B"/>
    <w:rsid w:val="75CB8724"/>
    <w:rsid w:val="75CDC0B0"/>
    <w:rsid w:val="75D218F8"/>
    <w:rsid w:val="75D45BCD"/>
    <w:rsid w:val="75E66E27"/>
    <w:rsid w:val="761791F5"/>
    <w:rsid w:val="7643269F"/>
    <w:rsid w:val="7663355F"/>
    <w:rsid w:val="768E9D90"/>
    <w:rsid w:val="77359645"/>
    <w:rsid w:val="77528A18"/>
    <w:rsid w:val="776F8F62"/>
    <w:rsid w:val="77892531"/>
    <w:rsid w:val="77B742C8"/>
    <w:rsid w:val="77BFB603"/>
    <w:rsid w:val="77C7AC7C"/>
    <w:rsid w:val="77E53BC9"/>
    <w:rsid w:val="782BBC1C"/>
    <w:rsid w:val="78931120"/>
    <w:rsid w:val="78AD231E"/>
    <w:rsid w:val="794283E3"/>
    <w:rsid w:val="79683081"/>
    <w:rsid w:val="79B52492"/>
    <w:rsid w:val="79CACDE2"/>
    <w:rsid w:val="79DBD40A"/>
    <w:rsid w:val="79FFC3EA"/>
    <w:rsid w:val="7A039B28"/>
    <w:rsid w:val="7A507297"/>
    <w:rsid w:val="7A73FC83"/>
    <w:rsid w:val="7B02287B"/>
    <w:rsid w:val="7B4654AD"/>
    <w:rsid w:val="7B8E5C58"/>
    <w:rsid w:val="7C44A89A"/>
    <w:rsid w:val="7C530342"/>
    <w:rsid w:val="7C9A2825"/>
    <w:rsid w:val="7DA17E30"/>
    <w:rsid w:val="7DACC9B1"/>
    <w:rsid w:val="7DE4C0FD"/>
    <w:rsid w:val="7E57F8A8"/>
    <w:rsid w:val="7E977A77"/>
    <w:rsid w:val="7ED665B7"/>
    <w:rsid w:val="7EDE3DB3"/>
    <w:rsid w:val="7F0900C7"/>
    <w:rsid w:val="7F32AA7A"/>
    <w:rsid w:val="7F6E4F1A"/>
    <w:rsid w:val="7FD3F138"/>
    <w:rsid w:val="7FF3196A"/>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A02F2A9"/>
  <w15:docId w15:val="{B9A0B930-2FFC-4E3A-B676-589454AE3A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7" w:semiHidden="1" w:unhideWhenUsed="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iPriority="99" w:unhideWhenUsed="1" w:qFormat="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semiHidden="1" w:unhideWhenUsed="1"/>
    <w:lsdException w:name="Table Colorful 1" w:locked="1" w:semiHidden="1" w:unhideWhenUsed="1"/>
    <w:lsdException w:name="Table Colorful 2" w:locked="1"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Theme" w:locked="1" w:semiHidden="1" w:unhideWhenUsed="1"/>
    <w:lsdException w:name="Placeholder Text" w:semiHidden="1" w:uiPriority="99"/>
    <w:lsdException w:name="No Spacing" w:uiPriority="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uiPriority="99"/>
    <w:lsdException w:name="List Paragraph" w:uiPriority="34"/>
    <w:lsdException w:name="Quote" w:uiPriority="29" w:qFormat="1"/>
    <w:lsdException w:name="Intense Quote" w:uiPriority="30"/>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F06202"/>
    <w:pPr>
      <w:spacing w:before="120" w:after="120" w:line="276" w:lineRule="auto"/>
    </w:pPr>
    <w:rPr>
      <w:rFonts w:ascii="Arial" w:hAnsi="Arial"/>
      <w:color w:val="000000" w:themeColor="text1"/>
      <w:sz w:val="22"/>
      <w:szCs w:val="24"/>
      <w:lang w:eastAsia="en-US"/>
    </w:rPr>
  </w:style>
  <w:style w:type="paragraph" w:styleId="Heading1">
    <w:name w:val="heading 1"/>
    <w:next w:val="Normal"/>
    <w:link w:val="Heading1Char"/>
    <w:qFormat/>
    <w:rsid w:val="00F86F85"/>
    <w:pPr>
      <w:keepNext/>
      <w:spacing w:before="240" w:after="60"/>
      <w:outlineLvl w:val="0"/>
    </w:pPr>
    <w:rPr>
      <w:rFonts w:ascii="Arial" w:hAnsi="Arial" w:cs="Arial"/>
      <w:b/>
      <w:bCs/>
      <w:color w:val="3F4A75"/>
      <w:kern w:val="28"/>
      <w:sz w:val="44"/>
      <w:szCs w:val="36"/>
      <w:lang w:eastAsia="en-US"/>
    </w:rPr>
  </w:style>
  <w:style w:type="paragraph" w:styleId="Heading2">
    <w:name w:val="heading 2"/>
    <w:next w:val="Normal"/>
    <w:qFormat/>
    <w:rsid w:val="00F86F85"/>
    <w:pPr>
      <w:keepNext/>
      <w:spacing w:before="240" w:after="60"/>
      <w:outlineLvl w:val="1"/>
    </w:pPr>
    <w:rPr>
      <w:rFonts w:ascii="Arial" w:hAnsi="Arial" w:cs="Arial"/>
      <w:b/>
      <w:bCs/>
      <w:iCs/>
      <w:color w:val="358189"/>
      <w:sz w:val="36"/>
      <w:szCs w:val="28"/>
      <w:lang w:eastAsia="en-US"/>
    </w:rPr>
  </w:style>
  <w:style w:type="paragraph" w:styleId="Heading3">
    <w:name w:val="heading 3"/>
    <w:next w:val="Normal"/>
    <w:qFormat/>
    <w:rsid w:val="00F86F85"/>
    <w:pPr>
      <w:keepNext/>
      <w:spacing w:before="180" w:after="60"/>
      <w:outlineLvl w:val="2"/>
    </w:pPr>
    <w:rPr>
      <w:rFonts w:ascii="Arial" w:hAnsi="Arial" w:cs="Arial"/>
      <w:b/>
      <w:bCs/>
      <w:color w:val="358189"/>
      <w:sz w:val="32"/>
      <w:szCs w:val="26"/>
      <w:lang w:eastAsia="en-US"/>
    </w:rPr>
  </w:style>
  <w:style w:type="paragraph" w:styleId="Heading4">
    <w:name w:val="heading 4"/>
    <w:next w:val="Normal"/>
    <w:qFormat/>
    <w:rsid w:val="00F86F85"/>
    <w:pPr>
      <w:keepNext/>
      <w:spacing w:before="240" w:after="60"/>
      <w:outlineLvl w:val="3"/>
    </w:pPr>
    <w:rPr>
      <w:rFonts w:ascii="Arial" w:hAnsi="Arial"/>
      <w:b/>
      <w:bCs/>
      <w:i/>
      <w:color w:val="358189" w:themeColor="accent2"/>
      <w:sz w:val="28"/>
      <w:szCs w:val="28"/>
      <w:lang w:eastAsia="en-US"/>
    </w:rPr>
  </w:style>
  <w:style w:type="paragraph" w:styleId="Heading5">
    <w:name w:val="heading 5"/>
    <w:next w:val="Normal"/>
    <w:rsid w:val="00A3583A"/>
    <w:pPr>
      <w:keepNext/>
      <w:spacing w:before="120" w:after="60"/>
      <w:outlineLvl w:val="4"/>
    </w:pPr>
    <w:rPr>
      <w:rFonts w:ascii="Arial" w:hAnsi="Arial"/>
      <w:b/>
      <w:bCs/>
      <w:iCs/>
      <w:sz w:val="22"/>
      <w:szCs w:val="26"/>
      <w:lang w:eastAsia="en-US"/>
    </w:rPr>
  </w:style>
  <w:style w:type="paragraph" w:styleId="Heading6">
    <w:name w:val="heading 6"/>
    <w:next w:val="Normal"/>
    <w:rsid w:val="00A3583A"/>
    <w:pPr>
      <w:keepNext/>
      <w:spacing w:before="60" w:after="60"/>
      <w:outlineLvl w:val="5"/>
    </w:pPr>
    <w:rPr>
      <w:rFonts w:ascii="Arial" w:hAnsi="Arial"/>
      <w:b/>
      <w:bCs/>
      <w:sz w:val="22"/>
      <w:szCs w:val="22"/>
      <w:lang w:eastAsia="en-US"/>
    </w:rPr>
  </w:style>
  <w:style w:type="paragraph" w:styleId="Heading7">
    <w:name w:val="heading 7"/>
    <w:next w:val="Normal"/>
    <w:link w:val="Heading7Char"/>
    <w:semiHidden/>
    <w:unhideWhenUsed/>
    <w:rsid w:val="00207793"/>
    <w:pPr>
      <w:keepNext/>
      <w:keepLines/>
      <w:spacing w:before="40"/>
      <w:outlineLvl w:val="6"/>
    </w:pPr>
    <w:rPr>
      <w:rFonts w:ascii="Arial" w:eastAsiaTheme="majorEastAsia" w:hAnsi="Arial" w:cstheme="majorBidi"/>
      <w:b/>
      <w:i/>
      <w:iCs/>
      <w:color w:val="1F243A" w:themeColor="accent1" w:themeShade="7F"/>
      <w:sz w:val="22"/>
      <w:szCs w:val="24"/>
      <w:lang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rsid w:val="00A705AF"/>
    <w:rPr>
      <w:i/>
      <w:iCs/>
    </w:rPr>
  </w:style>
  <w:style w:type="character" w:styleId="Strong">
    <w:name w:val="Strong"/>
    <w:basedOn w:val="DefaultParagraphFont"/>
    <w:rsid w:val="00A705AF"/>
    <w:rPr>
      <w:b/>
      <w:bCs/>
    </w:rPr>
  </w:style>
  <w:style w:type="paragraph" w:styleId="Subtitle">
    <w:name w:val="Subtitle"/>
    <w:next w:val="Normal"/>
    <w:link w:val="SubtitleChar"/>
    <w:qFormat/>
    <w:rsid w:val="005564FB"/>
    <w:pPr>
      <w:numPr>
        <w:ilvl w:val="1"/>
      </w:numPr>
      <w:spacing w:before="120" w:after="60"/>
    </w:pPr>
    <w:rPr>
      <w:rFonts w:ascii="Arial" w:eastAsiaTheme="majorEastAsia" w:hAnsi="Arial" w:cstheme="majorBidi"/>
      <w:iCs/>
      <w:color w:val="3F4A75"/>
      <w:spacing w:val="15"/>
      <w:sz w:val="40"/>
      <w:szCs w:val="24"/>
      <w:lang w:eastAsia="en-US"/>
    </w:rPr>
  </w:style>
  <w:style w:type="character" w:customStyle="1" w:styleId="SubtitleChar">
    <w:name w:val="Subtitle Char"/>
    <w:basedOn w:val="DefaultParagraphFont"/>
    <w:link w:val="Subtitle"/>
    <w:rsid w:val="005564FB"/>
    <w:rPr>
      <w:rFonts w:ascii="Arial" w:eastAsiaTheme="majorEastAsia" w:hAnsi="Arial" w:cstheme="majorBidi"/>
      <w:iCs/>
      <w:color w:val="3F4A75"/>
      <w:spacing w:val="15"/>
      <w:sz w:val="40"/>
      <w:szCs w:val="24"/>
      <w:lang w:eastAsia="en-US"/>
    </w:rPr>
  </w:style>
  <w:style w:type="paragraph" w:styleId="Title">
    <w:name w:val="Title"/>
    <w:next w:val="Normal"/>
    <w:link w:val="TitleChar"/>
    <w:qFormat/>
    <w:rsid w:val="00B7222E"/>
    <w:pPr>
      <w:spacing w:before="2160" w:after="120"/>
      <w:contextualSpacing/>
    </w:pPr>
    <w:rPr>
      <w:rFonts w:ascii="Arial" w:eastAsiaTheme="majorEastAsia" w:hAnsi="Arial" w:cstheme="majorBidi"/>
      <w:b/>
      <w:color w:val="3F4A75"/>
      <w:kern w:val="28"/>
      <w:sz w:val="48"/>
      <w:szCs w:val="52"/>
      <w:lang w:eastAsia="en-US"/>
    </w:rPr>
  </w:style>
  <w:style w:type="character" w:customStyle="1" w:styleId="TitleChar">
    <w:name w:val="Title Char"/>
    <w:basedOn w:val="DefaultParagraphFont"/>
    <w:link w:val="Title"/>
    <w:rsid w:val="00B7222E"/>
    <w:rPr>
      <w:rFonts w:ascii="Arial" w:eastAsiaTheme="majorEastAsia" w:hAnsi="Arial" w:cstheme="majorBidi"/>
      <w:b/>
      <w:color w:val="3F4A75"/>
      <w:kern w:val="28"/>
      <w:sz w:val="48"/>
      <w:szCs w:val="52"/>
      <w:lang w:eastAsia="en-US"/>
    </w:rPr>
  </w:style>
  <w:style w:type="paragraph" w:styleId="NoSpacing">
    <w:name w:val="No Spacing"/>
    <w:uiPriority w:val="1"/>
    <w:rsid w:val="00A4512D"/>
    <w:rPr>
      <w:sz w:val="24"/>
      <w:szCs w:val="24"/>
      <w:lang w:eastAsia="en-US"/>
    </w:rPr>
  </w:style>
  <w:style w:type="character" w:styleId="SubtleEmphasis">
    <w:name w:val="Subtle Emphasis"/>
    <w:basedOn w:val="DefaultParagraphFont"/>
    <w:uiPriority w:val="19"/>
    <w:rsid w:val="00A4512D"/>
    <w:rPr>
      <w:i/>
      <w:iCs/>
      <w:color w:val="808080" w:themeColor="text1" w:themeTint="7F"/>
    </w:rPr>
  </w:style>
  <w:style w:type="character" w:styleId="IntenseEmphasis">
    <w:name w:val="Intense Emphasis"/>
    <w:basedOn w:val="DefaultParagraphFont"/>
    <w:uiPriority w:val="21"/>
    <w:rsid w:val="00A4512D"/>
    <w:rPr>
      <w:b/>
      <w:bCs/>
      <w:i/>
      <w:iCs/>
      <w:color w:val="3F4A75" w:themeColor="accent1"/>
    </w:rPr>
  </w:style>
  <w:style w:type="paragraph" w:styleId="Quote">
    <w:name w:val="Quote"/>
    <w:next w:val="Normal"/>
    <w:link w:val="QuoteChar"/>
    <w:uiPriority w:val="29"/>
    <w:qFormat/>
    <w:rsid w:val="00545EE6"/>
    <w:pPr>
      <w:ind w:left="720"/>
    </w:pPr>
    <w:rPr>
      <w:rFonts w:ascii="Arial" w:hAnsi="Arial"/>
      <w:i/>
      <w:iCs/>
      <w:color w:val="000000" w:themeColor="text1"/>
      <w:sz w:val="22"/>
      <w:szCs w:val="24"/>
      <w:lang w:eastAsia="en-US"/>
    </w:rPr>
  </w:style>
  <w:style w:type="character" w:customStyle="1" w:styleId="QuoteChar">
    <w:name w:val="Quote Char"/>
    <w:basedOn w:val="DefaultParagraphFont"/>
    <w:link w:val="Quote"/>
    <w:uiPriority w:val="29"/>
    <w:rsid w:val="00545EE6"/>
    <w:rPr>
      <w:rFonts w:ascii="Arial" w:hAnsi="Arial"/>
      <w:i/>
      <w:iCs/>
      <w:color w:val="000000" w:themeColor="text1"/>
      <w:sz w:val="22"/>
      <w:szCs w:val="24"/>
      <w:lang w:eastAsia="en-US"/>
    </w:rPr>
  </w:style>
  <w:style w:type="paragraph" w:styleId="IntenseQuote">
    <w:name w:val="Intense Quote"/>
    <w:next w:val="Normal"/>
    <w:link w:val="IntenseQuoteChar"/>
    <w:uiPriority w:val="30"/>
    <w:rsid w:val="00346C4A"/>
    <w:pPr>
      <w:pBdr>
        <w:bottom w:val="single" w:sz="4" w:space="4" w:color="3F4A75" w:themeColor="accent1"/>
      </w:pBdr>
      <w:spacing w:before="200" w:after="280"/>
      <w:ind w:left="936" w:right="936"/>
    </w:pPr>
    <w:rPr>
      <w:rFonts w:ascii="Arial" w:hAnsi="Arial"/>
      <w:b/>
      <w:bCs/>
      <w:i/>
      <w:iCs/>
      <w:color w:val="3F4A75" w:themeColor="accent1"/>
      <w:sz w:val="22"/>
      <w:szCs w:val="24"/>
      <w:lang w:eastAsia="en-US"/>
    </w:rPr>
  </w:style>
  <w:style w:type="character" w:customStyle="1" w:styleId="IntenseQuoteChar">
    <w:name w:val="Intense Quote Char"/>
    <w:basedOn w:val="DefaultParagraphFont"/>
    <w:link w:val="IntenseQuote"/>
    <w:uiPriority w:val="30"/>
    <w:rsid w:val="00346C4A"/>
    <w:rPr>
      <w:rFonts w:ascii="Arial" w:hAnsi="Arial"/>
      <w:b/>
      <w:bCs/>
      <w:i/>
      <w:iCs/>
      <w:color w:val="3F4A75" w:themeColor="accent1"/>
      <w:sz w:val="22"/>
      <w:szCs w:val="24"/>
      <w:lang w:eastAsia="en-US"/>
    </w:rPr>
  </w:style>
  <w:style w:type="character" w:styleId="SubtleReference">
    <w:name w:val="Subtle Reference"/>
    <w:basedOn w:val="DefaultParagraphFont"/>
    <w:uiPriority w:val="31"/>
    <w:rsid w:val="00A4512D"/>
    <w:rPr>
      <w:smallCaps/>
      <w:color w:val="358189" w:themeColor="accent2"/>
      <w:u w:val="single"/>
    </w:rPr>
  </w:style>
  <w:style w:type="character" w:styleId="IntenseReference">
    <w:name w:val="Intense Reference"/>
    <w:basedOn w:val="DefaultParagraphFont"/>
    <w:uiPriority w:val="32"/>
    <w:rsid w:val="00A4512D"/>
    <w:rPr>
      <w:b/>
      <w:bCs/>
      <w:i/>
      <w:smallCaps/>
      <w:color w:val="358189" w:themeColor="accent2"/>
      <w:spacing w:val="5"/>
      <w:u w:val="none"/>
    </w:rPr>
  </w:style>
  <w:style w:type="paragraph" w:styleId="ListBullet2">
    <w:name w:val="List Bullet 2"/>
    <w:basedOn w:val="ListNumber2"/>
    <w:rsid w:val="00211840"/>
    <w:pPr>
      <w:numPr>
        <w:numId w:val="16"/>
      </w:numPr>
      <w:ind w:left="568" w:hanging="284"/>
    </w:pPr>
  </w:style>
  <w:style w:type="paragraph" w:styleId="ListNumber2">
    <w:name w:val="List Number 2"/>
    <w:basedOn w:val="ListBullet"/>
    <w:qFormat/>
    <w:rsid w:val="00BA70AB"/>
    <w:pPr>
      <w:numPr>
        <w:numId w:val="19"/>
      </w:numPr>
      <w:ind w:left="680" w:hanging="340"/>
    </w:pPr>
  </w:style>
  <w:style w:type="paragraph" w:styleId="ListBullet">
    <w:name w:val="List Bullet"/>
    <w:basedOn w:val="Normal"/>
    <w:qFormat/>
    <w:rsid w:val="00A563EA"/>
    <w:pPr>
      <w:numPr>
        <w:numId w:val="21"/>
      </w:numPr>
      <w:tabs>
        <w:tab w:val="left" w:pos="340"/>
        <w:tab w:val="left" w:pos="680"/>
      </w:tabs>
      <w:spacing w:before="60" w:after="60"/>
    </w:pPr>
  </w:style>
  <w:style w:type="paragraph" w:styleId="ListParagraph">
    <w:name w:val="List Paragraph"/>
    <w:basedOn w:val="Normal"/>
    <w:uiPriority w:val="34"/>
    <w:rsid w:val="00A4512D"/>
    <w:pPr>
      <w:ind w:left="720"/>
      <w:contextualSpacing/>
    </w:pPr>
  </w:style>
  <w:style w:type="paragraph" w:styleId="ListNumber3">
    <w:name w:val="List Number 3"/>
    <w:aliases w:val="List Third Level"/>
    <w:basedOn w:val="ListParagraph"/>
    <w:rsid w:val="00A3583A"/>
    <w:pPr>
      <w:numPr>
        <w:numId w:val="28"/>
      </w:numPr>
    </w:pPr>
  </w:style>
  <w:style w:type="paragraph" w:customStyle="1" w:styleId="ImageTitle">
    <w:name w:val="Image Title"/>
    <w:locked/>
    <w:rsid w:val="00506432"/>
    <w:pPr>
      <w:tabs>
        <w:tab w:val="num" w:pos="1080"/>
      </w:tabs>
      <w:spacing w:before="120" w:line="240" w:lineRule="exact"/>
    </w:pPr>
    <w:rPr>
      <w:rFonts w:ascii="Arial" w:hAnsi="Arial"/>
      <w:color w:val="000000" w:themeColor="text1"/>
      <w:sz w:val="22"/>
      <w:szCs w:val="24"/>
      <w:lang w:eastAsia="en-US"/>
    </w:rPr>
  </w:style>
  <w:style w:type="paragraph" w:styleId="BalloonText">
    <w:name w:val="Balloon Text"/>
    <w:basedOn w:val="Normal"/>
    <w:link w:val="BalloonTextChar"/>
    <w:rsid w:val="000B067A"/>
    <w:rPr>
      <w:rFonts w:ascii="Tahoma" w:hAnsi="Tahoma" w:cs="Tahoma"/>
      <w:sz w:val="16"/>
      <w:szCs w:val="16"/>
    </w:rPr>
  </w:style>
  <w:style w:type="character" w:customStyle="1" w:styleId="BalloonTextChar">
    <w:name w:val="Balloon Text Char"/>
    <w:basedOn w:val="DefaultParagraphFont"/>
    <w:link w:val="BalloonText"/>
    <w:rsid w:val="000B067A"/>
    <w:rPr>
      <w:rFonts w:ascii="Tahoma" w:hAnsi="Tahoma" w:cs="Tahoma"/>
      <w:sz w:val="16"/>
      <w:szCs w:val="16"/>
      <w:lang w:eastAsia="en-US"/>
    </w:rPr>
  </w:style>
  <w:style w:type="table" w:styleId="TableGrid">
    <w:name w:val="Table Grid"/>
    <w:basedOn w:val="TableNormal"/>
    <w:locked/>
    <w:rsid w:val="003A2E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olumns3">
    <w:name w:val="Table Columns 3"/>
    <w:basedOn w:val="TableNormal"/>
    <w:locked/>
    <w:rsid w:val="003A2E4F"/>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left">
    <w:name w:val="Table text left"/>
    <w:link w:val="TabletextleftChar"/>
    <w:autoRedefine/>
    <w:qFormat/>
    <w:locked/>
    <w:rsid w:val="00A3583A"/>
    <w:pPr>
      <w:spacing w:before="60" w:after="60"/>
    </w:pPr>
    <w:rPr>
      <w:rFonts w:ascii="Arial" w:hAnsi="Arial"/>
      <w:color w:val="000000" w:themeColor="text1"/>
      <w:szCs w:val="24"/>
      <w:lang w:eastAsia="en-US"/>
    </w:rPr>
  </w:style>
  <w:style w:type="table" w:styleId="TableColumns2">
    <w:name w:val="Table Columns 2"/>
    <w:basedOn w:val="TableNormal"/>
    <w:locked/>
    <w:rsid w:val="00595E84"/>
    <w:pPr>
      <w:spacing w:before="120" w:line="240" w:lineRule="exac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1">
    <w:name w:val="Table Columns 1"/>
    <w:basedOn w:val="TableNormal"/>
    <w:locked/>
    <w:rsid w:val="007263B9"/>
    <w:rPr>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urful3">
    <w:name w:val="Table Colorful 3"/>
    <w:basedOn w:val="TableNormal"/>
    <w:locked/>
    <w:rsid w:val="004F13EE"/>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lassic4">
    <w:name w:val="Table Classic 4"/>
    <w:basedOn w:val="TableNormal"/>
    <w:locked/>
    <w:rsid w:val="004F13EE"/>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Grid8">
    <w:name w:val="Table Grid 8"/>
    <w:basedOn w:val="TableNormal"/>
    <w:locked/>
    <w:rsid w:val="004F13EE"/>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TableTitle">
    <w:name w:val="Table Title"/>
    <w:link w:val="TableTitleChar"/>
    <w:qFormat/>
    <w:locked/>
    <w:rsid w:val="00DC7910"/>
    <w:pPr>
      <w:spacing w:before="120" w:after="120"/>
    </w:pPr>
    <w:rPr>
      <w:rFonts w:ascii="Arial" w:hAnsi="Arial"/>
      <w:b/>
      <w:color w:val="000000" w:themeColor="text1"/>
      <w:sz w:val="22"/>
      <w:szCs w:val="24"/>
      <w:lang w:val="en-US" w:eastAsia="en-US"/>
    </w:rPr>
  </w:style>
  <w:style w:type="paragraph" w:styleId="Header">
    <w:name w:val="header"/>
    <w:link w:val="HeaderChar"/>
    <w:qFormat/>
    <w:rsid w:val="00B7222E"/>
    <w:pPr>
      <w:tabs>
        <w:tab w:val="center" w:pos="4513"/>
        <w:tab w:val="right" w:pos="9026"/>
      </w:tabs>
    </w:pPr>
    <w:rPr>
      <w:rFonts w:ascii="Arial" w:hAnsi="Arial"/>
      <w:sz w:val="22"/>
      <w:szCs w:val="24"/>
      <w:lang w:eastAsia="en-US"/>
    </w:rPr>
  </w:style>
  <w:style w:type="character" w:customStyle="1" w:styleId="HeaderChar">
    <w:name w:val="Header Char"/>
    <w:basedOn w:val="DefaultParagraphFont"/>
    <w:link w:val="Header"/>
    <w:rsid w:val="00B7222E"/>
    <w:rPr>
      <w:rFonts w:ascii="Arial" w:hAnsi="Arial"/>
      <w:sz w:val="22"/>
      <w:szCs w:val="24"/>
      <w:lang w:eastAsia="en-US"/>
    </w:rPr>
  </w:style>
  <w:style w:type="paragraph" w:styleId="Footer">
    <w:name w:val="footer"/>
    <w:link w:val="FooterChar"/>
    <w:uiPriority w:val="99"/>
    <w:qFormat/>
    <w:rsid w:val="00B7222E"/>
    <w:pPr>
      <w:tabs>
        <w:tab w:val="center" w:pos="0"/>
        <w:tab w:val="right" w:pos="9026"/>
      </w:tabs>
      <w:jc w:val="right"/>
    </w:pPr>
    <w:rPr>
      <w:rFonts w:ascii="Arial" w:hAnsi="Arial"/>
      <w:szCs w:val="24"/>
      <w:lang w:eastAsia="en-US"/>
    </w:rPr>
  </w:style>
  <w:style w:type="character" w:customStyle="1" w:styleId="FooterChar">
    <w:name w:val="Footer Char"/>
    <w:basedOn w:val="DefaultParagraphFont"/>
    <w:link w:val="Footer"/>
    <w:uiPriority w:val="99"/>
    <w:rsid w:val="00B7222E"/>
    <w:rPr>
      <w:rFonts w:ascii="Arial" w:hAnsi="Arial"/>
      <w:szCs w:val="24"/>
      <w:lang w:eastAsia="en-US"/>
    </w:rPr>
  </w:style>
  <w:style w:type="paragraph" w:customStyle="1" w:styleId="TableHeaderWhite">
    <w:name w:val="Table Header White"/>
    <w:basedOn w:val="Normal"/>
    <w:next w:val="Tabletextleft"/>
    <w:qFormat/>
    <w:rsid w:val="00A3583A"/>
    <w:pPr>
      <w:spacing w:before="80" w:after="80"/>
    </w:pPr>
    <w:rPr>
      <w:rFonts w:eastAsia="Cambria"/>
      <w:b/>
      <w:color w:val="FFFFFF" w:themeColor="background1"/>
      <w:sz w:val="20"/>
      <w:szCs w:val="22"/>
      <w:lang w:val="en-US"/>
    </w:rPr>
  </w:style>
  <w:style w:type="table" w:styleId="TableGrid7">
    <w:name w:val="Table Grid 7"/>
    <w:basedOn w:val="TableNormal"/>
    <w:locked/>
    <w:rsid w:val="00912D54"/>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Tablehead">
    <w:name w:val="Table_head"/>
    <w:basedOn w:val="Normal"/>
    <w:locked/>
    <w:rsid w:val="00912D54"/>
    <w:pPr>
      <w:spacing w:before="60"/>
    </w:pPr>
    <w:rPr>
      <w:rFonts w:cs="Arial"/>
      <w:b/>
      <w:sz w:val="20"/>
    </w:rPr>
  </w:style>
  <w:style w:type="paragraph" w:customStyle="1" w:styleId="FigureTitle">
    <w:name w:val="Figure Title"/>
    <w:next w:val="Normal"/>
    <w:qFormat/>
    <w:rsid w:val="00B7222E"/>
    <w:pPr>
      <w:spacing w:before="120" w:after="120"/>
    </w:pPr>
    <w:rPr>
      <w:rFonts w:ascii="Arial" w:hAnsi="Arial" w:cs="Arial"/>
      <w:b/>
      <w:bCs/>
      <w:iCs/>
      <w:color w:val="000000" w:themeColor="text1"/>
      <w:sz w:val="22"/>
      <w:szCs w:val="22"/>
      <w:lang w:eastAsia="en-US"/>
    </w:rPr>
  </w:style>
  <w:style w:type="paragraph" w:styleId="NormalWeb">
    <w:name w:val="Normal (Web)"/>
    <w:basedOn w:val="Normal"/>
    <w:uiPriority w:val="99"/>
    <w:unhideWhenUsed/>
    <w:rsid w:val="00093981"/>
    <w:pPr>
      <w:spacing w:before="100" w:beforeAutospacing="1" w:after="100" w:afterAutospacing="1"/>
    </w:pPr>
    <w:rPr>
      <w:rFonts w:ascii="Times New Roman" w:hAnsi="Times New Roman"/>
      <w:sz w:val="24"/>
      <w:lang w:eastAsia="en-AU"/>
    </w:rPr>
  </w:style>
  <w:style w:type="paragraph" w:customStyle="1" w:styleId="Headertext">
    <w:name w:val="Header text"/>
    <w:rsid w:val="00B7222E"/>
    <w:pPr>
      <w:jc w:val="right"/>
    </w:pPr>
    <w:rPr>
      <w:rFonts w:ascii="Arial" w:hAnsi="Arial"/>
      <w:szCs w:val="24"/>
      <w:lang w:eastAsia="en-US"/>
    </w:rPr>
  </w:style>
  <w:style w:type="character" w:styleId="Hyperlink">
    <w:name w:val="Hyperlink"/>
    <w:basedOn w:val="DefaultParagraphFont"/>
    <w:uiPriority w:val="99"/>
    <w:qFormat/>
    <w:rsid w:val="00707F56"/>
    <w:rPr>
      <w:color w:val="0000FF" w:themeColor="hyperlink"/>
      <w:u w:val="single"/>
    </w:rPr>
  </w:style>
  <w:style w:type="table" w:customStyle="1" w:styleId="PHNGreyTable">
    <w:name w:val="PHN Grey Table"/>
    <w:basedOn w:val="TableNormal"/>
    <w:uiPriority w:val="99"/>
    <w:rsid w:val="00404F8B"/>
    <w:pPr>
      <w:spacing w:before="120" w:after="120"/>
    </w:pPr>
    <w:rPr>
      <w:rFonts w:ascii="Arial" w:hAnsi="Arial"/>
      <w:sz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blStylePr w:type="firstRow">
      <w:rPr>
        <w:rFonts w:ascii="Arial" w:hAnsi="Arial"/>
        <w:b/>
        <w:color w:val="FFFFFF" w:themeColor="background1"/>
        <w:sz w:val="22"/>
      </w:rPr>
      <w:tblPr/>
      <w:tcPr>
        <w:shd w:val="clear" w:color="auto" w:fill="32373A"/>
      </w:tcPr>
    </w:tblStylePr>
  </w:style>
  <w:style w:type="paragraph" w:customStyle="1" w:styleId="Tablelistbullet">
    <w:name w:val="Table list bullet"/>
    <w:basedOn w:val="Tabletextleft"/>
    <w:qFormat/>
    <w:rsid w:val="00ED6090"/>
    <w:pPr>
      <w:numPr>
        <w:numId w:val="3"/>
      </w:numPr>
    </w:pPr>
    <w:rPr>
      <w:szCs w:val="20"/>
    </w:rPr>
  </w:style>
  <w:style w:type="paragraph" w:customStyle="1" w:styleId="Tablelistnumber">
    <w:name w:val="Table list number"/>
    <w:basedOn w:val="Tabletextleft"/>
    <w:qFormat/>
    <w:rsid w:val="00DD2061"/>
    <w:pPr>
      <w:numPr>
        <w:numId w:val="4"/>
      </w:numPr>
    </w:pPr>
    <w:rPr>
      <w:bCs/>
      <w14:numSpacing w14:val="proportional"/>
    </w:rPr>
  </w:style>
  <w:style w:type="paragraph" w:customStyle="1" w:styleId="TableHeader">
    <w:name w:val="Table Header"/>
    <w:basedOn w:val="Normal"/>
    <w:next w:val="Tabletextleft"/>
    <w:qFormat/>
    <w:rsid w:val="00A3583A"/>
    <w:pPr>
      <w:spacing w:before="80" w:after="80"/>
    </w:pPr>
    <w:rPr>
      <w:rFonts w:eastAsia="Cambria"/>
      <w:b/>
      <w:color w:val="FFFFFF" w:themeColor="background1"/>
      <w:sz w:val="20"/>
      <w:szCs w:val="22"/>
      <w:lang w:val="en-US"/>
    </w:rPr>
  </w:style>
  <w:style w:type="paragraph" w:customStyle="1" w:styleId="SectionHeading">
    <w:name w:val="Section Heading"/>
    <w:basedOn w:val="Heading1"/>
    <w:next w:val="Normal"/>
    <w:rsid w:val="00CE6502"/>
    <w:rPr>
      <w:szCs w:val="32"/>
    </w:rPr>
  </w:style>
  <w:style w:type="paragraph" w:styleId="FootnoteText">
    <w:name w:val="footnote text"/>
    <w:link w:val="FootnoteTextChar"/>
    <w:rsid w:val="00B7222E"/>
    <w:rPr>
      <w:rFonts w:ascii="Arial" w:hAnsi="Arial"/>
      <w:lang w:eastAsia="en-US"/>
    </w:rPr>
  </w:style>
  <w:style w:type="character" w:customStyle="1" w:styleId="FootnoteTextChar">
    <w:name w:val="Footnote Text Char"/>
    <w:basedOn w:val="DefaultParagraphFont"/>
    <w:link w:val="FootnoteText"/>
    <w:rsid w:val="00B7222E"/>
    <w:rPr>
      <w:rFonts w:ascii="Arial" w:hAnsi="Arial"/>
      <w:lang w:eastAsia="en-US"/>
    </w:rPr>
  </w:style>
  <w:style w:type="paragraph" w:styleId="Caption">
    <w:name w:val="caption"/>
    <w:basedOn w:val="Normal"/>
    <w:next w:val="Normal"/>
    <w:unhideWhenUsed/>
    <w:rsid w:val="00D140CA"/>
    <w:pPr>
      <w:spacing w:after="60"/>
    </w:pPr>
    <w:rPr>
      <w:b/>
      <w:bCs/>
      <w:color w:val="auto"/>
      <w:sz w:val="18"/>
      <w:szCs w:val="18"/>
    </w:rPr>
  </w:style>
  <w:style w:type="paragraph" w:customStyle="1" w:styleId="VisionBox">
    <w:name w:val="VisionBox"/>
    <w:basedOn w:val="Normal"/>
    <w:qFormat/>
    <w:rsid w:val="00BB5860"/>
    <w:pPr>
      <w:pBdr>
        <w:top w:val="single" w:sz="4" w:space="15" w:color="358189"/>
        <w:bottom w:val="single" w:sz="4" w:space="10" w:color="358189"/>
      </w:pBdr>
      <w:spacing w:before="240" w:after="240" w:line="340" w:lineRule="exact"/>
    </w:pPr>
    <w:rPr>
      <w:rFonts w:eastAsiaTheme="minorHAnsi"/>
      <w:color w:val="358189"/>
    </w:rPr>
  </w:style>
  <w:style w:type="paragraph" w:customStyle="1" w:styleId="Style1">
    <w:name w:val="Style1"/>
    <w:next w:val="Normal"/>
    <w:rsid w:val="00177AD2"/>
    <w:pPr>
      <w:pBdr>
        <w:top w:val="single" w:sz="6" w:space="20" w:color="358189"/>
        <w:left w:val="single" w:sz="6" w:space="10" w:color="358189"/>
        <w:bottom w:val="single" w:sz="6" w:space="10" w:color="358189"/>
        <w:right w:val="single" w:sz="6" w:space="10" w:color="358189"/>
      </w:pBdr>
      <w:spacing w:after="240" w:line="260" w:lineRule="auto"/>
      <w:ind w:left="227" w:right="227"/>
    </w:pPr>
    <w:rPr>
      <w:rFonts w:ascii="Arial" w:hAnsi="Arial" w:cs="Arial"/>
      <w:color w:val="000000" w:themeColor="text1"/>
      <w:sz w:val="21"/>
      <w:szCs w:val="24"/>
      <w:lang w:val="en" w:eastAsia="en-US"/>
    </w:rPr>
  </w:style>
  <w:style w:type="paragraph" w:customStyle="1" w:styleId="PolicyStatement">
    <w:name w:val="PolicyStatement"/>
    <w:basedOn w:val="Normal"/>
    <w:qFormat/>
    <w:rsid w:val="00177AD2"/>
    <w:pPr>
      <w:pBdr>
        <w:top w:val="single" w:sz="4" w:space="20" w:color="F2F2F2" w:themeColor="background1" w:themeShade="F2"/>
        <w:left w:val="single" w:sz="4" w:space="10" w:color="F2F2F2" w:themeColor="background1" w:themeShade="F2"/>
        <w:bottom w:val="single" w:sz="4" w:space="10" w:color="F2F2F2" w:themeColor="background1" w:themeShade="F2"/>
        <w:right w:val="single" w:sz="4" w:space="10" w:color="F2F2F2" w:themeColor="background1" w:themeShade="F2"/>
      </w:pBdr>
      <w:shd w:val="clear" w:color="auto" w:fill="F2F2F2" w:themeFill="background1" w:themeFillShade="F2"/>
      <w:spacing w:before="240" w:line="260" w:lineRule="auto"/>
      <w:ind w:left="227" w:right="227"/>
    </w:pPr>
  </w:style>
  <w:style w:type="table" w:customStyle="1" w:styleId="DepartmentofHealthtable">
    <w:name w:val="Department of Health table"/>
    <w:basedOn w:val="TableNormal"/>
    <w:uiPriority w:val="99"/>
    <w:rsid w:val="00DC2313"/>
    <w:rPr>
      <w:rFonts w:ascii="Arial" w:hAnsi="Arial"/>
      <w:color w:val="000000" w:themeColor="text1"/>
      <w:sz w:val="21"/>
    </w:rPr>
    <w:tblPr>
      <w:tblStyleRowBandSize w:val="1"/>
      <w:tblBorders>
        <w:top w:val="single" w:sz="4" w:space="0" w:color="auto"/>
        <w:bottom w:val="single" w:sz="4" w:space="0" w:color="auto"/>
        <w:insideH w:val="single" w:sz="4" w:space="0" w:color="auto"/>
      </w:tblBorders>
    </w:tblPr>
    <w:tcPr>
      <w:shd w:val="clear" w:color="auto" w:fill="FFFFFF" w:themeFill="background1"/>
    </w:tcPr>
    <w:tblStylePr w:type="firstRow">
      <w:rPr>
        <w:rFonts w:ascii="Arial" w:hAnsi="Arial"/>
        <w:color w:val="F2F2F2" w:themeColor="background1" w:themeShade="F2"/>
        <w:sz w:val="22"/>
      </w:rPr>
      <w:tblPr/>
      <w:tcPr>
        <w:shd w:val="clear" w:color="auto" w:fill="3F4A75"/>
      </w:tcPr>
    </w:tblStylePr>
    <w:tblStylePr w:type="lastRow">
      <w:rPr>
        <w:rFonts w:ascii="Arial" w:hAnsi="Arial"/>
        <w:color w:val="000000" w:themeColor="text1"/>
      </w:rPr>
      <w:tblPr/>
      <w:tcPr>
        <w:shd w:val="clear" w:color="auto" w:fill="FFFFFF" w:themeFill="background1"/>
      </w:tcPr>
    </w:tblStylePr>
    <w:tblStylePr w:type="firstCol">
      <w:tblPr/>
      <w:tcPr>
        <w:shd w:val="clear" w:color="auto" w:fill="FFFFFF" w:themeFill="background1"/>
      </w:tcPr>
    </w:tblStylePr>
    <w:tblStylePr w:type="band1Horz">
      <w:tblPr/>
      <w:tcPr>
        <w:shd w:val="clear" w:color="auto" w:fill="FFFFFF" w:themeFill="background1"/>
      </w:tcPr>
    </w:tblStylePr>
    <w:tblStylePr w:type="band2Horz">
      <w:tblPr/>
      <w:tcPr>
        <w:shd w:val="clear" w:color="auto" w:fill="FFFFFF" w:themeFill="background1"/>
      </w:tcPr>
    </w:tblStylePr>
  </w:style>
  <w:style w:type="character" w:customStyle="1" w:styleId="TableTitleChar">
    <w:name w:val="Table Title Char"/>
    <w:basedOn w:val="DefaultParagraphFont"/>
    <w:link w:val="TableTitle"/>
    <w:rsid w:val="00DC7910"/>
    <w:rPr>
      <w:rFonts w:ascii="Arial" w:hAnsi="Arial"/>
      <w:b/>
      <w:color w:val="000000" w:themeColor="text1"/>
      <w:sz w:val="22"/>
      <w:szCs w:val="24"/>
      <w:lang w:val="en-US" w:eastAsia="en-US"/>
    </w:rPr>
  </w:style>
  <w:style w:type="paragraph" w:customStyle="1" w:styleId="IntroPara">
    <w:name w:val="Intro Para"/>
    <w:basedOn w:val="Normal"/>
    <w:next w:val="Normal"/>
    <w:qFormat/>
    <w:rsid w:val="00BA70AB"/>
    <w:pPr>
      <w:spacing w:before="480" w:line="400" w:lineRule="exact"/>
    </w:pPr>
    <w:rPr>
      <w:color w:val="358189"/>
      <w:sz w:val="28"/>
    </w:rPr>
  </w:style>
  <w:style w:type="paragraph" w:customStyle="1" w:styleId="TableTextright">
    <w:name w:val="Table Text right"/>
    <w:basedOn w:val="Tabletextleft"/>
    <w:rsid w:val="009127BC"/>
    <w:pPr>
      <w:jc w:val="right"/>
    </w:pPr>
  </w:style>
  <w:style w:type="paragraph" w:customStyle="1" w:styleId="Tabletextright0">
    <w:name w:val="Table text right"/>
    <w:basedOn w:val="Tabletextleft"/>
    <w:rsid w:val="009127BC"/>
    <w:pPr>
      <w:jc w:val="right"/>
    </w:pPr>
  </w:style>
  <w:style w:type="paragraph" w:customStyle="1" w:styleId="Tabletextcentre">
    <w:name w:val="Table text centre"/>
    <w:basedOn w:val="Tabletextleft"/>
    <w:rsid w:val="009127BC"/>
    <w:pPr>
      <w:jc w:val="center"/>
    </w:pPr>
  </w:style>
  <w:style w:type="paragraph" w:customStyle="1" w:styleId="Boxheading">
    <w:name w:val="Box heading"/>
    <w:basedOn w:val="Boxtype"/>
    <w:qFormat/>
    <w:rsid w:val="00CA4BE3"/>
    <w:pPr>
      <w:spacing w:before="240"/>
    </w:pPr>
    <w:rPr>
      <w:rFonts w:cs="Times New Roman"/>
      <w:b/>
      <w:bCs/>
      <w:caps/>
      <w:color w:val="358189"/>
      <w:szCs w:val="20"/>
    </w:rPr>
  </w:style>
  <w:style w:type="paragraph" w:customStyle="1" w:styleId="Boxtype">
    <w:name w:val="Box type"/>
    <w:next w:val="Normal"/>
    <w:qFormat/>
    <w:rsid w:val="00BA70AB"/>
    <w:pPr>
      <w:pBdr>
        <w:top w:val="single" w:sz="6" w:space="20" w:color="358189"/>
        <w:left w:val="single" w:sz="6" w:space="10" w:color="358189"/>
        <w:bottom w:val="single" w:sz="6" w:space="10" w:color="358189"/>
        <w:right w:val="single" w:sz="6" w:space="10" w:color="358189"/>
      </w:pBdr>
      <w:spacing w:after="240" w:line="276" w:lineRule="auto"/>
      <w:ind w:left="227" w:right="227"/>
    </w:pPr>
    <w:rPr>
      <w:rFonts w:ascii="Arial" w:hAnsi="Arial" w:cs="Arial"/>
      <w:color w:val="000000" w:themeColor="text1"/>
      <w:sz w:val="22"/>
      <w:szCs w:val="24"/>
      <w:lang w:val="en" w:eastAsia="en-US"/>
    </w:rPr>
  </w:style>
  <w:style w:type="paragraph" w:customStyle="1" w:styleId="Footerrightpage">
    <w:name w:val="Footer right page"/>
    <w:basedOn w:val="Footer"/>
    <w:rsid w:val="00841111"/>
  </w:style>
  <w:style w:type="paragraph" w:customStyle="1" w:styleId="URL">
    <w:name w:val="URL"/>
    <w:basedOn w:val="Normal"/>
    <w:rsid w:val="00BA70AB"/>
    <w:pPr>
      <w:spacing w:before="3120"/>
      <w:jc w:val="center"/>
    </w:pPr>
    <w:rPr>
      <w:b/>
      <w:bCs/>
      <w:sz w:val="24"/>
      <w:szCs w:val="20"/>
    </w:rPr>
  </w:style>
  <w:style w:type="paragraph" w:styleId="BodyText">
    <w:name w:val="Body Text"/>
    <w:basedOn w:val="Normal"/>
    <w:link w:val="BodyTextChar"/>
    <w:semiHidden/>
    <w:unhideWhenUsed/>
    <w:rsid w:val="00B94828"/>
  </w:style>
  <w:style w:type="character" w:customStyle="1" w:styleId="BodyTextChar">
    <w:name w:val="Body Text Char"/>
    <w:basedOn w:val="DefaultParagraphFont"/>
    <w:link w:val="BodyText"/>
    <w:semiHidden/>
    <w:rsid w:val="00B94828"/>
    <w:rPr>
      <w:rFonts w:ascii="Arial" w:hAnsi="Arial"/>
      <w:sz w:val="22"/>
      <w:szCs w:val="24"/>
      <w:lang w:eastAsia="en-US"/>
    </w:rPr>
  </w:style>
  <w:style w:type="character" w:customStyle="1" w:styleId="Heading7Char">
    <w:name w:val="Heading 7 Char"/>
    <w:basedOn w:val="DefaultParagraphFont"/>
    <w:link w:val="Heading7"/>
    <w:semiHidden/>
    <w:rsid w:val="00207793"/>
    <w:rPr>
      <w:rFonts w:ascii="Arial" w:eastAsiaTheme="majorEastAsia" w:hAnsi="Arial" w:cstheme="majorBidi"/>
      <w:b/>
      <w:i/>
      <w:iCs/>
      <w:color w:val="1F243A" w:themeColor="accent1" w:themeShade="7F"/>
      <w:sz w:val="22"/>
      <w:szCs w:val="24"/>
      <w:lang w:eastAsia="en-US"/>
    </w:rPr>
  </w:style>
  <w:style w:type="character" w:styleId="CommentReference">
    <w:name w:val="annotation reference"/>
    <w:basedOn w:val="DefaultParagraphFont"/>
    <w:semiHidden/>
    <w:unhideWhenUsed/>
    <w:rsid w:val="005716C1"/>
    <w:rPr>
      <w:sz w:val="16"/>
      <w:szCs w:val="16"/>
    </w:rPr>
  </w:style>
  <w:style w:type="paragraph" w:styleId="CommentText">
    <w:name w:val="annotation text"/>
    <w:basedOn w:val="Normal"/>
    <w:link w:val="CommentTextChar"/>
    <w:unhideWhenUsed/>
    <w:rsid w:val="005716C1"/>
    <w:pPr>
      <w:spacing w:line="240" w:lineRule="auto"/>
    </w:pPr>
    <w:rPr>
      <w:sz w:val="20"/>
      <w:szCs w:val="20"/>
    </w:rPr>
  </w:style>
  <w:style w:type="character" w:customStyle="1" w:styleId="CommentTextChar">
    <w:name w:val="Comment Text Char"/>
    <w:basedOn w:val="DefaultParagraphFont"/>
    <w:link w:val="CommentText"/>
    <w:rsid w:val="005716C1"/>
    <w:rPr>
      <w:rFonts w:ascii="Arial" w:hAnsi="Arial"/>
      <w:color w:val="000000" w:themeColor="text1"/>
      <w:lang w:eastAsia="en-US"/>
    </w:rPr>
  </w:style>
  <w:style w:type="paragraph" w:styleId="CommentSubject">
    <w:name w:val="annotation subject"/>
    <w:basedOn w:val="CommentText"/>
    <w:next w:val="CommentText"/>
    <w:link w:val="CommentSubjectChar"/>
    <w:semiHidden/>
    <w:unhideWhenUsed/>
    <w:rsid w:val="005716C1"/>
    <w:rPr>
      <w:b/>
      <w:bCs/>
    </w:rPr>
  </w:style>
  <w:style w:type="character" w:customStyle="1" w:styleId="CommentSubjectChar">
    <w:name w:val="Comment Subject Char"/>
    <w:basedOn w:val="CommentTextChar"/>
    <w:link w:val="CommentSubject"/>
    <w:semiHidden/>
    <w:rsid w:val="005716C1"/>
    <w:rPr>
      <w:rFonts w:ascii="Arial" w:hAnsi="Arial"/>
      <w:b/>
      <w:bCs/>
      <w:color w:val="000000" w:themeColor="text1"/>
      <w:lang w:eastAsia="en-US"/>
    </w:rPr>
  </w:style>
  <w:style w:type="paragraph" w:styleId="TOCHeading">
    <w:name w:val="TOC Heading"/>
    <w:basedOn w:val="Heading1"/>
    <w:next w:val="Normal"/>
    <w:uiPriority w:val="39"/>
    <w:unhideWhenUsed/>
    <w:qFormat/>
    <w:rsid w:val="00331C28"/>
    <w:pPr>
      <w:keepLines/>
      <w:spacing w:after="0" w:line="259" w:lineRule="auto"/>
      <w:outlineLvl w:val="9"/>
    </w:pPr>
    <w:rPr>
      <w:rFonts w:asciiTheme="majorHAnsi" w:eastAsiaTheme="majorEastAsia" w:hAnsiTheme="majorHAnsi" w:cstheme="majorBidi"/>
      <w:b w:val="0"/>
      <w:bCs w:val="0"/>
      <w:color w:val="2F3757" w:themeColor="accent1" w:themeShade="BF"/>
      <w:kern w:val="0"/>
      <w:sz w:val="32"/>
      <w:szCs w:val="32"/>
      <w:lang w:val="en-US"/>
    </w:rPr>
  </w:style>
  <w:style w:type="paragraph" w:styleId="TOC1">
    <w:name w:val="toc 1"/>
    <w:basedOn w:val="Normal"/>
    <w:next w:val="Normal"/>
    <w:autoRedefine/>
    <w:uiPriority w:val="39"/>
    <w:unhideWhenUsed/>
    <w:rsid w:val="00F06202"/>
    <w:pPr>
      <w:tabs>
        <w:tab w:val="right" w:leader="dot" w:pos="9060"/>
      </w:tabs>
      <w:spacing w:after="100"/>
    </w:pPr>
    <w:rPr>
      <w:rFonts w:asciiTheme="minorHAnsi" w:eastAsiaTheme="minorEastAsia" w:hAnsiTheme="minorHAnsi" w:cstheme="minorBidi"/>
      <w:noProof/>
      <w:color w:val="auto"/>
      <w:kern w:val="2"/>
      <w:sz w:val="24"/>
      <w:lang w:eastAsia="ja-JP"/>
      <w14:ligatures w14:val="standardContextual"/>
    </w:rPr>
  </w:style>
  <w:style w:type="paragraph" w:styleId="TOC2">
    <w:name w:val="toc 2"/>
    <w:basedOn w:val="Normal"/>
    <w:next w:val="Normal"/>
    <w:autoRedefine/>
    <w:uiPriority w:val="39"/>
    <w:unhideWhenUsed/>
    <w:rsid w:val="00F06202"/>
    <w:pPr>
      <w:tabs>
        <w:tab w:val="right" w:leader="dot" w:pos="9060"/>
      </w:tabs>
      <w:spacing w:after="100"/>
      <w:ind w:left="220"/>
    </w:pPr>
    <w:rPr>
      <w:rFonts w:asciiTheme="minorHAnsi" w:eastAsiaTheme="minorEastAsia" w:hAnsiTheme="minorHAnsi" w:cstheme="minorBidi"/>
      <w:noProof/>
      <w:color w:val="auto"/>
      <w:kern w:val="2"/>
      <w:sz w:val="24"/>
      <w:lang w:eastAsia="ja-JP"/>
      <w14:ligatures w14:val="standardContextual"/>
    </w:rPr>
  </w:style>
  <w:style w:type="paragraph" w:styleId="TOC3">
    <w:name w:val="toc 3"/>
    <w:basedOn w:val="Normal"/>
    <w:next w:val="Normal"/>
    <w:autoRedefine/>
    <w:uiPriority w:val="39"/>
    <w:unhideWhenUsed/>
    <w:rsid w:val="00F06202"/>
    <w:pPr>
      <w:tabs>
        <w:tab w:val="right" w:leader="dot" w:pos="9060"/>
      </w:tabs>
      <w:spacing w:after="100"/>
      <w:ind w:left="440"/>
    </w:pPr>
    <w:rPr>
      <w:rFonts w:asciiTheme="minorHAnsi" w:eastAsiaTheme="minorEastAsia" w:hAnsiTheme="minorHAnsi" w:cstheme="minorBidi"/>
      <w:noProof/>
      <w:color w:val="auto"/>
      <w:kern w:val="2"/>
      <w:sz w:val="24"/>
      <w:lang w:eastAsia="ja-JP"/>
      <w14:ligatures w14:val="standardContextual"/>
    </w:rPr>
  </w:style>
  <w:style w:type="character" w:styleId="UnresolvedMention">
    <w:name w:val="Unresolved Mention"/>
    <w:basedOn w:val="DefaultParagraphFont"/>
    <w:uiPriority w:val="99"/>
    <w:semiHidden/>
    <w:unhideWhenUsed/>
    <w:rsid w:val="00767C83"/>
    <w:rPr>
      <w:color w:val="605E5C"/>
      <w:shd w:val="clear" w:color="auto" w:fill="E1DFDD"/>
    </w:rPr>
  </w:style>
  <w:style w:type="character" w:styleId="FollowedHyperlink">
    <w:name w:val="FollowedHyperlink"/>
    <w:basedOn w:val="DefaultParagraphFont"/>
    <w:semiHidden/>
    <w:unhideWhenUsed/>
    <w:rsid w:val="004E0086"/>
    <w:rPr>
      <w:color w:val="800080" w:themeColor="followedHyperlink"/>
      <w:u w:val="single"/>
    </w:rPr>
  </w:style>
  <w:style w:type="paragraph" w:styleId="Bibliography">
    <w:name w:val="Bibliography"/>
    <w:basedOn w:val="Normal"/>
    <w:next w:val="Normal"/>
    <w:uiPriority w:val="37"/>
    <w:unhideWhenUsed/>
    <w:rsid w:val="005649EE"/>
  </w:style>
  <w:style w:type="character" w:styleId="FootnoteReference">
    <w:name w:val="footnote reference"/>
    <w:basedOn w:val="DefaultParagraphFont"/>
    <w:semiHidden/>
    <w:unhideWhenUsed/>
    <w:rsid w:val="009D6716"/>
    <w:rPr>
      <w:vertAlign w:val="superscript"/>
    </w:rPr>
  </w:style>
  <w:style w:type="paragraph" w:styleId="Revision">
    <w:name w:val="Revision"/>
    <w:hidden/>
    <w:uiPriority w:val="99"/>
    <w:semiHidden/>
    <w:rsid w:val="00D665F8"/>
    <w:rPr>
      <w:rFonts w:ascii="Arial" w:hAnsi="Arial"/>
      <w:color w:val="000000" w:themeColor="text1"/>
      <w:sz w:val="22"/>
      <w:szCs w:val="24"/>
      <w:lang w:eastAsia="en-US"/>
    </w:rPr>
  </w:style>
  <w:style w:type="character" w:customStyle="1" w:styleId="Heading1Char">
    <w:name w:val="Heading 1 Char"/>
    <w:basedOn w:val="DefaultParagraphFont"/>
    <w:link w:val="Heading1"/>
    <w:uiPriority w:val="9"/>
    <w:rsid w:val="009420FD"/>
    <w:rPr>
      <w:rFonts w:ascii="Arial" w:hAnsi="Arial" w:cs="Arial"/>
      <w:b/>
      <w:bCs/>
      <w:color w:val="3F4A75"/>
      <w:kern w:val="28"/>
      <w:sz w:val="44"/>
      <w:szCs w:val="36"/>
      <w:lang w:eastAsia="en-US"/>
    </w:rPr>
  </w:style>
  <w:style w:type="paragraph" w:styleId="ListNumber">
    <w:name w:val="List Number"/>
    <w:basedOn w:val="Normal"/>
    <w:rsid w:val="007A2C49"/>
    <w:pPr>
      <w:numPr>
        <w:numId w:val="24"/>
      </w:numPr>
      <w:contextualSpacing/>
    </w:pPr>
  </w:style>
  <w:style w:type="paragraph" w:styleId="TOC4">
    <w:name w:val="toc 4"/>
    <w:basedOn w:val="Normal"/>
    <w:next w:val="Normal"/>
    <w:uiPriority w:val="39"/>
    <w:unhideWhenUsed/>
    <w:rsid w:val="3CFEC229"/>
    <w:pPr>
      <w:spacing w:after="100"/>
      <w:ind w:left="660"/>
    </w:pPr>
  </w:style>
  <w:style w:type="paragraph" w:styleId="EndnoteText">
    <w:name w:val="endnote text"/>
    <w:basedOn w:val="Normal"/>
    <w:link w:val="EndnoteTextChar"/>
    <w:uiPriority w:val="99"/>
    <w:semiHidden/>
    <w:unhideWhenUsed/>
    <w:rsid w:val="004E4CDA"/>
    <w:pPr>
      <w:spacing w:after="0"/>
    </w:pPr>
    <w:rPr>
      <w:sz w:val="20"/>
      <w:szCs w:val="20"/>
    </w:rPr>
  </w:style>
  <w:style w:type="character" w:customStyle="1" w:styleId="EndnoteTextChar">
    <w:name w:val="Endnote Text Char"/>
    <w:basedOn w:val="DefaultParagraphFont"/>
    <w:link w:val="EndnoteText"/>
    <w:uiPriority w:val="99"/>
    <w:semiHidden/>
    <w:rsid w:val="004E4CDA"/>
    <w:rPr>
      <w:rFonts w:ascii="Arial" w:hAnsi="Arial"/>
      <w:color w:val="000000" w:themeColor="text1"/>
      <w:lang w:eastAsia="en-US"/>
    </w:rPr>
  </w:style>
  <w:style w:type="character" w:styleId="EndnoteReference">
    <w:name w:val="endnote reference"/>
    <w:basedOn w:val="DefaultParagraphFont"/>
    <w:uiPriority w:val="99"/>
    <w:semiHidden/>
    <w:unhideWhenUsed/>
    <w:rsid w:val="004E4CDA"/>
    <w:rPr>
      <w:vertAlign w:val="superscript"/>
    </w:rPr>
  </w:style>
  <w:style w:type="paragraph" w:customStyle="1" w:styleId="Hyperlinkstable">
    <w:name w:val="Hyperlinks (table)"/>
    <w:basedOn w:val="Tabletextleft"/>
    <w:link w:val="HyperlinkstableChar"/>
    <w:qFormat/>
    <w:rsid w:val="00A3583A"/>
  </w:style>
  <w:style w:type="character" w:customStyle="1" w:styleId="TabletextleftChar">
    <w:name w:val="Table text left Char"/>
    <w:basedOn w:val="DefaultParagraphFont"/>
    <w:link w:val="Tabletextleft"/>
    <w:rsid w:val="00A3583A"/>
    <w:rPr>
      <w:rFonts w:ascii="Arial" w:hAnsi="Arial"/>
      <w:color w:val="000000" w:themeColor="text1"/>
      <w:szCs w:val="24"/>
      <w:lang w:eastAsia="en-US"/>
    </w:rPr>
  </w:style>
  <w:style w:type="character" w:customStyle="1" w:styleId="HyperlinkstableChar">
    <w:name w:val="Hyperlinks (table) Char"/>
    <w:basedOn w:val="TabletextleftChar"/>
    <w:link w:val="Hyperlinkstable"/>
    <w:rsid w:val="00A3583A"/>
    <w:rPr>
      <w:rFonts w:ascii="Arial" w:hAnsi="Arial"/>
      <w:color w:val="000000" w:themeColor="text1"/>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67369">
      <w:bodyDiv w:val="1"/>
      <w:marLeft w:val="0"/>
      <w:marRight w:val="0"/>
      <w:marTop w:val="0"/>
      <w:marBottom w:val="0"/>
      <w:divBdr>
        <w:top w:val="none" w:sz="0" w:space="0" w:color="auto"/>
        <w:left w:val="none" w:sz="0" w:space="0" w:color="auto"/>
        <w:bottom w:val="none" w:sz="0" w:space="0" w:color="auto"/>
        <w:right w:val="none" w:sz="0" w:space="0" w:color="auto"/>
      </w:divBdr>
    </w:div>
    <w:div w:id="6637251">
      <w:bodyDiv w:val="1"/>
      <w:marLeft w:val="0"/>
      <w:marRight w:val="0"/>
      <w:marTop w:val="0"/>
      <w:marBottom w:val="0"/>
      <w:divBdr>
        <w:top w:val="none" w:sz="0" w:space="0" w:color="auto"/>
        <w:left w:val="none" w:sz="0" w:space="0" w:color="auto"/>
        <w:bottom w:val="none" w:sz="0" w:space="0" w:color="auto"/>
        <w:right w:val="none" w:sz="0" w:space="0" w:color="auto"/>
      </w:divBdr>
    </w:div>
    <w:div w:id="8263263">
      <w:bodyDiv w:val="1"/>
      <w:marLeft w:val="0"/>
      <w:marRight w:val="0"/>
      <w:marTop w:val="0"/>
      <w:marBottom w:val="0"/>
      <w:divBdr>
        <w:top w:val="none" w:sz="0" w:space="0" w:color="auto"/>
        <w:left w:val="none" w:sz="0" w:space="0" w:color="auto"/>
        <w:bottom w:val="none" w:sz="0" w:space="0" w:color="auto"/>
        <w:right w:val="none" w:sz="0" w:space="0" w:color="auto"/>
      </w:divBdr>
    </w:div>
    <w:div w:id="9533340">
      <w:bodyDiv w:val="1"/>
      <w:marLeft w:val="0"/>
      <w:marRight w:val="0"/>
      <w:marTop w:val="0"/>
      <w:marBottom w:val="0"/>
      <w:divBdr>
        <w:top w:val="none" w:sz="0" w:space="0" w:color="auto"/>
        <w:left w:val="none" w:sz="0" w:space="0" w:color="auto"/>
        <w:bottom w:val="none" w:sz="0" w:space="0" w:color="auto"/>
        <w:right w:val="none" w:sz="0" w:space="0" w:color="auto"/>
      </w:divBdr>
    </w:div>
    <w:div w:id="9836295">
      <w:bodyDiv w:val="1"/>
      <w:marLeft w:val="0"/>
      <w:marRight w:val="0"/>
      <w:marTop w:val="0"/>
      <w:marBottom w:val="0"/>
      <w:divBdr>
        <w:top w:val="none" w:sz="0" w:space="0" w:color="auto"/>
        <w:left w:val="none" w:sz="0" w:space="0" w:color="auto"/>
        <w:bottom w:val="none" w:sz="0" w:space="0" w:color="auto"/>
        <w:right w:val="none" w:sz="0" w:space="0" w:color="auto"/>
      </w:divBdr>
    </w:div>
    <w:div w:id="10113661">
      <w:bodyDiv w:val="1"/>
      <w:marLeft w:val="0"/>
      <w:marRight w:val="0"/>
      <w:marTop w:val="0"/>
      <w:marBottom w:val="0"/>
      <w:divBdr>
        <w:top w:val="none" w:sz="0" w:space="0" w:color="auto"/>
        <w:left w:val="none" w:sz="0" w:space="0" w:color="auto"/>
        <w:bottom w:val="none" w:sz="0" w:space="0" w:color="auto"/>
        <w:right w:val="none" w:sz="0" w:space="0" w:color="auto"/>
      </w:divBdr>
    </w:div>
    <w:div w:id="10303753">
      <w:bodyDiv w:val="1"/>
      <w:marLeft w:val="0"/>
      <w:marRight w:val="0"/>
      <w:marTop w:val="0"/>
      <w:marBottom w:val="0"/>
      <w:divBdr>
        <w:top w:val="none" w:sz="0" w:space="0" w:color="auto"/>
        <w:left w:val="none" w:sz="0" w:space="0" w:color="auto"/>
        <w:bottom w:val="none" w:sz="0" w:space="0" w:color="auto"/>
        <w:right w:val="none" w:sz="0" w:space="0" w:color="auto"/>
      </w:divBdr>
    </w:div>
    <w:div w:id="10764593">
      <w:bodyDiv w:val="1"/>
      <w:marLeft w:val="0"/>
      <w:marRight w:val="0"/>
      <w:marTop w:val="0"/>
      <w:marBottom w:val="0"/>
      <w:divBdr>
        <w:top w:val="none" w:sz="0" w:space="0" w:color="auto"/>
        <w:left w:val="none" w:sz="0" w:space="0" w:color="auto"/>
        <w:bottom w:val="none" w:sz="0" w:space="0" w:color="auto"/>
        <w:right w:val="none" w:sz="0" w:space="0" w:color="auto"/>
      </w:divBdr>
    </w:div>
    <w:div w:id="11152369">
      <w:bodyDiv w:val="1"/>
      <w:marLeft w:val="0"/>
      <w:marRight w:val="0"/>
      <w:marTop w:val="0"/>
      <w:marBottom w:val="0"/>
      <w:divBdr>
        <w:top w:val="none" w:sz="0" w:space="0" w:color="auto"/>
        <w:left w:val="none" w:sz="0" w:space="0" w:color="auto"/>
        <w:bottom w:val="none" w:sz="0" w:space="0" w:color="auto"/>
        <w:right w:val="none" w:sz="0" w:space="0" w:color="auto"/>
      </w:divBdr>
    </w:div>
    <w:div w:id="12192706">
      <w:bodyDiv w:val="1"/>
      <w:marLeft w:val="0"/>
      <w:marRight w:val="0"/>
      <w:marTop w:val="0"/>
      <w:marBottom w:val="0"/>
      <w:divBdr>
        <w:top w:val="none" w:sz="0" w:space="0" w:color="auto"/>
        <w:left w:val="none" w:sz="0" w:space="0" w:color="auto"/>
        <w:bottom w:val="none" w:sz="0" w:space="0" w:color="auto"/>
        <w:right w:val="none" w:sz="0" w:space="0" w:color="auto"/>
      </w:divBdr>
    </w:div>
    <w:div w:id="13768772">
      <w:bodyDiv w:val="1"/>
      <w:marLeft w:val="0"/>
      <w:marRight w:val="0"/>
      <w:marTop w:val="0"/>
      <w:marBottom w:val="0"/>
      <w:divBdr>
        <w:top w:val="none" w:sz="0" w:space="0" w:color="auto"/>
        <w:left w:val="none" w:sz="0" w:space="0" w:color="auto"/>
        <w:bottom w:val="none" w:sz="0" w:space="0" w:color="auto"/>
        <w:right w:val="none" w:sz="0" w:space="0" w:color="auto"/>
      </w:divBdr>
    </w:div>
    <w:div w:id="15885936">
      <w:bodyDiv w:val="1"/>
      <w:marLeft w:val="0"/>
      <w:marRight w:val="0"/>
      <w:marTop w:val="0"/>
      <w:marBottom w:val="0"/>
      <w:divBdr>
        <w:top w:val="none" w:sz="0" w:space="0" w:color="auto"/>
        <w:left w:val="none" w:sz="0" w:space="0" w:color="auto"/>
        <w:bottom w:val="none" w:sz="0" w:space="0" w:color="auto"/>
        <w:right w:val="none" w:sz="0" w:space="0" w:color="auto"/>
      </w:divBdr>
    </w:div>
    <w:div w:id="16855248">
      <w:bodyDiv w:val="1"/>
      <w:marLeft w:val="0"/>
      <w:marRight w:val="0"/>
      <w:marTop w:val="0"/>
      <w:marBottom w:val="0"/>
      <w:divBdr>
        <w:top w:val="none" w:sz="0" w:space="0" w:color="auto"/>
        <w:left w:val="none" w:sz="0" w:space="0" w:color="auto"/>
        <w:bottom w:val="none" w:sz="0" w:space="0" w:color="auto"/>
        <w:right w:val="none" w:sz="0" w:space="0" w:color="auto"/>
      </w:divBdr>
    </w:div>
    <w:div w:id="19087694">
      <w:bodyDiv w:val="1"/>
      <w:marLeft w:val="0"/>
      <w:marRight w:val="0"/>
      <w:marTop w:val="0"/>
      <w:marBottom w:val="0"/>
      <w:divBdr>
        <w:top w:val="none" w:sz="0" w:space="0" w:color="auto"/>
        <w:left w:val="none" w:sz="0" w:space="0" w:color="auto"/>
        <w:bottom w:val="none" w:sz="0" w:space="0" w:color="auto"/>
        <w:right w:val="none" w:sz="0" w:space="0" w:color="auto"/>
      </w:divBdr>
    </w:div>
    <w:div w:id="19551376">
      <w:bodyDiv w:val="1"/>
      <w:marLeft w:val="0"/>
      <w:marRight w:val="0"/>
      <w:marTop w:val="0"/>
      <w:marBottom w:val="0"/>
      <w:divBdr>
        <w:top w:val="none" w:sz="0" w:space="0" w:color="auto"/>
        <w:left w:val="none" w:sz="0" w:space="0" w:color="auto"/>
        <w:bottom w:val="none" w:sz="0" w:space="0" w:color="auto"/>
        <w:right w:val="none" w:sz="0" w:space="0" w:color="auto"/>
      </w:divBdr>
    </w:div>
    <w:div w:id="21323592">
      <w:bodyDiv w:val="1"/>
      <w:marLeft w:val="0"/>
      <w:marRight w:val="0"/>
      <w:marTop w:val="0"/>
      <w:marBottom w:val="0"/>
      <w:divBdr>
        <w:top w:val="none" w:sz="0" w:space="0" w:color="auto"/>
        <w:left w:val="none" w:sz="0" w:space="0" w:color="auto"/>
        <w:bottom w:val="none" w:sz="0" w:space="0" w:color="auto"/>
        <w:right w:val="none" w:sz="0" w:space="0" w:color="auto"/>
      </w:divBdr>
    </w:div>
    <w:div w:id="22246693">
      <w:bodyDiv w:val="1"/>
      <w:marLeft w:val="0"/>
      <w:marRight w:val="0"/>
      <w:marTop w:val="0"/>
      <w:marBottom w:val="0"/>
      <w:divBdr>
        <w:top w:val="none" w:sz="0" w:space="0" w:color="auto"/>
        <w:left w:val="none" w:sz="0" w:space="0" w:color="auto"/>
        <w:bottom w:val="none" w:sz="0" w:space="0" w:color="auto"/>
        <w:right w:val="none" w:sz="0" w:space="0" w:color="auto"/>
      </w:divBdr>
    </w:div>
    <w:div w:id="22560530">
      <w:bodyDiv w:val="1"/>
      <w:marLeft w:val="0"/>
      <w:marRight w:val="0"/>
      <w:marTop w:val="0"/>
      <w:marBottom w:val="0"/>
      <w:divBdr>
        <w:top w:val="none" w:sz="0" w:space="0" w:color="auto"/>
        <w:left w:val="none" w:sz="0" w:space="0" w:color="auto"/>
        <w:bottom w:val="none" w:sz="0" w:space="0" w:color="auto"/>
        <w:right w:val="none" w:sz="0" w:space="0" w:color="auto"/>
      </w:divBdr>
    </w:div>
    <w:div w:id="22831789">
      <w:bodyDiv w:val="1"/>
      <w:marLeft w:val="0"/>
      <w:marRight w:val="0"/>
      <w:marTop w:val="0"/>
      <w:marBottom w:val="0"/>
      <w:divBdr>
        <w:top w:val="none" w:sz="0" w:space="0" w:color="auto"/>
        <w:left w:val="none" w:sz="0" w:space="0" w:color="auto"/>
        <w:bottom w:val="none" w:sz="0" w:space="0" w:color="auto"/>
        <w:right w:val="none" w:sz="0" w:space="0" w:color="auto"/>
      </w:divBdr>
    </w:div>
    <w:div w:id="23021329">
      <w:bodyDiv w:val="1"/>
      <w:marLeft w:val="0"/>
      <w:marRight w:val="0"/>
      <w:marTop w:val="0"/>
      <w:marBottom w:val="0"/>
      <w:divBdr>
        <w:top w:val="none" w:sz="0" w:space="0" w:color="auto"/>
        <w:left w:val="none" w:sz="0" w:space="0" w:color="auto"/>
        <w:bottom w:val="none" w:sz="0" w:space="0" w:color="auto"/>
        <w:right w:val="none" w:sz="0" w:space="0" w:color="auto"/>
      </w:divBdr>
    </w:div>
    <w:div w:id="23215768">
      <w:bodyDiv w:val="1"/>
      <w:marLeft w:val="0"/>
      <w:marRight w:val="0"/>
      <w:marTop w:val="0"/>
      <w:marBottom w:val="0"/>
      <w:divBdr>
        <w:top w:val="none" w:sz="0" w:space="0" w:color="auto"/>
        <w:left w:val="none" w:sz="0" w:space="0" w:color="auto"/>
        <w:bottom w:val="none" w:sz="0" w:space="0" w:color="auto"/>
        <w:right w:val="none" w:sz="0" w:space="0" w:color="auto"/>
      </w:divBdr>
    </w:div>
    <w:div w:id="23531022">
      <w:bodyDiv w:val="1"/>
      <w:marLeft w:val="0"/>
      <w:marRight w:val="0"/>
      <w:marTop w:val="0"/>
      <w:marBottom w:val="0"/>
      <w:divBdr>
        <w:top w:val="none" w:sz="0" w:space="0" w:color="auto"/>
        <w:left w:val="none" w:sz="0" w:space="0" w:color="auto"/>
        <w:bottom w:val="none" w:sz="0" w:space="0" w:color="auto"/>
        <w:right w:val="none" w:sz="0" w:space="0" w:color="auto"/>
      </w:divBdr>
    </w:div>
    <w:div w:id="23869022">
      <w:bodyDiv w:val="1"/>
      <w:marLeft w:val="0"/>
      <w:marRight w:val="0"/>
      <w:marTop w:val="0"/>
      <w:marBottom w:val="0"/>
      <w:divBdr>
        <w:top w:val="none" w:sz="0" w:space="0" w:color="auto"/>
        <w:left w:val="none" w:sz="0" w:space="0" w:color="auto"/>
        <w:bottom w:val="none" w:sz="0" w:space="0" w:color="auto"/>
        <w:right w:val="none" w:sz="0" w:space="0" w:color="auto"/>
      </w:divBdr>
    </w:div>
    <w:div w:id="24453004">
      <w:bodyDiv w:val="1"/>
      <w:marLeft w:val="0"/>
      <w:marRight w:val="0"/>
      <w:marTop w:val="0"/>
      <w:marBottom w:val="0"/>
      <w:divBdr>
        <w:top w:val="none" w:sz="0" w:space="0" w:color="auto"/>
        <w:left w:val="none" w:sz="0" w:space="0" w:color="auto"/>
        <w:bottom w:val="none" w:sz="0" w:space="0" w:color="auto"/>
        <w:right w:val="none" w:sz="0" w:space="0" w:color="auto"/>
      </w:divBdr>
    </w:div>
    <w:div w:id="24797807">
      <w:bodyDiv w:val="1"/>
      <w:marLeft w:val="0"/>
      <w:marRight w:val="0"/>
      <w:marTop w:val="0"/>
      <w:marBottom w:val="0"/>
      <w:divBdr>
        <w:top w:val="none" w:sz="0" w:space="0" w:color="auto"/>
        <w:left w:val="none" w:sz="0" w:space="0" w:color="auto"/>
        <w:bottom w:val="none" w:sz="0" w:space="0" w:color="auto"/>
        <w:right w:val="none" w:sz="0" w:space="0" w:color="auto"/>
      </w:divBdr>
    </w:div>
    <w:div w:id="26026411">
      <w:bodyDiv w:val="1"/>
      <w:marLeft w:val="0"/>
      <w:marRight w:val="0"/>
      <w:marTop w:val="0"/>
      <w:marBottom w:val="0"/>
      <w:divBdr>
        <w:top w:val="none" w:sz="0" w:space="0" w:color="auto"/>
        <w:left w:val="none" w:sz="0" w:space="0" w:color="auto"/>
        <w:bottom w:val="none" w:sz="0" w:space="0" w:color="auto"/>
        <w:right w:val="none" w:sz="0" w:space="0" w:color="auto"/>
      </w:divBdr>
    </w:div>
    <w:div w:id="26612845">
      <w:bodyDiv w:val="1"/>
      <w:marLeft w:val="0"/>
      <w:marRight w:val="0"/>
      <w:marTop w:val="0"/>
      <w:marBottom w:val="0"/>
      <w:divBdr>
        <w:top w:val="none" w:sz="0" w:space="0" w:color="auto"/>
        <w:left w:val="none" w:sz="0" w:space="0" w:color="auto"/>
        <w:bottom w:val="none" w:sz="0" w:space="0" w:color="auto"/>
        <w:right w:val="none" w:sz="0" w:space="0" w:color="auto"/>
      </w:divBdr>
    </w:div>
    <w:div w:id="26834975">
      <w:bodyDiv w:val="1"/>
      <w:marLeft w:val="0"/>
      <w:marRight w:val="0"/>
      <w:marTop w:val="0"/>
      <w:marBottom w:val="0"/>
      <w:divBdr>
        <w:top w:val="none" w:sz="0" w:space="0" w:color="auto"/>
        <w:left w:val="none" w:sz="0" w:space="0" w:color="auto"/>
        <w:bottom w:val="none" w:sz="0" w:space="0" w:color="auto"/>
        <w:right w:val="none" w:sz="0" w:space="0" w:color="auto"/>
      </w:divBdr>
    </w:div>
    <w:div w:id="28335764">
      <w:bodyDiv w:val="1"/>
      <w:marLeft w:val="0"/>
      <w:marRight w:val="0"/>
      <w:marTop w:val="0"/>
      <w:marBottom w:val="0"/>
      <w:divBdr>
        <w:top w:val="none" w:sz="0" w:space="0" w:color="auto"/>
        <w:left w:val="none" w:sz="0" w:space="0" w:color="auto"/>
        <w:bottom w:val="none" w:sz="0" w:space="0" w:color="auto"/>
        <w:right w:val="none" w:sz="0" w:space="0" w:color="auto"/>
      </w:divBdr>
    </w:div>
    <w:div w:id="28722112">
      <w:bodyDiv w:val="1"/>
      <w:marLeft w:val="0"/>
      <w:marRight w:val="0"/>
      <w:marTop w:val="0"/>
      <w:marBottom w:val="0"/>
      <w:divBdr>
        <w:top w:val="none" w:sz="0" w:space="0" w:color="auto"/>
        <w:left w:val="none" w:sz="0" w:space="0" w:color="auto"/>
        <w:bottom w:val="none" w:sz="0" w:space="0" w:color="auto"/>
        <w:right w:val="none" w:sz="0" w:space="0" w:color="auto"/>
      </w:divBdr>
    </w:div>
    <w:div w:id="30305218">
      <w:bodyDiv w:val="1"/>
      <w:marLeft w:val="0"/>
      <w:marRight w:val="0"/>
      <w:marTop w:val="0"/>
      <w:marBottom w:val="0"/>
      <w:divBdr>
        <w:top w:val="none" w:sz="0" w:space="0" w:color="auto"/>
        <w:left w:val="none" w:sz="0" w:space="0" w:color="auto"/>
        <w:bottom w:val="none" w:sz="0" w:space="0" w:color="auto"/>
        <w:right w:val="none" w:sz="0" w:space="0" w:color="auto"/>
      </w:divBdr>
    </w:div>
    <w:div w:id="30349329">
      <w:bodyDiv w:val="1"/>
      <w:marLeft w:val="0"/>
      <w:marRight w:val="0"/>
      <w:marTop w:val="0"/>
      <w:marBottom w:val="0"/>
      <w:divBdr>
        <w:top w:val="none" w:sz="0" w:space="0" w:color="auto"/>
        <w:left w:val="none" w:sz="0" w:space="0" w:color="auto"/>
        <w:bottom w:val="none" w:sz="0" w:space="0" w:color="auto"/>
        <w:right w:val="none" w:sz="0" w:space="0" w:color="auto"/>
      </w:divBdr>
    </w:div>
    <w:div w:id="30882844">
      <w:bodyDiv w:val="1"/>
      <w:marLeft w:val="0"/>
      <w:marRight w:val="0"/>
      <w:marTop w:val="0"/>
      <w:marBottom w:val="0"/>
      <w:divBdr>
        <w:top w:val="none" w:sz="0" w:space="0" w:color="auto"/>
        <w:left w:val="none" w:sz="0" w:space="0" w:color="auto"/>
        <w:bottom w:val="none" w:sz="0" w:space="0" w:color="auto"/>
        <w:right w:val="none" w:sz="0" w:space="0" w:color="auto"/>
      </w:divBdr>
    </w:div>
    <w:div w:id="31342238">
      <w:bodyDiv w:val="1"/>
      <w:marLeft w:val="0"/>
      <w:marRight w:val="0"/>
      <w:marTop w:val="0"/>
      <w:marBottom w:val="0"/>
      <w:divBdr>
        <w:top w:val="none" w:sz="0" w:space="0" w:color="auto"/>
        <w:left w:val="none" w:sz="0" w:space="0" w:color="auto"/>
        <w:bottom w:val="none" w:sz="0" w:space="0" w:color="auto"/>
        <w:right w:val="none" w:sz="0" w:space="0" w:color="auto"/>
      </w:divBdr>
    </w:div>
    <w:div w:id="31619680">
      <w:bodyDiv w:val="1"/>
      <w:marLeft w:val="0"/>
      <w:marRight w:val="0"/>
      <w:marTop w:val="0"/>
      <w:marBottom w:val="0"/>
      <w:divBdr>
        <w:top w:val="none" w:sz="0" w:space="0" w:color="auto"/>
        <w:left w:val="none" w:sz="0" w:space="0" w:color="auto"/>
        <w:bottom w:val="none" w:sz="0" w:space="0" w:color="auto"/>
        <w:right w:val="none" w:sz="0" w:space="0" w:color="auto"/>
      </w:divBdr>
    </w:div>
    <w:div w:id="31729881">
      <w:bodyDiv w:val="1"/>
      <w:marLeft w:val="0"/>
      <w:marRight w:val="0"/>
      <w:marTop w:val="0"/>
      <w:marBottom w:val="0"/>
      <w:divBdr>
        <w:top w:val="none" w:sz="0" w:space="0" w:color="auto"/>
        <w:left w:val="none" w:sz="0" w:space="0" w:color="auto"/>
        <w:bottom w:val="none" w:sz="0" w:space="0" w:color="auto"/>
        <w:right w:val="none" w:sz="0" w:space="0" w:color="auto"/>
      </w:divBdr>
    </w:div>
    <w:div w:id="33190351">
      <w:bodyDiv w:val="1"/>
      <w:marLeft w:val="0"/>
      <w:marRight w:val="0"/>
      <w:marTop w:val="0"/>
      <w:marBottom w:val="0"/>
      <w:divBdr>
        <w:top w:val="none" w:sz="0" w:space="0" w:color="auto"/>
        <w:left w:val="none" w:sz="0" w:space="0" w:color="auto"/>
        <w:bottom w:val="none" w:sz="0" w:space="0" w:color="auto"/>
        <w:right w:val="none" w:sz="0" w:space="0" w:color="auto"/>
      </w:divBdr>
    </w:div>
    <w:div w:id="33774830">
      <w:bodyDiv w:val="1"/>
      <w:marLeft w:val="0"/>
      <w:marRight w:val="0"/>
      <w:marTop w:val="0"/>
      <w:marBottom w:val="0"/>
      <w:divBdr>
        <w:top w:val="none" w:sz="0" w:space="0" w:color="auto"/>
        <w:left w:val="none" w:sz="0" w:space="0" w:color="auto"/>
        <w:bottom w:val="none" w:sz="0" w:space="0" w:color="auto"/>
        <w:right w:val="none" w:sz="0" w:space="0" w:color="auto"/>
      </w:divBdr>
    </w:div>
    <w:div w:id="34816158">
      <w:bodyDiv w:val="1"/>
      <w:marLeft w:val="0"/>
      <w:marRight w:val="0"/>
      <w:marTop w:val="0"/>
      <w:marBottom w:val="0"/>
      <w:divBdr>
        <w:top w:val="none" w:sz="0" w:space="0" w:color="auto"/>
        <w:left w:val="none" w:sz="0" w:space="0" w:color="auto"/>
        <w:bottom w:val="none" w:sz="0" w:space="0" w:color="auto"/>
        <w:right w:val="none" w:sz="0" w:space="0" w:color="auto"/>
      </w:divBdr>
    </w:div>
    <w:div w:id="35130452">
      <w:bodyDiv w:val="1"/>
      <w:marLeft w:val="0"/>
      <w:marRight w:val="0"/>
      <w:marTop w:val="0"/>
      <w:marBottom w:val="0"/>
      <w:divBdr>
        <w:top w:val="none" w:sz="0" w:space="0" w:color="auto"/>
        <w:left w:val="none" w:sz="0" w:space="0" w:color="auto"/>
        <w:bottom w:val="none" w:sz="0" w:space="0" w:color="auto"/>
        <w:right w:val="none" w:sz="0" w:space="0" w:color="auto"/>
      </w:divBdr>
    </w:div>
    <w:div w:id="35157205">
      <w:bodyDiv w:val="1"/>
      <w:marLeft w:val="0"/>
      <w:marRight w:val="0"/>
      <w:marTop w:val="0"/>
      <w:marBottom w:val="0"/>
      <w:divBdr>
        <w:top w:val="none" w:sz="0" w:space="0" w:color="auto"/>
        <w:left w:val="none" w:sz="0" w:space="0" w:color="auto"/>
        <w:bottom w:val="none" w:sz="0" w:space="0" w:color="auto"/>
        <w:right w:val="none" w:sz="0" w:space="0" w:color="auto"/>
      </w:divBdr>
    </w:div>
    <w:div w:id="35667497">
      <w:bodyDiv w:val="1"/>
      <w:marLeft w:val="0"/>
      <w:marRight w:val="0"/>
      <w:marTop w:val="0"/>
      <w:marBottom w:val="0"/>
      <w:divBdr>
        <w:top w:val="none" w:sz="0" w:space="0" w:color="auto"/>
        <w:left w:val="none" w:sz="0" w:space="0" w:color="auto"/>
        <w:bottom w:val="none" w:sz="0" w:space="0" w:color="auto"/>
        <w:right w:val="none" w:sz="0" w:space="0" w:color="auto"/>
      </w:divBdr>
    </w:div>
    <w:div w:id="36245160">
      <w:bodyDiv w:val="1"/>
      <w:marLeft w:val="0"/>
      <w:marRight w:val="0"/>
      <w:marTop w:val="0"/>
      <w:marBottom w:val="0"/>
      <w:divBdr>
        <w:top w:val="none" w:sz="0" w:space="0" w:color="auto"/>
        <w:left w:val="none" w:sz="0" w:space="0" w:color="auto"/>
        <w:bottom w:val="none" w:sz="0" w:space="0" w:color="auto"/>
        <w:right w:val="none" w:sz="0" w:space="0" w:color="auto"/>
      </w:divBdr>
    </w:div>
    <w:div w:id="36511118">
      <w:bodyDiv w:val="1"/>
      <w:marLeft w:val="0"/>
      <w:marRight w:val="0"/>
      <w:marTop w:val="0"/>
      <w:marBottom w:val="0"/>
      <w:divBdr>
        <w:top w:val="none" w:sz="0" w:space="0" w:color="auto"/>
        <w:left w:val="none" w:sz="0" w:space="0" w:color="auto"/>
        <w:bottom w:val="none" w:sz="0" w:space="0" w:color="auto"/>
        <w:right w:val="none" w:sz="0" w:space="0" w:color="auto"/>
      </w:divBdr>
    </w:div>
    <w:div w:id="38827079">
      <w:bodyDiv w:val="1"/>
      <w:marLeft w:val="0"/>
      <w:marRight w:val="0"/>
      <w:marTop w:val="0"/>
      <w:marBottom w:val="0"/>
      <w:divBdr>
        <w:top w:val="none" w:sz="0" w:space="0" w:color="auto"/>
        <w:left w:val="none" w:sz="0" w:space="0" w:color="auto"/>
        <w:bottom w:val="none" w:sz="0" w:space="0" w:color="auto"/>
        <w:right w:val="none" w:sz="0" w:space="0" w:color="auto"/>
      </w:divBdr>
    </w:div>
    <w:div w:id="38944579">
      <w:bodyDiv w:val="1"/>
      <w:marLeft w:val="0"/>
      <w:marRight w:val="0"/>
      <w:marTop w:val="0"/>
      <w:marBottom w:val="0"/>
      <w:divBdr>
        <w:top w:val="none" w:sz="0" w:space="0" w:color="auto"/>
        <w:left w:val="none" w:sz="0" w:space="0" w:color="auto"/>
        <w:bottom w:val="none" w:sz="0" w:space="0" w:color="auto"/>
        <w:right w:val="none" w:sz="0" w:space="0" w:color="auto"/>
      </w:divBdr>
    </w:div>
    <w:div w:id="39091788">
      <w:bodyDiv w:val="1"/>
      <w:marLeft w:val="0"/>
      <w:marRight w:val="0"/>
      <w:marTop w:val="0"/>
      <w:marBottom w:val="0"/>
      <w:divBdr>
        <w:top w:val="none" w:sz="0" w:space="0" w:color="auto"/>
        <w:left w:val="none" w:sz="0" w:space="0" w:color="auto"/>
        <w:bottom w:val="none" w:sz="0" w:space="0" w:color="auto"/>
        <w:right w:val="none" w:sz="0" w:space="0" w:color="auto"/>
      </w:divBdr>
    </w:div>
    <w:div w:id="39209325">
      <w:bodyDiv w:val="1"/>
      <w:marLeft w:val="0"/>
      <w:marRight w:val="0"/>
      <w:marTop w:val="0"/>
      <w:marBottom w:val="0"/>
      <w:divBdr>
        <w:top w:val="none" w:sz="0" w:space="0" w:color="auto"/>
        <w:left w:val="none" w:sz="0" w:space="0" w:color="auto"/>
        <w:bottom w:val="none" w:sz="0" w:space="0" w:color="auto"/>
        <w:right w:val="none" w:sz="0" w:space="0" w:color="auto"/>
      </w:divBdr>
    </w:div>
    <w:div w:id="39476047">
      <w:bodyDiv w:val="1"/>
      <w:marLeft w:val="0"/>
      <w:marRight w:val="0"/>
      <w:marTop w:val="0"/>
      <w:marBottom w:val="0"/>
      <w:divBdr>
        <w:top w:val="none" w:sz="0" w:space="0" w:color="auto"/>
        <w:left w:val="none" w:sz="0" w:space="0" w:color="auto"/>
        <w:bottom w:val="none" w:sz="0" w:space="0" w:color="auto"/>
        <w:right w:val="none" w:sz="0" w:space="0" w:color="auto"/>
      </w:divBdr>
    </w:div>
    <w:div w:id="41028051">
      <w:bodyDiv w:val="1"/>
      <w:marLeft w:val="0"/>
      <w:marRight w:val="0"/>
      <w:marTop w:val="0"/>
      <w:marBottom w:val="0"/>
      <w:divBdr>
        <w:top w:val="none" w:sz="0" w:space="0" w:color="auto"/>
        <w:left w:val="none" w:sz="0" w:space="0" w:color="auto"/>
        <w:bottom w:val="none" w:sz="0" w:space="0" w:color="auto"/>
        <w:right w:val="none" w:sz="0" w:space="0" w:color="auto"/>
      </w:divBdr>
    </w:div>
    <w:div w:id="41097693">
      <w:bodyDiv w:val="1"/>
      <w:marLeft w:val="0"/>
      <w:marRight w:val="0"/>
      <w:marTop w:val="0"/>
      <w:marBottom w:val="0"/>
      <w:divBdr>
        <w:top w:val="none" w:sz="0" w:space="0" w:color="auto"/>
        <w:left w:val="none" w:sz="0" w:space="0" w:color="auto"/>
        <w:bottom w:val="none" w:sz="0" w:space="0" w:color="auto"/>
        <w:right w:val="none" w:sz="0" w:space="0" w:color="auto"/>
      </w:divBdr>
    </w:div>
    <w:div w:id="41105084">
      <w:bodyDiv w:val="1"/>
      <w:marLeft w:val="0"/>
      <w:marRight w:val="0"/>
      <w:marTop w:val="0"/>
      <w:marBottom w:val="0"/>
      <w:divBdr>
        <w:top w:val="none" w:sz="0" w:space="0" w:color="auto"/>
        <w:left w:val="none" w:sz="0" w:space="0" w:color="auto"/>
        <w:bottom w:val="none" w:sz="0" w:space="0" w:color="auto"/>
        <w:right w:val="none" w:sz="0" w:space="0" w:color="auto"/>
      </w:divBdr>
    </w:div>
    <w:div w:id="41175150">
      <w:bodyDiv w:val="1"/>
      <w:marLeft w:val="0"/>
      <w:marRight w:val="0"/>
      <w:marTop w:val="0"/>
      <w:marBottom w:val="0"/>
      <w:divBdr>
        <w:top w:val="none" w:sz="0" w:space="0" w:color="auto"/>
        <w:left w:val="none" w:sz="0" w:space="0" w:color="auto"/>
        <w:bottom w:val="none" w:sz="0" w:space="0" w:color="auto"/>
        <w:right w:val="none" w:sz="0" w:space="0" w:color="auto"/>
      </w:divBdr>
    </w:div>
    <w:div w:id="41178063">
      <w:bodyDiv w:val="1"/>
      <w:marLeft w:val="0"/>
      <w:marRight w:val="0"/>
      <w:marTop w:val="0"/>
      <w:marBottom w:val="0"/>
      <w:divBdr>
        <w:top w:val="none" w:sz="0" w:space="0" w:color="auto"/>
        <w:left w:val="none" w:sz="0" w:space="0" w:color="auto"/>
        <w:bottom w:val="none" w:sz="0" w:space="0" w:color="auto"/>
        <w:right w:val="none" w:sz="0" w:space="0" w:color="auto"/>
      </w:divBdr>
    </w:div>
    <w:div w:id="42218477">
      <w:bodyDiv w:val="1"/>
      <w:marLeft w:val="0"/>
      <w:marRight w:val="0"/>
      <w:marTop w:val="0"/>
      <w:marBottom w:val="0"/>
      <w:divBdr>
        <w:top w:val="none" w:sz="0" w:space="0" w:color="auto"/>
        <w:left w:val="none" w:sz="0" w:space="0" w:color="auto"/>
        <w:bottom w:val="none" w:sz="0" w:space="0" w:color="auto"/>
        <w:right w:val="none" w:sz="0" w:space="0" w:color="auto"/>
      </w:divBdr>
    </w:div>
    <w:div w:id="42293856">
      <w:bodyDiv w:val="1"/>
      <w:marLeft w:val="0"/>
      <w:marRight w:val="0"/>
      <w:marTop w:val="0"/>
      <w:marBottom w:val="0"/>
      <w:divBdr>
        <w:top w:val="none" w:sz="0" w:space="0" w:color="auto"/>
        <w:left w:val="none" w:sz="0" w:space="0" w:color="auto"/>
        <w:bottom w:val="none" w:sz="0" w:space="0" w:color="auto"/>
        <w:right w:val="none" w:sz="0" w:space="0" w:color="auto"/>
      </w:divBdr>
    </w:div>
    <w:div w:id="42415208">
      <w:bodyDiv w:val="1"/>
      <w:marLeft w:val="0"/>
      <w:marRight w:val="0"/>
      <w:marTop w:val="0"/>
      <w:marBottom w:val="0"/>
      <w:divBdr>
        <w:top w:val="none" w:sz="0" w:space="0" w:color="auto"/>
        <w:left w:val="none" w:sz="0" w:space="0" w:color="auto"/>
        <w:bottom w:val="none" w:sz="0" w:space="0" w:color="auto"/>
        <w:right w:val="none" w:sz="0" w:space="0" w:color="auto"/>
      </w:divBdr>
    </w:div>
    <w:div w:id="42557248">
      <w:bodyDiv w:val="1"/>
      <w:marLeft w:val="0"/>
      <w:marRight w:val="0"/>
      <w:marTop w:val="0"/>
      <w:marBottom w:val="0"/>
      <w:divBdr>
        <w:top w:val="none" w:sz="0" w:space="0" w:color="auto"/>
        <w:left w:val="none" w:sz="0" w:space="0" w:color="auto"/>
        <w:bottom w:val="none" w:sz="0" w:space="0" w:color="auto"/>
        <w:right w:val="none" w:sz="0" w:space="0" w:color="auto"/>
      </w:divBdr>
    </w:div>
    <w:div w:id="42559594">
      <w:bodyDiv w:val="1"/>
      <w:marLeft w:val="0"/>
      <w:marRight w:val="0"/>
      <w:marTop w:val="0"/>
      <w:marBottom w:val="0"/>
      <w:divBdr>
        <w:top w:val="none" w:sz="0" w:space="0" w:color="auto"/>
        <w:left w:val="none" w:sz="0" w:space="0" w:color="auto"/>
        <w:bottom w:val="none" w:sz="0" w:space="0" w:color="auto"/>
        <w:right w:val="none" w:sz="0" w:space="0" w:color="auto"/>
      </w:divBdr>
    </w:div>
    <w:div w:id="42561160">
      <w:bodyDiv w:val="1"/>
      <w:marLeft w:val="0"/>
      <w:marRight w:val="0"/>
      <w:marTop w:val="0"/>
      <w:marBottom w:val="0"/>
      <w:divBdr>
        <w:top w:val="none" w:sz="0" w:space="0" w:color="auto"/>
        <w:left w:val="none" w:sz="0" w:space="0" w:color="auto"/>
        <w:bottom w:val="none" w:sz="0" w:space="0" w:color="auto"/>
        <w:right w:val="none" w:sz="0" w:space="0" w:color="auto"/>
      </w:divBdr>
    </w:div>
    <w:div w:id="42562423">
      <w:bodyDiv w:val="1"/>
      <w:marLeft w:val="0"/>
      <w:marRight w:val="0"/>
      <w:marTop w:val="0"/>
      <w:marBottom w:val="0"/>
      <w:divBdr>
        <w:top w:val="none" w:sz="0" w:space="0" w:color="auto"/>
        <w:left w:val="none" w:sz="0" w:space="0" w:color="auto"/>
        <w:bottom w:val="none" w:sz="0" w:space="0" w:color="auto"/>
        <w:right w:val="none" w:sz="0" w:space="0" w:color="auto"/>
      </w:divBdr>
    </w:div>
    <w:div w:id="42873094">
      <w:bodyDiv w:val="1"/>
      <w:marLeft w:val="0"/>
      <w:marRight w:val="0"/>
      <w:marTop w:val="0"/>
      <w:marBottom w:val="0"/>
      <w:divBdr>
        <w:top w:val="none" w:sz="0" w:space="0" w:color="auto"/>
        <w:left w:val="none" w:sz="0" w:space="0" w:color="auto"/>
        <w:bottom w:val="none" w:sz="0" w:space="0" w:color="auto"/>
        <w:right w:val="none" w:sz="0" w:space="0" w:color="auto"/>
      </w:divBdr>
    </w:div>
    <w:div w:id="45691503">
      <w:bodyDiv w:val="1"/>
      <w:marLeft w:val="0"/>
      <w:marRight w:val="0"/>
      <w:marTop w:val="0"/>
      <w:marBottom w:val="0"/>
      <w:divBdr>
        <w:top w:val="none" w:sz="0" w:space="0" w:color="auto"/>
        <w:left w:val="none" w:sz="0" w:space="0" w:color="auto"/>
        <w:bottom w:val="none" w:sz="0" w:space="0" w:color="auto"/>
        <w:right w:val="none" w:sz="0" w:space="0" w:color="auto"/>
      </w:divBdr>
    </w:div>
    <w:div w:id="45763229">
      <w:bodyDiv w:val="1"/>
      <w:marLeft w:val="0"/>
      <w:marRight w:val="0"/>
      <w:marTop w:val="0"/>
      <w:marBottom w:val="0"/>
      <w:divBdr>
        <w:top w:val="none" w:sz="0" w:space="0" w:color="auto"/>
        <w:left w:val="none" w:sz="0" w:space="0" w:color="auto"/>
        <w:bottom w:val="none" w:sz="0" w:space="0" w:color="auto"/>
        <w:right w:val="none" w:sz="0" w:space="0" w:color="auto"/>
      </w:divBdr>
    </w:div>
    <w:div w:id="46807834">
      <w:bodyDiv w:val="1"/>
      <w:marLeft w:val="0"/>
      <w:marRight w:val="0"/>
      <w:marTop w:val="0"/>
      <w:marBottom w:val="0"/>
      <w:divBdr>
        <w:top w:val="none" w:sz="0" w:space="0" w:color="auto"/>
        <w:left w:val="none" w:sz="0" w:space="0" w:color="auto"/>
        <w:bottom w:val="none" w:sz="0" w:space="0" w:color="auto"/>
        <w:right w:val="none" w:sz="0" w:space="0" w:color="auto"/>
      </w:divBdr>
    </w:div>
    <w:div w:id="47733426">
      <w:bodyDiv w:val="1"/>
      <w:marLeft w:val="0"/>
      <w:marRight w:val="0"/>
      <w:marTop w:val="0"/>
      <w:marBottom w:val="0"/>
      <w:divBdr>
        <w:top w:val="none" w:sz="0" w:space="0" w:color="auto"/>
        <w:left w:val="none" w:sz="0" w:space="0" w:color="auto"/>
        <w:bottom w:val="none" w:sz="0" w:space="0" w:color="auto"/>
        <w:right w:val="none" w:sz="0" w:space="0" w:color="auto"/>
      </w:divBdr>
    </w:div>
    <w:div w:id="49616559">
      <w:bodyDiv w:val="1"/>
      <w:marLeft w:val="0"/>
      <w:marRight w:val="0"/>
      <w:marTop w:val="0"/>
      <w:marBottom w:val="0"/>
      <w:divBdr>
        <w:top w:val="none" w:sz="0" w:space="0" w:color="auto"/>
        <w:left w:val="none" w:sz="0" w:space="0" w:color="auto"/>
        <w:bottom w:val="none" w:sz="0" w:space="0" w:color="auto"/>
        <w:right w:val="none" w:sz="0" w:space="0" w:color="auto"/>
      </w:divBdr>
    </w:div>
    <w:div w:id="50273617">
      <w:bodyDiv w:val="1"/>
      <w:marLeft w:val="0"/>
      <w:marRight w:val="0"/>
      <w:marTop w:val="0"/>
      <w:marBottom w:val="0"/>
      <w:divBdr>
        <w:top w:val="none" w:sz="0" w:space="0" w:color="auto"/>
        <w:left w:val="none" w:sz="0" w:space="0" w:color="auto"/>
        <w:bottom w:val="none" w:sz="0" w:space="0" w:color="auto"/>
        <w:right w:val="none" w:sz="0" w:space="0" w:color="auto"/>
      </w:divBdr>
    </w:div>
    <w:div w:id="50539804">
      <w:bodyDiv w:val="1"/>
      <w:marLeft w:val="0"/>
      <w:marRight w:val="0"/>
      <w:marTop w:val="0"/>
      <w:marBottom w:val="0"/>
      <w:divBdr>
        <w:top w:val="none" w:sz="0" w:space="0" w:color="auto"/>
        <w:left w:val="none" w:sz="0" w:space="0" w:color="auto"/>
        <w:bottom w:val="none" w:sz="0" w:space="0" w:color="auto"/>
        <w:right w:val="none" w:sz="0" w:space="0" w:color="auto"/>
      </w:divBdr>
    </w:div>
    <w:div w:id="51320676">
      <w:bodyDiv w:val="1"/>
      <w:marLeft w:val="0"/>
      <w:marRight w:val="0"/>
      <w:marTop w:val="0"/>
      <w:marBottom w:val="0"/>
      <w:divBdr>
        <w:top w:val="none" w:sz="0" w:space="0" w:color="auto"/>
        <w:left w:val="none" w:sz="0" w:space="0" w:color="auto"/>
        <w:bottom w:val="none" w:sz="0" w:space="0" w:color="auto"/>
        <w:right w:val="none" w:sz="0" w:space="0" w:color="auto"/>
      </w:divBdr>
    </w:div>
    <w:div w:id="51659604">
      <w:bodyDiv w:val="1"/>
      <w:marLeft w:val="0"/>
      <w:marRight w:val="0"/>
      <w:marTop w:val="0"/>
      <w:marBottom w:val="0"/>
      <w:divBdr>
        <w:top w:val="none" w:sz="0" w:space="0" w:color="auto"/>
        <w:left w:val="none" w:sz="0" w:space="0" w:color="auto"/>
        <w:bottom w:val="none" w:sz="0" w:space="0" w:color="auto"/>
        <w:right w:val="none" w:sz="0" w:space="0" w:color="auto"/>
      </w:divBdr>
    </w:div>
    <w:div w:id="54746376">
      <w:bodyDiv w:val="1"/>
      <w:marLeft w:val="0"/>
      <w:marRight w:val="0"/>
      <w:marTop w:val="0"/>
      <w:marBottom w:val="0"/>
      <w:divBdr>
        <w:top w:val="none" w:sz="0" w:space="0" w:color="auto"/>
        <w:left w:val="none" w:sz="0" w:space="0" w:color="auto"/>
        <w:bottom w:val="none" w:sz="0" w:space="0" w:color="auto"/>
        <w:right w:val="none" w:sz="0" w:space="0" w:color="auto"/>
      </w:divBdr>
    </w:div>
    <w:div w:id="55587719">
      <w:bodyDiv w:val="1"/>
      <w:marLeft w:val="0"/>
      <w:marRight w:val="0"/>
      <w:marTop w:val="0"/>
      <w:marBottom w:val="0"/>
      <w:divBdr>
        <w:top w:val="none" w:sz="0" w:space="0" w:color="auto"/>
        <w:left w:val="none" w:sz="0" w:space="0" w:color="auto"/>
        <w:bottom w:val="none" w:sz="0" w:space="0" w:color="auto"/>
        <w:right w:val="none" w:sz="0" w:space="0" w:color="auto"/>
      </w:divBdr>
    </w:div>
    <w:div w:id="56712272">
      <w:bodyDiv w:val="1"/>
      <w:marLeft w:val="0"/>
      <w:marRight w:val="0"/>
      <w:marTop w:val="0"/>
      <w:marBottom w:val="0"/>
      <w:divBdr>
        <w:top w:val="none" w:sz="0" w:space="0" w:color="auto"/>
        <w:left w:val="none" w:sz="0" w:space="0" w:color="auto"/>
        <w:bottom w:val="none" w:sz="0" w:space="0" w:color="auto"/>
        <w:right w:val="none" w:sz="0" w:space="0" w:color="auto"/>
      </w:divBdr>
    </w:div>
    <w:div w:id="58210108">
      <w:bodyDiv w:val="1"/>
      <w:marLeft w:val="0"/>
      <w:marRight w:val="0"/>
      <w:marTop w:val="0"/>
      <w:marBottom w:val="0"/>
      <w:divBdr>
        <w:top w:val="none" w:sz="0" w:space="0" w:color="auto"/>
        <w:left w:val="none" w:sz="0" w:space="0" w:color="auto"/>
        <w:bottom w:val="none" w:sz="0" w:space="0" w:color="auto"/>
        <w:right w:val="none" w:sz="0" w:space="0" w:color="auto"/>
      </w:divBdr>
    </w:div>
    <w:div w:id="58327876">
      <w:bodyDiv w:val="1"/>
      <w:marLeft w:val="0"/>
      <w:marRight w:val="0"/>
      <w:marTop w:val="0"/>
      <w:marBottom w:val="0"/>
      <w:divBdr>
        <w:top w:val="none" w:sz="0" w:space="0" w:color="auto"/>
        <w:left w:val="none" w:sz="0" w:space="0" w:color="auto"/>
        <w:bottom w:val="none" w:sz="0" w:space="0" w:color="auto"/>
        <w:right w:val="none" w:sz="0" w:space="0" w:color="auto"/>
      </w:divBdr>
    </w:div>
    <w:div w:id="58869065">
      <w:bodyDiv w:val="1"/>
      <w:marLeft w:val="0"/>
      <w:marRight w:val="0"/>
      <w:marTop w:val="0"/>
      <w:marBottom w:val="0"/>
      <w:divBdr>
        <w:top w:val="none" w:sz="0" w:space="0" w:color="auto"/>
        <w:left w:val="none" w:sz="0" w:space="0" w:color="auto"/>
        <w:bottom w:val="none" w:sz="0" w:space="0" w:color="auto"/>
        <w:right w:val="none" w:sz="0" w:space="0" w:color="auto"/>
      </w:divBdr>
    </w:div>
    <w:div w:id="60443439">
      <w:bodyDiv w:val="1"/>
      <w:marLeft w:val="0"/>
      <w:marRight w:val="0"/>
      <w:marTop w:val="0"/>
      <w:marBottom w:val="0"/>
      <w:divBdr>
        <w:top w:val="none" w:sz="0" w:space="0" w:color="auto"/>
        <w:left w:val="none" w:sz="0" w:space="0" w:color="auto"/>
        <w:bottom w:val="none" w:sz="0" w:space="0" w:color="auto"/>
        <w:right w:val="none" w:sz="0" w:space="0" w:color="auto"/>
      </w:divBdr>
    </w:div>
    <w:div w:id="60519561">
      <w:bodyDiv w:val="1"/>
      <w:marLeft w:val="0"/>
      <w:marRight w:val="0"/>
      <w:marTop w:val="0"/>
      <w:marBottom w:val="0"/>
      <w:divBdr>
        <w:top w:val="none" w:sz="0" w:space="0" w:color="auto"/>
        <w:left w:val="none" w:sz="0" w:space="0" w:color="auto"/>
        <w:bottom w:val="none" w:sz="0" w:space="0" w:color="auto"/>
        <w:right w:val="none" w:sz="0" w:space="0" w:color="auto"/>
      </w:divBdr>
    </w:div>
    <w:div w:id="60953211">
      <w:bodyDiv w:val="1"/>
      <w:marLeft w:val="0"/>
      <w:marRight w:val="0"/>
      <w:marTop w:val="0"/>
      <w:marBottom w:val="0"/>
      <w:divBdr>
        <w:top w:val="none" w:sz="0" w:space="0" w:color="auto"/>
        <w:left w:val="none" w:sz="0" w:space="0" w:color="auto"/>
        <w:bottom w:val="none" w:sz="0" w:space="0" w:color="auto"/>
        <w:right w:val="none" w:sz="0" w:space="0" w:color="auto"/>
      </w:divBdr>
    </w:div>
    <w:div w:id="61216136">
      <w:bodyDiv w:val="1"/>
      <w:marLeft w:val="0"/>
      <w:marRight w:val="0"/>
      <w:marTop w:val="0"/>
      <w:marBottom w:val="0"/>
      <w:divBdr>
        <w:top w:val="none" w:sz="0" w:space="0" w:color="auto"/>
        <w:left w:val="none" w:sz="0" w:space="0" w:color="auto"/>
        <w:bottom w:val="none" w:sz="0" w:space="0" w:color="auto"/>
        <w:right w:val="none" w:sz="0" w:space="0" w:color="auto"/>
      </w:divBdr>
    </w:div>
    <w:div w:id="62796686">
      <w:bodyDiv w:val="1"/>
      <w:marLeft w:val="0"/>
      <w:marRight w:val="0"/>
      <w:marTop w:val="0"/>
      <w:marBottom w:val="0"/>
      <w:divBdr>
        <w:top w:val="none" w:sz="0" w:space="0" w:color="auto"/>
        <w:left w:val="none" w:sz="0" w:space="0" w:color="auto"/>
        <w:bottom w:val="none" w:sz="0" w:space="0" w:color="auto"/>
        <w:right w:val="none" w:sz="0" w:space="0" w:color="auto"/>
      </w:divBdr>
    </w:div>
    <w:div w:id="64690201">
      <w:bodyDiv w:val="1"/>
      <w:marLeft w:val="0"/>
      <w:marRight w:val="0"/>
      <w:marTop w:val="0"/>
      <w:marBottom w:val="0"/>
      <w:divBdr>
        <w:top w:val="none" w:sz="0" w:space="0" w:color="auto"/>
        <w:left w:val="none" w:sz="0" w:space="0" w:color="auto"/>
        <w:bottom w:val="none" w:sz="0" w:space="0" w:color="auto"/>
        <w:right w:val="none" w:sz="0" w:space="0" w:color="auto"/>
      </w:divBdr>
    </w:div>
    <w:div w:id="64839092">
      <w:bodyDiv w:val="1"/>
      <w:marLeft w:val="0"/>
      <w:marRight w:val="0"/>
      <w:marTop w:val="0"/>
      <w:marBottom w:val="0"/>
      <w:divBdr>
        <w:top w:val="none" w:sz="0" w:space="0" w:color="auto"/>
        <w:left w:val="none" w:sz="0" w:space="0" w:color="auto"/>
        <w:bottom w:val="none" w:sz="0" w:space="0" w:color="auto"/>
        <w:right w:val="none" w:sz="0" w:space="0" w:color="auto"/>
      </w:divBdr>
    </w:div>
    <w:div w:id="65154950">
      <w:bodyDiv w:val="1"/>
      <w:marLeft w:val="0"/>
      <w:marRight w:val="0"/>
      <w:marTop w:val="0"/>
      <w:marBottom w:val="0"/>
      <w:divBdr>
        <w:top w:val="none" w:sz="0" w:space="0" w:color="auto"/>
        <w:left w:val="none" w:sz="0" w:space="0" w:color="auto"/>
        <w:bottom w:val="none" w:sz="0" w:space="0" w:color="auto"/>
        <w:right w:val="none" w:sz="0" w:space="0" w:color="auto"/>
      </w:divBdr>
    </w:div>
    <w:div w:id="66462071">
      <w:bodyDiv w:val="1"/>
      <w:marLeft w:val="0"/>
      <w:marRight w:val="0"/>
      <w:marTop w:val="0"/>
      <w:marBottom w:val="0"/>
      <w:divBdr>
        <w:top w:val="none" w:sz="0" w:space="0" w:color="auto"/>
        <w:left w:val="none" w:sz="0" w:space="0" w:color="auto"/>
        <w:bottom w:val="none" w:sz="0" w:space="0" w:color="auto"/>
        <w:right w:val="none" w:sz="0" w:space="0" w:color="auto"/>
      </w:divBdr>
    </w:div>
    <w:div w:id="67315671">
      <w:bodyDiv w:val="1"/>
      <w:marLeft w:val="0"/>
      <w:marRight w:val="0"/>
      <w:marTop w:val="0"/>
      <w:marBottom w:val="0"/>
      <w:divBdr>
        <w:top w:val="none" w:sz="0" w:space="0" w:color="auto"/>
        <w:left w:val="none" w:sz="0" w:space="0" w:color="auto"/>
        <w:bottom w:val="none" w:sz="0" w:space="0" w:color="auto"/>
        <w:right w:val="none" w:sz="0" w:space="0" w:color="auto"/>
      </w:divBdr>
    </w:div>
    <w:div w:id="67658541">
      <w:bodyDiv w:val="1"/>
      <w:marLeft w:val="0"/>
      <w:marRight w:val="0"/>
      <w:marTop w:val="0"/>
      <w:marBottom w:val="0"/>
      <w:divBdr>
        <w:top w:val="none" w:sz="0" w:space="0" w:color="auto"/>
        <w:left w:val="none" w:sz="0" w:space="0" w:color="auto"/>
        <w:bottom w:val="none" w:sz="0" w:space="0" w:color="auto"/>
        <w:right w:val="none" w:sz="0" w:space="0" w:color="auto"/>
      </w:divBdr>
    </w:div>
    <w:div w:id="68120416">
      <w:bodyDiv w:val="1"/>
      <w:marLeft w:val="0"/>
      <w:marRight w:val="0"/>
      <w:marTop w:val="0"/>
      <w:marBottom w:val="0"/>
      <w:divBdr>
        <w:top w:val="none" w:sz="0" w:space="0" w:color="auto"/>
        <w:left w:val="none" w:sz="0" w:space="0" w:color="auto"/>
        <w:bottom w:val="none" w:sz="0" w:space="0" w:color="auto"/>
        <w:right w:val="none" w:sz="0" w:space="0" w:color="auto"/>
      </w:divBdr>
    </w:div>
    <w:div w:id="68236253">
      <w:bodyDiv w:val="1"/>
      <w:marLeft w:val="0"/>
      <w:marRight w:val="0"/>
      <w:marTop w:val="0"/>
      <w:marBottom w:val="0"/>
      <w:divBdr>
        <w:top w:val="none" w:sz="0" w:space="0" w:color="auto"/>
        <w:left w:val="none" w:sz="0" w:space="0" w:color="auto"/>
        <w:bottom w:val="none" w:sz="0" w:space="0" w:color="auto"/>
        <w:right w:val="none" w:sz="0" w:space="0" w:color="auto"/>
      </w:divBdr>
    </w:div>
    <w:div w:id="71046021">
      <w:bodyDiv w:val="1"/>
      <w:marLeft w:val="0"/>
      <w:marRight w:val="0"/>
      <w:marTop w:val="0"/>
      <w:marBottom w:val="0"/>
      <w:divBdr>
        <w:top w:val="none" w:sz="0" w:space="0" w:color="auto"/>
        <w:left w:val="none" w:sz="0" w:space="0" w:color="auto"/>
        <w:bottom w:val="none" w:sz="0" w:space="0" w:color="auto"/>
        <w:right w:val="none" w:sz="0" w:space="0" w:color="auto"/>
      </w:divBdr>
    </w:div>
    <w:div w:id="71394418">
      <w:bodyDiv w:val="1"/>
      <w:marLeft w:val="0"/>
      <w:marRight w:val="0"/>
      <w:marTop w:val="0"/>
      <w:marBottom w:val="0"/>
      <w:divBdr>
        <w:top w:val="none" w:sz="0" w:space="0" w:color="auto"/>
        <w:left w:val="none" w:sz="0" w:space="0" w:color="auto"/>
        <w:bottom w:val="none" w:sz="0" w:space="0" w:color="auto"/>
        <w:right w:val="none" w:sz="0" w:space="0" w:color="auto"/>
      </w:divBdr>
    </w:div>
    <w:div w:id="71585293">
      <w:bodyDiv w:val="1"/>
      <w:marLeft w:val="0"/>
      <w:marRight w:val="0"/>
      <w:marTop w:val="0"/>
      <w:marBottom w:val="0"/>
      <w:divBdr>
        <w:top w:val="none" w:sz="0" w:space="0" w:color="auto"/>
        <w:left w:val="none" w:sz="0" w:space="0" w:color="auto"/>
        <w:bottom w:val="none" w:sz="0" w:space="0" w:color="auto"/>
        <w:right w:val="none" w:sz="0" w:space="0" w:color="auto"/>
      </w:divBdr>
    </w:div>
    <w:div w:id="72705912">
      <w:bodyDiv w:val="1"/>
      <w:marLeft w:val="0"/>
      <w:marRight w:val="0"/>
      <w:marTop w:val="0"/>
      <w:marBottom w:val="0"/>
      <w:divBdr>
        <w:top w:val="none" w:sz="0" w:space="0" w:color="auto"/>
        <w:left w:val="none" w:sz="0" w:space="0" w:color="auto"/>
        <w:bottom w:val="none" w:sz="0" w:space="0" w:color="auto"/>
        <w:right w:val="none" w:sz="0" w:space="0" w:color="auto"/>
      </w:divBdr>
    </w:div>
    <w:div w:id="73823594">
      <w:bodyDiv w:val="1"/>
      <w:marLeft w:val="0"/>
      <w:marRight w:val="0"/>
      <w:marTop w:val="0"/>
      <w:marBottom w:val="0"/>
      <w:divBdr>
        <w:top w:val="none" w:sz="0" w:space="0" w:color="auto"/>
        <w:left w:val="none" w:sz="0" w:space="0" w:color="auto"/>
        <w:bottom w:val="none" w:sz="0" w:space="0" w:color="auto"/>
        <w:right w:val="none" w:sz="0" w:space="0" w:color="auto"/>
      </w:divBdr>
    </w:div>
    <w:div w:id="75249156">
      <w:bodyDiv w:val="1"/>
      <w:marLeft w:val="0"/>
      <w:marRight w:val="0"/>
      <w:marTop w:val="0"/>
      <w:marBottom w:val="0"/>
      <w:divBdr>
        <w:top w:val="none" w:sz="0" w:space="0" w:color="auto"/>
        <w:left w:val="none" w:sz="0" w:space="0" w:color="auto"/>
        <w:bottom w:val="none" w:sz="0" w:space="0" w:color="auto"/>
        <w:right w:val="none" w:sz="0" w:space="0" w:color="auto"/>
      </w:divBdr>
    </w:div>
    <w:div w:id="75976750">
      <w:bodyDiv w:val="1"/>
      <w:marLeft w:val="0"/>
      <w:marRight w:val="0"/>
      <w:marTop w:val="0"/>
      <w:marBottom w:val="0"/>
      <w:divBdr>
        <w:top w:val="none" w:sz="0" w:space="0" w:color="auto"/>
        <w:left w:val="none" w:sz="0" w:space="0" w:color="auto"/>
        <w:bottom w:val="none" w:sz="0" w:space="0" w:color="auto"/>
        <w:right w:val="none" w:sz="0" w:space="0" w:color="auto"/>
      </w:divBdr>
    </w:div>
    <w:div w:id="76488787">
      <w:bodyDiv w:val="1"/>
      <w:marLeft w:val="0"/>
      <w:marRight w:val="0"/>
      <w:marTop w:val="0"/>
      <w:marBottom w:val="0"/>
      <w:divBdr>
        <w:top w:val="none" w:sz="0" w:space="0" w:color="auto"/>
        <w:left w:val="none" w:sz="0" w:space="0" w:color="auto"/>
        <w:bottom w:val="none" w:sz="0" w:space="0" w:color="auto"/>
        <w:right w:val="none" w:sz="0" w:space="0" w:color="auto"/>
      </w:divBdr>
    </w:div>
    <w:div w:id="76755962">
      <w:bodyDiv w:val="1"/>
      <w:marLeft w:val="0"/>
      <w:marRight w:val="0"/>
      <w:marTop w:val="0"/>
      <w:marBottom w:val="0"/>
      <w:divBdr>
        <w:top w:val="none" w:sz="0" w:space="0" w:color="auto"/>
        <w:left w:val="none" w:sz="0" w:space="0" w:color="auto"/>
        <w:bottom w:val="none" w:sz="0" w:space="0" w:color="auto"/>
        <w:right w:val="none" w:sz="0" w:space="0" w:color="auto"/>
      </w:divBdr>
    </w:div>
    <w:div w:id="76904209">
      <w:bodyDiv w:val="1"/>
      <w:marLeft w:val="0"/>
      <w:marRight w:val="0"/>
      <w:marTop w:val="0"/>
      <w:marBottom w:val="0"/>
      <w:divBdr>
        <w:top w:val="none" w:sz="0" w:space="0" w:color="auto"/>
        <w:left w:val="none" w:sz="0" w:space="0" w:color="auto"/>
        <w:bottom w:val="none" w:sz="0" w:space="0" w:color="auto"/>
        <w:right w:val="none" w:sz="0" w:space="0" w:color="auto"/>
      </w:divBdr>
    </w:div>
    <w:div w:id="80685872">
      <w:bodyDiv w:val="1"/>
      <w:marLeft w:val="0"/>
      <w:marRight w:val="0"/>
      <w:marTop w:val="0"/>
      <w:marBottom w:val="0"/>
      <w:divBdr>
        <w:top w:val="none" w:sz="0" w:space="0" w:color="auto"/>
        <w:left w:val="none" w:sz="0" w:space="0" w:color="auto"/>
        <w:bottom w:val="none" w:sz="0" w:space="0" w:color="auto"/>
        <w:right w:val="none" w:sz="0" w:space="0" w:color="auto"/>
      </w:divBdr>
    </w:div>
    <w:div w:id="80952020">
      <w:bodyDiv w:val="1"/>
      <w:marLeft w:val="0"/>
      <w:marRight w:val="0"/>
      <w:marTop w:val="0"/>
      <w:marBottom w:val="0"/>
      <w:divBdr>
        <w:top w:val="none" w:sz="0" w:space="0" w:color="auto"/>
        <w:left w:val="none" w:sz="0" w:space="0" w:color="auto"/>
        <w:bottom w:val="none" w:sz="0" w:space="0" w:color="auto"/>
        <w:right w:val="none" w:sz="0" w:space="0" w:color="auto"/>
      </w:divBdr>
    </w:div>
    <w:div w:id="81294484">
      <w:bodyDiv w:val="1"/>
      <w:marLeft w:val="0"/>
      <w:marRight w:val="0"/>
      <w:marTop w:val="0"/>
      <w:marBottom w:val="0"/>
      <w:divBdr>
        <w:top w:val="none" w:sz="0" w:space="0" w:color="auto"/>
        <w:left w:val="none" w:sz="0" w:space="0" w:color="auto"/>
        <w:bottom w:val="none" w:sz="0" w:space="0" w:color="auto"/>
        <w:right w:val="none" w:sz="0" w:space="0" w:color="auto"/>
      </w:divBdr>
    </w:div>
    <w:div w:id="81606822">
      <w:bodyDiv w:val="1"/>
      <w:marLeft w:val="0"/>
      <w:marRight w:val="0"/>
      <w:marTop w:val="0"/>
      <w:marBottom w:val="0"/>
      <w:divBdr>
        <w:top w:val="none" w:sz="0" w:space="0" w:color="auto"/>
        <w:left w:val="none" w:sz="0" w:space="0" w:color="auto"/>
        <w:bottom w:val="none" w:sz="0" w:space="0" w:color="auto"/>
        <w:right w:val="none" w:sz="0" w:space="0" w:color="auto"/>
      </w:divBdr>
    </w:div>
    <w:div w:id="81798211">
      <w:bodyDiv w:val="1"/>
      <w:marLeft w:val="0"/>
      <w:marRight w:val="0"/>
      <w:marTop w:val="0"/>
      <w:marBottom w:val="0"/>
      <w:divBdr>
        <w:top w:val="none" w:sz="0" w:space="0" w:color="auto"/>
        <w:left w:val="none" w:sz="0" w:space="0" w:color="auto"/>
        <w:bottom w:val="none" w:sz="0" w:space="0" w:color="auto"/>
        <w:right w:val="none" w:sz="0" w:space="0" w:color="auto"/>
      </w:divBdr>
    </w:div>
    <w:div w:id="82454060">
      <w:bodyDiv w:val="1"/>
      <w:marLeft w:val="0"/>
      <w:marRight w:val="0"/>
      <w:marTop w:val="0"/>
      <w:marBottom w:val="0"/>
      <w:divBdr>
        <w:top w:val="none" w:sz="0" w:space="0" w:color="auto"/>
        <w:left w:val="none" w:sz="0" w:space="0" w:color="auto"/>
        <w:bottom w:val="none" w:sz="0" w:space="0" w:color="auto"/>
        <w:right w:val="none" w:sz="0" w:space="0" w:color="auto"/>
      </w:divBdr>
    </w:div>
    <w:div w:id="82606021">
      <w:bodyDiv w:val="1"/>
      <w:marLeft w:val="0"/>
      <w:marRight w:val="0"/>
      <w:marTop w:val="0"/>
      <w:marBottom w:val="0"/>
      <w:divBdr>
        <w:top w:val="none" w:sz="0" w:space="0" w:color="auto"/>
        <w:left w:val="none" w:sz="0" w:space="0" w:color="auto"/>
        <w:bottom w:val="none" w:sz="0" w:space="0" w:color="auto"/>
        <w:right w:val="none" w:sz="0" w:space="0" w:color="auto"/>
      </w:divBdr>
    </w:div>
    <w:div w:id="84110590">
      <w:bodyDiv w:val="1"/>
      <w:marLeft w:val="0"/>
      <w:marRight w:val="0"/>
      <w:marTop w:val="0"/>
      <w:marBottom w:val="0"/>
      <w:divBdr>
        <w:top w:val="none" w:sz="0" w:space="0" w:color="auto"/>
        <w:left w:val="none" w:sz="0" w:space="0" w:color="auto"/>
        <w:bottom w:val="none" w:sz="0" w:space="0" w:color="auto"/>
        <w:right w:val="none" w:sz="0" w:space="0" w:color="auto"/>
      </w:divBdr>
    </w:div>
    <w:div w:id="84156722">
      <w:bodyDiv w:val="1"/>
      <w:marLeft w:val="0"/>
      <w:marRight w:val="0"/>
      <w:marTop w:val="0"/>
      <w:marBottom w:val="0"/>
      <w:divBdr>
        <w:top w:val="none" w:sz="0" w:space="0" w:color="auto"/>
        <w:left w:val="none" w:sz="0" w:space="0" w:color="auto"/>
        <w:bottom w:val="none" w:sz="0" w:space="0" w:color="auto"/>
        <w:right w:val="none" w:sz="0" w:space="0" w:color="auto"/>
      </w:divBdr>
    </w:div>
    <w:div w:id="84159368">
      <w:bodyDiv w:val="1"/>
      <w:marLeft w:val="0"/>
      <w:marRight w:val="0"/>
      <w:marTop w:val="0"/>
      <w:marBottom w:val="0"/>
      <w:divBdr>
        <w:top w:val="none" w:sz="0" w:space="0" w:color="auto"/>
        <w:left w:val="none" w:sz="0" w:space="0" w:color="auto"/>
        <w:bottom w:val="none" w:sz="0" w:space="0" w:color="auto"/>
        <w:right w:val="none" w:sz="0" w:space="0" w:color="auto"/>
      </w:divBdr>
    </w:div>
    <w:div w:id="84958171">
      <w:bodyDiv w:val="1"/>
      <w:marLeft w:val="0"/>
      <w:marRight w:val="0"/>
      <w:marTop w:val="0"/>
      <w:marBottom w:val="0"/>
      <w:divBdr>
        <w:top w:val="none" w:sz="0" w:space="0" w:color="auto"/>
        <w:left w:val="none" w:sz="0" w:space="0" w:color="auto"/>
        <w:bottom w:val="none" w:sz="0" w:space="0" w:color="auto"/>
        <w:right w:val="none" w:sz="0" w:space="0" w:color="auto"/>
      </w:divBdr>
    </w:div>
    <w:div w:id="85198864">
      <w:bodyDiv w:val="1"/>
      <w:marLeft w:val="0"/>
      <w:marRight w:val="0"/>
      <w:marTop w:val="0"/>
      <w:marBottom w:val="0"/>
      <w:divBdr>
        <w:top w:val="none" w:sz="0" w:space="0" w:color="auto"/>
        <w:left w:val="none" w:sz="0" w:space="0" w:color="auto"/>
        <w:bottom w:val="none" w:sz="0" w:space="0" w:color="auto"/>
        <w:right w:val="none" w:sz="0" w:space="0" w:color="auto"/>
      </w:divBdr>
    </w:div>
    <w:div w:id="85807173">
      <w:bodyDiv w:val="1"/>
      <w:marLeft w:val="0"/>
      <w:marRight w:val="0"/>
      <w:marTop w:val="0"/>
      <w:marBottom w:val="0"/>
      <w:divBdr>
        <w:top w:val="none" w:sz="0" w:space="0" w:color="auto"/>
        <w:left w:val="none" w:sz="0" w:space="0" w:color="auto"/>
        <w:bottom w:val="none" w:sz="0" w:space="0" w:color="auto"/>
        <w:right w:val="none" w:sz="0" w:space="0" w:color="auto"/>
      </w:divBdr>
    </w:div>
    <w:div w:id="85853858">
      <w:bodyDiv w:val="1"/>
      <w:marLeft w:val="0"/>
      <w:marRight w:val="0"/>
      <w:marTop w:val="0"/>
      <w:marBottom w:val="0"/>
      <w:divBdr>
        <w:top w:val="none" w:sz="0" w:space="0" w:color="auto"/>
        <w:left w:val="none" w:sz="0" w:space="0" w:color="auto"/>
        <w:bottom w:val="none" w:sz="0" w:space="0" w:color="auto"/>
        <w:right w:val="none" w:sz="0" w:space="0" w:color="auto"/>
      </w:divBdr>
    </w:div>
    <w:div w:id="86274310">
      <w:bodyDiv w:val="1"/>
      <w:marLeft w:val="0"/>
      <w:marRight w:val="0"/>
      <w:marTop w:val="0"/>
      <w:marBottom w:val="0"/>
      <w:divBdr>
        <w:top w:val="none" w:sz="0" w:space="0" w:color="auto"/>
        <w:left w:val="none" w:sz="0" w:space="0" w:color="auto"/>
        <w:bottom w:val="none" w:sz="0" w:space="0" w:color="auto"/>
        <w:right w:val="none" w:sz="0" w:space="0" w:color="auto"/>
      </w:divBdr>
    </w:div>
    <w:div w:id="86508795">
      <w:bodyDiv w:val="1"/>
      <w:marLeft w:val="0"/>
      <w:marRight w:val="0"/>
      <w:marTop w:val="0"/>
      <w:marBottom w:val="0"/>
      <w:divBdr>
        <w:top w:val="none" w:sz="0" w:space="0" w:color="auto"/>
        <w:left w:val="none" w:sz="0" w:space="0" w:color="auto"/>
        <w:bottom w:val="none" w:sz="0" w:space="0" w:color="auto"/>
        <w:right w:val="none" w:sz="0" w:space="0" w:color="auto"/>
      </w:divBdr>
    </w:div>
    <w:div w:id="87510912">
      <w:bodyDiv w:val="1"/>
      <w:marLeft w:val="0"/>
      <w:marRight w:val="0"/>
      <w:marTop w:val="0"/>
      <w:marBottom w:val="0"/>
      <w:divBdr>
        <w:top w:val="none" w:sz="0" w:space="0" w:color="auto"/>
        <w:left w:val="none" w:sz="0" w:space="0" w:color="auto"/>
        <w:bottom w:val="none" w:sz="0" w:space="0" w:color="auto"/>
        <w:right w:val="none" w:sz="0" w:space="0" w:color="auto"/>
      </w:divBdr>
    </w:div>
    <w:div w:id="87892103">
      <w:bodyDiv w:val="1"/>
      <w:marLeft w:val="0"/>
      <w:marRight w:val="0"/>
      <w:marTop w:val="0"/>
      <w:marBottom w:val="0"/>
      <w:divBdr>
        <w:top w:val="none" w:sz="0" w:space="0" w:color="auto"/>
        <w:left w:val="none" w:sz="0" w:space="0" w:color="auto"/>
        <w:bottom w:val="none" w:sz="0" w:space="0" w:color="auto"/>
        <w:right w:val="none" w:sz="0" w:space="0" w:color="auto"/>
      </w:divBdr>
    </w:div>
    <w:div w:id="88045745">
      <w:bodyDiv w:val="1"/>
      <w:marLeft w:val="0"/>
      <w:marRight w:val="0"/>
      <w:marTop w:val="0"/>
      <w:marBottom w:val="0"/>
      <w:divBdr>
        <w:top w:val="none" w:sz="0" w:space="0" w:color="auto"/>
        <w:left w:val="none" w:sz="0" w:space="0" w:color="auto"/>
        <w:bottom w:val="none" w:sz="0" w:space="0" w:color="auto"/>
        <w:right w:val="none" w:sz="0" w:space="0" w:color="auto"/>
      </w:divBdr>
    </w:div>
    <w:div w:id="89395803">
      <w:bodyDiv w:val="1"/>
      <w:marLeft w:val="0"/>
      <w:marRight w:val="0"/>
      <w:marTop w:val="0"/>
      <w:marBottom w:val="0"/>
      <w:divBdr>
        <w:top w:val="none" w:sz="0" w:space="0" w:color="auto"/>
        <w:left w:val="none" w:sz="0" w:space="0" w:color="auto"/>
        <w:bottom w:val="none" w:sz="0" w:space="0" w:color="auto"/>
        <w:right w:val="none" w:sz="0" w:space="0" w:color="auto"/>
      </w:divBdr>
    </w:div>
    <w:div w:id="90008891">
      <w:bodyDiv w:val="1"/>
      <w:marLeft w:val="0"/>
      <w:marRight w:val="0"/>
      <w:marTop w:val="0"/>
      <w:marBottom w:val="0"/>
      <w:divBdr>
        <w:top w:val="none" w:sz="0" w:space="0" w:color="auto"/>
        <w:left w:val="none" w:sz="0" w:space="0" w:color="auto"/>
        <w:bottom w:val="none" w:sz="0" w:space="0" w:color="auto"/>
        <w:right w:val="none" w:sz="0" w:space="0" w:color="auto"/>
      </w:divBdr>
    </w:div>
    <w:div w:id="90705101">
      <w:bodyDiv w:val="1"/>
      <w:marLeft w:val="0"/>
      <w:marRight w:val="0"/>
      <w:marTop w:val="0"/>
      <w:marBottom w:val="0"/>
      <w:divBdr>
        <w:top w:val="none" w:sz="0" w:space="0" w:color="auto"/>
        <w:left w:val="none" w:sz="0" w:space="0" w:color="auto"/>
        <w:bottom w:val="none" w:sz="0" w:space="0" w:color="auto"/>
        <w:right w:val="none" w:sz="0" w:space="0" w:color="auto"/>
      </w:divBdr>
    </w:div>
    <w:div w:id="91056252">
      <w:bodyDiv w:val="1"/>
      <w:marLeft w:val="0"/>
      <w:marRight w:val="0"/>
      <w:marTop w:val="0"/>
      <w:marBottom w:val="0"/>
      <w:divBdr>
        <w:top w:val="none" w:sz="0" w:space="0" w:color="auto"/>
        <w:left w:val="none" w:sz="0" w:space="0" w:color="auto"/>
        <w:bottom w:val="none" w:sz="0" w:space="0" w:color="auto"/>
        <w:right w:val="none" w:sz="0" w:space="0" w:color="auto"/>
      </w:divBdr>
    </w:div>
    <w:div w:id="91441481">
      <w:bodyDiv w:val="1"/>
      <w:marLeft w:val="0"/>
      <w:marRight w:val="0"/>
      <w:marTop w:val="0"/>
      <w:marBottom w:val="0"/>
      <w:divBdr>
        <w:top w:val="none" w:sz="0" w:space="0" w:color="auto"/>
        <w:left w:val="none" w:sz="0" w:space="0" w:color="auto"/>
        <w:bottom w:val="none" w:sz="0" w:space="0" w:color="auto"/>
        <w:right w:val="none" w:sz="0" w:space="0" w:color="auto"/>
      </w:divBdr>
    </w:div>
    <w:div w:id="92676316">
      <w:bodyDiv w:val="1"/>
      <w:marLeft w:val="0"/>
      <w:marRight w:val="0"/>
      <w:marTop w:val="0"/>
      <w:marBottom w:val="0"/>
      <w:divBdr>
        <w:top w:val="none" w:sz="0" w:space="0" w:color="auto"/>
        <w:left w:val="none" w:sz="0" w:space="0" w:color="auto"/>
        <w:bottom w:val="none" w:sz="0" w:space="0" w:color="auto"/>
        <w:right w:val="none" w:sz="0" w:space="0" w:color="auto"/>
      </w:divBdr>
    </w:div>
    <w:div w:id="93132293">
      <w:bodyDiv w:val="1"/>
      <w:marLeft w:val="0"/>
      <w:marRight w:val="0"/>
      <w:marTop w:val="0"/>
      <w:marBottom w:val="0"/>
      <w:divBdr>
        <w:top w:val="none" w:sz="0" w:space="0" w:color="auto"/>
        <w:left w:val="none" w:sz="0" w:space="0" w:color="auto"/>
        <w:bottom w:val="none" w:sz="0" w:space="0" w:color="auto"/>
        <w:right w:val="none" w:sz="0" w:space="0" w:color="auto"/>
      </w:divBdr>
    </w:div>
    <w:div w:id="93328907">
      <w:bodyDiv w:val="1"/>
      <w:marLeft w:val="0"/>
      <w:marRight w:val="0"/>
      <w:marTop w:val="0"/>
      <w:marBottom w:val="0"/>
      <w:divBdr>
        <w:top w:val="none" w:sz="0" w:space="0" w:color="auto"/>
        <w:left w:val="none" w:sz="0" w:space="0" w:color="auto"/>
        <w:bottom w:val="none" w:sz="0" w:space="0" w:color="auto"/>
        <w:right w:val="none" w:sz="0" w:space="0" w:color="auto"/>
      </w:divBdr>
    </w:div>
    <w:div w:id="95759695">
      <w:bodyDiv w:val="1"/>
      <w:marLeft w:val="0"/>
      <w:marRight w:val="0"/>
      <w:marTop w:val="0"/>
      <w:marBottom w:val="0"/>
      <w:divBdr>
        <w:top w:val="none" w:sz="0" w:space="0" w:color="auto"/>
        <w:left w:val="none" w:sz="0" w:space="0" w:color="auto"/>
        <w:bottom w:val="none" w:sz="0" w:space="0" w:color="auto"/>
        <w:right w:val="none" w:sz="0" w:space="0" w:color="auto"/>
      </w:divBdr>
    </w:div>
    <w:div w:id="95831503">
      <w:bodyDiv w:val="1"/>
      <w:marLeft w:val="0"/>
      <w:marRight w:val="0"/>
      <w:marTop w:val="0"/>
      <w:marBottom w:val="0"/>
      <w:divBdr>
        <w:top w:val="none" w:sz="0" w:space="0" w:color="auto"/>
        <w:left w:val="none" w:sz="0" w:space="0" w:color="auto"/>
        <w:bottom w:val="none" w:sz="0" w:space="0" w:color="auto"/>
        <w:right w:val="none" w:sz="0" w:space="0" w:color="auto"/>
      </w:divBdr>
    </w:div>
    <w:div w:id="96023179">
      <w:bodyDiv w:val="1"/>
      <w:marLeft w:val="0"/>
      <w:marRight w:val="0"/>
      <w:marTop w:val="0"/>
      <w:marBottom w:val="0"/>
      <w:divBdr>
        <w:top w:val="none" w:sz="0" w:space="0" w:color="auto"/>
        <w:left w:val="none" w:sz="0" w:space="0" w:color="auto"/>
        <w:bottom w:val="none" w:sz="0" w:space="0" w:color="auto"/>
        <w:right w:val="none" w:sz="0" w:space="0" w:color="auto"/>
      </w:divBdr>
    </w:div>
    <w:div w:id="96215898">
      <w:bodyDiv w:val="1"/>
      <w:marLeft w:val="0"/>
      <w:marRight w:val="0"/>
      <w:marTop w:val="0"/>
      <w:marBottom w:val="0"/>
      <w:divBdr>
        <w:top w:val="none" w:sz="0" w:space="0" w:color="auto"/>
        <w:left w:val="none" w:sz="0" w:space="0" w:color="auto"/>
        <w:bottom w:val="none" w:sz="0" w:space="0" w:color="auto"/>
        <w:right w:val="none" w:sz="0" w:space="0" w:color="auto"/>
      </w:divBdr>
    </w:div>
    <w:div w:id="96414508">
      <w:bodyDiv w:val="1"/>
      <w:marLeft w:val="0"/>
      <w:marRight w:val="0"/>
      <w:marTop w:val="0"/>
      <w:marBottom w:val="0"/>
      <w:divBdr>
        <w:top w:val="none" w:sz="0" w:space="0" w:color="auto"/>
        <w:left w:val="none" w:sz="0" w:space="0" w:color="auto"/>
        <w:bottom w:val="none" w:sz="0" w:space="0" w:color="auto"/>
        <w:right w:val="none" w:sz="0" w:space="0" w:color="auto"/>
      </w:divBdr>
    </w:div>
    <w:div w:id="98914721">
      <w:bodyDiv w:val="1"/>
      <w:marLeft w:val="0"/>
      <w:marRight w:val="0"/>
      <w:marTop w:val="0"/>
      <w:marBottom w:val="0"/>
      <w:divBdr>
        <w:top w:val="none" w:sz="0" w:space="0" w:color="auto"/>
        <w:left w:val="none" w:sz="0" w:space="0" w:color="auto"/>
        <w:bottom w:val="none" w:sz="0" w:space="0" w:color="auto"/>
        <w:right w:val="none" w:sz="0" w:space="0" w:color="auto"/>
      </w:divBdr>
    </w:div>
    <w:div w:id="99224300">
      <w:bodyDiv w:val="1"/>
      <w:marLeft w:val="0"/>
      <w:marRight w:val="0"/>
      <w:marTop w:val="0"/>
      <w:marBottom w:val="0"/>
      <w:divBdr>
        <w:top w:val="none" w:sz="0" w:space="0" w:color="auto"/>
        <w:left w:val="none" w:sz="0" w:space="0" w:color="auto"/>
        <w:bottom w:val="none" w:sz="0" w:space="0" w:color="auto"/>
        <w:right w:val="none" w:sz="0" w:space="0" w:color="auto"/>
      </w:divBdr>
    </w:div>
    <w:div w:id="99762702">
      <w:bodyDiv w:val="1"/>
      <w:marLeft w:val="0"/>
      <w:marRight w:val="0"/>
      <w:marTop w:val="0"/>
      <w:marBottom w:val="0"/>
      <w:divBdr>
        <w:top w:val="none" w:sz="0" w:space="0" w:color="auto"/>
        <w:left w:val="none" w:sz="0" w:space="0" w:color="auto"/>
        <w:bottom w:val="none" w:sz="0" w:space="0" w:color="auto"/>
        <w:right w:val="none" w:sz="0" w:space="0" w:color="auto"/>
      </w:divBdr>
    </w:div>
    <w:div w:id="100342058">
      <w:bodyDiv w:val="1"/>
      <w:marLeft w:val="0"/>
      <w:marRight w:val="0"/>
      <w:marTop w:val="0"/>
      <w:marBottom w:val="0"/>
      <w:divBdr>
        <w:top w:val="none" w:sz="0" w:space="0" w:color="auto"/>
        <w:left w:val="none" w:sz="0" w:space="0" w:color="auto"/>
        <w:bottom w:val="none" w:sz="0" w:space="0" w:color="auto"/>
        <w:right w:val="none" w:sz="0" w:space="0" w:color="auto"/>
      </w:divBdr>
    </w:div>
    <w:div w:id="101270519">
      <w:bodyDiv w:val="1"/>
      <w:marLeft w:val="0"/>
      <w:marRight w:val="0"/>
      <w:marTop w:val="0"/>
      <w:marBottom w:val="0"/>
      <w:divBdr>
        <w:top w:val="none" w:sz="0" w:space="0" w:color="auto"/>
        <w:left w:val="none" w:sz="0" w:space="0" w:color="auto"/>
        <w:bottom w:val="none" w:sz="0" w:space="0" w:color="auto"/>
        <w:right w:val="none" w:sz="0" w:space="0" w:color="auto"/>
      </w:divBdr>
    </w:div>
    <w:div w:id="101416935">
      <w:bodyDiv w:val="1"/>
      <w:marLeft w:val="0"/>
      <w:marRight w:val="0"/>
      <w:marTop w:val="0"/>
      <w:marBottom w:val="0"/>
      <w:divBdr>
        <w:top w:val="none" w:sz="0" w:space="0" w:color="auto"/>
        <w:left w:val="none" w:sz="0" w:space="0" w:color="auto"/>
        <w:bottom w:val="none" w:sz="0" w:space="0" w:color="auto"/>
        <w:right w:val="none" w:sz="0" w:space="0" w:color="auto"/>
      </w:divBdr>
    </w:div>
    <w:div w:id="101540791">
      <w:bodyDiv w:val="1"/>
      <w:marLeft w:val="0"/>
      <w:marRight w:val="0"/>
      <w:marTop w:val="0"/>
      <w:marBottom w:val="0"/>
      <w:divBdr>
        <w:top w:val="none" w:sz="0" w:space="0" w:color="auto"/>
        <w:left w:val="none" w:sz="0" w:space="0" w:color="auto"/>
        <w:bottom w:val="none" w:sz="0" w:space="0" w:color="auto"/>
        <w:right w:val="none" w:sz="0" w:space="0" w:color="auto"/>
      </w:divBdr>
    </w:div>
    <w:div w:id="101845347">
      <w:bodyDiv w:val="1"/>
      <w:marLeft w:val="0"/>
      <w:marRight w:val="0"/>
      <w:marTop w:val="0"/>
      <w:marBottom w:val="0"/>
      <w:divBdr>
        <w:top w:val="none" w:sz="0" w:space="0" w:color="auto"/>
        <w:left w:val="none" w:sz="0" w:space="0" w:color="auto"/>
        <w:bottom w:val="none" w:sz="0" w:space="0" w:color="auto"/>
        <w:right w:val="none" w:sz="0" w:space="0" w:color="auto"/>
      </w:divBdr>
    </w:div>
    <w:div w:id="102499899">
      <w:bodyDiv w:val="1"/>
      <w:marLeft w:val="0"/>
      <w:marRight w:val="0"/>
      <w:marTop w:val="0"/>
      <w:marBottom w:val="0"/>
      <w:divBdr>
        <w:top w:val="none" w:sz="0" w:space="0" w:color="auto"/>
        <w:left w:val="none" w:sz="0" w:space="0" w:color="auto"/>
        <w:bottom w:val="none" w:sz="0" w:space="0" w:color="auto"/>
        <w:right w:val="none" w:sz="0" w:space="0" w:color="auto"/>
      </w:divBdr>
    </w:div>
    <w:div w:id="102918342">
      <w:bodyDiv w:val="1"/>
      <w:marLeft w:val="0"/>
      <w:marRight w:val="0"/>
      <w:marTop w:val="0"/>
      <w:marBottom w:val="0"/>
      <w:divBdr>
        <w:top w:val="none" w:sz="0" w:space="0" w:color="auto"/>
        <w:left w:val="none" w:sz="0" w:space="0" w:color="auto"/>
        <w:bottom w:val="none" w:sz="0" w:space="0" w:color="auto"/>
        <w:right w:val="none" w:sz="0" w:space="0" w:color="auto"/>
      </w:divBdr>
    </w:div>
    <w:div w:id="103113738">
      <w:bodyDiv w:val="1"/>
      <w:marLeft w:val="0"/>
      <w:marRight w:val="0"/>
      <w:marTop w:val="0"/>
      <w:marBottom w:val="0"/>
      <w:divBdr>
        <w:top w:val="none" w:sz="0" w:space="0" w:color="auto"/>
        <w:left w:val="none" w:sz="0" w:space="0" w:color="auto"/>
        <w:bottom w:val="none" w:sz="0" w:space="0" w:color="auto"/>
        <w:right w:val="none" w:sz="0" w:space="0" w:color="auto"/>
      </w:divBdr>
    </w:div>
    <w:div w:id="103814642">
      <w:bodyDiv w:val="1"/>
      <w:marLeft w:val="0"/>
      <w:marRight w:val="0"/>
      <w:marTop w:val="0"/>
      <w:marBottom w:val="0"/>
      <w:divBdr>
        <w:top w:val="none" w:sz="0" w:space="0" w:color="auto"/>
        <w:left w:val="none" w:sz="0" w:space="0" w:color="auto"/>
        <w:bottom w:val="none" w:sz="0" w:space="0" w:color="auto"/>
        <w:right w:val="none" w:sz="0" w:space="0" w:color="auto"/>
      </w:divBdr>
    </w:div>
    <w:div w:id="104931222">
      <w:bodyDiv w:val="1"/>
      <w:marLeft w:val="0"/>
      <w:marRight w:val="0"/>
      <w:marTop w:val="0"/>
      <w:marBottom w:val="0"/>
      <w:divBdr>
        <w:top w:val="none" w:sz="0" w:space="0" w:color="auto"/>
        <w:left w:val="none" w:sz="0" w:space="0" w:color="auto"/>
        <w:bottom w:val="none" w:sz="0" w:space="0" w:color="auto"/>
        <w:right w:val="none" w:sz="0" w:space="0" w:color="auto"/>
      </w:divBdr>
    </w:div>
    <w:div w:id="105002279">
      <w:bodyDiv w:val="1"/>
      <w:marLeft w:val="0"/>
      <w:marRight w:val="0"/>
      <w:marTop w:val="0"/>
      <w:marBottom w:val="0"/>
      <w:divBdr>
        <w:top w:val="none" w:sz="0" w:space="0" w:color="auto"/>
        <w:left w:val="none" w:sz="0" w:space="0" w:color="auto"/>
        <w:bottom w:val="none" w:sz="0" w:space="0" w:color="auto"/>
        <w:right w:val="none" w:sz="0" w:space="0" w:color="auto"/>
      </w:divBdr>
    </w:div>
    <w:div w:id="105128408">
      <w:bodyDiv w:val="1"/>
      <w:marLeft w:val="0"/>
      <w:marRight w:val="0"/>
      <w:marTop w:val="0"/>
      <w:marBottom w:val="0"/>
      <w:divBdr>
        <w:top w:val="none" w:sz="0" w:space="0" w:color="auto"/>
        <w:left w:val="none" w:sz="0" w:space="0" w:color="auto"/>
        <w:bottom w:val="none" w:sz="0" w:space="0" w:color="auto"/>
        <w:right w:val="none" w:sz="0" w:space="0" w:color="auto"/>
      </w:divBdr>
    </w:div>
    <w:div w:id="105580608">
      <w:bodyDiv w:val="1"/>
      <w:marLeft w:val="0"/>
      <w:marRight w:val="0"/>
      <w:marTop w:val="0"/>
      <w:marBottom w:val="0"/>
      <w:divBdr>
        <w:top w:val="none" w:sz="0" w:space="0" w:color="auto"/>
        <w:left w:val="none" w:sz="0" w:space="0" w:color="auto"/>
        <w:bottom w:val="none" w:sz="0" w:space="0" w:color="auto"/>
        <w:right w:val="none" w:sz="0" w:space="0" w:color="auto"/>
      </w:divBdr>
    </w:div>
    <w:div w:id="106044220">
      <w:bodyDiv w:val="1"/>
      <w:marLeft w:val="0"/>
      <w:marRight w:val="0"/>
      <w:marTop w:val="0"/>
      <w:marBottom w:val="0"/>
      <w:divBdr>
        <w:top w:val="none" w:sz="0" w:space="0" w:color="auto"/>
        <w:left w:val="none" w:sz="0" w:space="0" w:color="auto"/>
        <w:bottom w:val="none" w:sz="0" w:space="0" w:color="auto"/>
        <w:right w:val="none" w:sz="0" w:space="0" w:color="auto"/>
      </w:divBdr>
    </w:div>
    <w:div w:id="106704205">
      <w:bodyDiv w:val="1"/>
      <w:marLeft w:val="0"/>
      <w:marRight w:val="0"/>
      <w:marTop w:val="0"/>
      <w:marBottom w:val="0"/>
      <w:divBdr>
        <w:top w:val="none" w:sz="0" w:space="0" w:color="auto"/>
        <w:left w:val="none" w:sz="0" w:space="0" w:color="auto"/>
        <w:bottom w:val="none" w:sz="0" w:space="0" w:color="auto"/>
        <w:right w:val="none" w:sz="0" w:space="0" w:color="auto"/>
      </w:divBdr>
    </w:div>
    <w:div w:id="107505119">
      <w:bodyDiv w:val="1"/>
      <w:marLeft w:val="0"/>
      <w:marRight w:val="0"/>
      <w:marTop w:val="0"/>
      <w:marBottom w:val="0"/>
      <w:divBdr>
        <w:top w:val="none" w:sz="0" w:space="0" w:color="auto"/>
        <w:left w:val="none" w:sz="0" w:space="0" w:color="auto"/>
        <w:bottom w:val="none" w:sz="0" w:space="0" w:color="auto"/>
        <w:right w:val="none" w:sz="0" w:space="0" w:color="auto"/>
      </w:divBdr>
    </w:div>
    <w:div w:id="111286345">
      <w:bodyDiv w:val="1"/>
      <w:marLeft w:val="0"/>
      <w:marRight w:val="0"/>
      <w:marTop w:val="0"/>
      <w:marBottom w:val="0"/>
      <w:divBdr>
        <w:top w:val="none" w:sz="0" w:space="0" w:color="auto"/>
        <w:left w:val="none" w:sz="0" w:space="0" w:color="auto"/>
        <w:bottom w:val="none" w:sz="0" w:space="0" w:color="auto"/>
        <w:right w:val="none" w:sz="0" w:space="0" w:color="auto"/>
      </w:divBdr>
    </w:div>
    <w:div w:id="111898195">
      <w:bodyDiv w:val="1"/>
      <w:marLeft w:val="0"/>
      <w:marRight w:val="0"/>
      <w:marTop w:val="0"/>
      <w:marBottom w:val="0"/>
      <w:divBdr>
        <w:top w:val="none" w:sz="0" w:space="0" w:color="auto"/>
        <w:left w:val="none" w:sz="0" w:space="0" w:color="auto"/>
        <w:bottom w:val="none" w:sz="0" w:space="0" w:color="auto"/>
        <w:right w:val="none" w:sz="0" w:space="0" w:color="auto"/>
      </w:divBdr>
    </w:div>
    <w:div w:id="112287947">
      <w:bodyDiv w:val="1"/>
      <w:marLeft w:val="0"/>
      <w:marRight w:val="0"/>
      <w:marTop w:val="0"/>
      <w:marBottom w:val="0"/>
      <w:divBdr>
        <w:top w:val="none" w:sz="0" w:space="0" w:color="auto"/>
        <w:left w:val="none" w:sz="0" w:space="0" w:color="auto"/>
        <w:bottom w:val="none" w:sz="0" w:space="0" w:color="auto"/>
        <w:right w:val="none" w:sz="0" w:space="0" w:color="auto"/>
      </w:divBdr>
    </w:div>
    <w:div w:id="114376899">
      <w:bodyDiv w:val="1"/>
      <w:marLeft w:val="0"/>
      <w:marRight w:val="0"/>
      <w:marTop w:val="0"/>
      <w:marBottom w:val="0"/>
      <w:divBdr>
        <w:top w:val="none" w:sz="0" w:space="0" w:color="auto"/>
        <w:left w:val="none" w:sz="0" w:space="0" w:color="auto"/>
        <w:bottom w:val="none" w:sz="0" w:space="0" w:color="auto"/>
        <w:right w:val="none" w:sz="0" w:space="0" w:color="auto"/>
      </w:divBdr>
    </w:div>
    <w:div w:id="114446227">
      <w:bodyDiv w:val="1"/>
      <w:marLeft w:val="0"/>
      <w:marRight w:val="0"/>
      <w:marTop w:val="0"/>
      <w:marBottom w:val="0"/>
      <w:divBdr>
        <w:top w:val="none" w:sz="0" w:space="0" w:color="auto"/>
        <w:left w:val="none" w:sz="0" w:space="0" w:color="auto"/>
        <w:bottom w:val="none" w:sz="0" w:space="0" w:color="auto"/>
        <w:right w:val="none" w:sz="0" w:space="0" w:color="auto"/>
      </w:divBdr>
    </w:div>
    <w:div w:id="115375542">
      <w:bodyDiv w:val="1"/>
      <w:marLeft w:val="0"/>
      <w:marRight w:val="0"/>
      <w:marTop w:val="0"/>
      <w:marBottom w:val="0"/>
      <w:divBdr>
        <w:top w:val="none" w:sz="0" w:space="0" w:color="auto"/>
        <w:left w:val="none" w:sz="0" w:space="0" w:color="auto"/>
        <w:bottom w:val="none" w:sz="0" w:space="0" w:color="auto"/>
        <w:right w:val="none" w:sz="0" w:space="0" w:color="auto"/>
      </w:divBdr>
    </w:div>
    <w:div w:id="116411669">
      <w:bodyDiv w:val="1"/>
      <w:marLeft w:val="0"/>
      <w:marRight w:val="0"/>
      <w:marTop w:val="0"/>
      <w:marBottom w:val="0"/>
      <w:divBdr>
        <w:top w:val="none" w:sz="0" w:space="0" w:color="auto"/>
        <w:left w:val="none" w:sz="0" w:space="0" w:color="auto"/>
        <w:bottom w:val="none" w:sz="0" w:space="0" w:color="auto"/>
        <w:right w:val="none" w:sz="0" w:space="0" w:color="auto"/>
      </w:divBdr>
    </w:div>
    <w:div w:id="117798121">
      <w:bodyDiv w:val="1"/>
      <w:marLeft w:val="0"/>
      <w:marRight w:val="0"/>
      <w:marTop w:val="0"/>
      <w:marBottom w:val="0"/>
      <w:divBdr>
        <w:top w:val="none" w:sz="0" w:space="0" w:color="auto"/>
        <w:left w:val="none" w:sz="0" w:space="0" w:color="auto"/>
        <w:bottom w:val="none" w:sz="0" w:space="0" w:color="auto"/>
        <w:right w:val="none" w:sz="0" w:space="0" w:color="auto"/>
      </w:divBdr>
    </w:div>
    <w:div w:id="117843118">
      <w:bodyDiv w:val="1"/>
      <w:marLeft w:val="0"/>
      <w:marRight w:val="0"/>
      <w:marTop w:val="0"/>
      <w:marBottom w:val="0"/>
      <w:divBdr>
        <w:top w:val="none" w:sz="0" w:space="0" w:color="auto"/>
        <w:left w:val="none" w:sz="0" w:space="0" w:color="auto"/>
        <w:bottom w:val="none" w:sz="0" w:space="0" w:color="auto"/>
        <w:right w:val="none" w:sz="0" w:space="0" w:color="auto"/>
      </w:divBdr>
    </w:div>
    <w:div w:id="119567774">
      <w:bodyDiv w:val="1"/>
      <w:marLeft w:val="0"/>
      <w:marRight w:val="0"/>
      <w:marTop w:val="0"/>
      <w:marBottom w:val="0"/>
      <w:divBdr>
        <w:top w:val="none" w:sz="0" w:space="0" w:color="auto"/>
        <w:left w:val="none" w:sz="0" w:space="0" w:color="auto"/>
        <w:bottom w:val="none" w:sz="0" w:space="0" w:color="auto"/>
        <w:right w:val="none" w:sz="0" w:space="0" w:color="auto"/>
      </w:divBdr>
    </w:div>
    <w:div w:id="119765821">
      <w:bodyDiv w:val="1"/>
      <w:marLeft w:val="0"/>
      <w:marRight w:val="0"/>
      <w:marTop w:val="0"/>
      <w:marBottom w:val="0"/>
      <w:divBdr>
        <w:top w:val="none" w:sz="0" w:space="0" w:color="auto"/>
        <w:left w:val="none" w:sz="0" w:space="0" w:color="auto"/>
        <w:bottom w:val="none" w:sz="0" w:space="0" w:color="auto"/>
        <w:right w:val="none" w:sz="0" w:space="0" w:color="auto"/>
      </w:divBdr>
    </w:div>
    <w:div w:id="120272937">
      <w:bodyDiv w:val="1"/>
      <w:marLeft w:val="0"/>
      <w:marRight w:val="0"/>
      <w:marTop w:val="0"/>
      <w:marBottom w:val="0"/>
      <w:divBdr>
        <w:top w:val="none" w:sz="0" w:space="0" w:color="auto"/>
        <w:left w:val="none" w:sz="0" w:space="0" w:color="auto"/>
        <w:bottom w:val="none" w:sz="0" w:space="0" w:color="auto"/>
        <w:right w:val="none" w:sz="0" w:space="0" w:color="auto"/>
      </w:divBdr>
    </w:div>
    <w:div w:id="120728792">
      <w:bodyDiv w:val="1"/>
      <w:marLeft w:val="0"/>
      <w:marRight w:val="0"/>
      <w:marTop w:val="0"/>
      <w:marBottom w:val="0"/>
      <w:divBdr>
        <w:top w:val="none" w:sz="0" w:space="0" w:color="auto"/>
        <w:left w:val="none" w:sz="0" w:space="0" w:color="auto"/>
        <w:bottom w:val="none" w:sz="0" w:space="0" w:color="auto"/>
        <w:right w:val="none" w:sz="0" w:space="0" w:color="auto"/>
      </w:divBdr>
    </w:div>
    <w:div w:id="120732632">
      <w:bodyDiv w:val="1"/>
      <w:marLeft w:val="0"/>
      <w:marRight w:val="0"/>
      <w:marTop w:val="0"/>
      <w:marBottom w:val="0"/>
      <w:divBdr>
        <w:top w:val="none" w:sz="0" w:space="0" w:color="auto"/>
        <w:left w:val="none" w:sz="0" w:space="0" w:color="auto"/>
        <w:bottom w:val="none" w:sz="0" w:space="0" w:color="auto"/>
        <w:right w:val="none" w:sz="0" w:space="0" w:color="auto"/>
      </w:divBdr>
    </w:div>
    <w:div w:id="120927323">
      <w:bodyDiv w:val="1"/>
      <w:marLeft w:val="0"/>
      <w:marRight w:val="0"/>
      <w:marTop w:val="0"/>
      <w:marBottom w:val="0"/>
      <w:divBdr>
        <w:top w:val="none" w:sz="0" w:space="0" w:color="auto"/>
        <w:left w:val="none" w:sz="0" w:space="0" w:color="auto"/>
        <w:bottom w:val="none" w:sz="0" w:space="0" w:color="auto"/>
        <w:right w:val="none" w:sz="0" w:space="0" w:color="auto"/>
      </w:divBdr>
    </w:div>
    <w:div w:id="121533228">
      <w:bodyDiv w:val="1"/>
      <w:marLeft w:val="0"/>
      <w:marRight w:val="0"/>
      <w:marTop w:val="0"/>
      <w:marBottom w:val="0"/>
      <w:divBdr>
        <w:top w:val="none" w:sz="0" w:space="0" w:color="auto"/>
        <w:left w:val="none" w:sz="0" w:space="0" w:color="auto"/>
        <w:bottom w:val="none" w:sz="0" w:space="0" w:color="auto"/>
        <w:right w:val="none" w:sz="0" w:space="0" w:color="auto"/>
      </w:divBdr>
    </w:div>
    <w:div w:id="123474033">
      <w:bodyDiv w:val="1"/>
      <w:marLeft w:val="0"/>
      <w:marRight w:val="0"/>
      <w:marTop w:val="0"/>
      <w:marBottom w:val="0"/>
      <w:divBdr>
        <w:top w:val="none" w:sz="0" w:space="0" w:color="auto"/>
        <w:left w:val="none" w:sz="0" w:space="0" w:color="auto"/>
        <w:bottom w:val="none" w:sz="0" w:space="0" w:color="auto"/>
        <w:right w:val="none" w:sz="0" w:space="0" w:color="auto"/>
      </w:divBdr>
    </w:div>
    <w:div w:id="123694452">
      <w:bodyDiv w:val="1"/>
      <w:marLeft w:val="0"/>
      <w:marRight w:val="0"/>
      <w:marTop w:val="0"/>
      <w:marBottom w:val="0"/>
      <w:divBdr>
        <w:top w:val="none" w:sz="0" w:space="0" w:color="auto"/>
        <w:left w:val="none" w:sz="0" w:space="0" w:color="auto"/>
        <w:bottom w:val="none" w:sz="0" w:space="0" w:color="auto"/>
        <w:right w:val="none" w:sz="0" w:space="0" w:color="auto"/>
      </w:divBdr>
    </w:div>
    <w:div w:id="124011340">
      <w:bodyDiv w:val="1"/>
      <w:marLeft w:val="0"/>
      <w:marRight w:val="0"/>
      <w:marTop w:val="0"/>
      <w:marBottom w:val="0"/>
      <w:divBdr>
        <w:top w:val="none" w:sz="0" w:space="0" w:color="auto"/>
        <w:left w:val="none" w:sz="0" w:space="0" w:color="auto"/>
        <w:bottom w:val="none" w:sz="0" w:space="0" w:color="auto"/>
        <w:right w:val="none" w:sz="0" w:space="0" w:color="auto"/>
      </w:divBdr>
    </w:div>
    <w:div w:id="124276353">
      <w:bodyDiv w:val="1"/>
      <w:marLeft w:val="0"/>
      <w:marRight w:val="0"/>
      <w:marTop w:val="0"/>
      <w:marBottom w:val="0"/>
      <w:divBdr>
        <w:top w:val="none" w:sz="0" w:space="0" w:color="auto"/>
        <w:left w:val="none" w:sz="0" w:space="0" w:color="auto"/>
        <w:bottom w:val="none" w:sz="0" w:space="0" w:color="auto"/>
        <w:right w:val="none" w:sz="0" w:space="0" w:color="auto"/>
      </w:divBdr>
    </w:div>
    <w:div w:id="125127632">
      <w:bodyDiv w:val="1"/>
      <w:marLeft w:val="0"/>
      <w:marRight w:val="0"/>
      <w:marTop w:val="0"/>
      <w:marBottom w:val="0"/>
      <w:divBdr>
        <w:top w:val="none" w:sz="0" w:space="0" w:color="auto"/>
        <w:left w:val="none" w:sz="0" w:space="0" w:color="auto"/>
        <w:bottom w:val="none" w:sz="0" w:space="0" w:color="auto"/>
        <w:right w:val="none" w:sz="0" w:space="0" w:color="auto"/>
      </w:divBdr>
    </w:div>
    <w:div w:id="125205685">
      <w:bodyDiv w:val="1"/>
      <w:marLeft w:val="0"/>
      <w:marRight w:val="0"/>
      <w:marTop w:val="0"/>
      <w:marBottom w:val="0"/>
      <w:divBdr>
        <w:top w:val="none" w:sz="0" w:space="0" w:color="auto"/>
        <w:left w:val="none" w:sz="0" w:space="0" w:color="auto"/>
        <w:bottom w:val="none" w:sz="0" w:space="0" w:color="auto"/>
        <w:right w:val="none" w:sz="0" w:space="0" w:color="auto"/>
      </w:divBdr>
    </w:div>
    <w:div w:id="125586363">
      <w:bodyDiv w:val="1"/>
      <w:marLeft w:val="0"/>
      <w:marRight w:val="0"/>
      <w:marTop w:val="0"/>
      <w:marBottom w:val="0"/>
      <w:divBdr>
        <w:top w:val="none" w:sz="0" w:space="0" w:color="auto"/>
        <w:left w:val="none" w:sz="0" w:space="0" w:color="auto"/>
        <w:bottom w:val="none" w:sz="0" w:space="0" w:color="auto"/>
        <w:right w:val="none" w:sz="0" w:space="0" w:color="auto"/>
      </w:divBdr>
    </w:div>
    <w:div w:id="125853564">
      <w:bodyDiv w:val="1"/>
      <w:marLeft w:val="0"/>
      <w:marRight w:val="0"/>
      <w:marTop w:val="0"/>
      <w:marBottom w:val="0"/>
      <w:divBdr>
        <w:top w:val="none" w:sz="0" w:space="0" w:color="auto"/>
        <w:left w:val="none" w:sz="0" w:space="0" w:color="auto"/>
        <w:bottom w:val="none" w:sz="0" w:space="0" w:color="auto"/>
        <w:right w:val="none" w:sz="0" w:space="0" w:color="auto"/>
      </w:divBdr>
    </w:div>
    <w:div w:id="125970641">
      <w:bodyDiv w:val="1"/>
      <w:marLeft w:val="0"/>
      <w:marRight w:val="0"/>
      <w:marTop w:val="0"/>
      <w:marBottom w:val="0"/>
      <w:divBdr>
        <w:top w:val="none" w:sz="0" w:space="0" w:color="auto"/>
        <w:left w:val="none" w:sz="0" w:space="0" w:color="auto"/>
        <w:bottom w:val="none" w:sz="0" w:space="0" w:color="auto"/>
        <w:right w:val="none" w:sz="0" w:space="0" w:color="auto"/>
      </w:divBdr>
    </w:div>
    <w:div w:id="127093686">
      <w:bodyDiv w:val="1"/>
      <w:marLeft w:val="0"/>
      <w:marRight w:val="0"/>
      <w:marTop w:val="0"/>
      <w:marBottom w:val="0"/>
      <w:divBdr>
        <w:top w:val="none" w:sz="0" w:space="0" w:color="auto"/>
        <w:left w:val="none" w:sz="0" w:space="0" w:color="auto"/>
        <w:bottom w:val="none" w:sz="0" w:space="0" w:color="auto"/>
        <w:right w:val="none" w:sz="0" w:space="0" w:color="auto"/>
      </w:divBdr>
    </w:div>
    <w:div w:id="127672860">
      <w:bodyDiv w:val="1"/>
      <w:marLeft w:val="0"/>
      <w:marRight w:val="0"/>
      <w:marTop w:val="0"/>
      <w:marBottom w:val="0"/>
      <w:divBdr>
        <w:top w:val="none" w:sz="0" w:space="0" w:color="auto"/>
        <w:left w:val="none" w:sz="0" w:space="0" w:color="auto"/>
        <w:bottom w:val="none" w:sz="0" w:space="0" w:color="auto"/>
        <w:right w:val="none" w:sz="0" w:space="0" w:color="auto"/>
      </w:divBdr>
    </w:div>
    <w:div w:id="128941942">
      <w:bodyDiv w:val="1"/>
      <w:marLeft w:val="0"/>
      <w:marRight w:val="0"/>
      <w:marTop w:val="0"/>
      <w:marBottom w:val="0"/>
      <w:divBdr>
        <w:top w:val="none" w:sz="0" w:space="0" w:color="auto"/>
        <w:left w:val="none" w:sz="0" w:space="0" w:color="auto"/>
        <w:bottom w:val="none" w:sz="0" w:space="0" w:color="auto"/>
        <w:right w:val="none" w:sz="0" w:space="0" w:color="auto"/>
      </w:divBdr>
    </w:div>
    <w:div w:id="129709668">
      <w:bodyDiv w:val="1"/>
      <w:marLeft w:val="0"/>
      <w:marRight w:val="0"/>
      <w:marTop w:val="0"/>
      <w:marBottom w:val="0"/>
      <w:divBdr>
        <w:top w:val="none" w:sz="0" w:space="0" w:color="auto"/>
        <w:left w:val="none" w:sz="0" w:space="0" w:color="auto"/>
        <w:bottom w:val="none" w:sz="0" w:space="0" w:color="auto"/>
        <w:right w:val="none" w:sz="0" w:space="0" w:color="auto"/>
      </w:divBdr>
    </w:div>
    <w:div w:id="129829199">
      <w:bodyDiv w:val="1"/>
      <w:marLeft w:val="0"/>
      <w:marRight w:val="0"/>
      <w:marTop w:val="0"/>
      <w:marBottom w:val="0"/>
      <w:divBdr>
        <w:top w:val="none" w:sz="0" w:space="0" w:color="auto"/>
        <w:left w:val="none" w:sz="0" w:space="0" w:color="auto"/>
        <w:bottom w:val="none" w:sz="0" w:space="0" w:color="auto"/>
        <w:right w:val="none" w:sz="0" w:space="0" w:color="auto"/>
      </w:divBdr>
    </w:div>
    <w:div w:id="130053547">
      <w:bodyDiv w:val="1"/>
      <w:marLeft w:val="0"/>
      <w:marRight w:val="0"/>
      <w:marTop w:val="0"/>
      <w:marBottom w:val="0"/>
      <w:divBdr>
        <w:top w:val="none" w:sz="0" w:space="0" w:color="auto"/>
        <w:left w:val="none" w:sz="0" w:space="0" w:color="auto"/>
        <w:bottom w:val="none" w:sz="0" w:space="0" w:color="auto"/>
        <w:right w:val="none" w:sz="0" w:space="0" w:color="auto"/>
      </w:divBdr>
    </w:div>
    <w:div w:id="130177462">
      <w:bodyDiv w:val="1"/>
      <w:marLeft w:val="0"/>
      <w:marRight w:val="0"/>
      <w:marTop w:val="0"/>
      <w:marBottom w:val="0"/>
      <w:divBdr>
        <w:top w:val="none" w:sz="0" w:space="0" w:color="auto"/>
        <w:left w:val="none" w:sz="0" w:space="0" w:color="auto"/>
        <w:bottom w:val="none" w:sz="0" w:space="0" w:color="auto"/>
        <w:right w:val="none" w:sz="0" w:space="0" w:color="auto"/>
      </w:divBdr>
    </w:div>
    <w:div w:id="131139078">
      <w:bodyDiv w:val="1"/>
      <w:marLeft w:val="0"/>
      <w:marRight w:val="0"/>
      <w:marTop w:val="0"/>
      <w:marBottom w:val="0"/>
      <w:divBdr>
        <w:top w:val="none" w:sz="0" w:space="0" w:color="auto"/>
        <w:left w:val="none" w:sz="0" w:space="0" w:color="auto"/>
        <w:bottom w:val="none" w:sz="0" w:space="0" w:color="auto"/>
        <w:right w:val="none" w:sz="0" w:space="0" w:color="auto"/>
      </w:divBdr>
    </w:div>
    <w:div w:id="131949240">
      <w:bodyDiv w:val="1"/>
      <w:marLeft w:val="0"/>
      <w:marRight w:val="0"/>
      <w:marTop w:val="0"/>
      <w:marBottom w:val="0"/>
      <w:divBdr>
        <w:top w:val="none" w:sz="0" w:space="0" w:color="auto"/>
        <w:left w:val="none" w:sz="0" w:space="0" w:color="auto"/>
        <w:bottom w:val="none" w:sz="0" w:space="0" w:color="auto"/>
        <w:right w:val="none" w:sz="0" w:space="0" w:color="auto"/>
      </w:divBdr>
    </w:div>
    <w:div w:id="132065224">
      <w:bodyDiv w:val="1"/>
      <w:marLeft w:val="0"/>
      <w:marRight w:val="0"/>
      <w:marTop w:val="0"/>
      <w:marBottom w:val="0"/>
      <w:divBdr>
        <w:top w:val="none" w:sz="0" w:space="0" w:color="auto"/>
        <w:left w:val="none" w:sz="0" w:space="0" w:color="auto"/>
        <w:bottom w:val="none" w:sz="0" w:space="0" w:color="auto"/>
        <w:right w:val="none" w:sz="0" w:space="0" w:color="auto"/>
      </w:divBdr>
    </w:div>
    <w:div w:id="133372682">
      <w:bodyDiv w:val="1"/>
      <w:marLeft w:val="0"/>
      <w:marRight w:val="0"/>
      <w:marTop w:val="0"/>
      <w:marBottom w:val="0"/>
      <w:divBdr>
        <w:top w:val="none" w:sz="0" w:space="0" w:color="auto"/>
        <w:left w:val="none" w:sz="0" w:space="0" w:color="auto"/>
        <w:bottom w:val="none" w:sz="0" w:space="0" w:color="auto"/>
        <w:right w:val="none" w:sz="0" w:space="0" w:color="auto"/>
      </w:divBdr>
    </w:div>
    <w:div w:id="133719146">
      <w:bodyDiv w:val="1"/>
      <w:marLeft w:val="0"/>
      <w:marRight w:val="0"/>
      <w:marTop w:val="0"/>
      <w:marBottom w:val="0"/>
      <w:divBdr>
        <w:top w:val="none" w:sz="0" w:space="0" w:color="auto"/>
        <w:left w:val="none" w:sz="0" w:space="0" w:color="auto"/>
        <w:bottom w:val="none" w:sz="0" w:space="0" w:color="auto"/>
        <w:right w:val="none" w:sz="0" w:space="0" w:color="auto"/>
      </w:divBdr>
    </w:div>
    <w:div w:id="135882852">
      <w:bodyDiv w:val="1"/>
      <w:marLeft w:val="0"/>
      <w:marRight w:val="0"/>
      <w:marTop w:val="0"/>
      <w:marBottom w:val="0"/>
      <w:divBdr>
        <w:top w:val="none" w:sz="0" w:space="0" w:color="auto"/>
        <w:left w:val="none" w:sz="0" w:space="0" w:color="auto"/>
        <w:bottom w:val="none" w:sz="0" w:space="0" w:color="auto"/>
        <w:right w:val="none" w:sz="0" w:space="0" w:color="auto"/>
      </w:divBdr>
    </w:div>
    <w:div w:id="136730554">
      <w:bodyDiv w:val="1"/>
      <w:marLeft w:val="0"/>
      <w:marRight w:val="0"/>
      <w:marTop w:val="0"/>
      <w:marBottom w:val="0"/>
      <w:divBdr>
        <w:top w:val="none" w:sz="0" w:space="0" w:color="auto"/>
        <w:left w:val="none" w:sz="0" w:space="0" w:color="auto"/>
        <w:bottom w:val="none" w:sz="0" w:space="0" w:color="auto"/>
        <w:right w:val="none" w:sz="0" w:space="0" w:color="auto"/>
      </w:divBdr>
    </w:div>
    <w:div w:id="137236211">
      <w:bodyDiv w:val="1"/>
      <w:marLeft w:val="0"/>
      <w:marRight w:val="0"/>
      <w:marTop w:val="0"/>
      <w:marBottom w:val="0"/>
      <w:divBdr>
        <w:top w:val="none" w:sz="0" w:space="0" w:color="auto"/>
        <w:left w:val="none" w:sz="0" w:space="0" w:color="auto"/>
        <w:bottom w:val="none" w:sz="0" w:space="0" w:color="auto"/>
        <w:right w:val="none" w:sz="0" w:space="0" w:color="auto"/>
      </w:divBdr>
    </w:div>
    <w:div w:id="137499774">
      <w:bodyDiv w:val="1"/>
      <w:marLeft w:val="0"/>
      <w:marRight w:val="0"/>
      <w:marTop w:val="0"/>
      <w:marBottom w:val="0"/>
      <w:divBdr>
        <w:top w:val="none" w:sz="0" w:space="0" w:color="auto"/>
        <w:left w:val="none" w:sz="0" w:space="0" w:color="auto"/>
        <w:bottom w:val="none" w:sz="0" w:space="0" w:color="auto"/>
        <w:right w:val="none" w:sz="0" w:space="0" w:color="auto"/>
      </w:divBdr>
    </w:div>
    <w:div w:id="138305790">
      <w:bodyDiv w:val="1"/>
      <w:marLeft w:val="0"/>
      <w:marRight w:val="0"/>
      <w:marTop w:val="0"/>
      <w:marBottom w:val="0"/>
      <w:divBdr>
        <w:top w:val="none" w:sz="0" w:space="0" w:color="auto"/>
        <w:left w:val="none" w:sz="0" w:space="0" w:color="auto"/>
        <w:bottom w:val="none" w:sz="0" w:space="0" w:color="auto"/>
        <w:right w:val="none" w:sz="0" w:space="0" w:color="auto"/>
      </w:divBdr>
    </w:div>
    <w:div w:id="139199512">
      <w:bodyDiv w:val="1"/>
      <w:marLeft w:val="0"/>
      <w:marRight w:val="0"/>
      <w:marTop w:val="0"/>
      <w:marBottom w:val="0"/>
      <w:divBdr>
        <w:top w:val="none" w:sz="0" w:space="0" w:color="auto"/>
        <w:left w:val="none" w:sz="0" w:space="0" w:color="auto"/>
        <w:bottom w:val="none" w:sz="0" w:space="0" w:color="auto"/>
        <w:right w:val="none" w:sz="0" w:space="0" w:color="auto"/>
      </w:divBdr>
    </w:div>
    <w:div w:id="139620359">
      <w:bodyDiv w:val="1"/>
      <w:marLeft w:val="0"/>
      <w:marRight w:val="0"/>
      <w:marTop w:val="0"/>
      <w:marBottom w:val="0"/>
      <w:divBdr>
        <w:top w:val="none" w:sz="0" w:space="0" w:color="auto"/>
        <w:left w:val="none" w:sz="0" w:space="0" w:color="auto"/>
        <w:bottom w:val="none" w:sz="0" w:space="0" w:color="auto"/>
        <w:right w:val="none" w:sz="0" w:space="0" w:color="auto"/>
      </w:divBdr>
    </w:div>
    <w:div w:id="141040677">
      <w:bodyDiv w:val="1"/>
      <w:marLeft w:val="0"/>
      <w:marRight w:val="0"/>
      <w:marTop w:val="0"/>
      <w:marBottom w:val="0"/>
      <w:divBdr>
        <w:top w:val="none" w:sz="0" w:space="0" w:color="auto"/>
        <w:left w:val="none" w:sz="0" w:space="0" w:color="auto"/>
        <w:bottom w:val="none" w:sz="0" w:space="0" w:color="auto"/>
        <w:right w:val="none" w:sz="0" w:space="0" w:color="auto"/>
      </w:divBdr>
    </w:div>
    <w:div w:id="142278794">
      <w:bodyDiv w:val="1"/>
      <w:marLeft w:val="0"/>
      <w:marRight w:val="0"/>
      <w:marTop w:val="0"/>
      <w:marBottom w:val="0"/>
      <w:divBdr>
        <w:top w:val="none" w:sz="0" w:space="0" w:color="auto"/>
        <w:left w:val="none" w:sz="0" w:space="0" w:color="auto"/>
        <w:bottom w:val="none" w:sz="0" w:space="0" w:color="auto"/>
        <w:right w:val="none" w:sz="0" w:space="0" w:color="auto"/>
      </w:divBdr>
    </w:div>
    <w:div w:id="142695533">
      <w:bodyDiv w:val="1"/>
      <w:marLeft w:val="0"/>
      <w:marRight w:val="0"/>
      <w:marTop w:val="0"/>
      <w:marBottom w:val="0"/>
      <w:divBdr>
        <w:top w:val="none" w:sz="0" w:space="0" w:color="auto"/>
        <w:left w:val="none" w:sz="0" w:space="0" w:color="auto"/>
        <w:bottom w:val="none" w:sz="0" w:space="0" w:color="auto"/>
        <w:right w:val="none" w:sz="0" w:space="0" w:color="auto"/>
      </w:divBdr>
    </w:div>
    <w:div w:id="144973002">
      <w:bodyDiv w:val="1"/>
      <w:marLeft w:val="0"/>
      <w:marRight w:val="0"/>
      <w:marTop w:val="0"/>
      <w:marBottom w:val="0"/>
      <w:divBdr>
        <w:top w:val="none" w:sz="0" w:space="0" w:color="auto"/>
        <w:left w:val="none" w:sz="0" w:space="0" w:color="auto"/>
        <w:bottom w:val="none" w:sz="0" w:space="0" w:color="auto"/>
        <w:right w:val="none" w:sz="0" w:space="0" w:color="auto"/>
      </w:divBdr>
    </w:div>
    <w:div w:id="146290249">
      <w:bodyDiv w:val="1"/>
      <w:marLeft w:val="0"/>
      <w:marRight w:val="0"/>
      <w:marTop w:val="0"/>
      <w:marBottom w:val="0"/>
      <w:divBdr>
        <w:top w:val="none" w:sz="0" w:space="0" w:color="auto"/>
        <w:left w:val="none" w:sz="0" w:space="0" w:color="auto"/>
        <w:bottom w:val="none" w:sz="0" w:space="0" w:color="auto"/>
        <w:right w:val="none" w:sz="0" w:space="0" w:color="auto"/>
      </w:divBdr>
    </w:div>
    <w:div w:id="146438778">
      <w:bodyDiv w:val="1"/>
      <w:marLeft w:val="0"/>
      <w:marRight w:val="0"/>
      <w:marTop w:val="0"/>
      <w:marBottom w:val="0"/>
      <w:divBdr>
        <w:top w:val="none" w:sz="0" w:space="0" w:color="auto"/>
        <w:left w:val="none" w:sz="0" w:space="0" w:color="auto"/>
        <w:bottom w:val="none" w:sz="0" w:space="0" w:color="auto"/>
        <w:right w:val="none" w:sz="0" w:space="0" w:color="auto"/>
      </w:divBdr>
    </w:div>
    <w:div w:id="146558625">
      <w:bodyDiv w:val="1"/>
      <w:marLeft w:val="0"/>
      <w:marRight w:val="0"/>
      <w:marTop w:val="0"/>
      <w:marBottom w:val="0"/>
      <w:divBdr>
        <w:top w:val="none" w:sz="0" w:space="0" w:color="auto"/>
        <w:left w:val="none" w:sz="0" w:space="0" w:color="auto"/>
        <w:bottom w:val="none" w:sz="0" w:space="0" w:color="auto"/>
        <w:right w:val="none" w:sz="0" w:space="0" w:color="auto"/>
      </w:divBdr>
    </w:div>
    <w:div w:id="146824781">
      <w:bodyDiv w:val="1"/>
      <w:marLeft w:val="0"/>
      <w:marRight w:val="0"/>
      <w:marTop w:val="0"/>
      <w:marBottom w:val="0"/>
      <w:divBdr>
        <w:top w:val="none" w:sz="0" w:space="0" w:color="auto"/>
        <w:left w:val="none" w:sz="0" w:space="0" w:color="auto"/>
        <w:bottom w:val="none" w:sz="0" w:space="0" w:color="auto"/>
        <w:right w:val="none" w:sz="0" w:space="0" w:color="auto"/>
      </w:divBdr>
    </w:div>
    <w:div w:id="147063873">
      <w:bodyDiv w:val="1"/>
      <w:marLeft w:val="0"/>
      <w:marRight w:val="0"/>
      <w:marTop w:val="0"/>
      <w:marBottom w:val="0"/>
      <w:divBdr>
        <w:top w:val="none" w:sz="0" w:space="0" w:color="auto"/>
        <w:left w:val="none" w:sz="0" w:space="0" w:color="auto"/>
        <w:bottom w:val="none" w:sz="0" w:space="0" w:color="auto"/>
        <w:right w:val="none" w:sz="0" w:space="0" w:color="auto"/>
      </w:divBdr>
    </w:div>
    <w:div w:id="147138989">
      <w:bodyDiv w:val="1"/>
      <w:marLeft w:val="0"/>
      <w:marRight w:val="0"/>
      <w:marTop w:val="0"/>
      <w:marBottom w:val="0"/>
      <w:divBdr>
        <w:top w:val="none" w:sz="0" w:space="0" w:color="auto"/>
        <w:left w:val="none" w:sz="0" w:space="0" w:color="auto"/>
        <w:bottom w:val="none" w:sz="0" w:space="0" w:color="auto"/>
        <w:right w:val="none" w:sz="0" w:space="0" w:color="auto"/>
      </w:divBdr>
    </w:div>
    <w:div w:id="147940819">
      <w:bodyDiv w:val="1"/>
      <w:marLeft w:val="0"/>
      <w:marRight w:val="0"/>
      <w:marTop w:val="0"/>
      <w:marBottom w:val="0"/>
      <w:divBdr>
        <w:top w:val="none" w:sz="0" w:space="0" w:color="auto"/>
        <w:left w:val="none" w:sz="0" w:space="0" w:color="auto"/>
        <w:bottom w:val="none" w:sz="0" w:space="0" w:color="auto"/>
        <w:right w:val="none" w:sz="0" w:space="0" w:color="auto"/>
      </w:divBdr>
    </w:div>
    <w:div w:id="148526376">
      <w:bodyDiv w:val="1"/>
      <w:marLeft w:val="0"/>
      <w:marRight w:val="0"/>
      <w:marTop w:val="0"/>
      <w:marBottom w:val="0"/>
      <w:divBdr>
        <w:top w:val="none" w:sz="0" w:space="0" w:color="auto"/>
        <w:left w:val="none" w:sz="0" w:space="0" w:color="auto"/>
        <w:bottom w:val="none" w:sz="0" w:space="0" w:color="auto"/>
        <w:right w:val="none" w:sz="0" w:space="0" w:color="auto"/>
      </w:divBdr>
    </w:div>
    <w:div w:id="149254790">
      <w:bodyDiv w:val="1"/>
      <w:marLeft w:val="0"/>
      <w:marRight w:val="0"/>
      <w:marTop w:val="0"/>
      <w:marBottom w:val="0"/>
      <w:divBdr>
        <w:top w:val="none" w:sz="0" w:space="0" w:color="auto"/>
        <w:left w:val="none" w:sz="0" w:space="0" w:color="auto"/>
        <w:bottom w:val="none" w:sz="0" w:space="0" w:color="auto"/>
        <w:right w:val="none" w:sz="0" w:space="0" w:color="auto"/>
      </w:divBdr>
    </w:div>
    <w:div w:id="149295703">
      <w:bodyDiv w:val="1"/>
      <w:marLeft w:val="0"/>
      <w:marRight w:val="0"/>
      <w:marTop w:val="0"/>
      <w:marBottom w:val="0"/>
      <w:divBdr>
        <w:top w:val="none" w:sz="0" w:space="0" w:color="auto"/>
        <w:left w:val="none" w:sz="0" w:space="0" w:color="auto"/>
        <w:bottom w:val="none" w:sz="0" w:space="0" w:color="auto"/>
        <w:right w:val="none" w:sz="0" w:space="0" w:color="auto"/>
      </w:divBdr>
    </w:div>
    <w:div w:id="151454547">
      <w:bodyDiv w:val="1"/>
      <w:marLeft w:val="0"/>
      <w:marRight w:val="0"/>
      <w:marTop w:val="0"/>
      <w:marBottom w:val="0"/>
      <w:divBdr>
        <w:top w:val="none" w:sz="0" w:space="0" w:color="auto"/>
        <w:left w:val="none" w:sz="0" w:space="0" w:color="auto"/>
        <w:bottom w:val="none" w:sz="0" w:space="0" w:color="auto"/>
        <w:right w:val="none" w:sz="0" w:space="0" w:color="auto"/>
      </w:divBdr>
    </w:div>
    <w:div w:id="152188757">
      <w:bodyDiv w:val="1"/>
      <w:marLeft w:val="0"/>
      <w:marRight w:val="0"/>
      <w:marTop w:val="0"/>
      <w:marBottom w:val="0"/>
      <w:divBdr>
        <w:top w:val="none" w:sz="0" w:space="0" w:color="auto"/>
        <w:left w:val="none" w:sz="0" w:space="0" w:color="auto"/>
        <w:bottom w:val="none" w:sz="0" w:space="0" w:color="auto"/>
        <w:right w:val="none" w:sz="0" w:space="0" w:color="auto"/>
      </w:divBdr>
    </w:div>
    <w:div w:id="152260838">
      <w:bodyDiv w:val="1"/>
      <w:marLeft w:val="0"/>
      <w:marRight w:val="0"/>
      <w:marTop w:val="0"/>
      <w:marBottom w:val="0"/>
      <w:divBdr>
        <w:top w:val="none" w:sz="0" w:space="0" w:color="auto"/>
        <w:left w:val="none" w:sz="0" w:space="0" w:color="auto"/>
        <w:bottom w:val="none" w:sz="0" w:space="0" w:color="auto"/>
        <w:right w:val="none" w:sz="0" w:space="0" w:color="auto"/>
      </w:divBdr>
    </w:div>
    <w:div w:id="153379474">
      <w:bodyDiv w:val="1"/>
      <w:marLeft w:val="0"/>
      <w:marRight w:val="0"/>
      <w:marTop w:val="0"/>
      <w:marBottom w:val="0"/>
      <w:divBdr>
        <w:top w:val="none" w:sz="0" w:space="0" w:color="auto"/>
        <w:left w:val="none" w:sz="0" w:space="0" w:color="auto"/>
        <w:bottom w:val="none" w:sz="0" w:space="0" w:color="auto"/>
        <w:right w:val="none" w:sz="0" w:space="0" w:color="auto"/>
      </w:divBdr>
    </w:div>
    <w:div w:id="154538617">
      <w:bodyDiv w:val="1"/>
      <w:marLeft w:val="0"/>
      <w:marRight w:val="0"/>
      <w:marTop w:val="0"/>
      <w:marBottom w:val="0"/>
      <w:divBdr>
        <w:top w:val="none" w:sz="0" w:space="0" w:color="auto"/>
        <w:left w:val="none" w:sz="0" w:space="0" w:color="auto"/>
        <w:bottom w:val="none" w:sz="0" w:space="0" w:color="auto"/>
        <w:right w:val="none" w:sz="0" w:space="0" w:color="auto"/>
      </w:divBdr>
    </w:div>
    <w:div w:id="154689029">
      <w:bodyDiv w:val="1"/>
      <w:marLeft w:val="0"/>
      <w:marRight w:val="0"/>
      <w:marTop w:val="0"/>
      <w:marBottom w:val="0"/>
      <w:divBdr>
        <w:top w:val="none" w:sz="0" w:space="0" w:color="auto"/>
        <w:left w:val="none" w:sz="0" w:space="0" w:color="auto"/>
        <w:bottom w:val="none" w:sz="0" w:space="0" w:color="auto"/>
        <w:right w:val="none" w:sz="0" w:space="0" w:color="auto"/>
      </w:divBdr>
    </w:div>
    <w:div w:id="154955179">
      <w:bodyDiv w:val="1"/>
      <w:marLeft w:val="0"/>
      <w:marRight w:val="0"/>
      <w:marTop w:val="0"/>
      <w:marBottom w:val="0"/>
      <w:divBdr>
        <w:top w:val="none" w:sz="0" w:space="0" w:color="auto"/>
        <w:left w:val="none" w:sz="0" w:space="0" w:color="auto"/>
        <w:bottom w:val="none" w:sz="0" w:space="0" w:color="auto"/>
        <w:right w:val="none" w:sz="0" w:space="0" w:color="auto"/>
      </w:divBdr>
    </w:div>
    <w:div w:id="155339452">
      <w:bodyDiv w:val="1"/>
      <w:marLeft w:val="0"/>
      <w:marRight w:val="0"/>
      <w:marTop w:val="0"/>
      <w:marBottom w:val="0"/>
      <w:divBdr>
        <w:top w:val="none" w:sz="0" w:space="0" w:color="auto"/>
        <w:left w:val="none" w:sz="0" w:space="0" w:color="auto"/>
        <w:bottom w:val="none" w:sz="0" w:space="0" w:color="auto"/>
        <w:right w:val="none" w:sz="0" w:space="0" w:color="auto"/>
      </w:divBdr>
    </w:div>
    <w:div w:id="155541115">
      <w:bodyDiv w:val="1"/>
      <w:marLeft w:val="0"/>
      <w:marRight w:val="0"/>
      <w:marTop w:val="0"/>
      <w:marBottom w:val="0"/>
      <w:divBdr>
        <w:top w:val="none" w:sz="0" w:space="0" w:color="auto"/>
        <w:left w:val="none" w:sz="0" w:space="0" w:color="auto"/>
        <w:bottom w:val="none" w:sz="0" w:space="0" w:color="auto"/>
        <w:right w:val="none" w:sz="0" w:space="0" w:color="auto"/>
      </w:divBdr>
    </w:div>
    <w:div w:id="155653085">
      <w:bodyDiv w:val="1"/>
      <w:marLeft w:val="0"/>
      <w:marRight w:val="0"/>
      <w:marTop w:val="0"/>
      <w:marBottom w:val="0"/>
      <w:divBdr>
        <w:top w:val="none" w:sz="0" w:space="0" w:color="auto"/>
        <w:left w:val="none" w:sz="0" w:space="0" w:color="auto"/>
        <w:bottom w:val="none" w:sz="0" w:space="0" w:color="auto"/>
        <w:right w:val="none" w:sz="0" w:space="0" w:color="auto"/>
      </w:divBdr>
    </w:div>
    <w:div w:id="156380587">
      <w:bodyDiv w:val="1"/>
      <w:marLeft w:val="0"/>
      <w:marRight w:val="0"/>
      <w:marTop w:val="0"/>
      <w:marBottom w:val="0"/>
      <w:divBdr>
        <w:top w:val="none" w:sz="0" w:space="0" w:color="auto"/>
        <w:left w:val="none" w:sz="0" w:space="0" w:color="auto"/>
        <w:bottom w:val="none" w:sz="0" w:space="0" w:color="auto"/>
        <w:right w:val="none" w:sz="0" w:space="0" w:color="auto"/>
      </w:divBdr>
    </w:div>
    <w:div w:id="157237903">
      <w:bodyDiv w:val="1"/>
      <w:marLeft w:val="0"/>
      <w:marRight w:val="0"/>
      <w:marTop w:val="0"/>
      <w:marBottom w:val="0"/>
      <w:divBdr>
        <w:top w:val="none" w:sz="0" w:space="0" w:color="auto"/>
        <w:left w:val="none" w:sz="0" w:space="0" w:color="auto"/>
        <w:bottom w:val="none" w:sz="0" w:space="0" w:color="auto"/>
        <w:right w:val="none" w:sz="0" w:space="0" w:color="auto"/>
      </w:divBdr>
    </w:div>
    <w:div w:id="157429348">
      <w:bodyDiv w:val="1"/>
      <w:marLeft w:val="0"/>
      <w:marRight w:val="0"/>
      <w:marTop w:val="0"/>
      <w:marBottom w:val="0"/>
      <w:divBdr>
        <w:top w:val="none" w:sz="0" w:space="0" w:color="auto"/>
        <w:left w:val="none" w:sz="0" w:space="0" w:color="auto"/>
        <w:bottom w:val="none" w:sz="0" w:space="0" w:color="auto"/>
        <w:right w:val="none" w:sz="0" w:space="0" w:color="auto"/>
      </w:divBdr>
    </w:div>
    <w:div w:id="160046587">
      <w:bodyDiv w:val="1"/>
      <w:marLeft w:val="0"/>
      <w:marRight w:val="0"/>
      <w:marTop w:val="0"/>
      <w:marBottom w:val="0"/>
      <w:divBdr>
        <w:top w:val="none" w:sz="0" w:space="0" w:color="auto"/>
        <w:left w:val="none" w:sz="0" w:space="0" w:color="auto"/>
        <w:bottom w:val="none" w:sz="0" w:space="0" w:color="auto"/>
        <w:right w:val="none" w:sz="0" w:space="0" w:color="auto"/>
      </w:divBdr>
    </w:div>
    <w:div w:id="161942946">
      <w:bodyDiv w:val="1"/>
      <w:marLeft w:val="0"/>
      <w:marRight w:val="0"/>
      <w:marTop w:val="0"/>
      <w:marBottom w:val="0"/>
      <w:divBdr>
        <w:top w:val="none" w:sz="0" w:space="0" w:color="auto"/>
        <w:left w:val="none" w:sz="0" w:space="0" w:color="auto"/>
        <w:bottom w:val="none" w:sz="0" w:space="0" w:color="auto"/>
        <w:right w:val="none" w:sz="0" w:space="0" w:color="auto"/>
      </w:divBdr>
    </w:div>
    <w:div w:id="163401528">
      <w:bodyDiv w:val="1"/>
      <w:marLeft w:val="0"/>
      <w:marRight w:val="0"/>
      <w:marTop w:val="0"/>
      <w:marBottom w:val="0"/>
      <w:divBdr>
        <w:top w:val="none" w:sz="0" w:space="0" w:color="auto"/>
        <w:left w:val="none" w:sz="0" w:space="0" w:color="auto"/>
        <w:bottom w:val="none" w:sz="0" w:space="0" w:color="auto"/>
        <w:right w:val="none" w:sz="0" w:space="0" w:color="auto"/>
      </w:divBdr>
    </w:div>
    <w:div w:id="164713619">
      <w:bodyDiv w:val="1"/>
      <w:marLeft w:val="0"/>
      <w:marRight w:val="0"/>
      <w:marTop w:val="0"/>
      <w:marBottom w:val="0"/>
      <w:divBdr>
        <w:top w:val="none" w:sz="0" w:space="0" w:color="auto"/>
        <w:left w:val="none" w:sz="0" w:space="0" w:color="auto"/>
        <w:bottom w:val="none" w:sz="0" w:space="0" w:color="auto"/>
        <w:right w:val="none" w:sz="0" w:space="0" w:color="auto"/>
      </w:divBdr>
    </w:div>
    <w:div w:id="165286912">
      <w:bodyDiv w:val="1"/>
      <w:marLeft w:val="0"/>
      <w:marRight w:val="0"/>
      <w:marTop w:val="0"/>
      <w:marBottom w:val="0"/>
      <w:divBdr>
        <w:top w:val="none" w:sz="0" w:space="0" w:color="auto"/>
        <w:left w:val="none" w:sz="0" w:space="0" w:color="auto"/>
        <w:bottom w:val="none" w:sz="0" w:space="0" w:color="auto"/>
        <w:right w:val="none" w:sz="0" w:space="0" w:color="auto"/>
      </w:divBdr>
    </w:div>
    <w:div w:id="166487425">
      <w:bodyDiv w:val="1"/>
      <w:marLeft w:val="0"/>
      <w:marRight w:val="0"/>
      <w:marTop w:val="0"/>
      <w:marBottom w:val="0"/>
      <w:divBdr>
        <w:top w:val="none" w:sz="0" w:space="0" w:color="auto"/>
        <w:left w:val="none" w:sz="0" w:space="0" w:color="auto"/>
        <w:bottom w:val="none" w:sz="0" w:space="0" w:color="auto"/>
        <w:right w:val="none" w:sz="0" w:space="0" w:color="auto"/>
      </w:divBdr>
    </w:div>
    <w:div w:id="167794148">
      <w:bodyDiv w:val="1"/>
      <w:marLeft w:val="0"/>
      <w:marRight w:val="0"/>
      <w:marTop w:val="0"/>
      <w:marBottom w:val="0"/>
      <w:divBdr>
        <w:top w:val="none" w:sz="0" w:space="0" w:color="auto"/>
        <w:left w:val="none" w:sz="0" w:space="0" w:color="auto"/>
        <w:bottom w:val="none" w:sz="0" w:space="0" w:color="auto"/>
        <w:right w:val="none" w:sz="0" w:space="0" w:color="auto"/>
      </w:divBdr>
    </w:div>
    <w:div w:id="167838453">
      <w:bodyDiv w:val="1"/>
      <w:marLeft w:val="0"/>
      <w:marRight w:val="0"/>
      <w:marTop w:val="0"/>
      <w:marBottom w:val="0"/>
      <w:divBdr>
        <w:top w:val="none" w:sz="0" w:space="0" w:color="auto"/>
        <w:left w:val="none" w:sz="0" w:space="0" w:color="auto"/>
        <w:bottom w:val="none" w:sz="0" w:space="0" w:color="auto"/>
        <w:right w:val="none" w:sz="0" w:space="0" w:color="auto"/>
      </w:divBdr>
    </w:div>
    <w:div w:id="168108414">
      <w:bodyDiv w:val="1"/>
      <w:marLeft w:val="0"/>
      <w:marRight w:val="0"/>
      <w:marTop w:val="0"/>
      <w:marBottom w:val="0"/>
      <w:divBdr>
        <w:top w:val="none" w:sz="0" w:space="0" w:color="auto"/>
        <w:left w:val="none" w:sz="0" w:space="0" w:color="auto"/>
        <w:bottom w:val="none" w:sz="0" w:space="0" w:color="auto"/>
        <w:right w:val="none" w:sz="0" w:space="0" w:color="auto"/>
      </w:divBdr>
    </w:div>
    <w:div w:id="168638422">
      <w:bodyDiv w:val="1"/>
      <w:marLeft w:val="0"/>
      <w:marRight w:val="0"/>
      <w:marTop w:val="0"/>
      <w:marBottom w:val="0"/>
      <w:divBdr>
        <w:top w:val="none" w:sz="0" w:space="0" w:color="auto"/>
        <w:left w:val="none" w:sz="0" w:space="0" w:color="auto"/>
        <w:bottom w:val="none" w:sz="0" w:space="0" w:color="auto"/>
        <w:right w:val="none" w:sz="0" w:space="0" w:color="auto"/>
      </w:divBdr>
    </w:div>
    <w:div w:id="170995375">
      <w:bodyDiv w:val="1"/>
      <w:marLeft w:val="0"/>
      <w:marRight w:val="0"/>
      <w:marTop w:val="0"/>
      <w:marBottom w:val="0"/>
      <w:divBdr>
        <w:top w:val="none" w:sz="0" w:space="0" w:color="auto"/>
        <w:left w:val="none" w:sz="0" w:space="0" w:color="auto"/>
        <w:bottom w:val="none" w:sz="0" w:space="0" w:color="auto"/>
        <w:right w:val="none" w:sz="0" w:space="0" w:color="auto"/>
      </w:divBdr>
    </w:div>
    <w:div w:id="173342725">
      <w:bodyDiv w:val="1"/>
      <w:marLeft w:val="0"/>
      <w:marRight w:val="0"/>
      <w:marTop w:val="0"/>
      <w:marBottom w:val="0"/>
      <w:divBdr>
        <w:top w:val="none" w:sz="0" w:space="0" w:color="auto"/>
        <w:left w:val="none" w:sz="0" w:space="0" w:color="auto"/>
        <w:bottom w:val="none" w:sz="0" w:space="0" w:color="auto"/>
        <w:right w:val="none" w:sz="0" w:space="0" w:color="auto"/>
      </w:divBdr>
    </w:div>
    <w:div w:id="174922300">
      <w:bodyDiv w:val="1"/>
      <w:marLeft w:val="0"/>
      <w:marRight w:val="0"/>
      <w:marTop w:val="0"/>
      <w:marBottom w:val="0"/>
      <w:divBdr>
        <w:top w:val="none" w:sz="0" w:space="0" w:color="auto"/>
        <w:left w:val="none" w:sz="0" w:space="0" w:color="auto"/>
        <w:bottom w:val="none" w:sz="0" w:space="0" w:color="auto"/>
        <w:right w:val="none" w:sz="0" w:space="0" w:color="auto"/>
      </w:divBdr>
    </w:div>
    <w:div w:id="175189929">
      <w:bodyDiv w:val="1"/>
      <w:marLeft w:val="0"/>
      <w:marRight w:val="0"/>
      <w:marTop w:val="0"/>
      <w:marBottom w:val="0"/>
      <w:divBdr>
        <w:top w:val="none" w:sz="0" w:space="0" w:color="auto"/>
        <w:left w:val="none" w:sz="0" w:space="0" w:color="auto"/>
        <w:bottom w:val="none" w:sz="0" w:space="0" w:color="auto"/>
        <w:right w:val="none" w:sz="0" w:space="0" w:color="auto"/>
      </w:divBdr>
    </w:div>
    <w:div w:id="175391261">
      <w:bodyDiv w:val="1"/>
      <w:marLeft w:val="0"/>
      <w:marRight w:val="0"/>
      <w:marTop w:val="0"/>
      <w:marBottom w:val="0"/>
      <w:divBdr>
        <w:top w:val="none" w:sz="0" w:space="0" w:color="auto"/>
        <w:left w:val="none" w:sz="0" w:space="0" w:color="auto"/>
        <w:bottom w:val="none" w:sz="0" w:space="0" w:color="auto"/>
        <w:right w:val="none" w:sz="0" w:space="0" w:color="auto"/>
      </w:divBdr>
    </w:div>
    <w:div w:id="176161062">
      <w:bodyDiv w:val="1"/>
      <w:marLeft w:val="0"/>
      <w:marRight w:val="0"/>
      <w:marTop w:val="0"/>
      <w:marBottom w:val="0"/>
      <w:divBdr>
        <w:top w:val="none" w:sz="0" w:space="0" w:color="auto"/>
        <w:left w:val="none" w:sz="0" w:space="0" w:color="auto"/>
        <w:bottom w:val="none" w:sz="0" w:space="0" w:color="auto"/>
        <w:right w:val="none" w:sz="0" w:space="0" w:color="auto"/>
      </w:divBdr>
    </w:div>
    <w:div w:id="177932536">
      <w:bodyDiv w:val="1"/>
      <w:marLeft w:val="0"/>
      <w:marRight w:val="0"/>
      <w:marTop w:val="0"/>
      <w:marBottom w:val="0"/>
      <w:divBdr>
        <w:top w:val="none" w:sz="0" w:space="0" w:color="auto"/>
        <w:left w:val="none" w:sz="0" w:space="0" w:color="auto"/>
        <w:bottom w:val="none" w:sz="0" w:space="0" w:color="auto"/>
        <w:right w:val="none" w:sz="0" w:space="0" w:color="auto"/>
      </w:divBdr>
    </w:div>
    <w:div w:id="178545342">
      <w:bodyDiv w:val="1"/>
      <w:marLeft w:val="0"/>
      <w:marRight w:val="0"/>
      <w:marTop w:val="0"/>
      <w:marBottom w:val="0"/>
      <w:divBdr>
        <w:top w:val="none" w:sz="0" w:space="0" w:color="auto"/>
        <w:left w:val="none" w:sz="0" w:space="0" w:color="auto"/>
        <w:bottom w:val="none" w:sz="0" w:space="0" w:color="auto"/>
        <w:right w:val="none" w:sz="0" w:space="0" w:color="auto"/>
      </w:divBdr>
    </w:div>
    <w:div w:id="181093627">
      <w:bodyDiv w:val="1"/>
      <w:marLeft w:val="0"/>
      <w:marRight w:val="0"/>
      <w:marTop w:val="0"/>
      <w:marBottom w:val="0"/>
      <w:divBdr>
        <w:top w:val="none" w:sz="0" w:space="0" w:color="auto"/>
        <w:left w:val="none" w:sz="0" w:space="0" w:color="auto"/>
        <w:bottom w:val="none" w:sz="0" w:space="0" w:color="auto"/>
        <w:right w:val="none" w:sz="0" w:space="0" w:color="auto"/>
      </w:divBdr>
    </w:div>
    <w:div w:id="181286020">
      <w:bodyDiv w:val="1"/>
      <w:marLeft w:val="0"/>
      <w:marRight w:val="0"/>
      <w:marTop w:val="0"/>
      <w:marBottom w:val="0"/>
      <w:divBdr>
        <w:top w:val="none" w:sz="0" w:space="0" w:color="auto"/>
        <w:left w:val="none" w:sz="0" w:space="0" w:color="auto"/>
        <w:bottom w:val="none" w:sz="0" w:space="0" w:color="auto"/>
        <w:right w:val="none" w:sz="0" w:space="0" w:color="auto"/>
      </w:divBdr>
    </w:div>
    <w:div w:id="182402511">
      <w:bodyDiv w:val="1"/>
      <w:marLeft w:val="0"/>
      <w:marRight w:val="0"/>
      <w:marTop w:val="0"/>
      <w:marBottom w:val="0"/>
      <w:divBdr>
        <w:top w:val="none" w:sz="0" w:space="0" w:color="auto"/>
        <w:left w:val="none" w:sz="0" w:space="0" w:color="auto"/>
        <w:bottom w:val="none" w:sz="0" w:space="0" w:color="auto"/>
        <w:right w:val="none" w:sz="0" w:space="0" w:color="auto"/>
      </w:divBdr>
    </w:div>
    <w:div w:id="183522084">
      <w:bodyDiv w:val="1"/>
      <w:marLeft w:val="0"/>
      <w:marRight w:val="0"/>
      <w:marTop w:val="0"/>
      <w:marBottom w:val="0"/>
      <w:divBdr>
        <w:top w:val="none" w:sz="0" w:space="0" w:color="auto"/>
        <w:left w:val="none" w:sz="0" w:space="0" w:color="auto"/>
        <w:bottom w:val="none" w:sz="0" w:space="0" w:color="auto"/>
        <w:right w:val="none" w:sz="0" w:space="0" w:color="auto"/>
      </w:divBdr>
    </w:div>
    <w:div w:id="183902892">
      <w:bodyDiv w:val="1"/>
      <w:marLeft w:val="0"/>
      <w:marRight w:val="0"/>
      <w:marTop w:val="0"/>
      <w:marBottom w:val="0"/>
      <w:divBdr>
        <w:top w:val="none" w:sz="0" w:space="0" w:color="auto"/>
        <w:left w:val="none" w:sz="0" w:space="0" w:color="auto"/>
        <w:bottom w:val="none" w:sz="0" w:space="0" w:color="auto"/>
        <w:right w:val="none" w:sz="0" w:space="0" w:color="auto"/>
      </w:divBdr>
    </w:div>
    <w:div w:id="184905880">
      <w:bodyDiv w:val="1"/>
      <w:marLeft w:val="0"/>
      <w:marRight w:val="0"/>
      <w:marTop w:val="0"/>
      <w:marBottom w:val="0"/>
      <w:divBdr>
        <w:top w:val="none" w:sz="0" w:space="0" w:color="auto"/>
        <w:left w:val="none" w:sz="0" w:space="0" w:color="auto"/>
        <w:bottom w:val="none" w:sz="0" w:space="0" w:color="auto"/>
        <w:right w:val="none" w:sz="0" w:space="0" w:color="auto"/>
      </w:divBdr>
    </w:div>
    <w:div w:id="185103722">
      <w:bodyDiv w:val="1"/>
      <w:marLeft w:val="0"/>
      <w:marRight w:val="0"/>
      <w:marTop w:val="0"/>
      <w:marBottom w:val="0"/>
      <w:divBdr>
        <w:top w:val="none" w:sz="0" w:space="0" w:color="auto"/>
        <w:left w:val="none" w:sz="0" w:space="0" w:color="auto"/>
        <w:bottom w:val="none" w:sz="0" w:space="0" w:color="auto"/>
        <w:right w:val="none" w:sz="0" w:space="0" w:color="auto"/>
      </w:divBdr>
    </w:div>
    <w:div w:id="185291045">
      <w:bodyDiv w:val="1"/>
      <w:marLeft w:val="0"/>
      <w:marRight w:val="0"/>
      <w:marTop w:val="0"/>
      <w:marBottom w:val="0"/>
      <w:divBdr>
        <w:top w:val="none" w:sz="0" w:space="0" w:color="auto"/>
        <w:left w:val="none" w:sz="0" w:space="0" w:color="auto"/>
        <w:bottom w:val="none" w:sz="0" w:space="0" w:color="auto"/>
        <w:right w:val="none" w:sz="0" w:space="0" w:color="auto"/>
      </w:divBdr>
    </w:div>
    <w:div w:id="186452130">
      <w:bodyDiv w:val="1"/>
      <w:marLeft w:val="0"/>
      <w:marRight w:val="0"/>
      <w:marTop w:val="0"/>
      <w:marBottom w:val="0"/>
      <w:divBdr>
        <w:top w:val="none" w:sz="0" w:space="0" w:color="auto"/>
        <w:left w:val="none" w:sz="0" w:space="0" w:color="auto"/>
        <w:bottom w:val="none" w:sz="0" w:space="0" w:color="auto"/>
        <w:right w:val="none" w:sz="0" w:space="0" w:color="auto"/>
      </w:divBdr>
    </w:div>
    <w:div w:id="186606024">
      <w:bodyDiv w:val="1"/>
      <w:marLeft w:val="0"/>
      <w:marRight w:val="0"/>
      <w:marTop w:val="0"/>
      <w:marBottom w:val="0"/>
      <w:divBdr>
        <w:top w:val="none" w:sz="0" w:space="0" w:color="auto"/>
        <w:left w:val="none" w:sz="0" w:space="0" w:color="auto"/>
        <w:bottom w:val="none" w:sz="0" w:space="0" w:color="auto"/>
        <w:right w:val="none" w:sz="0" w:space="0" w:color="auto"/>
      </w:divBdr>
    </w:div>
    <w:div w:id="187761118">
      <w:bodyDiv w:val="1"/>
      <w:marLeft w:val="0"/>
      <w:marRight w:val="0"/>
      <w:marTop w:val="0"/>
      <w:marBottom w:val="0"/>
      <w:divBdr>
        <w:top w:val="none" w:sz="0" w:space="0" w:color="auto"/>
        <w:left w:val="none" w:sz="0" w:space="0" w:color="auto"/>
        <w:bottom w:val="none" w:sz="0" w:space="0" w:color="auto"/>
        <w:right w:val="none" w:sz="0" w:space="0" w:color="auto"/>
      </w:divBdr>
    </w:div>
    <w:div w:id="189614135">
      <w:bodyDiv w:val="1"/>
      <w:marLeft w:val="0"/>
      <w:marRight w:val="0"/>
      <w:marTop w:val="0"/>
      <w:marBottom w:val="0"/>
      <w:divBdr>
        <w:top w:val="none" w:sz="0" w:space="0" w:color="auto"/>
        <w:left w:val="none" w:sz="0" w:space="0" w:color="auto"/>
        <w:bottom w:val="none" w:sz="0" w:space="0" w:color="auto"/>
        <w:right w:val="none" w:sz="0" w:space="0" w:color="auto"/>
      </w:divBdr>
    </w:div>
    <w:div w:id="190842300">
      <w:bodyDiv w:val="1"/>
      <w:marLeft w:val="0"/>
      <w:marRight w:val="0"/>
      <w:marTop w:val="0"/>
      <w:marBottom w:val="0"/>
      <w:divBdr>
        <w:top w:val="none" w:sz="0" w:space="0" w:color="auto"/>
        <w:left w:val="none" w:sz="0" w:space="0" w:color="auto"/>
        <w:bottom w:val="none" w:sz="0" w:space="0" w:color="auto"/>
        <w:right w:val="none" w:sz="0" w:space="0" w:color="auto"/>
      </w:divBdr>
    </w:div>
    <w:div w:id="190918876">
      <w:bodyDiv w:val="1"/>
      <w:marLeft w:val="0"/>
      <w:marRight w:val="0"/>
      <w:marTop w:val="0"/>
      <w:marBottom w:val="0"/>
      <w:divBdr>
        <w:top w:val="none" w:sz="0" w:space="0" w:color="auto"/>
        <w:left w:val="none" w:sz="0" w:space="0" w:color="auto"/>
        <w:bottom w:val="none" w:sz="0" w:space="0" w:color="auto"/>
        <w:right w:val="none" w:sz="0" w:space="0" w:color="auto"/>
      </w:divBdr>
    </w:div>
    <w:div w:id="190995340">
      <w:bodyDiv w:val="1"/>
      <w:marLeft w:val="0"/>
      <w:marRight w:val="0"/>
      <w:marTop w:val="0"/>
      <w:marBottom w:val="0"/>
      <w:divBdr>
        <w:top w:val="none" w:sz="0" w:space="0" w:color="auto"/>
        <w:left w:val="none" w:sz="0" w:space="0" w:color="auto"/>
        <w:bottom w:val="none" w:sz="0" w:space="0" w:color="auto"/>
        <w:right w:val="none" w:sz="0" w:space="0" w:color="auto"/>
      </w:divBdr>
    </w:div>
    <w:div w:id="191302914">
      <w:bodyDiv w:val="1"/>
      <w:marLeft w:val="0"/>
      <w:marRight w:val="0"/>
      <w:marTop w:val="0"/>
      <w:marBottom w:val="0"/>
      <w:divBdr>
        <w:top w:val="none" w:sz="0" w:space="0" w:color="auto"/>
        <w:left w:val="none" w:sz="0" w:space="0" w:color="auto"/>
        <w:bottom w:val="none" w:sz="0" w:space="0" w:color="auto"/>
        <w:right w:val="none" w:sz="0" w:space="0" w:color="auto"/>
      </w:divBdr>
    </w:div>
    <w:div w:id="191463122">
      <w:bodyDiv w:val="1"/>
      <w:marLeft w:val="0"/>
      <w:marRight w:val="0"/>
      <w:marTop w:val="0"/>
      <w:marBottom w:val="0"/>
      <w:divBdr>
        <w:top w:val="none" w:sz="0" w:space="0" w:color="auto"/>
        <w:left w:val="none" w:sz="0" w:space="0" w:color="auto"/>
        <w:bottom w:val="none" w:sz="0" w:space="0" w:color="auto"/>
        <w:right w:val="none" w:sz="0" w:space="0" w:color="auto"/>
      </w:divBdr>
    </w:div>
    <w:div w:id="192378617">
      <w:bodyDiv w:val="1"/>
      <w:marLeft w:val="0"/>
      <w:marRight w:val="0"/>
      <w:marTop w:val="0"/>
      <w:marBottom w:val="0"/>
      <w:divBdr>
        <w:top w:val="none" w:sz="0" w:space="0" w:color="auto"/>
        <w:left w:val="none" w:sz="0" w:space="0" w:color="auto"/>
        <w:bottom w:val="none" w:sz="0" w:space="0" w:color="auto"/>
        <w:right w:val="none" w:sz="0" w:space="0" w:color="auto"/>
      </w:divBdr>
    </w:div>
    <w:div w:id="192503361">
      <w:bodyDiv w:val="1"/>
      <w:marLeft w:val="0"/>
      <w:marRight w:val="0"/>
      <w:marTop w:val="0"/>
      <w:marBottom w:val="0"/>
      <w:divBdr>
        <w:top w:val="none" w:sz="0" w:space="0" w:color="auto"/>
        <w:left w:val="none" w:sz="0" w:space="0" w:color="auto"/>
        <w:bottom w:val="none" w:sz="0" w:space="0" w:color="auto"/>
        <w:right w:val="none" w:sz="0" w:space="0" w:color="auto"/>
      </w:divBdr>
    </w:div>
    <w:div w:id="193227688">
      <w:bodyDiv w:val="1"/>
      <w:marLeft w:val="0"/>
      <w:marRight w:val="0"/>
      <w:marTop w:val="0"/>
      <w:marBottom w:val="0"/>
      <w:divBdr>
        <w:top w:val="none" w:sz="0" w:space="0" w:color="auto"/>
        <w:left w:val="none" w:sz="0" w:space="0" w:color="auto"/>
        <w:bottom w:val="none" w:sz="0" w:space="0" w:color="auto"/>
        <w:right w:val="none" w:sz="0" w:space="0" w:color="auto"/>
      </w:divBdr>
    </w:div>
    <w:div w:id="194008898">
      <w:bodyDiv w:val="1"/>
      <w:marLeft w:val="0"/>
      <w:marRight w:val="0"/>
      <w:marTop w:val="0"/>
      <w:marBottom w:val="0"/>
      <w:divBdr>
        <w:top w:val="none" w:sz="0" w:space="0" w:color="auto"/>
        <w:left w:val="none" w:sz="0" w:space="0" w:color="auto"/>
        <w:bottom w:val="none" w:sz="0" w:space="0" w:color="auto"/>
        <w:right w:val="none" w:sz="0" w:space="0" w:color="auto"/>
      </w:divBdr>
    </w:div>
    <w:div w:id="195655008">
      <w:bodyDiv w:val="1"/>
      <w:marLeft w:val="0"/>
      <w:marRight w:val="0"/>
      <w:marTop w:val="0"/>
      <w:marBottom w:val="0"/>
      <w:divBdr>
        <w:top w:val="none" w:sz="0" w:space="0" w:color="auto"/>
        <w:left w:val="none" w:sz="0" w:space="0" w:color="auto"/>
        <w:bottom w:val="none" w:sz="0" w:space="0" w:color="auto"/>
        <w:right w:val="none" w:sz="0" w:space="0" w:color="auto"/>
      </w:divBdr>
    </w:div>
    <w:div w:id="197668859">
      <w:bodyDiv w:val="1"/>
      <w:marLeft w:val="0"/>
      <w:marRight w:val="0"/>
      <w:marTop w:val="0"/>
      <w:marBottom w:val="0"/>
      <w:divBdr>
        <w:top w:val="none" w:sz="0" w:space="0" w:color="auto"/>
        <w:left w:val="none" w:sz="0" w:space="0" w:color="auto"/>
        <w:bottom w:val="none" w:sz="0" w:space="0" w:color="auto"/>
        <w:right w:val="none" w:sz="0" w:space="0" w:color="auto"/>
      </w:divBdr>
    </w:div>
    <w:div w:id="197818828">
      <w:bodyDiv w:val="1"/>
      <w:marLeft w:val="0"/>
      <w:marRight w:val="0"/>
      <w:marTop w:val="0"/>
      <w:marBottom w:val="0"/>
      <w:divBdr>
        <w:top w:val="none" w:sz="0" w:space="0" w:color="auto"/>
        <w:left w:val="none" w:sz="0" w:space="0" w:color="auto"/>
        <w:bottom w:val="none" w:sz="0" w:space="0" w:color="auto"/>
        <w:right w:val="none" w:sz="0" w:space="0" w:color="auto"/>
      </w:divBdr>
    </w:div>
    <w:div w:id="199050309">
      <w:bodyDiv w:val="1"/>
      <w:marLeft w:val="0"/>
      <w:marRight w:val="0"/>
      <w:marTop w:val="0"/>
      <w:marBottom w:val="0"/>
      <w:divBdr>
        <w:top w:val="none" w:sz="0" w:space="0" w:color="auto"/>
        <w:left w:val="none" w:sz="0" w:space="0" w:color="auto"/>
        <w:bottom w:val="none" w:sz="0" w:space="0" w:color="auto"/>
        <w:right w:val="none" w:sz="0" w:space="0" w:color="auto"/>
      </w:divBdr>
    </w:div>
    <w:div w:id="199363904">
      <w:bodyDiv w:val="1"/>
      <w:marLeft w:val="0"/>
      <w:marRight w:val="0"/>
      <w:marTop w:val="0"/>
      <w:marBottom w:val="0"/>
      <w:divBdr>
        <w:top w:val="none" w:sz="0" w:space="0" w:color="auto"/>
        <w:left w:val="none" w:sz="0" w:space="0" w:color="auto"/>
        <w:bottom w:val="none" w:sz="0" w:space="0" w:color="auto"/>
        <w:right w:val="none" w:sz="0" w:space="0" w:color="auto"/>
      </w:divBdr>
    </w:div>
    <w:div w:id="200243423">
      <w:bodyDiv w:val="1"/>
      <w:marLeft w:val="0"/>
      <w:marRight w:val="0"/>
      <w:marTop w:val="0"/>
      <w:marBottom w:val="0"/>
      <w:divBdr>
        <w:top w:val="none" w:sz="0" w:space="0" w:color="auto"/>
        <w:left w:val="none" w:sz="0" w:space="0" w:color="auto"/>
        <w:bottom w:val="none" w:sz="0" w:space="0" w:color="auto"/>
        <w:right w:val="none" w:sz="0" w:space="0" w:color="auto"/>
      </w:divBdr>
    </w:div>
    <w:div w:id="200440532">
      <w:bodyDiv w:val="1"/>
      <w:marLeft w:val="0"/>
      <w:marRight w:val="0"/>
      <w:marTop w:val="0"/>
      <w:marBottom w:val="0"/>
      <w:divBdr>
        <w:top w:val="none" w:sz="0" w:space="0" w:color="auto"/>
        <w:left w:val="none" w:sz="0" w:space="0" w:color="auto"/>
        <w:bottom w:val="none" w:sz="0" w:space="0" w:color="auto"/>
        <w:right w:val="none" w:sz="0" w:space="0" w:color="auto"/>
      </w:divBdr>
    </w:div>
    <w:div w:id="200635960">
      <w:bodyDiv w:val="1"/>
      <w:marLeft w:val="0"/>
      <w:marRight w:val="0"/>
      <w:marTop w:val="0"/>
      <w:marBottom w:val="0"/>
      <w:divBdr>
        <w:top w:val="none" w:sz="0" w:space="0" w:color="auto"/>
        <w:left w:val="none" w:sz="0" w:space="0" w:color="auto"/>
        <w:bottom w:val="none" w:sz="0" w:space="0" w:color="auto"/>
        <w:right w:val="none" w:sz="0" w:space="0" w:color="auto"/>
      </w:divBdr>
    </w:div>
    <w:div w:id="201328409">
      <w:bodyDiv w:val="1"/>
      <w:marLeft w:val="0"/>
      <w:marRight w:val="0"/>
      <w:marTop w:val="0"/>
      <w:marBottom w:val="0"/>
      <w:divBdr>
        <w:top w:val="none" w:sz="0" w:space="0" w:color="auto"/>
        <w:left w:val="none" w:sz="0" w:space="0" w:color="auto"/>
        <w:bottom w:val="none" w:sz="0" w:space="0" w:color="auto"/>
        <w:right w:val="none" w:sz="0" w:space="0" w:color="auto"/>
      </w:divBdr>
    </w:div>
    <w:div w:id="202521377">
      <w:bodyDiv w:val="1"/>
      <w:marLeft w:val="0"/>
      <w:marRight w:val="0"/>
      <w:marTop w:val="0"/>
      <w:marBottom w:val="0"/>
      <w:divBdr>
        <w:top w:val="none" w:sz="0" w:space="0" w:color="auto"/>
        <w:left w:val="none" w:sz="0" w:space="0" w:color="auto"/>
        <w:bottom w:val="none" w:sz="0" w:space="0" w:color="auto"/>
        <w:right w:val="none" w:sz="0" w:space="0" w:color="auto"/>
      </w:divBdr>
    </w:div>
    <w:div w:id="204103761">
      <w:bodyDiv w:val="1"/>
      <w:marLeft w:val="0"/>
      <w:marRight w:val="0"/>
      <w:marTop w:val="0"/>
      <w:marBottom w:val="0"/>
      <w:divBdr>
        <w:top w:val="none" w:sz="0" w:space="0" w:color="auto"/>
        <w:left w:val="none" w:sz="0" w:space="0" w:color="auto"/>
        <w:bottom w:val="none" w:sz="0" w:space="0" w:color="auto"/>
        <w:right w:val="none" w:sz="0" w:space="0" w:color="auto"/>
      </w:divBdr>
    </w:div>
    <w:div w:id="204564036">
      <w:bodyDiv w:val="1"/>
      <w:marLeft w:val="0"/>
      <w:marRight w:val="0"/>
      <w:marTop w:val="0"/>
      <w:marBottom w:val="0"/>
      <w:divBdr>
        <w:top w:val="none" w:sz="0" w:space="0" w:color="auto"/>
        <w:left w:val="none" w:sz="0" w:space="0" w:color="auto"/>
        <w:bottom w:val="none" w:sz="0" w:space="0" w:color="auto"/>
        <w:right w:val="none" w:sz="0" w:space="0" w:color="auto"/>
      </w:divBdr>
    </w:div>
    <w:div w:id="205072050">
      <w:bodyDiv w:val="1"/>
      <w:marLeft w:val="0"/>
      <w:marRight w:val="0"/>
      <w:marTop w:val="0"/>
      <w:marBottom w:val="0"/>
      <w:divBdr>
        <w:top w:val="none" w:sz="0" w:space="0" w:color="auto"/>
        <w:left w:val="none" w:sz="0" w:space="0" w:color="auto"/>
        <w:bottom w:val="none" w:sz="0" w:space="0" w:color="auto"/>
        <w:right w:val="none" w:sz="0" w:space="0" w:color="auto"/>
      </w:divBdr>
    </w:div>
    <w:div w:id="205799143">
      <w:bodyDiv w:val="1"/>
      <w:marLeft w:val="0"/>
      <w:marRight w:val="0"/>
      <w:marTop w:val="0"/>
      <w:marBottom w:val="0"/>
      <w:divBdr>
        <w:top w:val="none" w:sz="0" w:space="0" w:color="auto"/>
        <w:left w:val="none" w:sz="0" w:space="0" w:color="auto"/>
        <w:bottom w:val="none" w:sz="0" w:space="0" w:color="auto"/>
        <w:right w:val="none" w:sz="0" w:space="0" w:color="auto"/>
      </w:divBdr>
    </w:div>
    <w:div w:id="205921909">
      <w:bodyDiv w:val="1"/>
      <w:marLeft w:val="0"/>
      <w:marRight w:val="0"/>
      <w:marTop w:val="0"/>
      <w:marBottom w:val="0"/>
      <w:divBdr>
        <w:top w:val="none" w:sz="0" w:space="0" w:color="auto"/>
        <w:left w:val="none" w:sz="0" w:space="0" w:color="auto"/>
        <w:bottom w:val="none" w:sz="0" w:space="0" w:color="auto"/>
        <w:right w:val="none" w:sz="0" w:space="0" w:color="auto"/>
      </w:divBdr>
    </w:div>
    <w:div w:id="207844564">
      <w:bodyDiv w:val="1"/>
      <w:marLeft w:val="0"/>
      <w:marRight w:val="0"/>
      <w:marTop w:val="0"/>
      <w:marBottom w:val="0"/>
      <w:divBdr>
        <w:top w:val="none" w:sz="0" w:space="0" w:color="auto"/>
        <w:left w:val="none" w:sz="0" w:space="0" w:color="auto"/>
        <w:bottom w:val="none" w:sz="0" w:space="0" w:color="auto"/>
        <w:right w:val="none" w:sz="0" w:space="0" w:color="auto"/>
      </w:divBdr>
    </w:div>
    <w:div w:id="208692535">
      <w:bodyDiv w:val="1"/>
      <w:marLeft w:val="0"/>
      <w:marRight w:val="0"/>
      <w:marTop w:val="0"/>
      <w:marBottom w:val="0"/>
      <w:divBdr>
        <w:top w:val="none" w:sz="0" w:space="0" w:color="auto"/>
        <w:left w:val="none" w:sz="0" w:space="0" w:color="auto"/>
        <w:bottom w:val="none" w:sz="0" w:space="0" w:color="auto"/>
        <w:right w:val="none" w:sz="0" w:space="0" w:color="auto"/>
      </w:divBdr>
    </w:div>
    <w:div w:id="209149134">
      <w:bodyDiv w:val="1"/>
      <w:marLeft w:val="0"/>
      <w:marRight w:val="0"/>
      <w:marTop w:val="0"/>
      <w:marBottom w:val="0"/>
      <w:divBdr>
        <w:top w:val="none" w:sz="0" w:space="0" w:color="auto"/>
        <w:left w:val="none" w:sz="0" w:space="0" w:color="auto"/>
        <w:bottom w:val="none" w:sz="0" w:space="0" w:color="auto"/>
        <w:right w:val="none" w:sz="0" w:space="0" w:color="auto"/>
      </w:divBdr>
    </w:div>
    <w:div w:id="209154660">
      <w:bodyDiv w:val="1"/>
      <w:marLeft w:val="0"/>
      <w:marRight w:val="0"/>
      <w:marTop w:val="0"/>
      <w:marBottom w:val="0"/>
      <w:divBdr>
        <w:top w:val="none" w:sz="0" w:space="0" w:color="auto"/>
        <w:left w:val="none" w:sz="0" w:space="0" w:color="auto"/>
        <w:bottom w:val="none" w:sz="0" w:space="0" w:color="auto"/>
        <w:right w:val="none" w:sz="0" w:space="0" w:color="auto"/>
      </w:divBdr>
    </w:div>
    <w:div w:id="210001976">
      <w:bodyDiv w:val="1"/>
      <w:marLeft w:val="0"/>
      <w:marRight w:val="0"/>
      <w:marTop w:val="0"/>
      <w:marBottom w:val="0"/>
      <w:divBdr>
        <w:top w:val="none" w:sz="0" w:space="0" w:color="auto"/>
        <w:left w:val="none" w:sz="0" w:space="0" w:color="auto"/>
        <w:bottom w:val="none" w:sz="0" w:space="0" w:color="auto"/>
        <w:right w:val="none" w:sz="0" w:space="0" w:color="auto"/>
      </w:divBdr>
    </w:div>
    <w:div w:id="212665034">
      <w:bodyDiv w:val="1"/>
      <w:marLeft w:val="0"/>
      <w:marRight w:val="0"/>
      <w:marTop w:val="0"/>
      <w:marBottom w:val="0"/>
      <w:divBdr>
        <w:top w:val="none" w:sz="0" w:space="0" w:color="auto"/>
        <w:left w:val="none" w:sz="0" w:space="0" w:color="auto"/>
        <w:bottom w:val="none" w:sz="0" w:space="0" w:color="auto"/>
        <w:right w:val="none" w:sz="0" w:space="0" w:color="auto"/>
      </w:divBdr>
    </w:div>
    <w:div w:id="213126447">
      <w:bodyDiv w:val="1"/>
      <w:marLeft w:val="0"/>
      <w:marRight w:val="0"/>
      <w:marTop w:val="0"/>
      <w:marBottom w:val="0"/>
      <w:divBdr>
        <w:top w:val="none" w:sz="0" w:space="0" w:color="auto"/>
        <w:left w:val="none" w:sz="0" w:space="0" w:color="auto"/>
        <w:bottom w:val="none" w:sz="0" w:space="0" w:color="auto"/>
        <w:right w:val="none" w:sz="0" w:space="0" w:color="auto"/>
      </w:divBdr>
    </w:div>
    <w:div w:id="213196964">
      <w:bodyDiv w:val="1"/>
      <w:marLeft w:val="0"/>
      <w:marRight w:val="0"/>
      <w:marTop w:val="0"/>
      <w:marBottom w:val="0"/>
      <w:divBdr>
        <w:top w:val="none" w:sz="0" w:space="0" w:color="auto"/>
        <w:left w:val="none" w:sz="0" w:space="0" w:color="auto"/>
        <w:bottom w:val="none" w:sz="0" w:space="0" w:color="auto"/>
        <w:right w:val="none" w:sz="0" w:space="0" w:color="auto"/>
      </w:divBdr>
    </w:div>
    <w:div w:id="215824394">
      <w:bodyDiv w:val="1"/>
      <w:marLeft w:val="0"/>
      <w:marRight w:val="0"/>
      <w:marTop w:val="0"/>
      <w:marBottom w:val="0"/>
      <w:divBdr>
        <w:top w:val="none" w:sz="0" w:space="0" w:color="auto"/>
        <w:left w:val="none" w:sz="0" w:space="0" w:color="auto"/>
        <w:bottom w:val="none" w:sz="0" w:space="0" w:color="auto"/>
        <w:right w:val="none" w:sz="0" w:space="0" w:color="auto"/>
      </w:divBdr>
    </w:div>
    <w:div w:id="216938308">
      <w:bodyDiv w:val="1"/>
      <w:marLeft w:val="0"/>
      <w:marRight w:val="0"/>
      <w:marTop w:val="0"/>
      <w:marBottom w:val="0"/>
      <w:divBdr>
        <w:top w:val="none" w:sz="0" w:space="0" w:color="auto"/>
        <w:left w:val="none" w:sz="0" w:space="0" w:color="auto"/>
        <w:bottom w:val="none" w:sz="0" w:space="0" w:color="auto"/>
        <w:right w:val="none" w:sz="0" w:space="0" w:color="auto"/>
      </w:divBdr>
    </w:div>
    <w:div w:id="218324841">
      <w:bodyDiv w:val="1"/>
      <w:marLeft w:val="0"/>
      <w:marRight w:val="0"/>
      <w:marTop w:val="0"/>
      <w:marBottom w:val="0"/>
      <w:divBdr>
        <w:top w:val="none" w:sz="0" w:space="0" w:color="auto"/>
        <w:left w:val="none" w:sz="0" w:space="0" w:color="auto"/>
        <w:bottom w:val="none" w:sz="0" w:space="0" w:color="auto"/>
        <w:right w:val="none" w:sz="0" w:space="0" w:color="auto"/>
      </w:divBdr>
    </w:div>
    <w:div w:id="219098259">
      <w:bodyDiv w:val="1"/>
      <w:marLeft w:val="0"/>
      <w:marRight w:val="0"/>
      <w:marTop w:val="0"/>
      <w:marBottom w:val="0"/>
      <w:divBdr>
        <w:top w:val="none" w:sz="0" w:space="0" w:color="auto"/>
        <w:left w:val="none" w:sz="0" w:space="0" w:color="auto"/>
        <w:bottom w:val="none" w:sz="0" w:space="0" w:color="auto"/>
        <w:right w:val="none" w:sz="0" w:space="0" w:color="auto"/>
      </w:divBdr>
    </w:div>
    <w:div w:id="220872710">
      <w:bodyDiv w:val="1"/>
      <w:marLeft w:val="0"/>
      <w:marRight w:val="0"/>
      <w:marTop w:val="0"/>
      <w:marBottom w:val="0"/>
      <w:divBdr>
        <w:top w:val="none" w:sz="0" w:space="0" w:color="auto"/>
        <w:left w:val="none" w:sz="0" w:space="0" w:color="auto"/>
        <w:bottom w:val="none" w:sz="0" w:space="0" w:color="auto"/>
        <w:right w:val="none" w:sz="0" w:space="0" w:color="auto"/>
      </w:divBdr>
    </w:div>
    <w:div w:id="221406106">
      <w:bodyDiv w:val="1"/>
      <w:marLeft w:val="0"/>
      <w:marRight w:val="0"/>
      <w:marTop w:val="0"/>
      <w:marBottom w:val="0"/>
      <w:divBdr>
        <w:top w:val="none" w:sz="0" w:space="0" w:color="auto"/>
        <w:left w:val="none" w:sz="0" w:space="0" w:color="auto"/>
        <w:bottom w:val="none" w:sz="0" w:space="0" w:color="auto"/>
        <w:right w:val="none" w:sz="0" w:space="0" w:color="auto"/>
      </w:divBdr>
    </w:div>
    <w:div w:id="222178742">
      <w:bodyDiv w:val="1"/>
      <w:marLeft w:val="0"/>
      <w:marRight w:val="0"/>
      <w:marTop w:val="0"/>
      <w:marBottom w:val="0"/>
      <w:divBdr>
        <w:top w:val="none" w:sz="0" w:space="0" w:color="auto"/>
        <w:left w:val="none" w:sz="0" w:space="0" w:color="auto"/>
        <w:bottom w:val="none" w:sz="0" w:space="0" w:color="auto"/>
        <w:right w:val="none" w:sz="0" w:space="0" w:color="auto"/>
      </w:divBdr>
    </w:div>
    <w:div w:id="222496095">
      <w:bodyDiv w:val="1"/>
      <w:marLeft w:val="0"/>
      <w:marRight w:val="0"/>
      <w:marTop w:val="0"/>
      <w:marBottom w:val="0"/>
      <w:divBdr>
        <w:top w:val="none" w:sz="0" w:space="0" w:color="auto"/>
        <w:left w:val="none" w:sz="0" w:space="0" w:color="auto"/>
        <w:bottom w:val="none" w:sz="0" w:space="0" w:color="auto"/>
        <w:right w:val="none" w:sz="0" w:space="0" w:color="auto"/>
      </w:divBdr>
    </w:div>
    <w:div w:id="223222848">
      <w:bodyDiv w:val="1"/>
      <w:marLeft w:val="0"/>
      <w:marRight w:val="0"/>
      <w:marTop w:val="0"/>
      <w:marBottom w:val="0"/>
      <w:divBdr>
        <w:top w:val="none" w:sz="0" w:space="0" w:color="auto"/>
        <w:left w:val="none" w:sz="0" w:space="0" w:color="auto"/>
        <w:bottom w:val="none" w:sz="0" w:space="0" w:color="auto"/>
        <w:right w:val="none" w:sz="0" w:space="0" w:color="auto"/>
      </w:divBdr>
    </w:div>
    <w:div w:id="224536021">
      <w:bodyDiv w:val="1"/>
      <w:marLeft w:val="0"/>
      <w:marRight w:val="0"/>
      <w:marTop w:val="0"/>
      <w:marBottom w:val="0"/>
      <w:divBdr>
        <w:top w:val="none" w:sz="0" w:space="0" w:color="auto"/>
        <w:left w:val="none" w:sz="0" w:space="0" w:color="auto"/>
        <w:bottom w:val="none" w:sz="0" w:space="0" w:color="auto"/>
        <w:right w:val="none" w:sz="0" w:space="0" w:color="auto"/>
      </w:divBdr>
    </w:div>
    <w:div w:id="224797181">
      <w:bodyDiv w:val="1"/>
      <w:marLeft w:val="0"/>
      <w:marRight w:val="0"/>
      <w:marTop w:val="0"/>
      <w:marBottom w:val="0"/>
      <w:divBdr>
        <w:top w:val="none" w:sz="0" w:space="0" w:color="auto"/>
        <w:left w:val="none" w:sz="0" w:space="0" w:color="auto"/>
        <w:bottom w:val="none" w:sz="0" w:space="0" w:color="auto"/>
        <w:right w:val="none" w:sz="0" w:space="0" w:color="auto"/>
      </w:divBdr>
    </w:div>
    <w:div w:id="225721677">
      <w:bodyDiv w:val="1"/>
      <w:marLeft w:val="0"/>
      <w:marRight w:val="0"/>
      <w:marTop w:val="0"/>
      <w:marBottom w:val="0"/>
      <w:divBdr>
        <w:top w:val="none" w:sz="0" w:space="0" w:color="auto"/>
        <w:left w:val="none" w:sz="0" w:space="0" w:color="auto"/>
        <w:bottom w:val="none" w:sz="0" w:space="0" w:color="auto"/>
        <w:right w:val="none" w:sz="0" w:space="0" w:color="auto"/>
      </w:divBdr>
    </w:div>
    <w:div w:id="225722852">
      <w:bodyDiv w:val="1"/>
      <w:marLeft w:val="0"/>
      <w:marRight w:val="0"/>
      <w:marTop w:val="0"/>
      <w:marBottom w:val="0"/>
      <w:divBdr>
        <w:top w:val="none" w:sz="0" w:space="0" w:color="auto"/>
        <w:left w:val="none" w:sz="0" w:space="0" w:color="auto"/>
        <w:bottom w:val="none" w:sz="0" w:space="0" w:color="auto"/>
        <w:right w:val="none" w:sz="0" w:space="0" w:color="auto"/>
      </w:divBdr>
    </w:div>
    <w:div w:id="227418696">
      <w:bodyDiv w:val="1"/>
      <w:marLeft w:val="0"/>
      <w:marRight w:val="0"/>
      <w:marTop w:val="0"/>
      <w:marBottom w:val="0"/>
      <w:divBdr>
        <w:top w:val="none" w:sz="0" w:space="0" w:color="auto"/>
        <w:left w:val="none" w:sz="0" w:space="0" w:color="auto"/>
        <w:bottom w:val="none" w:sz="0" w:space="0" w:color="auto"/>
        <w:right w:val="none" w:sz="0" w:space="0" w:color="auto"/>
      </w:divBdr>
    </w:div>
    <w:div w:id="228196551">
      <w:bodyDiv w:val="1"/>
      <w:marLeft w:val="0"/>
      <w:marRight w:val="0"/>
      <w:marTop w:val="0"/>
      <w:marBottom w:val="0"/>
      <w:divBdr>
        <w:top w:val="none" w:sz="0" w:space="0" w:color="auto"/>
        <w:left w:val="none" w:sz="0" w:space="0" w:color="auto"/>
        <w:bottom w:val="none" w:sz="0" w:space="0" w:color="auto"/>
        <w:right w:val="none" w:sz="0" w:space="0" w:color="auto"/>
      </w:divBdr>
    </w:div>
    <w:div w:id="228198802">
      <w:bodyDiv w:val="1"/>
      <w:marLeft w:val="0"/>
      <w:marRight w:val="0"/>
      <w:marTop w:val="0"/>
      <w:marBottom w:val="0"/>
      <w:divBdr>
        <w:top w:val="none" w:sz="0" w:space="0" w:color="auto"/>
        <w:left w:val="none" w:sz="0" w:space="0" w:color="auto"/>
        <w:bottom w:val="none" w:sz="0" w:space="0" w:color="auto"/>
        <w:right w:val="none" w:sz="0" w:space="0" w:color="auto"/>
      </w:divBdr>
    </w:div>
    <w:div w:id="228732266">
      <w:bodyDiv w:val="1"/>
      <w:marLeft w:val="0"/>
      <w:marRight w:val="0"/>
      <w:marTop w:val="0"/>
      <w:marBottom w:val="0"/>
      <w:divBdr>
        <w:top w:val="none" w:sz="0" w:space="0" w:color="auto"/>
        <w:left w:val="none" w:sz="0" w:space="0" w:color="auto"/>
        <w:bottom w:val="none" w:sz="0" w:space="0" w:color="auto"/>
        <w:right w:val="none" w:sz="0" w:space="0" w:color="auto"/>
      </w:divBdr>
    </w:div>
    <w:div w:id="230048361">
      <w:bodyDiv w:val="1"/>
      <w:marLeft w:val="0"/>
      <w:marRight w:val="0"/>
      <w:marTop w:val="0"/>
      <w:marBottom w:val="0"/>
      <w:divBdr>
        <w:top w:val="none" w:sz="0" w:space="0" w:color="auto"/>
        <w:left w:val="none" w:sz="0" w:space="0" w:color="auto"/>
        <w:bottom w:val="none" w:sz="0" w:space="0" w:color="auto"/>
        <w:right w:val="none" w:sz="0" w:space="0" w:color="auto"/>
      </w:divBdr>
    </w:div>
    <w:div w:id="230701955">
      <w:bodyDiv w:val="1"/>
      <w:marLeft w:val="0"/>
      <w:marRight w:val="0"/>
      <w:marTop w:val="0"/>
      <w:marBottom w:val="0"/>
      <w:divBdr>
        <w:top w:val="none" w:sz="0" w:space="0" w:color="auto"/>
        <w:left w:val="none" w:sz="0" w:space="0" w:color="auto"/>
        <w:bottom w:val="none" w:sz="0" w:space="0" w:color="auto"/>
        <w:right w:val="none" w:sz="0" w:space="0" w:color="auto"/>
      </w:divBdr>
    </w:div>
    <w:div w:id="230703041">
      <w:bodyDiv w:val="1"/>
      <w:marLeft w:val="0"/>
      <w:marRight w:val="0"/>
      <w:marTop w:val="0"/>
      <w:marBottom w:val="0"/>
      <w:divBdr>
        <w:top w:val="none" w:sz="0" w:space="0" w:color="auto"/>
        <w:left w:val="none" w:sz="0" w:space="0" w:color="auto"/>
        <w:bottom w:val="none" w:sz="0" w:space="0" w:color="auto"/>
        <w:right w:val="none" w:sz="0" w:space="0" w:color="auto"/>
      </w:divBdr>
    </w:div>
    <w:div w:id="230893466">
      <w:bodyDiv w:val="1"/>
      <w:marLeft w:val="0"/>
      <w:marRight w:val="0"/>
      <w:marTop w:val="0"/>
      <w:marBottom w:val="0"/>
      <w:divBdr>
        <w:top w:val="none" w:sz="0" w:space="0" w:color="auto"/>
        <w:left w:val="none" w:sz="0" w:space="0" w:color="auto"/>
        <w:bottom w:val="none" w:sz="0" w:space="0" w:color="auto"/>
        <w:right w:val="none" w:sz="0" w:space="0" w:color="auto"/>
      </w:divBdr>
    </w:div>
    <w:div w:id="231547480">
      <w:bodyDiv w:val="1"/>
      <w:marLeft w:val="0"/>
      <w:marRight w:val="0"/>
      <w:marTop w:val="0"/>
      <w:marBottom w:val="0"/>
      <w:divBdr>
        <w:top w:val="none" w:sz="0" w:space="0" w:color="auto"/>
        <w:left w:val="none" w:sz="0" w:space="0" w:color="auto"/>
        <w:bottom w:val="none" w:sz="0" w:space="0" w:color="auto"/>
        <w:right w:val="none" w:sz="0" w:space="0" w:color="auto"/>
      </w:divBdr>
    </w:div>
    <w:div w:id="232279062">
      <w:bodyDiv w:val="1"/>
      <w:marLeft w:val="0"/>
      <w:marRight w:val="0"/>
      <w:marTop w:val="0"/>
      <w:marBottom w:val="0"/>
      <w:divBdr>
        <w:top w:val="none" w:sz="0" w:space="0" w:color="auto"/>
        <w:left w:val="none" w:sz="0" w:space="0" w:color="auto"/>
        <w:bottom w:val="none" w:sz="0" w:space="0" w:color="auto"/>
        <w:right w:val="none" w:sz="0" w:space="0" w:color="auto"/>
      </w:divBdr>
    </w:div>
    <w:div w:id="235020115">
      <w:bodyDiv w:val="1"/>
      <w:marLeft w:val="0"/>
      <w:marRight w:val="0"/>
      <w:marTop w:val="0"/>
      <w:marBottom w:val="0"/>
      <w:divBdr>
        <w:top w:val="none" w:sz="0" w:space="0" w:color="auto"/>
        <w:left w:val="none" w:sz="0" w:space="0" w:color="auto"/>
        <w:bottom w:val="none" w:sz="0" w:space="0" w:color="auto"/>
        <w:right w:val="none" w:sz="0" w:space="0" w:color="auto"/>
      </w:divBdr>
    </w:div>
    <w:div w:id="235239093">
      <w:bodyDiv w:val="1"/>
      <w:marLeft w:val="0"/>
      <w:marRight w:val="0"/>
      <w:marTop w:val="0"/>
      <w:marBottom w:val="0"/>
      <w:divBdr>
        <w:top w:val="none" w:sz="0" w:space="0" w:color="auto"/>
        <w:left w:val="none" w:sz="0" w:space="0" w:color="auto"/>
        <w:bottom w:val="none" w:sz="0" w:space="0" w:color="auto"/>
        <w:right w:val="none" w:sz="0" w:space="0" w:color="auto"/>
      </w:divBdr>
    </w:div>
    <w:div w:id="235625769">
      <w:bodyDiv w:val="1"/>
      <w:marLeft w:val="0"/>
      <w:marRight w:val="0"/>
      <w:marTop w:val="0"/>
      <w:marBottom w:val="0"/>
      <w:divBdr>
        <w:top w:val="none" w:sz="0" w:space="0" w:color="auto"/>
        <w:left w:val="none" w:sz="0" w:space="0" w:color="auto"/>
        <w:bottom w:val="none" w:sz="0" w:space="0" w:color="auto"/>
        <w:right w:val="none" w:sz="0" w:space="0" w:color="auto"/>
      </w:divBdr>
    </w:div>
    <w:div w:id="235630117">
      <w:bodyDiv w:val="1"/>
      <w:marLeft w:val="0"/>
      <w:marRight w:val="0"/>
      <w:marTop w:val="0"/>
      <w:marBottom w:val="0"/>
      <w:divBdr>
        <w:top w:val="none" w:sz="0" w:space="0" w:color="auto"/>
        <w:left w:val="none" w:sz="0" w:space="0" w:color="auto"/>
        <w:bottom w:val="none" w:sz="0" w:space="0" w:color="auto"/>
        <w:right w:val="none" w:sz="0" w:space="0" w:color="auto"/>
      </w:divBdr>
    </w:div>
    <w:div w:id="236674813">
      <w:bodyDiv w:val="1"/>
      <w:marLeft w:val="0"/>
      <w:marRight w:val="0"/>
      <w:marTop w:val="0"/>
      <w:marBottom w:val="0"/>
      <w:divBdr>
        <w:top w:val="none" w:sz="0" w:space="0" w:color="auto"/>
        <w:left w:val="none" w:sz="0" w:space="0" w:color="auto"/>
        <w:bottom w:val="none" w:sz="0" w:space="0" w:color="auto"/>
        <w:right w:val="none" w:sz="0" w:space="0" w:color="auto"/>
      </w:divBdr>
    </w:div>
    <w:div w:id="237830466">
      <w:bodyDiv w:val="1"/>
      <w:marLeft w:val="0"/>
      <w:marRight w:val="0"/>
      <w:marTop w:val="0"/>
      <w:marBottom w:val="0"/>
      <w:divBdr>
        <w:top w:val="none" w:sz="0" w:space="0" w:color="auto"/>
        <w:left w:val="none" w:sz="0" w:space="0" w:color="auto"/>
        <w:bottom w:val="none" w:sz="0" w:space="0" w:color="auto"/>
        <w:right w:val="none" w:sz="0" w:space="0" w:color="auto"/>
      </w:divBdr>
    </w:div>
    <w:div w:id="237909676">
      <w:bodyDiv w:val="1"/>
      <w:marLeft w:val="0"/>
      <w:marRight w:val="0"/>
      <w:marTop w:val="0"/>
      <w:marBottom w:val="0"/>
      <w:divBdr>
        <w:top w:val="none" w:sz="0" w:space="0" w:color="auto"/>
        <w:left w:val="none" w:sz="0" w:space="0" w:color="auto"/>
        <w:bottom w:val="none" w:sz="0" w:space="0" w:color="auto"/>
        <w:right w:val="none" w:sz="0" w:space="0" w:color="auto"/>
      </w:divBdr>
    </w:div>
    <w:div w:id="238255900">
      <w:bodyDiv w:val="1"/>
      <w:marLeft w:val="0"/>
      <w:marRight w:val="0"/>
      <w:marTop w:val="0"/>
      <w:marBottom w:val="0"/>
      <w:divBdr>
        <w:top w:val="none" w:sz="0" w:space="0" w:color="auto"/>
        <w:left w:val="none" w:sz="0" w:space="0" w:color="auto"/>
        <w:bottom w:val="none" w:sz="0" w:space="0" w:color="auto"/>
        <w:right w:val="none" w:sz="0" w:space="0" w:color="auto"/>
      </w:divBdr>
    </w:div>
    <w:div w:id="238288976">
      <w:bodyDiv w:val="1"/>
      <w:marLeft w:val="0"/>
      <w:marRight w:val="0"/>
      <w:marTop w:val="0"/>
      <w:marBottom w:val="0"/>
      <w:divBdr>
        <w:top w:val="none" w:sz="0" w:space="0" w:color="auto"/>
        <w:left w:val="none" w:sz="0" w:space="0" w:color="auto"/>
        <w:bottom w:val="none" w:sz="0" w:space="0" w:color="auto"/>
        <w:right w:val="none" w:sz="0" w:space="0" w:color="auto"/>
      </w:divBdr>
    </w:div>
    <w:div w:id="239098528">
      <w:bodyDiv w:val="1"/>
      <w:marLeft w:val="0"/>
      <w:marRight w:val="0"/>
      <w:marTop w:val="0"/>
      <w:marBottom w:val="0"/>
      <w:divBdr>
        <w:top w:val="none" w:sz="0" w:space="0" w:color="auto"/>
        <w:left w:val="none" w:sz="0" w:space="0" w:color="auto"/>
        <w:bottom w:val="none" w:sz="0" w:space="0" w:color="auto"/>
        <w:right w:val="none" w:sz="0" w:space="0" w:color="auto"/>
      </w:divBdr>
    </w:div>
    <w:div w:id="239143400">
      <w:bodyDiv w:val="1"/>
      <w:marLeft w:val="0"/>
      <w:marRight w:val="0"/>
      <w:marTop w:val="0"/>
      <w:marBottom w:val="0"/>
      <w:divBdr>
        <w:top w:val="none" w:sz="0" w:space="0" w:color="auto"/>
        <w:left w:val="none" w:sz="0" w:space="0" w:color="auto"/>
        <w:bottom w:val="none" w:sz="0" w:space="0" w:color="auto"/>
        <w:right w:val="none" w:sz="0" w:space="0" w:color="auto"/>
      </w:divBdr>
    </w:div>
    <w:div w:id="239482192">
      <w:bodyDiv w:val="1"/>
      <w:marLeft w:val="0"/>
      <w:marRight w:val="0"/>
      <w:marTop w:val="0"/>
      <w:marBottom w:val="0"/>
      <w:divBdr>
        <w:top w:val="none" w:sz="0" w:space="0" w:color="auto"/>
        <w:left w:val="none" w:sz="0" w:space="0" w:color="auto"/>
        <w:bottom w:val="none" w:sz="0" w:space="0" w:color="auto"/>
        <w:right w:val="none" w:sz="0" w:space="0" w:color="auto"/>
      </w:divBdr>
    </w:div>
    <w:div w:id="240019820">
      <w:bodyDiv w:val="1"/>
      <w:marLeft w:val="0"/>
      <w:marRight w:val="0"/>
      <w:marTop w:val="0"/>
      <w:marBottom w:val="0"/>
      <w:divBdr>
        <w:top w:val="none" w:sz="0" w:space="0" w:color="auto"/>
        <w:left w:val="none" w:sz="0" w:space="0" w:color="auto"/>
        <w:bottom w:val="none" w:sz="0" w:space="0" w:color="auto"/>
        <w:right w:val="none" w:sz="0" w:space="0" w:color="auto"/>
      </w:divBdr>
    </w:div>
    <w:div w:id="241254921">
      <w:bodyDiv w:val="1"/>
      <w:marLeft w:val="0"/>
      <w:marRight w:val="0"/>
      <w:marTop w:val="0"/>
      <w:marBottom w:val="0"/>
      <w:divBdr>
        <w:top w:val="none" w:sz="0" w:space="0" w:color="auto"/>
        <w:left w:val="none" w:sz="0" w:space="0" w:color="auto"/>
        <w:bottom w:val="none" w:sz="0" w:space="0" w:color="auto"/>
        <w:right w:val="none" w:sz="0" w:space="0" w:color="auto"/>
      </w:divBdr>
    </w:div>
    <w:div w:id="242683819">
      <w:bodyDiv w:val="1"/>
      <w:marLeft w:val="0"/>
      <w:marRight w:val="0"/>
      <w:marTop w:val="0"/>
      <w:marBottom w:val="0"/>
      <w:divBdr>
        <w:top w:val="none" w:sz="0" w:space="0" w:color="auto"/>
        <w:left w:val="none" w:sz="0" w:space="0" w:color="auto"/>
        <w:bottom w:val="none" w:sz="0" w:space="0" w:color="auto"/>
        <w:right w:val="none" w:sz="0" w:space="0" w:color="auto"/>
      </w:divBdr>
    </w:div>
    <w:div w:id="242957255">
      <w:bodyDiv w:val="1"/>
      <w:marLeft w:val="0"/>
      <w:marRight w:val="0"/>
      <w:marTop w:val="0"/>
      <w:marBottom w:val="0"/>
      <w:divBdr>
        <w:top w:val="none" w:sz="0" w:space="0" w:color="auto"/>
        <w:left w:val="none" w:sz="0" w:space="0" w:color="auto"/>
        <w:bottom w:val="none" w:sz="0" w:space="0" w:color="auto"/>
        <w:right w:val="none" w:sz="0" w:space="0" w:color="auto"/>
      </w:divBdr>
    </w:div>
    <w:div w:id="243220603">
      <w:bodyDiv w:val="1"/>
      <w:marLeft w:val="0"/>
      <w:marRight w:val="0"/>
      <w:marTop w:val="0"/>
      <w:marBottom w:val="0"/>
      <w:divBdr>
        <w:top w:val="none" w:sz="0" w:space="0" w:color="auto"/>
        <w:left w:val="none" w:sz="0" w:space="0" w:color="auto"/>
        <w:bottom w:val="none" w:sz="0" w:space="0" w:color="auto"/>
        <w:right w:val="none" w:sz="0" w:space="0" w:color="auto"/>
      </w:divBdr>
    </w:div>
    <w:div w:id="243491577">
      <w:bodyDiv w:val="1"/>
      <w:marLeft w:val="0"/>
      <w:marRight w:val="0"/>
      <w:marTop w:val="0"/>
      <w:marBottom w:val="0"/>
      <w:divBdr>
        <w:top w:val="none" w:sz="0" w:space="0" w:color="auto"/>
        <w:left w:val="none" w:sz="0" w:space="0" w:color="auto"/>
        <w:bottom w:val="none" w:sz="0" w:space="0" w:color="auto"/>
        <w:right w:val="none" w:sz="0" w:space="0" w:color="auto"/>
      </w:divBdr>
    </w:div>
    <w:div w:id="243689206">
      <w:bodyDiv w:val="1"/>
      <w:marLeft w:val="0"/>
      <w:marRight w:val="0"/>
      <w:marTop w:val="0"/>
      <w:marBottom w:val="0"/>
      <w:divBdr>
        <w:top w:val="none" w:sz="0" w:space="0" w:color="auto"/>
        <w:left w:val="none" w:sz="0" w:space="0" w:color="auto"/>
        <w:bottom w:val="none" w:sz="0" w:space="0" w:color="auto"/>
        <w:right w:val="none" w:sz="0" w:space="0" w:color="auto"/>
      </w:divBdr>
    </w:div>
    <w:div w:id="243877083">
      <w:bodyDiv w:val="1"/>
      <w:marLeft w:val="0"/>
      <w:marRight w:val="0"/>
      <w:marTop w:val="0"/>
      <w:marBottom w:val="0"/>
      <w:divBdr>
        <w:top w:val="none" w:sz="0" w:space="0" w:color="auto"/>
        <w:left w:val="none" w:sz="0" w:space="0" w:color="auto"/>
        <w:bottom w:val="none" w:sz="0" w:space="0" w:color="auto"/>
        <w:right w:val="none" w:sz="0" w:space="0" w:color="auto"/>
      </w:divBdr>
    </w:div>
    <w:div w:id="243925812">
      <w:bodyDiv w:val="1"/>
      <w:marLeft w:val="0"/>
      <w:marRight w:val="0"/>
      <w:marTop w:val="0"/>
      <w:marBottom w:val="0"/>
      <w:divBdr>
        <w:top w:val="none" w:sz="0" w:space="0" w:color="auto"/>
        <w:left w:val="none" w:sz="0" w:space="0" w:color="auto"/>
        <w:bottom w:val="none" w:sz="0" w:space="0" w:color="auto"/>
        <w:right w:val="none" w:sz="0" w:space="0" w:color="auto"/>
      </w:divBdr>
    </w:div>
    <w:div w:id="243954538">
      <w:bodyDiv w:val="1"/>
      <w:marLeft w:val="0"/>
      <w:marRight w:val="0"/>
      <w:marTop w:val="0"/>
      <w:marBottom w:val="0"/>
      <w:divBdr>
        <w:top w:val="none" w:sz="0" w:space="0" w:color="auto"/>
        <w:left w:val="none" w:sz="0" w:space="0" w:color="auto"/>
        <w:bottom w:val="none" w:sz="0" w:space="0" w:color="auto"/>
        <w:right w:val="none" w:sz="0" w:space="0" w:color="auto"/>
      </w:divBdr>
    </w:div>
    <w:div w:id="244801276">
      <w:bodyDiv w:val="1"/>
      <w:marLeft w:val="0"/>
      <w:marRight w:val="0"/>
      <w:marTop w:val="0"/>
      <w:marBottom w:val="0"/>
      <w:divBdr>
        <w:top w:val="none" w:sz="0" w:space="0" w:color="auto"/>
        <w:left w:val="none" w:sz="0" w:space="0" w:color="auto"/>
        <w:bottom w:val="none" w:sz="0" w:space="0" w:color="auto"/>
        <w:right w:val="none" w:sz="0" w:space="0" w:color="auto"/>
      </w:divBdr>
    </w:div>
    <w:div w:id="246038633">
      <w:bodyDiv w:val="1"/>
      <w:marLeft w:val="0"/>
      <w:marRight w:val="0"/>
      <w:marTop w:val="0"/>
      <w:marBottom w:val="0"/>
      <w:divBdr>
        <w:top w:val="none" w:sz="0" w:space="0" w:color="auto"/>
        <w:left w:val="none" w:sz="0" w:space="0" w:color="auto"/>
        <w:bottom w:val="none" w:sz="0" w:space="0" w:color="auto"/>
        <w:right w:val="none" w:sz="0" w:space="0" w:color="auto"/>
      </w:divBdr>
    </w:div>
    <w:div w:id="249897197">
      <w:bodyDiv w:val="1"/>
      <w:marLeft w:val="0"/>
      <w:marRight w:val="0"/>
      <w:marTop w:val="0"/>
      <w:marBottom w:val="0"/>
      <w:divBdr>
        <w:top w:val="none" w:sz="0" w:space="0" w:color="auto"/>
        <w:left w:val="none" w:sz="0" w:space="0" w:color="auto"/>
        <w:bottom w:val="none" w:sz="0" w:space="0" w:color="auto"/>
        <w:right w:val="none" w:sz="0" w:space="0" w:color="auto"/>
      </w:divBdr>
    </w:div>
    <w:div w:id="249971984">
      <w:bodyDiv w:val="1"/>
      <w:marLeft w:val="0"/>
      <w:marRight w:val="0"/>
      <w:marTop w:val="0"/>
      <w:marBottom w:val="0"/>
      <w:divBdr>
        <w:top w:val="none" w:sz="0" w:space="0" w:color="auto"/>
        <w:left w:val="none" w:sz="0" w:space="0" w:color="auto"/>
        <w:bottom w:val="none" w:sz="0" w:space="0" w:color="auto"/>
        <w:right w:val="none" w:sz="0" w:space="0" w:color="auto"/>
      </w:divBdr>
    </w:div>
    <w:div w:id="251669992">
      <w:bodyDiv w:val="1"/>
      <w:marLeft w:val="0"/>
      <w:marRight w:val="0"/>
      <w:marTop w:val="0"/>
      <w:marBottom w:val="0"/>
      <w:divBdr>
        <w:top w:val="none" w:sz="0" w:space="0" w:color="auto"/>
        <w:left w:val="none" w:sz="0" w:space="0" w:color="auto"/>
        <w:bottom w:val="none" w:sz="0" w:space="0" w:color="auto"/>
        <w:right w:val="none" w:sz="0" w:space="0" w:color="auto"/>
      </w:divBdr>
    </w:div>
    <w:div w:id="251670434">
      <w:bodyDiv w:val="1"/>
      <w:marLeft w:val="0"/>
      <w:marRight w:val="0"/>
      <w:marTop w:val="0"/>
      <w:marBottom w:val="0"/>
      <w:divBdr>
        <w:top w:val="none" w:sz="0" w:space="0" w:color="auto"/>
        <w:left w:val="none" w:sz="0" w:space="0" w:color="auto"/>
        <w:bottom w:val="none" w:sz="0" w:space="0" w:color="auto"/>
        <w:right w:val="none" w:sz="0" w:space="0" w:color="auto"/>
      </w:divBdr>
    </w:div>
    <w:div w:id="252784514">
      <w:bodyDiv w:val="1"/>
      <w:marLeft w:val="0"/>
      <w:marRight w:val="0"/>
      <w:marTop w:val="0"/>
      <w:marBottom w:val="0"/>
      <w:divBdr>
        <w:top w:val="none" w:sz="0" w:space="0" w:color="auto"/>
        <w:left w:val="none" w:sz="0" w:space="0" w:color="auto"/>
        <w:bottom w:val="none" w:sz="0" w:space="0" w:color="auto"/>
        <w:right w:val="none" w:sz="0" w:space="0" w:color="auto"/>
      </w:divBdr>
    </w:div>
    <w:div w:id="253512098">
      <w:bodyDiv w:val="1"/>
      <w:marLeft w:val="0"/>
      <w:marRight w:val="0"/>
      <w:marTop w:val="0"/>
      <w:marBottom w:val="0"/>
      <w:divBdr>
        <w:top w:val="none" w:sz="0" w:space="0" w:color="auto"/>
        <w:left w:val="none" w:sz="0" w:space="0" w:color="auto"/>
        <w:bottom w:val="none" w:sz="0" w:space="0" w:color="auto"/>
        <w:right w:val="none" w:sz="0" w:space="0" w:color="auto"/>
      </w:divBdr>
    </w:div>
    <w:div w:id="253897833">
      <w:bodyDiv w:val="1"/>
      <w:marLeft w:val="0"/>
      <w:marRight w:val="0"/>
      <w:marTop w:val="0"/>
      <w:marBottom w:val="0"/>
      <w:divBdr>
        <w:top w:val="none" w:sz="0" w:space="0" w:color="auto"/>
        <w:left w:val="none" w:sz="0" w:space="0" w:color="auto"/>
        <w:bottom w:val="none" w:sz="0" w:space="0" w:color="auto"/>
        <w:right w:val="none" w:sz="0" w:space="0" w:color="auto"/>
      </w:divBdr>
    </w:div>
    <w:div w:id="255217026">
      <w:bodyDiv w:val="1"/>
      <w:marLeft w:val="0"/>
      <w:marRight w:val="0"/>
      <w:marTop w:val="0"/>
      <w:marBottom w:val="0"/>
      <w:divBdr>
        <w:top w:val="none" w:sz="0" w:space="0" w:color="auto"/>
        <w:left w:val="none" w:sz="0" w:space="0" w:color="auto"/>
        <w:bottom w:val="none" w:sz="0" w:space="0" w:color="auto"/>
        <w:right w:val="none" w:sz="0" w:space="0" w:color="auto"/>
      </w:divBdr>
    </w:div>
    <w:div w:id="255334155">
      <w:bodyDiv w:val="1"/>
      <w:marLeft w:val="0"/>
      <w:marRight w:val="0"/>
      <w:marTop w:val="0"/>
      <w:marBottom w:val="0"/>
      <w:divBdr>
        <w:top w:val="none" w:sz="0" w:space="0" w:color="auto"/>
        <w:left w:val="none" w:sz="0" w:space="0" w:color="auto"/>
        <w:bottom w:val="none" w:sz="0" w:space="0" w:color="auto"/>
        <w:right w:val="none" w:sz="0" w:space="0" w:color="auto"/>
      </w:divBdr>
    </w:div>
    <w:div w:id="255406513">
      <w:bodyDiv w:val="1"/>
      <w:marLeft w:val="0"/>
      <w:marRight w:val="0"/>
      <w:marTop w:val="0"/>
      <w:marBottom w:val="0"/>
      <w:divBdr>
        <w:top w:val="none" w:sz="0" w:space="0" w:color="auto"/>
        <w:left w:val="none" w:sz="0" w:space="0" w:color="auto"/>
        <w:bottom w:val="none" w:sz="0" w:space="0" w:color="auto"/>
        <w:right w:val="none" w:sz="0" w:space="0" w:color="auto"/>
      </w:divBdr>
    </w:div>
    <w:div w:id="255597980">
      <w:bodyDiv w:val="1"/>
      <w:marLeft w:val="0"/>
      <w:marRight w:val="0"/>
      <w:marTop w:val="0"/>
      <w:marBottom w:val="0"/>
      <w:divBdr>
        <w:top w:val="none" w:sz="0" w:space="0" w:color="auto"/>
        <w:left w:val="none" w:sz="0" w:space="0" w:color="auto"/>
        <w:bottom w:val="none" w:sz="0" w:space="0" w:color="auto"/>
        <w:right w:val="none" w:sz="0" w:space="0" w:color="auto"/>
      </w:divBdr>
    </w:div>
    <w:div w:id="255794751">
      <w:bodyDiv w:val="1"/>
      <w:marLeft w:val="0"/>
      <w:marRight w:val="0"/>
      <w:marTop w:val="0"/>
      <w:marBottom w:val="0"/>
      <w:divBdr>
        <w:top w:val="none" w:sz="0" w:space="0" w:color="auto"/>
        <w:left w:val="none" w:sz="0" w:space="0" w:color="auto"/>
        <w:bottom w:val="none" w:sz="0" w:space="0" w:color="auto"/>
        <w:right w:val="none" w:sz="0" w:space="0" w:color="auto"/>
      </w:divBdr>
    </w:div>
    <w:div w:id="256138606">
      <w:bodyDiv w:val="1"/>
      <w:marLeft w:val="0"/>
      <w:marRight w:val="0"/>
      <w:marTop w:val="0"/>
      <w:marBottom w:val="0"/>
      <w:divBdr>
        <w:top w:val="none" w:sz="0" w:space="0" w:color="auto"/>
        <w:left w:val="none" w:sz="0" w:space="0" w:color="auto"/>
        <w:bottom w:val="none" w:sz="0" w:space="0" w:color="auto"/>
        <w:right w:val="none" w:sz="0" w:space="0" w:color="auto"/>
      </w:divBdr>
    </w:div>
    <w:div w:id="256598932">
      <w:bodyDiv w:val="1"/>
      <w:marLeft w:val="0"/>
      <w:marRight w:val="0"/>
      <w:marTop w:val="0"/>
      <w:marBottom w:val="0"/>
      <w:divBdr>
        <w:top w:val="none" w:sz="0" w:space="0" w:color="auto"/>
        <w:left w:val="none" w:sz="0" w:space="0" w:color="auto"/>
        <w:bottom w:val="none" w:sz="0" w:space="0" w:color="auto"/>
        <w:right w:val="none" w:sz="0" w:space="0" w:color="auto"/>
      </w:divBdr>
    </w:div>
    <w:div w:id="257523347">
      <w:bodyDiv w:val="1"/>
      <w:marLeft w:val="0"/>
      <w:marRight w:val="0"/>
      <w:marTop w:val="0"/>
      <w:marBottom w:val="0"/>
      <w:divBdr>
        <w:top w:val="none" w:sz="0" w:space="0" w:color="auto"/>
        <w:left w:val="none" w:sz="0" w:space="0" w:color="auto"/>
        <w:bottom w:val="none" w:sz="0" w:space="0" w:color="auto"/>
        <w:right w:val="none" w:sz="0" w:space="0" w:color="auto"/>
      </w:divBdr>
    </w:div>
    <w:div w:id="258175493">
      <w:bodyDiv w:val="1"/>
      <w:marLeft w:val="0"/>
      <w:marRight w:val="0"/>
      <w:marTop w:val="0"/>
      <w:marBottom w:val="0"/>
      <w:divBdr>
        <w:top w:val="none" w:sz="0" w:space="0" w:color="auto"/>
        <w:left w:val="none" w:sz="0" w:space="0" w:color="auto"/>
        <w:bottom w:val="none" w:sz="0" w:space="0" w:color="auto"/>
        <w:right w:val="none" w:sz="0" w:space="0" w:color="auto"/>
      </w:divBdr>
    </w:div>
    <w:div w:id="258178372">
      <w:bodyDiv w:val="1"/>
      <w:marLeft w:val="0"/>
      <w:marRight w:val="0"/>
      <w:marTop w:val="0"/>
      <w:marBottom w:val="0"/>
      <w:divBdr>
        <w:top w:val="none" w:sz="0" w:space="0" w:color="auto"/>
        <w:left w:val="none" w:sz="0" w:space="0" w:color="auto"/>
        <w:bottom w:val="none" w:sz="0" w:space="0" w:color="auto"/>
        <w:right w:val="none" w:sz="0" w:space="0" w:color="auto"/>
      </w:divBdr>
    </w:div>
    <w:div w:id="260183083">
      <w:bodyDiv w:val="1"/>
      <w:marLeft w:val="0"/>
      <w:marRight w:val="0"/>
      <w:marTop w:val="0"/>
      <w:marBottom w:val="0"/>
      <w:divBdr>
        <w:top w:val="none" w:sz="0" w:space="0" w:color="auto"/>
        <w:left w:val="none" w:sz="0" w:space="0" w:color="auto"/>
        <w:bottom w:val="none" w:sz="0" w:space="0" w:color="auto"/>
        <w:right w:val="none" w:sz="0" w:space="0" w:color="auto"/>
      </w:divBdr>
    </w:div>
    <w:div w:id="260381316">
      <w:bodyDiv w:val="1"/>
      <w:marLeft w:val="0"/>
      <w:marRight w:val="0"/>
      <w:marTop w:val="0"/>
      <w:marBottom w:val="0"/>
      <w:divBdr>
        <w:top w:val="none" w:sz="0" w:space="0" w:color="auto"/>
        <w:left w:val="none" w:sz="0" w:space="0" w:color="auto"/>
        <w:bottom w:val="none" w:sz="0" w:space="0" w:color="auto"/>
        <w:right w:val="none" w:sz="0" w:space="0" w:color="auto"/>
      </w:divBdr>
    </w:div>
    <w:div w:id="263657946">
      <w:bodyDiv w:val="1"/>
      <w:marLeft w:val="0"/>
      <w:marRight w:val="0"/>
      <w:marTop w:val="0"/>
      <w:marBottom w:val="0"/>
      <w:divBdr>
        <w:top w:val="none" w:sz="0" w:space="0" w:color="auto"/>
        <w:left w:val="none" w:sz="0" w:space="0" w:color="auto"/>
        <w:bottom w:val="none" w:sz="0" w:space="0" w:color="auto"/>
        <w:right w:val="none" w:sz="0" w:space="0" w:color="auto"/>
      </w:divBdr>
    </w:div>
    <w:div w:id="264115440">
      <w:bodyDiv w:val="1"/>
      <w:marLeft w:val="0"/>
      <w:marRight w:val="0"/>
      <w:marTop w:val="0"/>
      <w:marBottom w:val="0"/>
      <w:divBdr>
        <w:top w:val="none" w:sz="0" w:space="0" w:color="auto"/>
        <w:left w:val="none" w:sz="0" w:space="0" w:color="auto"/>
        <w:bottom w:val="none" w:sz="0" w:space="0" w:color="auto"/>
        <w:right w:val="none" w:sz="0" w:space="0" w:color="auto"/>
      </w:divBdr>
    </w:div>
    <w:div w:id="264465768">
      <w:bodyDiv w:val="1"/>
      <w:marLeft w:val="0"/>
      <w:marRight w:val="0"/>
      <w:marTop w:val="0"/>
      <w:marBottom w:val="0"/>
      <w:divBdr>
        <w:top w:val="none" w:sz="0" w:space="0" w:color="auto"/>
        <w:left w:val="none" w:sz="0" w:space="0" w:color="auto"/>
        <w:bottom w:val="none" w:sz="0" w:space="0" w:color="auto"/>
        <w:right w:val="none" w:sz="0" w:space="0" w:color="auto"/>
      </w:divBdr>
    </w:div>
    <w:div w:id="265191034">
      <w:bodyDiv w:val="1"/>
      <w:marLeft w:val="0"/>
      <w:marRight w:val="0"/>
      <w:marTop w:val="0"/>
      <w:marBottom w:val="0"/>
      <w:divBdr>
        <w:top w:val="none" w:sz="0" w:space="0" w:color="auto"/>
        <w:left w:val="none" w:sz="0" w:space="0" w:color="auto"/>
        <w:bottom w:val="none" w:sz="0" w:space="0" w:color="auto"/>
        <w:right w:val="none" w:sz="0" w:space="0" w:color="auto"/>
      </w:divBdr>
    </w:div>
    <w:div w:id="265384843">
      <w:bodyDiv w:val="1"/>
      <w:marLeft w:val="0"/>
      <w:marRight w:val="0"/>
      <w:marTop w:val="0"/>
      <w:marBottom w:val="0"/>
      <w:divBdr>
        <w:top w:val="none" w:sz="0" w:space="0" w:color="auto"/>
        <w:left w:val="none" w:sz="0" w:space="0" w:color="auto"/>
        <w:bottom w:val="none" w:sz="0" w:space="0" w:color="auto"/>
        <w:right w:val="none" w:sz="0" w:space="0" w:color="auto"/>
      </w:divBdr>
    </w:div>
    <w:div w:id="265621955">
      <w:bodyDiv w:val="1"/>
      <w:marLeft w:val="0"/>
      <w:marRight w:val="0"/>
      <w:marTop w:val="0"/>
      <w:marBottom w:val="0"/>
      <w:divBdr>
        <w:top w:val="none" w:sz="0" w:space="0" w:color="auto"/>
        <w:left w:val="none" w:sz="0" w:space="0" w:color="auto"/>
        <w:bottom w:val="none" w:sz="0" w:space="0" w:color="auto"/>
        <w:right w:val="none" w:sz="0" w:space="0" w:color="auto"/>
      </w:divBdr>
    </w:div>
    <w:div w:id="266161542">
      <w:bodyDiv w:val="1"/>
      <w:marLeft w:val="0"/>
      <w:marRight w:val="0"/>
      <w:marTop w:val="0"/>
      <w:marBottom w:val="0"/>
      <w:divBdr>
        <w:top w:val="none" w:sz="0" w:space="0" w:color="auto"/>
        <w:left w:val="none" w:sz="0" w:space="0" w:color="auto"/>
        <w:bottom w:val="none" w:sz="0" w:space="0" w:color="auto"/>
        <w:right w:val="none" w:sz="0" w:space="0" w:color="auto"/>
      </w:divBdr>
    </w:div>
    <w:div w:id="266351269">
      <w:bodyDiv w:val="1"/>
      <w:marLeft w:val="0"/>
      <w:marRight w:val="0"/>
      <w:marTop w:val="0"/>
      <w:marBottom w:val="0"/>
      <w:divBdr>
        <w:top w:val="none" w:sz="0" w:space="0" w:color="auto"/>
        <w:left w:val="none" w:sz="0" w:space="0" w:color="auto"/>
        <w:bottom w:val="none" w:sz="0" w:space="0" w:color="auto"/>
        <w:right w:val="none" w:sz="0" w:space="0" w:color="auto"/>
      </w:divBdr>
    </w:div>
    <w:div w:id="267393580">
      <w:bodyDiv w:val="1"/>
      <w:marLeft w:val="0"/>
      <w:marRight w:val="0"/>
      <w:marTop w:val="0"/>
      <w:marBottom w:val="0"/>
      <w:divBdr>
        <w:top w:val="none" w:sz="0" w:space="0" w:color="auto"/>
        <w:left w:val="none" w:sz="0" w:space="0" w:color="auto"/>
        <w:bottom w:val="none" w:sz="0" w:space="0" w:color="auto"/>
        <w:right w:val="none" w:sz="0" w:space="0" w:color="auto"/>
      </w:divBdr>
    </w:div>
    <w:div w:id="268508665">
      <w:bodyDiv w:val="1"/>
      <w:marLeft w:val="0"/>
      <w:marRight w:val="0"/>
      <w:marTop w:val="0"/>
      <w:marBottom w:val="0"/>
      <w:divBdr>
        <w:top w:val="none" w:sz="0" w:space="0" w:color="auto"/>
        <w:left w:val="none" w:sz="0" w:space="0" w:color="auto"/>
        <w:bottom w:val="none" w:sz="0" w:space="0" w:color="auto"/>
        <w:right w:val="none" w:sz="0" w:space="0" w:color="auto"/>
      </w:divBdr>
    </w:div>
    <w:div w:id="268514857">
      <w:bodyDiv w:val="1"/>
      <w:marLeft w:val="0"/>
      <w:marRight w:val="0"/>
      <w:marTop w:val="0"/>
      <w:marBottom w:val="0"/>
      <w:divBdr>
        <w:top w:val="none" w:sz="0" w:space="0" w:color="auto"/>
        <w:left w:val="none" w:sz="0" w:space="0" w:color="auto"/>
        <w:bottom w:val="none" w:sz="0" w:space="0" w:color="auto"/>
        <w:right w:val="none" w:sz="0" w:space="0" w:color="auto"/>
      </w:divBdr>
    </w:div>
    <w:div w:id="269169925">
      <w:bodyDiv w:val="1"/>
      <w:marLeft w:val="0"/>
      <w:marRight w:val="0"/>
      <w:marTop w:val="0"/>
      <w:marBottom w:val="0"/>
      <w:divBdr>
        <w:top w:val="none" w:sz="0" w:space="0" w:color="auto"/>
        <w:left w:val="none" w:sz="0" w:space="0" w:color="auto"/>
        <w:bottom w:val="none" w:sz="0" w:space="0" w:color="auto"/>
        <w:right w:val="none" w:sz="0" w:space="0" w:color="auto"/>
      </w:divBdr>
    </w:div>
    <w:div w:id="270285889">
      <w:bodyDiv w:val="1"/>
      <w:marLeft w:val="0"/>
      <w:marRight w:val="0"/>
      <w:marTop w:val="0"/>
      <w:marBottom w:val="0"/>
      <w:divBdr>
        <w:top w:val="none" w:sz="0" w:space="0" w:color="auto"/>
        <w:left w:val="none" w:sz="0" w:space="0" w:color="auto"/>
        <w:bottom w:val="none" w:sz="0" w:space="0" w:color="auto"/>
        <w:right w:val="none" w:sz="0" w:space="0" w:color="auto"/>
      </w:divBdr>
    </w:div>
    <w:div w:id="271132294">
      <w:bodyDiv w:val="1"/>
      <w:marLeft w:val="0"/>
      <w:marRight w:val="0"/>
      <w:marTop w:val="0"/>
      <w:marBottom w:val="0"/>
      <w:divBdr>
        <w:top w:val="none" w:sz="0" w:space="0" w:color="auto"/>
        <w:left w:val="none" w:sz="0" w:space="0" w:color="auto"/>
        <w:bottom w:val="none" w:sz="0" w:space="0" w:color="auto"/>
        <w:right w:val="none" w:sz="0" w:space="0" w:color="auto"/>
      </w:divBdr>
    </w:div>
    <w:div w:id="272057110">
      <w:bodyDiv w:val="1"/>
      <w:marLeft w:val="0"/>
      <w:marRight w:val="0"/>
      <w:marTop w:val="0"/>
      <w:marBottom w:val="0"/>
      <w:divBdr>
        <w:top w:val="none" w:sz="0" w:space="0" w:color="auto"/>
        <w:left w:val="none" w:sz="0" w:space="0" w:color="auto"/>
        <w:bottom w:val="none" w:sz="0" w:space="0" w:color="auto"/>
        <w:right w:val="none" w:sz="0" w:space="0" w:color="auto"/>
      </w:divBdr>
    </w:div>
    <w:div w:id="272594708">
      <w:bodyDiv w:val="1"/>
      <w:marLeft w:val="0"/>
      <w:marRight w:val="0"/>
      <w:marTop w:val="0"/>
      <w:marBottom w:val="0"/>
      <w:divBdr>
        <w:top w:val="none" w:sz="0" w:space="0" w:color="auto"/>
        <w:left w:val="none" w:sz="0" w:space="0" w:color="auto"/>
        <w:bottom w:val="none" w:sz="0" w:space="0" w:color="auto"/>
        <w:right w:val="none" w:sz="0" w:space="0" w:color="auto"/>
      </w:divBdr>
    </w:div>
    <w:div w:id="272904218">
      <w:bodyDiv w:val="1"/>
      <w:marLeft w:val="0"/>
      <w:marRight w:val="0"/>
      <w:marTop w:val="0"/>
      <w:marBottom w:val="0"/>
      <w:divBdr>
        <w:top w:val="none" w:sz="0" w:space="0" w:color="auto"/>
        <w:left w:val="none" w:sz="0" w:space="0" w:color="auto"/>
        <w:bottom w:val="none" w:sz="0" w:space="0" w:color="auto"/>
        <w:right w:val="none" w:sz="0" w:space="0" w:color="auto"/>
      </w:divBdr>
    </w:div>
    <w:div w:id="272977539">
      <w:bodyDiv w:val="1"/>
      <w:marLeft w:val="0"/>
      <w:marRight w:val="0"/>
      <w:marTop w:val="0"/>
      <w:marBottom w:val="0"/>
      <w:divBdr>
        <w:top w:val="none" w:sz="0" w:space="0" w:color="auto"/>
        <w:left w:val="none" w:sz="0" w:space="0" w:color="auto"/>
        <w:bottom w:val="none" w:sz="0" w:space="0" w:color="auto"/>
        <w:right w:val="none" w:sz="0" w:space="0" w:color="auto"/>
      </w:divBdr>
    </w:div>
    <w:div w:id="272981530">
      <w:bodyDiv w:val="1"/>
      <w:marLeft w:val="0"/>
      <w:marRight w:val="0"/>
      <w:marTop w:val="0"/>
      <w:marBottom w:val="0"/>
      <w:divBdr>
        <w:top w:val="none" w:sz="0" w:space="0" w:color="auto"/>
        <w:left w:val="none" w:sz="0" w:space="0" w:color="auto"/>
        <w:bottom w:val="none" w:sz="0" w:space="0" w:color="auto"/>
        <w:right w:val="none" w:sz="0" w:space="0" w:color="auto"/>
      </w:divBdr>
    </w:div>
    <w:div w:id="274216664">
      <w:bodyDiv w:val="1"/>
      <w:marLeft w:val="0"/>
      <w:marRight w:val="0"/>
      <w:marTop w:val="0"/>
      <w:marBottom w:val="0"/>
      <w:divBdr>
        <w:top w:val="none" w:sz="0" w:space="0" w:color="auto"/>
        <w:left w:val="none" w:sz="0" w:space="0" w:color="auto"/>
        <w:bottom w:val="none" w:sz="0" w:space="0" w:color="auto"/>
        <w:right w:val="none" w:sz="0" w:space="0" w:color="auto"/>
      </w:divBdr>
    </w:div>
    <w:div w:id="274796049">
      <w:bodyDiv w:val="1"/>
      <w:marLeft w:val="0"/>
      <w:marRight w:val="0"/>
      <w:marTop w:val="0"/>
      <w:marBottom w:val="0"/>
      <w:divBdr>
        <w:top w:val="none" w:sz="0" w:space="0" w:color="auto"/>
        <w:left w:val="none" w:sz="0" w:space="0" w:color="auto"/>
        <w:bottom w:val="none" w:sz="0" w:space="0" w:color="auto"/>
        <w:right w:val="none" w:sz="0" w:space="0" w:color="auto"/>
      </w:divBdr>
    </w:div>
    <w:div w:id="274943790">
      <w:bodyDiv w:val="1"/>
      <w:marLeft w:val="0"/>
      <w:marRight w:val="0"/>
      <w:marTop w:val="0"/>
      <w:marBottom w:val="0"/>
      <w:divBdr>
        <w:top w:val="none" w:sz="0" w:space="0" w:color="auto"/>
        <w:left w:val="none" w:sz="0" w:space="0" w:color="auto"/>
        <w:bottom w:val="none" w:sz="0" w:space="0" w:color="auto"/>
        <w:right w:val="none" w:sz="0" w:space="0" w:color="auto"/>
      </w:divBdr>
    </w:div>
    <w:div w:id="275212319">
      <w:bodyDiv w:val="1"/>
      <w:marLeft w:val="0"/>
      <w:marRight w:val="0"/>
      <w:marTop w:val="0"/>
      <w:marBottom w:val="0"/>
      <w:divBdr>
        <w:top w:val="none" w:sz="0" w:space="0" w:color="auto"/>
        <w:left w:val="none" w:sz="0" w:space="0" w:color="auto"/>
        <w:bottom w:val="none" w:sz="0" w:space="0" w:color="auto"/>
        <w:right w:val="none" w:sz="0" w:space="0" w:color="auto"/>
      </w:divBdr>
    </w:div>
    <w:div w:id="275450356">
      <w:bodyDiv w:val="1"/>
      <w:marLeft w:val="0"/>
      <w:marRight w:val="0"/>
      <w:marTop w:val="0"/>
      <w:marBottom w:val="0"/>
      <w:divBdr>
        <w:top w:val="none" w:sz="0" w:space="0" w:color="auto"/>
        <w:left w:val="none" w:sz="0" w:space="0" w:color="auto"/>
        <w:bottom w:val="none" w:sz="0" w:space="0" w:color="auto"/>
        <w:right w:val="none" w:sz="0" w:space="0" w:color="auto"/>
      </w:divBdr>
    </w:div>
    <w:div w:id="275983561">
      <w:bodyDiv w:val="1"/>
      <w:marLeft w:val="0"/>
      <w:marRight w:val="0"/>
      <w:marTop w:val="0"/>
      <w:marBottom w:val="0"/>
      <w:divBdr>
        <w:top w:val="none" w:sz="0" w:space="0" w:color="auto"/>
        <w:left w:val="none" w:sz="0" w:space="0" w:color="auto"/>
        <w:bottom w:val="none" w:sz="0" w:space="0" w:color="auto"/>
        <w:right w:val="none" w:sz="0" w:space="0" w:color="auto"/>
      </w:divBdr>
    </w:div>
    <w:div w:id="278731946">
      <w:bodyDiv w:val="1"/>
      <w:marLeft w:val="0"/>
      <w:marRight w:val="0"/>
      <w:marTop w:val="0"/>
      <w:marBottom w:val="0"/>
      <w:divBdr>
        <w:top w:val="none" w:sz="0" w:space="0" w:color="auto"/>
        <w:left w:val="none" w:sz="0" w:space="0" w:color="auto"/>
        <w:bottom w:val="none" w:sz="0" w:space="0" w:color="auto"/>
        <w:right w:val="none" w:sz="0" w:space="0" w:color="auto"/>
      </w:divBdr>
    </w:div>
    <w:div w:id="279655930">
      <w:bodyDiv w:val="1"/>
      <w:marLeft w:val="0"/>
      <w:marRight w:val="0"/>
      <w:marTop w:val="0"/>
      <w:marBottom w:val="0"/>
      <w:divBdr>
        <w:top w:val="none" w:sz="0" w:space="0" w:color="auto"/>
        <w:left w:val="none" w:sz="0" w:space="0" w:color="auto"/>
        <w:bottom w:val="none" w:sz="0" w:space="0" w:color="auto"/>
        <w:right w:val="none" w:sz="0" w:space="0" w:color="auto"/>
      </w:divBdr>
    </w:div>
    <w:div w:id="280304373">
      <w:bodyDiv w:val="1"/>
      <w:marLeft w:val="0"/>
      <w:marRight w:val="0"/>
      <w:marTop w:val="0"/>
      <w:marBottom w:val="0"/>
      <w:divBdr>
        <w:top w:val="none" w:sz="0" w:space="0" w:color="auto"/>
        <w:left w:val="none" w:sz="0" w:space="0" w:color="auto"/>
        <w:bottom w:val="none" w:sz="0" w:space="0" w:color="auto"/>
        <w:right w:val="none" w:sz="0" w:space="0" w:color="auto"/>
      </w:divBdr>
    </w:div>
    <w:div w:id="280429206">
      <w:bodyDiv w:val="1"/>
      <w:marLeft w:val="0"/>
      <w:marRight w:val="0"/>
      <w:marTop w:val="0"/>
      <w:marBottom w:val="0"/>
      <w:divBdr>
        <w:top w:val="none" w:sz="0" w:space="0" w:color="auto"/>
        <w:left w:val="none" w:sz="0" w:space="0" w:color="auto"/>
        <w:bottom w:val="none" w:sz="0" w:space="0" w:color="auto"/>
        <w:right w:val="none" w:sz="0" w:space="0" w:color="auto"/>
      </w:divBdr>
    </w:div>
    <w:div w:id="281152911">
      <w:bodyDiv w:val="1"/>
      <w:marLeft w:val="0"/>
      <w:marRight w:val="0"/>
      <w:marTop w:val="0"/>
      <w:marBottom w:val="0"/>
      <w:divBdr>
        <w:top w:val="none" w:sz="0" w:space="0" w:color="auto"/>
        <w:left w:val="none" w:sz="0" w:space="0" w:color="auto"/>
        <w:bottom w:val="none" w:sz="0" w:space="0" w:color="auto"/>
        <w:right w:val="none" w:sz="0" w:space="0" w:color="auto"/>
      </w:divBdr>
    </w:div>
    <w:div w:id="282076728">
      <w:bodyDiv w:val="1"/>
      <w:marLeft w:val="0"/>
      <w:marRight w:val="0"/>
      <w:marTop w:val="0"/>
      <w:marBottom w:val="0"/>
      <w:divBdr>
        <w:top w:val="none" w:sz="0" w:space="0" w:color="auto"/>
        <w:left w:val="none" w:sz="0" w:space="0" w:color="auto"/>
        <w:bottom w:val="none" w:sz="0" w:space="0" w:color="auto"/>
        <w:right w:val="none" w:sz="0" w:space="0" w:color="auto"/>
      </w:divBdr>
    </w:div>
    <w:div w:id="282199779">
      <w:bodyDiv w:val="1"/>
      <w:marLeft w:val="0"/>
      <w:marRight w:val="0"/>
      <w:marTop w:val="0"/>
      <w:marBottom w:val="0"/>
      <w:divBdr>
        <w:top w:val="none" w:sz="0" w:space="0" w:color="auto"/>
        <w:left w:val="none" w:sz="0" w:space="0" w:color="auto"/>
        <w:bottom w:val="none" w:sz="0" w:space="0" w:color="auto"/>
        <w:right w:val="none" w:sz="0" w:space="0" w:color="auto"/>
      </w:divBdr>
    </w:div>
    <w:div w:id="282463911">
      <w:bodyDiv w:val="1"/>
      <w:marLeft w:val="0"/>
      <w:marRight w:val="0"/>
      <w:marTop w:val="0"/>
      <w:marBottom w:val="0"/>
      <w:divBdr>
        <w:top w:val="none" w:sz="0" w:space="0" w:color="auto"/>
        <w:left w:val="none" w:sz="0" w:space="0" w:color="auto"/>
        <w:bottom w:val="none" w:sz="0" w:space="0" w:color="auto"/>
        <w:right w:val="none" w:sz="0" w:space="0" w:color="auto"/>
      </w:divBdr>
    </w:div>
    <w:div w:id="282929544">
      <w:bodyDiv w:val="1"/>
      <w:marLeft w:val="0"/>
      <w:marRight w:val="0"/>
      <w:marTop w:val="0"/>
      <w:marBottom w:val="0"/>
      <w:divBdr>
        <w:top w:val="none" w:sz="0" w:space="0" w:color="auto"/>
        <w:left w:val="none" w:sz="0" w:space="0" w:color="auto"/>
        <w:bottom w:val="none" w:sz="0" w:space="0" w:color="auto"/>
        <w:right w:val="none" w:sz="0" w:space="0" w:color="auto"/>
      </w:divBdr>
    </w:div>
    <w:div w:id="283924835">
      <w:bodyDiv w:val="1"/>
      <w:marLeft w:val="0"/>
      <w:marRight w:val="0"/>
      <w:marTop w:val="0"/>
      <w:marBottom w:val="0"/>
      <w:divBdr>
        <w:top w:val="none" w:sz="0" w:space="0" w:color="auto"/>
        <w:left w:val="none" w:sz="0" w:space="0" w:color="auto"/>
        <w:bottom w:val="none" w:sz="0" w:space="0" w:color="auto"/>
        <w:right w:val="none" w:sz="0" w:space="0" w:color="auto"/>
      </w:divBdr>
    </w:div>
    <w:div w:id="285232890">
      <w:bodyDiv w:val="1"/>
      <w:marLeft w:val="0"/>
      <w:marRight w:val="0"/>
      <w:marTop w:val="0"/>
      <w:marBottom w:val="0"/>
      <w:divBdr>
        <w:top w:val="none" w:sz="0" w:space="0" w:color="auto"/>
        <w:left w:val="none" w:sz="0" w:space="0" w:color="auto"/>
        <w:bottom w:val="none" w:sz="0" w:space="0" w:color="auto"/>
        <w:right w:val="none" w:sz="0" w:space="0" w:color="auto"/>
      </w:divBdr>
    </w:div>
    <w:div w:id="285282342">
      <w:bodyDiv w:val="1"/>
      <w:marLeft w:val="0"/>
      <w:marRight w:val="0"/>
      <w:marTop w:val="0"/>
      <w:marBottom w:val="0"/>
      <w:divBdr>
        <w:top w:val="none" w:sz="0" w:space="0" w:color="auto"/>
        <w:left w:val="none" w:sz="0" w:space="0" w:color="auto"/>
        <w:bottom w:val="none" w:sz="0" w:space="0" w:color="auto"/>
        <w:right w:val="none" w:sz="0" w:space="0" w:color="auto"/>
      </w:divBdr>
    </w:div>
    <w:div w:id="286472423">
      <w:bodyDiv w:val="1"/>
      <w:marLeft w:val="0"/>
      <w:marRight w:val="0"/>
      <w:marTop w:val="0"/>
      <w:marBottom w:val="0"/>
      <w:divBdr>
        <w:top w:val="none" w:sz="0" w:space="0" w:color="auto"/>
        <w:left w:val="none" w:sz="0" w:space="0" w:color="auto"/>
        <w:bottom w:val="none" w:sz="0" w:space="0" w:color="auto"/>
        <w:right w:val="none" w:sz="0" w:space="0" w:color="auto"/>
      </w:divBdr>
    </w:div>
    <w:div w:id="286544358">
      <w:bodyDiv w:val="1"/>
      <w:marLeft w:val="0"/>
      <w:marRight w:val="0"/>
      <w:marTop w:val="0"/>
      <w:marBottom w:val="0"/>
      <w:divBdr>
        <w:top w:val="none" w:sz="0" w:space="0" w:color="auto"/>
        <w:left w:val="none" w:sz="0" w:space="0" w:color="auto"/>
        <w:bottom w:val="none" w:sz="0" w:space="0" w:color="auto"/>
        <w:right w:val="none" w:sz="0" w:space="0" w:color="auto"/>
      </w:divBdr>
    </w:div>
    <w:div w:id="286663379">
      <w:bodyDiv w:val="1"/>
      <w:marLeft w:val="0"/>
      <w:marRight w:val="0"/>
      <w:marTop w:val="0"/>
      <w:marBottom w:val="0"/>
      <w:divBdr>
        <w:top w:val="none" w:sz="0" w:space="0" w:color="auto"/>
        <w:left w:val="none" w:sz="0" w:space="0" w:color="auto"/>
        <w:bottom w:val="none" w:sz="0" w:space="0" w:color="auto"/>
        <w:right w:val="none" w:sz="0" w:space="0" w:color="auto"/>
      </w:divBdr>
    </w:div>
    <w:div w:id="287132261">
      <w:bodyDiv w:val="1"/>
      <w:marLeft w:val="0"/>
      <w:marRight w:val="0"/>
      <w:marTop w:val="0"/>
      <w:marBottom w:val="0"/>
      <w:divBdr>
        <w:top w:val="none" w:sz="0" w:space="0" w:color="auto"/>
        <w:left w:val="none" w:sz="0" w:space="0" w:color="auto"/>
        <w:bottom w:val="none" w:sz="0" w:space="0" w:color="auto"/>
        <w:right w:val="none" w:sz="0" w:space="0" w:color="auto"/>
      </w:divBdr>
    </w:div>
    <w:div w:id="287972593">
      <w:bodyDiv w:val="1"/>
      <w:marLeft w:val="0"/>
      <w:marRight w:val="0"/>
      <w:marTop w:val="0"/>
      <w:marBottom w:val="0"/>
      <w:divBdr>
        <w:top w:val="none" w:sz="0" w:space="0" w:color="auto"/>
        <w:left w:val="none" w:sz="0" w:space="0" w:color="auto"/>
        <w:bottom w:val="none" w:sz="0" w:space="0" w:color="auto"/>
        <w:right w:val="none" w:sz="0" w:space="0" w:color="auto"/>
      </w:divBdr>
    </w:div>
    <w:div w:id="288318679">
      <w:bodyDiv w:val="1"/>
      <w:marLeft w:val="0"/>
      <w:marRight w:val="0"/>
      <w:marTop w:val="0"/>
      <w:marBottom w:val="0"/>
      <w:divBdr>
        <w:top w:val="none" w:sz="0" w:space="0" w:color="auto"/>
        <w:left w:val="none" w:sz="0" w:space="0" w:color="auto"/>
        <w:bottom w:val="none" w:sz="0" w:space="0" w:color="auto"/>
        <w:right w:val="none" w:sz="0" w:space="0" w:color="auto"/>
      </w:divBdr>
    </w:div>
    <w:div w:id="288440838">
      <w:bodyDiv w:val="1"/>
      <w:marLeft w:val="0"/>
      <w:marRight w:val="0"/>
      <w:marTop w:val="0"/>
      <w:marBottom w:val="0"/>
      <w:divBdr>
        <w:top w:val="none" w:sz="0" w:space="0" w:color="auto"/>
        <w:left w:val="none" w:sz="0" w:space="0" w:color="auto"/>
        <w:bottom w:val="none" w:sz="0" w:space="0" w:color="auto"/>
        <w:right w:val="none" w:sz="0" w:space="0" w:color="auto"/>
      </w:divBdr>
    </w:div>
    <w:div w:id="289096606">
      <w:bodyDiv w:val="1"/>
      <w:marLeft w:val="0"/>
      <w:marRight w:val="0"/>
      <w:marTop w:val="0"/>
      <w:marBottom w:val="0"/>
      <w:divBdr>
        <w:top w:val="none" w:sz="0" w:space="0" w:color="auto"/>
        <w:left w:val="none" w:sz="0" w:space="0" w:color="auto"/>
        <w:bottom w:val="none" w:sz="0" w:space="0" w:color="auto"/>
        <w:right w:val="none" w:sz="0" w:space="0" w:color="auto"/>
      </w:divBdr>
    </w:div>
    <w:div w:id="289359354">
      <w:bodyDiv w:val="1"/>
      <w:marLeft w:val="0"/>
      <w:marRight w:val="0"/>
      <w:marTop w:val="0"/>
      <w:marBottom w:val="0"/>
      <w:divBdr>
        <w:top w:val="none" w:sz="0" w:space="0" w:color="auto"/>
        <w:left w:val="none" w:sz="0" w:space="0" w:color="auto"/>
        <w:bottom w:val="none" w:sz="0" w:space="0" w:color="auto"/>
        <w:right w:val="none" w:sz="0" w:space="0" w:color="auto"/>
      </w:divBdr>
    </w:div>
    <w:div w:id="289366595">
      <w:bodyDiv w:val="1"/>
      <w:marLeft w:val="0"/>
      <w:marRight w:val="0"/>
      <w:marTop w:val="0"/>
      <w:marBottom w:val="0"/>
      <w:divBdr>
        <w:top w:val="none" w:sz="0" w:space="0" w:color="auto"/>
        <w:left w:val="none" w:sz="0" w:space="0" w:color="auto"/>
        <w:bottom w:val="none" w:sz="0" w:space="0" w:color="auto"/>
        <w:right w:val="none" w:sz="0" w:space="0" w:color="auto"/>
      </w:divBdr>
    </w:div>
    <w:div w:id="290208414">
      <w:bodyDiv w:val="1"/>
      <w:marLeft w:val="0"/>
      <w:marRight w:val="0"/>
      <w:marTop w:val="0"/>
      <w:marBottom w:val="0"/>
      <w:divBdr>
        <w:top w:val="none" w:sz="0" w:space="0" w:color="auto"/>
        <w:left w:val="none" w:sz="0" w:space="0" w:color="auto"/>
        <w:bottom w:val="none" w:sz="0" w:space="0" w:color="auto"/>
        <w:right w:val="none" w:sz="0" w:space="0" w:color="auto"/>
      </w:divBdr>
    </w:div>
    <w:div w:id="291253202">
      <w:bodyDiv w:val="1"/>
      <w:marLeft w:val="0"/>
      <w:marRight w:val="0"/>
      <w:marTop w:val="0"/>
      <w:marBottom w:val="0"/>
      <w:divBdr>
        <w:top w:val="none" w:sz="0" w:space="0" w:color="auto"/>
        <w:left w:val="none" w:sz="0" w:space="0" w:color="auto"/>
        <w:bottom w:val="none" w:sz="0" w:space="0" w:color="auto"/>
        <w:right w:val="none" w:sz="0" w:space="0" w:color="auto"/>
      </w:divBdr>
    </w:div>
    <w:div w:id="291329968">
      <w:bodyDiv w:val="1"/>
      <w:marLeft w:val="0"/>
      <w:marRight w:val="0"/>
      <w:marTop w:val="0"/>
      <w:marBottom w:val="0"/>
      <w:divBdr>
        <w:top w:val="none" w:sz="0" w:space="0" w:color="auto"/>
        <w:left w:val="none" w:sz="0" w:space="0" w:color="auto"/>
        <w:bottom w:val="none" w:sz="0" w:space="0" w:color="auto"/>
        <w:right w:val="none" w:sz="0" w:space="0" w:color="auto"/>
      </w:divBdr>
    </w:div>
    <w:div w:id="291593434">
      <w:bodyDiv w:val="1"/>
      <w:marLeft w:val="0"/>
      <w:marRight w:val="0"/>
      <w:marTop w:val="0"/>
      <w:marBottom w:val="0"/>
      <w:divBdr>
        <w:top w:val="none" w:sz="0" w:space="0" w:color="auto"/>
        <w:left w:val="none" w:sz="0" w:space="0" w:color="auto"/>
        <w:bottom w:val="none" w:sz="0" w:space="0" w:color="auto"/>
        <w:right w:val="none" w:sz="0" w:space="0" w:color="auto"/>
      </w:divBdr>
    </w:div>
    <w:div w:id="292757762">
      <w:bodyDiv w:val="1"/>
      <w:marLeft w:val="0"/>
      <w:marRight w:val="0"/>
      <w:marTop w:val="0"/>
      <w:marBottom w:val="0"/>
      <w:divBdr>
        <w:top w:val="none" w:sz="0" w:space="0" w:color="auto"/>
        <w:left w:val="none" w:sz="0" w:space="0" w:color="auto"/>
        <w:bottom w:val="none" w:sz="0" w:space="0" w:color="auto"/>
        <w:right w:val="none" w:sz="0" w:space="0" w:color="auto"/>
      </w:divBdr>
    </w:div>
    <w:div w:id="292907324">
      <w:bodyDiv w:val="1"/>
      <w:marLeft w:val="0"/>
      <w:marRight w:val="0"/>
      <w:marTop w:val="0"/>
      <w:marBottom w:val="0"/>
      <w:divBdr>
        <w:top w:val="none" w:sz="0" w:space="0" w:color="auto"/>
        <w:left w:val="none" w:sz="0" w:space="0" w:color="auto"/>
        <w:bottom w:val="none" w:sz="0" w:space="0" w:color="auto"/>
        <w:right w:val="none" w:sz="0" w:space="0" w:color="auto"/>
      </w:divBdr>
    </w:div>
    <w:div w:id="293684216">
      <w:bodyDiv w:val="1"/>
      <w:marLeft w:val="0"/>
      <w:marRight w:val="0"/>
      <w:marTop w:val="0"/>
      <w:marBottom w:val="0"/>
      <w:divBdr>
        <w:top w:val="none" w:sz="0" w:space="0" w:color="auto"/>
        <w:left w:val="none" w:sz="0" w:space="0" w:color="auto"/>
        <w:bottom w:val="none" w:sz="0" w:space="0" w:color="auto"/>
        <w:right w:val="none" w:sz="0" w:space="0" w:color="auto"/>
      </w:divBdr>
    </w:div>
    <w:div w:id="295840068">
      <w:bodyDiv w:val="1"/>
      <w:marLeft w:val="0"/>
      <w:marRight w:val="0"/>
      <w:marTop w:val="0"/>
      <w:marBottom w:val="0"/>
      <w:divBdr>
        <w:top w:val="none" w:sz="0" w:space="0" w:color="auto"/>
        <w:left w:val="none" w:sz="0" w:space="0" w:color="auto"/>
        <w:bottom w:val="none" w:sz="0" w:space="0" w:color="auto"/>
        <w:right w:val="none" w:sz="0" w:space="0" w:color="auto"/>
      </w:divBdr>
    </w:div>
    <w:div w:id="297222381">
      <w:bodyDiv w:val="1"/>
      <w:marLeft w:val="0"/>
      <w:marRight w:val="0"/>
      <w:marTop w:val="0"/>
      <w:marBottom w:val="0"/>
      <w:divBdr>
        <w:top w:val="none" w:sz="0" w:space="0" w:color="auto"/>
        <w:left w:val="none" w:sz="0" w:space="0" w:color="auto"/>
        <w:bottom w:val="none" w:sz="0" w:space="0" w:color="auto"/>
        <w:right w:val="none" w:sz="0" w:space="0" w:color="auto"/>
      </w:divBdr>
    </w:div>
    <w:div w:id="298346479">
      <w:bodyDiv w:val="1"/>
      <w:marLeft w:val="0"/>
      <w:marRight w:val="0"/>
      <w:marTop w:val="0"/>
      <w:marBottom w:val="0"/>
      <w:divBdr>
        <w:top w:val="none" w:sz="0" w:space="0" w:color="auto"/>
        <w:left w:val="none" w:sz="0" w:space="0" w:color="auto"/>
        <w:bottom w:val="none" w:sz="0" w:space="0" w:color="auto"/>
        <w:right w:val="none" w:sz="0" w:space="0" w:color="auto"/>
      </w:divBdr>
    </w:div>
    <w:div w:id="299072928">
      <w:bodyDiv w:val="1"/>
      <w:marLeft w:val="0"/>
      <w:marRight w:val="0"/>
      <w:marTop w:val="0"/>
      <w:marBottom w:val="0"/>
      <w:divBdr>
        <w:top w:val="none" w:sz="0" w:space="0" w:color="auto"/>
        <w:left w:val="none" w:sz="0" w:space="0" w:color="auto"/>
        <w:bottom w:val="none" w:sz="0" w:space="0" w:color="auto"/>
        <w:right w:val="none" w:sz="0" w:space="0" w:color="auto"/>
      </w:divBdr>
    </w:div>
    <w:div w:id="299649857">
      <w:bodyDiv w:val="1"/>
      <w:marLeft w:val="0"/>
      <w:marRight w:val="0"/>
      <w:marTop w:val="0"/>
      <w:marBottom w:val="0"/>
      <w:divBdr>
        <w:top w:val="none" w:sz="0" w:space="0" w:color="auto"/>
        <w:left w:val="none" w:sz="0" w:space="0" w:color="auto"/>
        <w:bottom w:val="none" w:sz="0" w:space="0" w:color="auto"/>
        <w:right w:val="none" w:sz="0" w:space="0" w:color="auto"/>
      </w:divBdr>
    </w:div>
    <w:div w:id="299653370">
      <w:bodyDiv w:val="1"/>
      <w:marLeft w:val="0"/>
      <w:marRight w:val="0"/>
      <w:marTop w:val="0"/>
      <w:marBottom w:val="0"/>
      <w:divBdr>
        <w:top w:val="none" w:sz="0" w:space="0" w:color="auto"/>
        <w:left w:val="none" w:sz="0" w:space="0" w:color="auto"/>
        <w:bottom w:val="none" w:sz="0" w:space="0" w:color="auto"/>
        <w:right w:val="none" w:sz="0" w:space="0" w:color="auto"/>
      </w:divBdr>
    </w:div>
    <w:div w:id="299893534">
      <w:bodyDiv w:val="1"/>
      <w:marLeft w:val="0"/>
      <w:marRight w:val="0"/>
      <w:marTop w:val="0"/>
      <w:marBottom w:val="0"/>
      <w:divBdr>
        <w:top w:val="none" w:sz="0" w:space="0" w:color="auto"/>
        <w:left w:val="none" w:sz="0" w:space="0" w:color="auto"/>
        <w:bottom w:val="none" w:sz="0" w:space="0" w:color="auto"/>
        <w:right w:val="none" w:sz="0" w:space="0" w:color="auto"/>
      </w:divBdr>
    </w:div>
    <w:div w:id="300426234">
      <w:bodyDiv w:val="1"/>
      <w:marLeft w:val="0"/>
      <w:marRight w:val="0"/>
      <w:marTop w:val="0"/>
      <w:marBottom w:val="0"/>
      <w:divBdr>
        <w:top w:val="none" w:sz="0" w:space="0" w:color="auto"/>
        <w:left w:val="none" w:sz="0" w:space="0" w:color="auto"/>
        <w:bottom w:val="none" w:sz="0" w:space="0" w:color="auto"/>
        <w:right w:val="none" w:sz="0" w:space="0" w:color="auto"/>
      </w:divBdr>
    </w:div>
    <w:div w:id="301424273">
      <w:bodyDiv w:val="1"/>
      <w:marLeft w:val="0"/>
      <w:marRight w:val="0"/>
      <w:marTop w:val="0"/>
      <w:marBottom w:val="0"/>
      <w:divBdr>
        <w:top w:val="none" w:sz="0" w:space="0" w:color="auto"/>
        <w:left w:val="none" w:sz="0" w:space="0" w:color="auto"/>
        <w:bottom w:val="none" w:sz="0" w:space="0" w:color="auto"/>
        <w:right w:val="none" w:sz="0" w:space="0" w:color="auto"/>
      </w:divBdr>
    </w:div>
    <w:div w:id="303389647">
      <w:bodyDiv w:val="1"/>
      <w:marLeft w:val="0"/>
      <w:marRight w:val="0"/>
      <w:marTop w:val="0"/>
      <w:marBottom w:val="0"/>
      <w:divBdr>
        <w:top w:val="none" w:sz="0" w:space="0" w:color="auto"/>
        <w:left w:val="none" w:sz="0" w:space="0" w:color="auto"/>
        <w:bottom w:val="none" w:sz="0" w:space="0" w:color="auto"/>
        <w:right w:val="none" w:sz="0" w:space="0" w:color="auto"/>
      </w:divBdr>
    </w:div>
    <w:div w:id="303659672">
      <w:bodyDiv w:val="1"/>
      <w:marLeft w:val="0"/>
      <w:marRight w:val="0"/>
      <w:marTop w:val="0"/>
      <w:marBottom w:val="0"/>
      <w:divBdr>
        <w:top w:val="none" w:sz="0" w:space="0" w:color="auto"/>
        <w:left w:val="none" w:sz="0" w:space="0" w:color="auto"/>
        <w:bottom w:val="none" w:sz="0" w:space="0" w:color="auto"/>
        <w:right w:val="none" w:sz="0" w:space="0" w:color="auto"/>
      </w:divBdr>
    </w:div>
    <w:div w:id="304315514">
      <w:bodyDiv w:val="1"/>
      <w:marLeft w:val="0"/>
      <w:marRight w:val="0"/>
      <w:marTop w:val="0"/>
      <w:marBottom w:val="0"/>
      <w:divBdr>
        <w:top w:val="none" w:sz="0" w:space="0" w:color="auto"/>
        <w:left w:val="none" w:sz="0" w:space="0" w:color="auto"/>
        <w:bottom w:val="none" w:sz="0" w:space="0" w:color="auto"/>
        <w:right w:val="none" w:sz="0" w:space="0" w:color="auto"/>
      </w:divBdr>
    </w:div>
    <w:div w:id="304705432">
      <w:bodyDiv w:val="1"/>
      <w:marLeft w:val="0"/>
      <w:marRight w:val="0"/>
      <w:marTop w:val="0"/>
      <w:marBottom w:val="0"/>
      <w:divBdr>
        <w:top w:val="none" w:sz="0" w:space="0" w:color="auto"/>
        <w:left w:val="none" w:sz="0" w:space="0" w:color="auto"/>
        <w:bottom w:val="none" w:sz="0" w:space="0" w:color="auto"/>
        <w:right w:val="none" w:sz="0" w:space="0" w:color="auto"/>
      </w:divBdr>
    </w:div>
    <w:div w:id="304745835">
      <w:bodyDiv w:val="1"/>
      <w:marLeft w:val="0"/>
      <w:marRight w:val="0"/>
      <w:marTop w:val="0"/>
      <w:marBottom w:val="0"/>
      <w:divBdr>
        <w:top w:val="none" w:sz="0" w:space="0" w:color="auto"/>
        <w:left w:val="none" w:sz="0" w:space="0" w:color="auto"/>
        <w:bottom w:val="none" w:sz="0" w:space="0" w:color="auto"/>
        <w:right w:val="none" w:sz="0" w:space="0" w:color="auto"/>
      </w:divBdr>
    </w:div>
    <w:div w:id="305474214">
      <w:bodyDiv w:val="1"/>
      <w:marLeft w:val="0"/>
      <w:marRight w:val="0"/>
      <w:marTop w:val="0"/>
      <w:marBottom w:val="0"/>
      <w:divBdr>
        <w:top w:val="none" w:sz="0" w:space="0" w:color="auto"/>
        <w:left w:val="none" w:sz="0" w:space="0" w:color="auto"/>
        <w:bottom w:val="none" w:sz="0" w:space="0" w:color="auto"/>
        <w:right w:val="none" w:sz="0" w:space="0" w:color="auto"/>
      </w:divBdr>
    </w:div>
    <w:div w:id="305547505">
      <w:bodyDiv w:val="1"/>
      <w:marLeft w:val="0"/>
      <w:marRight w:val="0"/>
      <w:marTop w:val="0"/>
      <w:marBottom w:val="0"/>
      <w:divBdr>
        <w:top w:val="none" w:sz="0" w:space="0" w:color="auto"/>
        <w:left w:val="none" w:sz="0" w:space="0" w:color="auto"/>
        <w:bottom w:val="none" w:sz="0" w:space="0" w:color="auto"/>
        <w:right w:val="none" w:sz="0" w:space="0" w:color="auto"/>
      </w:divBdr>
    </w:div>
    <w:div w:id="305817646">
      <w:bodyDiv w:val="1"/>
      <w:marLeft w:val="0"/>
      <w:marRight w:val="0"/>
      <w:marTop w:val="0"/>
      <w:marBottom w:val="0"/>
      <w:divBdr>
        <w:top w:val="none" w:sz="0" w:space="0" w:color="auto"/>
        <w:left w:val="none" w:sz="0" w:space="0" w:color="auto"/>
        <w:bottom w:val="none" w:sz="0" w:space="0" w:color="auto"/>
        <w:right w:val="none" w:sz="0" w:space="0" w:color="auto"/>
      </w:divBdr>
    </w:div>
    <w:div w:id="305857042">
      <w:bodyDiv w:val="1"/>
      <w:marLeft w:val="0"/>
      <w:marRight w:val="0"/>
      <w:marTop w:val="0"/>
      <w:marBottom w:val="0"/>
      <w:divBdr>
        <w:top w:val="none" w:sz="0" w:space="0" w:color="auto"/>
        <w:left w:val="none" w:sz="0" w:space="0" w:color="auto"/>
        <w:bottom w:val="none" w:sz="0" w:space="0" w:color="auto"/>
        <w:right w:val="none" w:sz="0" w:space="0" w:color="auto"/>
      </w:divBdr>
    </w:div>
    <w:div w:id="306204959">
      <w:bodyDiv w:val="1"/>
      <w:marLeft w:val="0"/>
      <w:marRight w:val="0"/>
      <w:marTop w:val="0"/>
      <w:marBottom w:val="0"/>
      <w:divBdr>
        <w:top w:val="none" w:sz="0" w:space="0" w:color="auto"/>
        <w:left w:val="none" w:sz="0" w:space="0" w:color="auto"/>
        <w:bottom w:val="none" w:sz="0" w:space="0" w:color="auto"/>
        <w:right w:val="none" w:sz="0" w:space="0" w:color="auto"/>
      </w:divBdr>
    </w:div>
    <w:div w:id="306399631">
      <w:bodyDiv w:val="1"/>
      <w:marLeft w:val="0"/>
      <w:marRight w:val="0"/>
      <w:marTop w:val="0"/>
      <w:marBottom w:val="0"/>
      <w:divBdr>
        <w:top w:val="none" w:sz="0" w:space="0" w:color="auto"/>
        <w:left w:val="none" w:sz="0" w:space="0" w:color="auto"/>
        <w:bottom w:val="none" w:sz="0" w:space="0" w:color="auto"/>
        <w:right w:val="none" w:sz="0" w:space="0" w:color="auto"/>
      </w:divBdr>
    </w:div>
    <w:div w:id="306664536">
      <w:bodyDiv w:val="1"/>
      <w:marLeft w:val="0"/>
      <w:marRight w:val="0"/>
      <w:marTop w:val="0"/>
      <w:marBottom w:val="0"/>
      <w:divBdr>
        <w:top w:val="none" w:sz="0" w:space="0" w:color="auto"/>
        <w:left w:val="none" w:sz="0" w:space="0" w:color="auto"/>
        <w:bottom w:val="none" w:sz="0" w:space="0" w:color="auto"/>
        <w:right w:val="none" w:sz="0" w:space="0" w:color="auto"/>
      </w:divBdr>
    </w:div>
    <w:div w:id="307054341">
      <w:bodyDiv w:val="1"/>
      <w:marLeft w:val="0"/>
      <w:marRight w:val="0"/>
      <w:marTop w:val="0"/>
      <w:marBottom w:val="0"/>
      <w:divBdr>
        <w:top w:val="none" w:sz="0" w:space="0" w:color="auto"/>
        <w:left w:val="none" w:sz="0" w:space="0" w:color="auto"/>
        <w:bottom w:val="none" w:sz="0" w:space="0" w:color="auto"/>
        <w:right w:val="none" w:sz="0" w:space="0" w:color="auto"/>
      </w:divBdr>
    </w:div>
    <w:div w:id="307134155">
      <w:bodyDiv w:val="1"/>
      <w:marLeft w:val="0"/>
      <w:marRight w:val="0"/>
      <w:marTop w:val="0"/>
      <w:marBottom w:val="0"/>
      <w:divBdr>
        <w:top w:val="none" w:sz="0" w:space="0" w:color="auto"/>
        <w:left w:val="none" w:sz="0" w:space="0" w:color="auto"/>
        <w:bottom w:val="none" w:sz="0" w:space="0" w:color="auto"/>
        <w:right w:val="none" w:sz="0" w:space="0" w:color="auto"/>
      </w:divBdr>
    </w:div>
    <w:div w:id="307319318">
      <w:bodyDiv w:val="1"/>
      <w:marLeft w:val="0"/>
      <w:marRight w:val="0"/>
      <w:marTop w:val="0"/>
      <w:marBottom w:val="0"/>
      <w:divBdr>
        <w:top w:val="none" w:sz="0" w:space="0" w:color="auto"/>
        <w:left w:val="none" w:sz="0" w:space="0" w:color="auto"/>
        <w:bottom w:val="none" w:sz="0" w:space="0" w:color="auto"/>
        <w:right w:val="none" w:sz="0" w:space="0" w:color="auto"/>
      </w:divBdr>
    </w:div>
    <w:div w:id="307514968">
      <w:bodyDiv w:val="1"/>
      <w:marLeft w:val="0"/>
      <w:marRight w:val="0"/>
      <w:marTop w:val="0"/>
      <w:marBottom w:val="0"/>
      <w:divBdr>
        <w:top w:val="none" w:sz="0" w:space="0" w:color="auto"/>
        <w:left w:val="none" w:sz="0" w:space="0" w:color="auto"/>
        <w:bottom w:val="none" w:sz="0" w:space="0" w:color="auto"/>
        <w:right w:val="none" w:sz="0" w:space="0" w:color="auto"/>
      </w:divBdr>
    </w:div>
    <w:div w:id="307707391">
      <w:bodyDiv w:val="1"/>
      <w:marLeft w:val="0"/>
      <w:marRight w:val="0"/>
      <w:marTop w:val="0"/>
      <w:marBottom w:val="0"/>
      <w:divBdr>
        <w:top w:val="none" w:sz="0" w:space="0" w:color="auto"/>
        <w:left w:val="none" w:sz="0" w:space="0" w:color="auto"/>
        <w:bottom w:val="none" w:sz="0" w:space="0" w:color="auto"/>
        <w:right w:val="none" w:sz="0" w:space="0" w:color="auto"/>
      </w:divBdr>
    </w:div>
    <w:div w:id="307904714">
      <w:bodyDiv w:val="1"/>
      <w:marLeft w:val="0"/>
      <w:marRight w:val="0"/>
      <w:marTop w:val="0"/>
      <w:marBottom w:val="0"/>
      <w:divBdr>
        <w:top w:val="none" w:sz="0" w:space="0" w:color="auto"/>
        <w:left w:val="none" w:sz="0" w:space="0" w:color="auto"/>
        <w:bottom w:val="none" w:sz="0" w:space="0" w:color="auto"/>
        <w:right w:val="none" w:sz="0" w:space="0" w:color="auto"/>
      </w:divBdr>
    </w:div>
    <w:div w:id="308362067">
      <w:bodyDiv w:val="1"/>
      <w:marLeft w:val="0"/>
      <w:marRight w:val="0"/>
      <w:marTop w:val="0"/>
      <w:marBottom w:val="0"/>
      <w:divBdr>
        <w:top w:val="none" w:sz="0" w:space="0" w:color="auto"/>
        <w:left w:val="none" w:sz="0" w:space="0" w:color="auto"/>
        <w:bottom w:val="none" w:sz="0" w:space="0" w:color="auto"/>
        <w:right w:val="none" w:sz="0" w:space="0" w:color="auto"/>
      </w:divBdr>
    </w:div>
    <w:div w:id="309015692">
      <w:bodyDiv w:val="1"/>
      <w:marLeft w:val="0"/>
      <w:marRight w:val="0"/>
      <w:marTop w:val="0"/>
      <w:marBottom w:val="0"/>
      <w:divBdr>
        <w:top w:val="none" w:sz="0" w:space="0" w:color="auto"/>
        <w:left w:val="none" w:sz="0" w:space="0" w:color="auto"/>
        <w:bottom w:val="none" w:sz="0" w:space="0" w:color="auto"/>
        <w:right w:val="none" w:sz="0" w:space="0" w:color="auto"/>
      </w:divBdr>
    </w:div>
    <w:div w:id="309022750">
      <w:bodyDiv w:val="1"/>
      <w:marLeft w:val="0"/>
      <w:marRight w:val="0"/>
      <w:marTop w:val="0"/>
      <w:marBottom w:val="0"/>
      <w:divBdr>
        <w:top w:val="none" w:sz="0" w:space="0" w:color="auto"/>
        <w:left w:val="none" w:sz="0" w:space="0" w:color="auto"/>
        <w:bottom w:val="none" w:sz="0" w:space="0" w:color="auto"/>
        <w:right w:val="none" w:sz="0" w:space="0" w:color="auto"/>
      </w:divBdr>
    </w:div>
    <w:div w:id="309600181">
      <w:bodyDiv w:val="1"/>
      <w:marLeft w:val="0"/>
      <w:marRight w:val="0"/>
      <w:marTop w:val="0"/>
      <w:marBottom w:val="0"/>
      <w:divBdr>
        <w:top w:val="none" w:sz="0" w:space="0" w:color="auto"/>
        <w:left w:val="none" w:sz="0" w:space="0" w:color="auto"/>
        <w:bottom w:val="none" w:sz="0" w:space="0" w:color="auto"/>
        <w:right w:val="none" w:sz="0" w:space="0" w:color="auto"/>
      </w:divBdr>
    </w:div>
    <w:div w:id="310403547">
      <w:bodyDiv w:val="1"/>
      <w:marLeft w:val="0"/>
      <w:marRight w:val="0"/>
      <w:marTop w:val="0"/>
      <w:marBottom w:val="0"/>
      <w:divBdr>
        <w:top w:val="none" w:sz="0" w:space="0" w:color="auto"/>
        <w:left w:val="none" w:sz="0" w:space="0" w:color="auto"/>
        <w:bottom w:val="none" w:sz="0" w:space="0" w:color="auto"/>
        <w:right w:val="none" w:sz="0" w:space="0" w:color="auto"/>
      </w:divBdr>
    </w:div>
    <w:div w:id="310863374">
      <w:bodyDiv w:val="1"/>
      <w:marLeft w:val="0"/>
      <w:marRight w:val="0"/>
      <w:marTop w:val="0"/>
      <w:marBottom w:val="0"/>
      <w:divBdr>
        <w:top w:val="none" w:sz="0" w:space="0" w:color="auto"/>
        <w:left w:val="none" w:sz="0" w:space="0" w:color="auto"/>
        <w:bottom w:val="none" w:sz="0" w:space="0" w:color="auto"/>
        <w:right w:val="none" w:sz="0" w:space="0" w:color="auto"/>
      </w:divBdr>
    </w:div>
    <w:div w:id="310910085">
      <w:bodyDiv w:val="1"/>
      <w:marLeft w:val="0"/>
      <w:marRight w:val="0"/>
      <w:marTop w:val="0"/>
      <w:marBottom w:val="0"/>
      <w:divBdr>
        <w:top w:val="none" w:sz="0" w:space="0" w:color="auto"/>
        <w:left w:val="none" w:sz="0" w:space="0" w:color="auto"/>
        <w:bottom w:val="none" w:sz="0" w:space="0" w:color="auto"/>
        <w:right w:val="none" w:sz="0" w:space="0" w:color="auto"/>
      </w:divBdr>
    </w:div>
    <w:div w:id="310910772">
      <w:bodyDiv w:val="1"/>
      <w:marLeft w:val="0"/>
      <w:marRight w:val="0"/>
      <w:marTop w:val="0"/>
      <w:marBottom w:val="0"/>
      <w:divBdr>
        <w:top w:val="none" w:sz="0" w:space="0" w:color="auto"/>
        <w:left w:val="none" w:sz="0" w:space="0" w:color="auto"/>
        <w:bottom w:val="none" w:sz="0" w:space="0" w:color="auto"/>
        <w:right w:val="none" w:sz="0" w:space="0" w:color="auto"/>
      </w:divBdr>
    </w:div>
    <w:div w:id="310914407">
      <w:bodyDiv w:val="1"/>
      <w:marLeft w:val="0"/>
      <w:marRight w:val="0"/>
      <w:marTop w:val="0"/>
      <w:marBottom w:val="0"/>
      <w:divBdr>
        <w:top w:val="none" w:sz="0" w:space="0" w:color="auto"/>
        <w:left w:val="none" w:sz="0" w:space="0" w:color="auto"/>
        <w:bottom w:val="none" w:sz="0" w:space="0" w:color="auto"/>
        <w:right w:val="none" w:sz="0" w:space="0" w:color="auto"/>
      </w:divBdr>
    </w:div>
    <w:div w:id="310981544">
      <w:bodyDiv w:val="1"/>
      <w:marLeft w:val="0"/>
      <w:marRight w:val="0"/>
      <w:marTop w:val="0"/>
      <w:marBottom w:val="0"/>
      <w:divBdr>
        <w:top w:val="none" w:sz="0" w:space="0" w:color="auto"/>
        <w:left w:val="none" w:sz="0" w:space="0" w:color="auto"/>
        <w:bottom w:val="none" w:sz="0" w:space="0" w:color="auto"/>
        <w:right w:val="none" w:sz="0" w:space="0" w:color="auto"/>
      </w:divBdr>
    </w:div>
    <w:div w:id="312374630">
      <w:bodyDiv w:val="1"/>
      <w:marLeft w:val="0"/>
      <w:marRight w:val="0"/>
      <w:marTop w:val="0"/>
      <w:marBottom w:val="0"/>
      <w:divBdr>
        <w:top w:val="none" w:sz="0" w:space="0" w:color="auto"/>
        <w:left w:val="none" w:sz="0" w:space="0" w:color="auto"/>
        <w:bottom w:val="none" w:sz="0" w:space="0" w:color="auto"/>
        <w:right w:val="none" w:sz="0" w:space="0" w:color="auto"/>
      </w:divBdr>
    </w:div>
    <w:div w:id="312873231">
      <w:bodyDiv w:val="1"/>
      <w:marLeft w:val="0"/>
      <w:marRight w:val="0"/>
      <w:marTop w:val="0"/>
      <w:marBottom w:val="0"/>
      <w:divBdr>
        <w:top w:val="none" w:sz="0" w:space="0" w:color="auto"/>
        <w:left w:val="none" w:sz="0" w:space="0" w:color="auto"/>
        <w:bottom w:val="none" w:sz="0" w:space="0" w:color="auto"/>
        <w:right w:val="none" w:sz="0" w:space="0" w:color="auto"/>
      </w:divBdr>
    </w:div>
    <w:div w:id="314649056">
      <w:bodyDiv w:val="1"/>
      <w:marLeft w:val="0"/>
      <w:marRight w:val="0"/>
      <w:marTop w:val="0"/>
      <w:marBottom w:val="0"/>
      <w:divBdr>
        <w:top w:val="none" w:sz="0" w:space="0" w:color="auto"/>
        <w:left w:val="none" w:sz="0" w:space="0" w:color="auto"/>
        <w:bottom w:val="none" w:sz="0" w:space="0" w:color="auto"/>
        <w:right w:val="none" w:sz="0" w:space="0" w:color="auto"/>
      </w:divBdr>
    </w:div>
    <w:div w:id="314797953">
      <w:bodyDiv w:val="1"/>
      <w:marLeft w:val="0"/>
      <w:marRight w:val="0"/>
      <w:marTop w:val="0"/>
      <w:marBottom w:val="0"/>
      <w:divBdr>
        <w:top w:val="none" w:sz="0" w:space="0" w:color="auto"/>
        <w:left w:val="none" w:sz="0" w:space="0" w:color="auto"/>
        <w:bottom w:val="none" w:sz="0" w:space="0" w:color="auto"/>
        <w:right w:val="none" w:sz="0" w:space="0" w:color="auto"/>
      </w:divBdr>
    </w:div>
    <w:div w:id="315114907">
      <w:bodyDiv w:val="1"/>
      <w:marLeft w:val="0"/>
      <w:marRight w:val="0"/>
      <w:marTop w:val="0"/>
      <w:marBottom w:val="0"/>
      <w:divBdr>
        <w:top w:val="none" w:sz="0" w:space="0" w:color="auto"/>
        <w:left w:val="none" w:sz="0" w:space="0" w:color="auto"/>
        <w:bottom w:val="none" w:sz="0" w:space="0" w:color="auto"/>
        <w:right w:val="none" w:sz="0" w:space="0" w:color="auto"/>
      </w:divBdr>
    </w:div>
    <w:div w:id="315693336">
      <w:bodyDiv w:val="1"/>
      <w:marLeft w:val="0"/>
      <w:marRight w:val="0"/>
      <w:marTop w:val="0"/>
      <w:marBottom w:val="0"/>
      <w:divBdr>
        <w:top w:val="none" w:sz="0" w:space="0" w:color="auto"/>
        <w:left w:val="none" w:sz="0" w:space="0" w:color="auto"/>
        <w:bottom w:val="none" w:sz="0" w:space="0" w:color="auto"/>
        <w:right w:val="none" w:sz="0" w:space="0" w:color="auto"/>
      </w:divBdr>
    </w:div>
    <w:div w:id="316419020">
      <w:bodyDiv w:val="1"/>
      <w:marLeft w:val="0"/>
      <w:marRight w:val="0"/>
      <w:marTop w:val="0"/>
      <w:marBottom w:val="0"/>
      <w:divBdr>
        <w:top w:val="none" w:sz="0" w:space="0" w:color="auto"/>
        <w:left w:val="none" w:sz="0" w:space="0" w:color="auto"/>
        <w:bottom w:val="none" w:sz="0" w:space="0" w:color="auto"/>
        <w:right w:val="none" w:sz="0" w:space="0" w:color="auto"/>
      </w:divBdr>
    </w:div>
    <w:div w:id="317346839">
      <w:bodyDiv w:val="1"/>
      <w:marLeft w:val="0"/>
      <w:marRight w:val="0"/>
      <w:marTop w:val="0"/>
      <w:marBottom w:val="0"/>
      <w:divBdr>
        <w:top w:val="none" w:sz="0" w:space="0" w:color="auto"/>
        <w:left w:val="none" w:sz="0" w:space="0" w:color="auto"/>
        <w:bottom w:val="none" w:sz="0" w:space="0" w:color="auto"/>
        <w:right w:val="none" w:sz="0" w:space="0" w:color="auto"/>
      </w:divBdr>
    </w:div>
    <w:div w:id="319235204">
      <w:bodyDiv w:val="1"/>
      <w:marLeft w:val="0"/>
      <w:marRight w:val="0"/>
      <w:marTop w:val="0"/>
      <w:marBottom w:val="0"/>
      <w:divBdr>
        <w:top w:val="none" w:sz="0" w:space="0" w:color="auto"/>
        <w:left w:val="none" w:sz="0" w:space="0" w:color="auto"/>
        <w:bottom w:val="none" w:sz="0" w:space="0" w:color="auto"/>
        <w:right w:val="none" w:sz="0" w:space="0" w:color="auto"/>
      </w:divBdr>
    </w:div>
    <w:div w:id="319236381">
      <w:bodyDiv w:val="1"/>
      <w:marLeft w:val="0"/>
      <w:marRight w:val="0"/>
      <w:marTop w:val="0"/>
      <w:marBottom w:val="0"/>
      <w:divBdr>
        <w:top w:val="none" w:sz="0" w:space="0" w:color="auto"/>
        <w:left w:val="none" w:sz="0" w:space="0" w:color="auto"/>
        <w:bottom w:val="none" w:sz="0" w:space="0" w:color="auto"/>
        <w:right w:val="none" w:sz="0" w:space="0" w:color="auto"/>
      </w:divBdr>
    </w:div>
    <w:div w:id="320089171">
      <w:bodyDiv w:val="1"/>
      <w:marLeft w:val="0"/>
      <w:marRight w:val="0"/>
      <w:marTop w:val="0"/>
      <w:marBottom w:val="0"/>
      <w:divBdr>
        <w:top w:val="none" w:sz="0" w:space="0" w:color="auto"/>
        <w:left w:val="none" w:sz="0" w:space="0" w:color="auto"/>
        <w:bottom w:val="none" w:sz="0" w:space="0" w:color="auto"/>
        <w:right w:val="none" w:sz="0" w:space="0" w:color="auto"/>
      </w:divBdr>
    </w:div>
    <w:div w:id="320354523">
      <w:bodyDiv w:val="1"/>
      <w:marLeft w:val="0"/>
      <w:marRight w:val="0"/>
      <w:marTop w:val="0"/>
      <w:marBottom w:val="0"/>
      <w:divBdr>
        <w:top w:val="none" w:sz="0" w:space="0" w:color="auto"/>
        <w:left w:val="none" w:sz="0" w:space="0" w:color="auto"/>
        <w:bottom w:val="none" w:sz="0" w:space="0" w:color="auto"/>
        <w:right w:val="none" w:sz="0" w:space="0" w:color="auto"/>
      </w:divBdr>
    </w:div>
    <w:div w:id="320890087">
      <w:bodyDiv w:val="1"/>
      <w:marLeft w:val="0"/>
      <w:marRight w:val="0"/>
      <w:marTop w:val="0"/>
      <w:marBottom w:val="0"/>
      <w:divBdr>
        <w:top w:val="none" w:sz="0" w:space="0" w:color="auto"/>
        <w:left w:val="none" w:sz="0" w:space="0" w:color="auto"/>
        <w:bottom w:val="none" w:sz="0" w:space="0" w:color="auto"/>
        <w:right w:val="none" w:sz="0" w:space="0" w:color="auto"/>
      </w:divBdr>
    </w:div>
    <w:div w:id="321080135">
      <w:bodyDiv w:val="1"/>
      <w:marLeft w:val="0"/>
      <w:marRight w:val="0"/>
      <w:marTop w:val="0"/>
      <w:marBottom w:val="0"/>
      <w:divBdr>
        <w:top w:val="none" w:sz="0" w:space="0" w:color="auto"/>
        <w:left w:val="none" w:sz="0" w:space="0" w:color="auto"/>
        <w:bottom w:val="none" w:sz="0" w:space="0" w:color="auto"/>
        <w:right w:val="none" w:sz="0" w:space="0" w:color="auto"/>
      </w:divBdr>
    </w:div>
    <w:div w:id="321467548">
      <w:bodyDiv w:val="1"/>
      <w:marLeft w:val="0"/>
      <w:marRight w:val="0"/>
      <w:marTop w:val="0"/>
      <w:marBottom w:val="0"/>
      <w:divBdr>
        <w:top w:val="none" w:sz="0" w:space="0" w:color="auto"/>
        <w:left w:val="none" w:sz="0" w:space="0" w:color="auto"/>
        <w:bottom w:val="none" w:sz="0" w:space="0" w:color="auto"/>
        <w:right w:val="none" w:sz="0" w:space="0" w:color="auto"/>
      </w:divBdr>
    </w:div>
    <w:div w:id="322007538">
      <w:bodyDiv w:val="1"/>
      <w:marLeft w:val="0"/>
      <w:marRight w:val="0"/>
      <w:marTop w:val="0"/>
      <w:marBottom w:val="0"/>
      <w:divBdr>
        <w:top w:val="none" w:sz="0" w:space="0" w:color="auto"/>
        <w:left w:val="none" w:sz="0" w:space="0" w:color="auto"/>
        <w:bottom w:val="none" w:sz="0" w:space="0" w:color="auto"/>
        <w:right w:val="none" w:sz="0" w:space="0" w:color="auto"/>
      </w:divBdr>
    </w:div>
    <w:div w:id="322785276">
      <w:bodyDiv w:val="1"/>
      <w:marLeft w:val="0"/>
      <w:marRight w:val="0"/>
      <w:marTop w:val="0"/>
      <w:marBottom w:val="0"/>
      <w:divBdr>
        <w:top w:val="none" w:sz="0" w:space="0" w:color="auto"/>
        <w:left w:val="none" w:sz="0" w:space="0" w:color="auto"/>
        <w:bottom w:val="none" w:sz="0" w:space="0" w:color="auto"/>
        <w:right w:val="none" w:sz="0" w:space="0" w:color="auto"/>
      </w:divBdr>
    </w:div>
    <w:div w:id="322854704">
      <w:bodyDiv w:val="1"/>
      <w:marLeft w:val="0"/>
      <w:marRight w:val="0"/>
      <w:marTop w:val="0"/>
      <w:marBottom w:val="0"/>
      <w:divBdr>
        <w:top w:val="none" w:sz="0" w:space="0" w:color="auto"/>
        <w:left w:val="none" w:sz="0" w:space="0" w:color="auto"/>
        <w:bottom w:val="none" w:sz="0" w:space="0" w:color="auto"/>
        <w:right w:val="none" w:sz="0" w:space="0" w:color="auto"/>
      </w:divBdr>
    </w:div>
    <w:div w:id="323361823">
      <w:bodyDiv w:val="1"/>
      <w:marLeft w:val="0"/>
      <w:marRight w:val="0"/>
      <w:marTop w:val="0"/>
      <w:marBottom w:val="0"/>
      <w:divBdr>
        <w:top w:val="none" w:sz="0" w:space="0" w:color="auto"/>
        <w:left w:val="none" w:sz="0" w:space="0" w:color="auto"/>
        <w:bottom w:val="none" w:sz="0" w:space="0" w:color="auto"/>
        <w:right w:val="none" w:sz="0" w:space="0" w:color="auto"/>
      </w:divBdr>
    </w:div>
    <w:div w:id="323364205">
      <w:bodyDiv w:val="1"/>
      <w:marLeft w:val="0"/>
      <w:marRight w:val="0"/>
      <w:marTop w:val="0"/>
      <w:marBottom w:val="0"/>
      <w:divBdr>
        <w:top w:val="none" w:sz="0" w:space="0" w:color="auto"/>
        <w:left w:val="none" w:sz="0" w:space="0" w:color="auto"/>
        <w:bottom w:val="none" w:sz="0" w:space="0" w:color="auto"/>
        <w:right w:val="none" w:sz="0" w:space="0" w:color="auto"/>
      </w:divBdr>
    </w:div>
    <w:div w:id="323633977">
      <w:bodyDiv w:val="1"/>
      <w:marLeft w:val="0"/>
      <w:marRight w:val="0"/>
      <w:marTop w:val="0"/>
      <w:marBottom w:val="0"/>
      <w:divBdr>
        <w:top w:val="none" w:sz="0" w:space="0" w:color="auto"/>
        <w:left w:val="none" w:sz="0" w:space="0" w:color="auto"/>
        <w:bottom w:val="none" w:sz="0" w:space="0" w:color="auto"/>
        <w:right w:val="none" w:sz="0" w:space="0" w:color="auto"/>
      </w:divBdr>
    </w:div>
    <w:div w:id="324406710">
      <w:bodyDiv w:val="1"/>
      <w:marLeft w:val="0"/>
      <w:marRight w:val="0"/>
      <w:marTop w:val="0"/>
      <w:marBottom w:val="0"/>
      <w:divBdr>
        <w:top w:val="none" w:sz="0" w:space="0" w:color="auto"/>
        <w:left w:val="none" w:sz="0" w:space="0" w:color="auto"/>
        <w:bottom w:val="none" w:sz="0" w:space="0" w:color="auto"/>
        <w:right w:val="none" w:sz="0" w:space="0" w:color="auto"/>
      </w:divBdr>
    </w:div>
    <w:div w:id="324748796">
      <w:bodyDiv w:val="1"/>
      <w:marLeft w:val="0"/>
      <w:marRight w:val="0"/>
      <w:marTop w:val="0"/>
      <w:marBottom w:val="0"/>
      <w:divBdr>
        <w:top w:val="none" w:sz="0" w:space="0" w:color="auto"/>
        <w:left w:val="none" w:sz="0" w:space="0" w:color="auto"/>
        <w:bottom w:val="none" w:sz="0" w:space="0" w:color="auto"/>
        <w:right w:val="none" w:sz="0" w:space="0" w:color="auto"/>
      </w:divBdr>
    </w:div>
    <w:div w:id="327559204">
      <w:bodyDiv w:val="1"/>
      <w:marLeft w:val="0"/>
      <w:marRight w:val="0"/>
      <w:marTop w:val="0"/>
      <w:marBottom w:val="0"/>
      <w:divBdr>
        <w:top w:val="none" w:sz="0" w:space="0" w:color="auto"/>
        <w:left w:val="none" w:sz="0" w:space="0" w:color="auto"/>
        <w:bottom w:val="none" w:sz="0" w:space="0" w:color="auto"/>
        <w:right w:val="none" w:sz="0" w:space="0" w:color="auto"/>
      </w:divBdr>
    </w:div>
    <w:div w:id="329647609">
      <w:bodyDiv w:val="1"/>
      <w:marLeft w:val="0"/>
      <w:marRight w:val="0"/>
      <w:marTop w:val="0"/>
      <w:marBottom w:val="0"/>
      <w:divBdr>
        <w:top w:val="none" w:sz="0" w:space="0" w:color="auto"/>
        <w:left w:val="none" w:sz="0" w:space="0" w:color="auto"/>
        <w:bottom w:val="none" w:sz="0" w:space="0" w:color="auto"/>
        <w:right w:val="none" w:sz="0" w:space="0" w:color="auto"/>
      </w:divBdr>
    </w:div>
    <w:div w:id="330570268">
      <w:bodyDiv w:val="1"/>
      <w:marLeft w:val="0"/>
      <w:marRight w:val="0"/>
      <w:marTop w:val="0"/>
      <w:marBottom w:val="0"/>
      <w:divBdr>
        <w:top w:val="none" w:sz="0" w:space="0" w:color="auto"/>
        <w:left w:val="none" w:sz="0" w:space="0" w:color="auto"/>
        <w:bottom w:val="none" w:sz="0" w:space="0" w:color="auto"/>
        <w:right w:val="none" w:sz="0" w:space="0" w:color="auto"/>
      </w:divBdr>
    </w:div>
    <w:div w:id="331177493">
      <w:bodyDiv w:val="1"/>
      <w:marLeft w:val="0"/>
      <w:marRight w:val="0"/>
      <w:marTop w:val="0"/>
      <w:marBottom w:val="0"/>
      <w:divBdr>
        <w:top w:val="none" w:sz="0" w:space="0" w:color="auto"/>
        <w:left w:val="none" w:sz="0" w:space="0" w:color="auto"/>
        <w:bottom w:val="none" w:sz="0" w:space="0" w:color="auto"/>
        <w:right w:val="none" w:sz="0" w:space="0" w:color="auto"/>
      </w:divBdr>
    </w:div>
    <w:div w:id="332295124">
      <w:bodyDiv w:val="1"/>
      <w:marLeft w:val="0"/>
      <w:marRight w:val="0"/>
      <w:marTop w:val="0"/>
      <w:marBottom w:val="0"/>
      <w:divBdr>
        <w:top w:val="none" w:sz="0" w:space="0" w:color="auto"/>
        <w:left w:val="none" w:sz="0" w:space="0" w:color="auto"/>
        <w:bottom w:val="none" w:sz="0" w:space="0" w:color="auto"/>
        <w:right w:val="none" w:sz="0" w:space="0" w:color="auto"/>
      </w:divBdr>
    </w:div>
    <w:div w:id="334109266">
      <w:bodyDiv w:val="1"/>
      <w:marLeft w:val="0"/>
      <w:marRight w:val="0"/>
      <w:marTop w:val="0"/>
      <w:marBottom w:val="0"/>
      <w:divBdr>
        <w:top w:val="none" w:sz="0" w:space="0" w:color="auto"/>
        <w:left w:val="none" w:sz="0" w:space="0" w:color="auto"/>
        <w:bottom w:val="none" w:sz="0" w:space="0" w:color="auto"/>
        <w:right w:val="none" w:sz="0" w:space="0" w:color="auto"/>
      </w:divBdr>
    </w:div>
    <w:div w:id="336270406">
      <w:bodyDiv w:val="1"/>
      <w:marLeft w:val="0"/>
      <w:marRight w:val="0"/>
      <w:marTop w:val="0"/>
      <w:marBottom w:val="0"/>
      <w:divBdr>
        <w:top w:val="none" w:sz="0" w:space="0" w:color="auto"/>
        <w:left w:val="none" w:sz="0" w:space="0" w:color="auto"/>
        <w:bottom w:val="none" w:sz="0" w:space="0" w:color="auto"/>
        <w:right w:val="none" w:sz="0" w:space="0" w:color="auto"/>
      </w:divBdr>
    </w:div>
    <w:div w:id="337852147">
      <w:bodyDiv w:val="1"/>
      <w:marLeft w:val="0"/>
      <w:marRight w:val="0"/>
      <w:marTop w:val="0"/>
      <w:marBottom w:val="0"/>
      <w:divBdr>
        <w:top w:val="none" w:sz="0" w:space="0" w:color="auto"/>
        <w:left w:val="none" w:sz="0" w:space="0" w:color="auto"/>
        <w:bottom w:val="none" w:sz="0" w:space="0" w:color="auto"/>
        <w:right w:val="none" w:sz="0" w:space="0" w:color="auto"/>
      </w:divBdr>
    </w:div>
    <w:div w:id="338847323">
      <w:bodyDiv w:val="1"/>
      <w:marLeft w:val="0"/>
      <w:marRight w:val="0"/>
      <w:marTop w:val="0"/>
      <w:marBottom w:val="0"/>
      <w:divBdr>
        <w:top w:val="none" w:sz="0" w:space="0" w:color="auto"/>
        <w:left w:val="none" w:sz="0" w:space="0" w:color="auto"/>
        <w:bottom w:val="none" w:sz="0" w:space="0" w:color="auto"/>
        <w:right w:val="none" w:sz="0" w:space="0" w:color="auto"/>
      </w:divBdr>
    </w:div>
    <w:div w:id="339241312">
      <w:bodyDiv w:val="1"/>
      <w:marLeft w:val="0"/>
      <w:marRight w:val="0"/>
      <w:marTop w:val="0"/>
      <w:marBottom w:val="0"/>
      <w:divBdr>
        <w:top w:val="none" w:sz="0" w:space="0" w:color="auto"/>
        <w:left w:val="none" w:sz="0" w:space="0" w:color="auto"/>
        <w:bottom w:val="none" w:sz="0" w:space="0" w:color="auto"/>
        <w:right w:val="none" w:sz="0" w:space="0" w:color="auto"/>
      </w:divBdr>
    </w:div>
    <w:div w:id="340738886">
      <w:bodyDiv w:val="1"/>
      <w:marLeft w:val="0"/>
      <w:marRight w:val="0"/>
      <w:marTop w:val="0"/>
      <w:marBottom w:val="0"/>
      <w:divBdr>
        <w:top w:val="none" w:sz="0" w:space="0" w:color="auto"/>
        <w:left w:val="none" w:sz="0" w:space="0" w:color="auto"/>
        <w:bottom w:val="none" w:sz="0" w:space="0" w:color="auto"/>
        <w:right w:val="none" w:sz="0" w:space="0" w:color="auto"/>
      </w:divBdr>
    </w:div>
    <w:div w:id="340745012">
      <w:bodyDiv w:val="1"/>
      <w:marLeft w:val="0"/>
      <w:marRight w:val="0"/>
      <w:marTop w:val="0"/>
      <w:marBottom w:val="0"/>
      <w:divBdr>
        <w:top w:val="none" w:sz="0" w:space="0" w:color="auto"/>
        <w:left w:val="none" w:sz="0" w:space="0" w:color="auto"/>
        <w:bottom w:val="none" w:sz="0" w:space="0" w:color="auto"/>
        <w:right w:val="none" w:sz="0" w:space="0" w:color="auto"/>
      </w:divBdr>
    </w:div>
    <w:div w:id="341050309">
      <w:bodyDiv w:val="1"/>
      <w:marLeft w:val="0"/>
      <w:marRight w:val="0"/>
      <w:marTop w:val="0"/>
      <w:marBottom w:val="0"/>
      <w:divBdr>
        <w:top w:val="none" w:sz="0" w:space="0" w:color="auto"/>
        <w:left w:val="none" w:sz="0" w:space="0" w:color="auto"/>
        <w:bottom w:val="none" w:sz="0" w:space="0" w:color="auto"/>
        <w:right w:val="none" w:sz="0" w:space="0" w:color="auto"/>
      </w:divBdr>
    </w:div>
    <w:div w:id="342510470">
      <w:bodyDiv w:val="1"/>
      <w:marLeft w:val="0"/>
      <w:marRight w:val="0"/>
      <w:marTop w:val="0"/>
      <w:marBottom w:val="0"/>
      <w:divBdr>
        <w:top w:val="none" w:sz="0" w:space="0" w:color="auto"/>
        <w:left w:val="none" w:sz="0" w:space="0" w:color="auto"/>
        <w:bottom w:val="none" w:sz="0" w:space="0" w:color="auto"/>
        <w:right w:val="none" w:sz="0" w:space="0" w:color="auto"/>
      </w:divBdr>
    </w:div>
    <w:div w:id="342778939">
      <w:bodyDiv w:val="1"/>
      <w:marLeft w:val="0"/>
      <w:marRight w:val="0"/>
      <w:marTop w:val="0"/>
      <w:marBottom w:val="0"/>
      <w:divBdr>
        <w:top w:val="none" w:sz="0" w:space="0" w:color="auto"/>
        <w:left w:val="none" w:sz="0" w:space="0" w:color="auto"/>
        <w:bottom w:val="none" w:sz="0" w:space="0" w:color="auto"/>
        <w:right w:val="none" w:sz="0" w:space="0" w:color="auto"/>
      </w:divBdr>
    </w:div>
    <w:div w:id="342976712">
      <w:bodyDiv w:val="1"/>
      <w:marLeft w:val="0"/>
      <w:marRight w:val="0"/>
      <w:marTop w:val="0"/>
      <w:marBottom w:val="0"/>
      <w:divBdr>
        <w:top w:val="none" w:sz="0" w:space="0" w:color="auto"/>
        <w:left w:val="none" w:sz="0" w:space="0" w:color="auto"/>
        <w:bottom w:val="none" w:sz="0" w:space="0" w:color="auto"/>
        <w:right w:val="none" w:sz="0" w:space="0" w:color="auto"/>
      </w:divBdr>
    </w:div>
    <w:div w:id="343364204">
      <w:bodyDiv w:val="1"/>
      <w:marLeft w:val="0"/>
      <w:marRight w:val="0"/>
      <w:marTop w:val="0"/>
      <w:marBottom w:val="0"/>
      <w:divBdr>
        <w:top w:val="none" w:sz="0" w:space="0" w:color="auto"/>
        <w:left w:val="none" w:sz="0" w:space="0" w:color="auto"/>
        <w:bottom w:val="none" w:sz="0" w:space="0" w:color="auto"/>
        <w:right w:val="none" w:sz="0" w:space="0" w:color="auto"/>
      </w:divBdr>
    </w:div>
    <w:div w:id="344524430">
      <w:bodyDiv w:val="1"/>
      <w:marLeft w:val="0"/>
      <w:marRight w:val="0"/>
      <w:marTop w:val="0"/>
      <w:marBottom w:val="0"/>
      <w:divBdr>
        <w:top w:val="none" w:sz="0" w:space="0" w:color="auto"/>
        <w:left w:val="none" w:sz="0" w:space="0" w:color="auto"/>
        <w:bottom w:val="none" w:sz="0" w:space="0" w:color="auto"/>
        <w:right w:val="none" w:sz="0" w:space="0" w:color="auto"/>
      </w:divBdr>
    </w:div>
    <w:div w:id="344672216">
      <w:bodyDiv w:val="1"/>
      <w:marLeft w:val="0"/>
      <w:marRight w:val="0"/>
      <w:marTop w:val="0"/>
      <w:marBottom w:val="0"/>
      <w:divBdr>
        <w:top w:val="none" w:sz="0" w:space="0" w:color="auto"/>
        <w:left w:val="none" w:sz="0" w:space="0" w:color="auto"/>
        <w:bottom w:val="none" w:sz="0" w:space="0" w:color="auto"/>
        <w:right w:val="none" w:sz="0" w:space="0" w:color="auto"/>
      </w:divBdr>
    </w:div>
    <w:div w:id="345132723">
      <w:bodyDiv w:val="1"/>
      <w:marLeft w:val="0"/>
      <w:marRight w:val="0"/>
      <w:marTop w:val="0"/>
      <w:marBottom w:val="0"/>
      <w:divBdr>
        <w:top w:val="none" w:sz="0" w:space="0" w:color="auto"/>
        <w:left w:val="none" w:sz="0" w:space="0" w:color="auto"/>
        <w:bottom w:val="none" w:sz="0" w:space="0" w:color="auto"/>
        <w:right w:val="none" w:sz="0" w:space="0" w:color="auto"/>
      </w:divBdr>
    </w:div>
    <w:div w:id="345596314">
      <w:bodyDiv w:val="1"/>
      <w:marLeft w:val="0"/>
      <w:marRight w:val="0"/>
      <w:marTop w:val="0"/>
      <w:marBottom w:val="0"/>
      <w:divBdr>
        <w:top w:val="none" w:sz="0" w:space="0" w:color="auto"/>
        <w:left w:val="none" w:sz="0" w:space="0" w:color="auto"/>
        <w:bottom w:val="none" w:sz="0" w:space="0" w:color="auto"/>
        <w:right w:val="none" w:sz="0" w:space="0" w:color="auto"/>
      </w:divBdr>
    </w:div>
    <w:div w:id="346370065">
      <w:bodyDiv w:val="1"/>
      <w:marLeft w:val="0"/>
      <w:marRight w:val="0"/>
      <w:marTop w:val="0"/>
      <w:marBottom w:val="0"/>
      <w:divBdr>
        <w:top w:val="none" w:sz="0" w:space="0" w:color="auto"/>
        <w:left w:val="none" w:sz="0" w:space="0" w:color="auto"/>
        <w:bottom w:val="none" w:sz="0" w:space="0" w:color="auto"/>
        <w:right w:val="none" w:sz="0" w:space="0" w:color="auto"/>
      </w:divBdr>
    </w:div>
    <w:div w:id="346834240">
      <w:bodyDiv w:val="1"/>
      <w:marLeft w:val="0"/>
      <w:marRight w:val="0"/>
      <w:marTop w:val="0"/>
      <w:marBottom w:val="0"/>
      <w:divBdr>
        <w:top w:val="none" w:sz="0" w:space="0" w:color="auto"/>
        <w:left w:val="none" w:sz="0" w:space="0" w:color="auto"/>
        <w:bottom w:val="none" w:sz="0" w:space="0" w:color="auto"/>
        <w:right w:val="none" w:sz="0" w:space="0" w:color="auto"/>
      </w:divBdr>
    </w:div>
    <w:div w:id="347483361">
      <w:bodyDiv w:val="1"/>
      <w:marLeft w:val="0"/>
      <w:marRight w:val="0"/>
      <w:marTop w:val="0"/>
      <w:marBottom w:val="0"/>
      <w:divBdr>
        <w:top w:val="none" w:sz="0" w:space="0" w:color="auto"/>
        <w:left w:val="none" w:sz="0" w:space="0" w:color="auto"/>
        <w:bottom w:val="none" w:sz="0" w:space="0" w:color="auto"/>
        <w:right w:val="none" w:sz="0" w:space="0" w:color="auto"/>
      </w:divBdr>
    </w:div>
    <w:div w:id="347802036">
      <w:bodyDiv w:val="1"/>
      <w:marLeft w:val="0"/>
      <w:marRight w:val="0"/>
      <w:marTop w:val="0"/>
      <w:marBottom w:val="0"/>
      <w:divBdr>
        <w:top w:val="none" w:sz="0" w:space="0" w:color="auto"/>
        <w:left w:val="none" w:sz="0" w:space="0" w:color="auto"/>
        <w:bottom w:val="none" w:sz="0" w:space="0" w:color="auto"/>
        <w:right w:val="none" w:sz="0" w:space="0" w:color="auto"/>
      </w:divBdr>
    </w:div>
    <w:div w:id="349065614">
      <w:bodyDiv w:val="1"/>
      <w:marLeft w:val="0"/>
      <w:marRight w:val="0"/>
      <w:marTop w:val="0"/>
      <w:marBottom w:val="0"/>
      <w:divBdr>
        <w:top w:val="none" w:sz="0" w:space="0" w:color="auto"/>
        <w:left w:val="none" w:sz="0" w:space="0" w:color="auto"/>
        <w:bottom w:val="none" w:sz="0" w:space="0" w:color="auto"/>
        <w:right w:val="none" w:sz="0" w:space="0" w:color="auto"/>
      </w:divBdr>
    </w:div>
    <w:div w:id="349375148">
      <w:bodyDiv w:val="1"/>
      <w:marLeft w:val="0"/>
      <w:marRight w:val="0"/>
      <w:marTop w:val="0"/>
      <w:marBottom w:val="0"/>
      <w:divBdr>
        <w:top w:val="none" w:sz="0" w:space="0" w:color="auto"/>
        <w:left w:val="none" w:sz="0" w:space="0" w:color="auto"/>
        <w:bottom w:val="none" w:sz="0" w:space="0" w:color="auto"/>
        <w:right w:val="none" w:sz="0" w:space="0" w:color="auto"/>
      </w:divBdr>
    </w:div>
    <w:div w:id="349531718">
      <w:bodyDiv w:val="1"/>
      <w:marLeft w:val="0"/>
      <w:marRight w:val="0"/>
      <w:marTop w:val="0"/>
      <w:marBottom w:val="0"/>
      <w:divBdr>
        <w:top w:val="none" w:sz="0" w:space="0" w:color="auto"/>
        <w:left w:val="none" w:sz="0" w:space="0" w:color="auto"/>
        <w:bottom w:val="none" w:sz="0" w:space="0" w:color="auto"/>
        <w:right w:val="none" w:sz="0" w:space="0" w:color="auto"/>
      </w:divBdr>
    </w:div>
    <w:div w:id="349990527">
      <w:bodyDiv w:val="1"/>
      <w:marLeft w:val="0"/>
      <w:marRight w:val="0"/>
      <w:marTop w:val="0"/>
      <w:marBottom w:val="0"/>
      <w:divBdr>
        <w:top w:val="none" w:sz="0" w:space="0" w:color="auto"/>
        <w:left w:val="none" w:sz="0" w:space="0" w:color="auto"/>
        <w:bottom w:val="none" w:sz="0" w:space="0" w:color="auto"/>
        <w:right w:val="none" w:sz="0" w:space="0" w:color="auto"/>
      </w:divBdr>
    </w:div>
    <w:div w:id="351347044">
      <w:bodyDiv w:val="1"/>
      <w:marLeft w:val="0"/>
      <w:marRight w:val="0"/>
      <w:marTop w:val="0"/>
      <w:marBottom w:val="0"/>
      <w:divBdr>
        <w:top w:val="none" w:sz="0" w:space="0" w:color="auto"/>
        <w:left w:val="none" w:sz="0" w:space="0" w:color="auto"/>
        <w:bottom w:val="none" w:sz="0" w:space="0" w:color="auto"/>
        <w:right w:val="none" w:sz="0" w:space="0" w:color="auto"/>
      </w:divBdr>
    </w:div>
    <w:div w:id="352079442">
      <w:bodyDiv w:val="1"/>
      <w:marLeft w:val="0"/>
      <w:marRight w:val="0"/>
      <w:marTop w:val="0"/>
      <w:marBottom w:val="0"/>
      <w:divBdr>
        <w:top w:val="none" w:sz="0" w:space="0" w:color="auto"/>
        <w:left w:val="none" w:sz="0" w:space="0" w:color="auto"/>
        <w:bottom w:val="none" w:sz="0" w:space="0" w:color="auto"/>
        <w:right w:val="none" w:sz="0" w:space="0" w:color="auto"/>
      </w:divBdr>
    </w:div>
    <w:div w:id="352263748">
      <w:bodyDiv w:val="1"/>
      <w:marLeft w:val="0"/>
      <w:marRight w:val="0"/>
      <w:marTop w:val="0"/>
      <w:marBottom w:val="0"/>
      <w:divBdr>
        <w:top w:val="none" w:sz="0" w:space="0" w:color="auto"/>
        <w:left w:val="none" w:sz="0" w:space="0" w:color="auto"/>
        <w:bottom w:val="none" w:sz="0" w:space="0" w:color="auto"/>
        <w:right w:val="none" w:sz="0" w:space="0" w:color="auto"/>
      </w:divBdr>
    </w:div>
    <w:div w:id="352925106">
      <w:bodyDiv w:val="1"/>
      <w:marLeft w:val="0"/>
      <w:marRight w:val="0"/>
      <w:marTop w:val="0"/>
      <w:marBottom w:val="0"/>
      <w:divBdr>
        <w:top w:val="none" w:sz="0" w:space="0" w:color="auto"/>
        <w:left w:val="none" w:sz="0" w:space="0" w:color="auto"/>
        <w:bottom w:val="none" w:sz="0" w:space="0" w:color="auto"/>
        <w:right w:val="none" w:sz="0" w:space="0" w:color="auto"/>
      </w:divBdr>
    </w:div>
    <w:div w:id="352997203">
      <w:bodyDiv w:val="1"/>
      <w:marLeft w:val="0"/>
      <w:marRight w:val="0"/>
      <w:marTop w:val="0"/>
      <w:marBottom w:val="0"/>
      <w:divBdr>
        <w:top w:val="none" w:sz="0" w:space="0" w:color="auto"/>
        <w:left w:val="none" w:sz="0" w:space="0" w:color="auto"/>
        <w:bottom w:val="none" w:sz="0" w:space="0" w:color="auto"/>
        <w:right w:val="none" w:sz="0" w:space="0" w:color="auto"/>
      </w:divBdr>
    </w:div>
    <w:div w:id="354159633">
      <w:bodyDiv w:val="1"/>
      <w:marLeft w:val="0"/>
      <w:marRight w:val="0"/>
      <w:marTop w:val="0"/>
      <w:marBottom w:val="0"/>
      <w:divBdr>
        <w:top w:val="none" w:sz="0" w:space="0" w:color="auto"/>
        <w:left w:val="none" w:sz="0" w:space="0" w:color="auto"/>
        <w:bottom w:val="none" w:sz="0" w:space="0" w:color="auto"/>
        <w:right w:val="none" w:sz="0" w:space="0" w:color="auto"/>
      </w:divBdr>
    </w:div>
    <w:div w:id="354576927">
      <w:bodyDiv w:val="1"/>
      <w:marLeft w:val="0"/>
      <w:marRight w:val="0"/>
      <w:marTop w:val="0"/>
      <w:marBottom w:val="0"/>
      <w:divBdr>
        <w:top w:val="none" w:sz="0" w:space="0" w:color="auto"/>
        <w:left w:val="none" w:sz="0" w:space="0" w:color="auto"/>
        <w:bottom w:val="none" w:sz="0" w:space="0" w:color="auto"/>
        <w:right w:val="none" w:sz="0" w:space="0" w:color="auto"/>
      </w:divBdr>
    </w:div>
    <w:div w:id="356002535">
      <w:bodyDiv w:val="1"/>
      <w:marLeft w:val="0"/>
      <w:marRight w:val="0"/>
      <w:marTop w:val="0"/>
      <w:marBottom w:val="0"/>
      <w:divBdr>
        <w:top w:val="none" w:sz="0" w:space="0" w:color="auto"/>
        <w:left w:val="none" w:sz="0" w:space="0" w:color="auto"/>
        <w:bottom w:val="none" w:sz="0" w:space="0" w:color="auto"/>
        <w:right w:val="none" w:sz="0" w:space="0" w:color="auto"/>
      </w:divBdr>
    </w:div>
    <w:div w:id="356080377">
      <w:bodyDiv w:val="1"/>
      <w:marLeft w:val="0"/>
      <w:marRight w:val="0"/>
      <w:marTop w:val="0"/>
      <w:marBottom w:val="0"/>
      <w:divBdr>
        <w:top w:val="none" w:sz="0" w:space="0" w:color="auto"/>
        <w:left w:val="none" w:sz="0" w:space="0" w:color="auto"/>
        <w:bottom w:val="none" w:sz="0" w:space="0" w:color="auto"/>
        <w:right w:val="none" w:sz="0" w:space="0" w:color="auto"/>
      </w:divBdr>
    </w:div>
    <w:div w:id="356582844">
      <w:bodyDiv w:val="1"/>
      <w:marLeft w:val="0"/>
      <w:marRight w:val="0"/>
      <w:marTop w:val="0"/>
      <w:marBottom w:val="0"/>
      <w:divBdr>
        <w:top w:val="none" w:sz="0" w:space="0" w:color="auto"/>
        <w:left w:val="none" w:sz="0" w:space="0" w:color="auto"/>
        <w:bottom w:val="none" w:sz="0" w:space="0" w:color="auto"/>
        <w:right w:val="none" w:sz="0" w:space="0" w:color="auto"/>
      </w:divBdr>
    </w:div>
    <w:div w:id="356778089">
      <w:bodyDiv w:val="1"/>
      <w:marLeft w:val="0"/>
      <w:marRight w:val="0"/>
      <w:marTop w:val="0"/>
      <w:marBottom w:val="0"/>
      <w:divBdr>
        <w:top w:val="none" w:sz="0" w:space="0" w:color="auto"/>
        <w:left w:val="none" w:sz="0" w:space="0" w:color="auto"/>
        <w:bottom w:val="none" w:sz="0" w:space="0" w:color="auto"/>
        <w:right w:val="none" w:sz="0" w:space="0" w:color="auto"/>
      </w:divBdr>
    </w:div>
    <w:div w:id="356930871">
      <w:bodyDiv w:val="1"/>
      <w:marLeft w:val="0"/>
      <w:marRight w:val="0"/>
      <w:marTop w:val="0"/>
      <w:marBottom w:val="0"/>
      <w:divBdr>
        <w:top w:val="none" w:sz="0" w:space="0" w:color="auto"/>
        <w:left w:val="none" w:sz="0" w:space="0" w:color="auto"/>
        <w:bottom w:val="none" w:sz="0" w:space="0" w:color="auto"/>
        <w:right w:val="none" w:sz="0" w:space="0" w:color="auto"/>
      </w:divBdr>
    </w:div>
    <w:div w:id="356934169">
      <w:bodyDiv w:val="1"/>
      <w:marLeft w:val="0"/>
      <w:marRight w:val="0"/>
      <w:marTop w:val="0"/>
      <w:marBottom w:val="0"/>
      <w:divBdr>
        <w:top w:val="none" w:sz="0" w:space="0" w:color="auto"/>
        <w:left w:val="none" w:sz="0" w:space="0" w:color="auto"/>
        <w:bottom w:val="none" w:sz="0" w:space="0" w:color="auto"/>
        <w:right w:val="none" w:sz="0" w:space="0" w:color="auto"/>
      </w:divBdr>
    </w:div>
    <w:div w:id="357196092">
      <w:bodyDiv w:val="1"/>
      <w:marLeft w:val="0"/>
      <w:marRight w:val="0"/>
      <w:marTop w:val="0"/>
      <w:marBottom w:val="0"/>
      <w:divBdr>
        <w:top w:val="none" w:sz="0" w:space="0" w:color="auto"/>
        <w:left w:val="none" w:sz="0" w:space="0" w:color="auto"/>
        <w:bottom w:val="none" w:sz="0" w:space="0" w:color="auto"/>
        <w:right w:val="none" w:sz="0" w:space="0" w:color="auto"/>
      </w:divBdr>
    </w:div>
    <w:div w:id="357391934">
      <w:bodyDiv w:val="1"/>
      <w:marLeft w:val="0"/>
      <w:marRight w:val="0"/>
      <w:marTop w:val="0"/>
      <w:marBottom w:val="0"/>
      <w:divBdr>
        <w:top w:val="none" w:sz="0" w:space="0" w:color="auto"/>
        <w:left w:val="none" w:sz="0" w:space="0" w:color="auto"/>
        <w:bottom w:val="none" w:sz="0" w:space="0" w:color="auto"/>
        <w:right w:val="none" w:sz="0" w:space="0" w:color="auto"/>
      </w:divBdr>
    </w:div>
    <w:div w:id="359362941">
      <w:bodyDiv w:val="1"/>
      <w:marLeft w:val="0"/>
      <w:marRight w:val="0"/>
      <w:marTop w:val="0"/>
      <w:marBottom w:val="0"/>
      <w:divBdr>
        <w:top w:val="none" w:sz="0" w:space="0" w:color="auto"/>
        <w:left w:val="none" w:sz="0" w:space="0" w:color="auto"/>
        <w:bottom w:val="none" w:sz="0" w:space="0" w:color="auto"/>
        <w:right w:val="none" w:sz="0" w:space="0" w:color="auto"/>
      </w:divBdr>
    </w:div>
    <w:div w:id="360013072">
      <w:bodyDiv w:val="1"/>
      <w:marLeft w:val="0"/>
      <w:marRight w:val="0"/>
      <w:marTop w:val="0"/>
      <w:marBottom w:val="0"/>
      <w:divBdr>
        <w:top w:val="none" w:sz="0" w:space="0" w:color="auto"/>
        <w:left w:val="none" w:sz="0" w:space="0" w:color="auto"/>
        <w:bottom w:val="none" w:sz="0" w:space="0" w:color="auto"/>
        <w:right w:val="none" w:sz="0" w:space="0" w:color="auto"/>
      </w:divBdr>
    </w:div>
    <w:div w:id="361588426">
      <w:bodyDiv w:val="1"/>
      <w:marLeft w:val="0"/>
      <w:marRight w:val="0"/>
      <w:marTop w:val="0"/>
      <w:marBottom w:val="0"/>
      <w:divBdr>
        <w:top w:val="none" w:sz="0" w:space="0" w:color="auto"/>
        <w:left w:val="none" w:sz="0" w:space="0" w:color="auto"/>
        <w:bottom w:val="none" w:sz="0" w:space="0" w:color="auto"/>
        <w:right w:val="none" w:sz="0" w:space="0" w:color="auto"/>
      </w:divBdr>
    </w:div>
    <w:div w:id="362287059">
      <w:bodyDiv w:val="1"/>
      <w:marLeft w:val="0"/>
      <w:marRight w:val="0"/>
      <w:marTop w:val="0"/>
      <w:marBottom w:val="0"/>
      <w:divBdr>
        <w:top w:val="none" w:sz="0" w:space="0" w:color="auto"/>
        <w:left w:val="none" w:sz="0" w:space="0" w:color="auto"/>
        <w:bottom w:val="none" w:sz="0" w:space="0" w:color="auto"/>
        <w:right w:val="none" w:sz="0" w:space="0" w:color="auto"/>
      </w:divBdr>
    </w:div>
    <w:div w:id="362948620">
      <w:bodyDiv w:val="1"/>
      <w:marLeft w:val="0"/>
      <w:marRight w:val="0"/>
      <w:marTop w:val="0"/>
      <w:marBottom w:val="0"/>
      <w:divBdr>
        <w:top w:val="none" w:sz="0" w:space="0" w:color="auto"/>
        <w:left w:val="none" w:sz="0" w:space="0" w:color="auto"/>
        <w:bottom w:val="none" w:sz="0" w:space="0" w:color="auto"/>
        <w:right w:val="none" w:sz="0" w:space="0" w:color="auto"/>
      </w:divBdr>
    </w:div>
    <w:div w:id="365254979">
      <w:bodyDiv w:val="1"/>
      <w:marLeft w:val="0"/>
      <w:marRight w:val="0"/>
      <w:marTop w:val="0"/>
      <w:marBottom w:val="0"/>
      <w:divBdr>
        <w:top w:val="none" w:sz="0" w:space="0" w:color="auto"/>
        <w:left w:val="none" w:sz="0" w:space="0" w:color="auto"/>
        <w:bottom w:val="none" w:sz="0" w:space="0" w:color="auto"/>
        <w:right w:val="none" w:sz="0" w:space="0" w:color="auto"/>
      </w:divBdr>
    </w:div>
    <w:div w:id="366836250">
      <w:bodyDiv w:val="1"/>
      <w:marLeft w:val="0"/>
      <w:marRight w:val="0"/>
      <w:marTop w:val="0"/>
      <w:marBottom w:val="0"/>
      <w:divBdr>
        <w:top w:val="none" w:sz="0" w:space="0" w:color="auto"/>
        <w:left w:val="none" w:sz="0" w:space="0" w:color="auto"/>
        <w:bottom w:val="none" w:sz="0" w:space="0" w:color="auto"/>
        <w:right w:val="none" w:sz="0" w:space="0" w:color="auto"/>
      </w:divBdr>
    </w:div>
    <w:div w:id="367992585">
      <w:bodyDiv w:val="1"/>
      <w:marLeft w:val="0"/>
      <w:marRight w:val="0"/>
      <w:marTop w:val="0"/>
      <w:marBottom w:val="0"/>
      <w:divBdr>
        <w:top w:val="none" w:sz="0" w:space="0" w:color="auto"/>
        <w:left w:val="none" w:sz="0" w:space="0" w:color="auto"/>
        <w:bottom w:val="none" w:sz="0" w:space="0" w:color="auto"/>
        <w:right w:val="none" w:sz="0" w:space="0" w:color="auto"/>
      </w:divBdr>
    </w:div>
    <w:div w:id="369646681">
      <w:bodyDiv w:val="1"/>
      <w:marLeft w:val="0"/>
      <w:marRight w:val="0"/>
      <w:marTop w:val="0"/>
      <w:marBottom w:val="0"/>
      <w:divBdr>
        <w:top w:val="none" w:sz="0" w:space="0" w:color="auto"/>
        <w:left w:val="none" w:sz="0" w:space="0" w:color="auto"/>
        <w:bottom w:val="none" w:sz="0" w:space="0" w:color="auto"/>
        <w:right w:val="none" w:sz="0" w:space="0" w:color="auto"/>
      </w:divBdr>
    </w:div>
    <w:div w:id="369843992">
      <w:bodyDiv w:val="1"/>
      <w:marLeft w:val="0"/>
      <w:marRight w:val="0"/>
      <w:marTop w:val="0"/>
      <w:marBottom w:val="0"/>
      <w:divBdr>
        <w:top w:val="none" w:sz="0" w:space="0" w:color="auto"/>
        <w:left w:val="none" w:sz="0" w:space="0" w:color="auto"/>
        <w:bottom w:val="none" w:sz="0" w:space="0" w:color="auto"/>
        <w:right w:val="none" w:sz="0" w:space="0" w:color="auto"/>
      </w:divBdr>
    </w:div>
    <w:div w:id="371344174">
      <w:bodyDiv w:val="1"/>
      <w:marLeft w:val="0"/>
      <w:marRight w:val="0"/>
      <w:marTop w:val="0"/>
      <w:marBottom w:val="0"/>
      <w:divBdr>
        <w:top w:val="none" w:sz="0" w:space="0" w:color="auto"/>
        <w:left w:val="none" w:sz="0" w:space="0" w:color="auto"/>
        <w:bottom w:val="none" w:sz="0" w:space="0" w:color="auto"/>
        <w:right w:val="none" w:sz="0" w:space="0" w:color="auto"/>
      </w:divBdr>
    </w:div>
    <w:div w:id="371658616">
      <w:bodyDiv w:val="1"/>
      <w:marLeft w:val="0"/>
      <w:marRight w:val="0"/>
      <w:marTop w:val="0"/>
      <w:marBottom w:val="0"/>
      <w:divBdr>
        <w:top w:val="none" w:sz="0" w:space="0" w:color="auto"/>
        <w:left w:val="none" w:sz="0" w:space="0" w:color="auto"/>
        <w:bottom w:val="none" w:sz="0" w:space="0" w:color="auto"/>
        <w:right w:val="none" w:sz="0" w:space="0" w:color="auto"/>
      </w:divBdr>
    </w:div>
    <w:div w:id="371805073">
      <w:bodyDiv w:val="1"/>
      <w:marLeft w:val="0"/>
      <w:marRight w:val="0"/>
      <w:marTop w:val="0"/>
      <w:marBottom w:val="0"/>
      <w:divBdr>
        <w:top w:val="none" w:sz="0" w:space="0" w:color="auto"/>
        <w:left w:val="none" w:sz="0" w:space="0" w:color="auto"/>
        <w:bottom w:val="none" w:sz="0" w:space="0" w:color="auto"/>
        <w:right w:val="none" w:sz="0" w:space="0" w:color="auto"/>
      </w:divBdr>
    </w:div>
    <w:div w:id="372196457">
      <w:bodyDiv w:val="1"/>
      <w:marLeft w:val="0"/>
      <w:marRight w:val="0"/>
      <w:marTop w:val="0"/>
      <w:marBottom w:val="0"/>
      <w:divBdr>
        <w:top w:val="none" w:sz="0" w:space="0" w:color="auto"/>
        <w:left w:val="none" w:sz="0" w:space="0" w:color="auto"/>
        <w:bottom w:val="none" w:sz="0" w:space="0" w:color="auto"/>
        <w:right w:val="none" w:sz="0" w:space="0" w:color="auto"/>
      </w:divBdr>
    </w:div>
    <w:div w:id="372777675">
      <w:bodyDiv w:val="1"/>
      <w:marLeft w:val="0"/>
      <w:marRight w:val="0"/>
      <w:marTop w:val="0"/>
      <w:marBottom w:val="0"/>
      <w:divBdr>
        <w:top w:val="none" w:sz="0" w:space="0" w:color="auto"/>
        <w:left w:val="none" w:sz="0" w:space="0" w:color="auto"/>
        <w:bottom w:val="none" w:sz="0" w:space="0" w:color="auto"/>
        <w:right w:val="none" w:sz="0" w:space="0" w:color="auto"/>
      </w:divBdr>
    </w:div>
    <w:div w:id="372777738">
      <w:bodyDiv w:val="1"/>
      <w:marLeft w:val="0"/>
      <w:marRight w:val="0"/>
      <w:marTop w:val="0"/>
      <w:marBottom w:val="0"/>
      <w:divBdr>
        <w:top w:val="none" w:sz="0" w:space="0" w:color="auto"/>
        <w:left w:val="none" w:sz="0" w:space="0" w:color="auto"/>
        <w:bottom w:val="none" w:sz="0" w:space="0" w:color="auto"/>
        <w:right w:val="none" w:sz="0" w:space="0" w:color="auto"/>
      </w:divBdr>
    </w:div>
    <w:div w:id="373426322">
      <w:bodyDiv w:val="1"/>
      <w:marLeft w:val="0"/>
      <w:marRight w:val="0"/>
      <w:marTop w:val="0"/>
      <w:marBottom w:val="0"/>
      <w:divBdr>
        <w:top w:val="none" w:sz="0" w:space="0" w:color="auto"/>
        <w:left w:val="none" w:sz="0" w:space="0" w:color="auto"/>
        <w:bottom w:val="none" w:sz="0" w:space="0" w:color="auto"/>
        <w:right w:val="none" w:sz="0" w:space="0" w:color="auto"/>
      </w:divBdr>
    </w:div>
    <w:div w:id="374279299">
      <w:bodyDiv w:val="1"/>
      <w:marLeft w:val="0"/>
      <w:marRight w:val="0"/>
      <w:marTop w:val="0"/>
      <w:marBottom w:val="0"/>
      <w:divBdr>
        <w:top w:val="none" w:sz="0" w:space="0" w:color="auto"/>
        <w:left w:val="none" w:sz="0" w:space="0" w:color="auto"/>
        <w:bottom w:val="none" w:sz="0" w:space="0" w:color="auto"/>
        <w:right w:val="none" w:sz="0" w:space="0" w:color="auto"/>
      </w:divBdr>
    </w:div>
    <w:div w:id="374935518">
      <w:bodyDiv w:val="1"/>
      <w:marLeft w:val="0"/>
      <w:marRight w:val="0"/>
      <w:marTop w:val="0"/>
      <w:marBottom w:val="0"/>
      <w:divBdr>
        <w:top w:val="none" w:sz="0" w:space="0" w:color="auto"/>
        <w:left w:val="none" w:sz="0" w:space="0" w:color="auto"/>
        <w:bottom w:val="none" w:sz="0" w:space="0" w:color="auto"/>
        <w:right w:val="none" w:sz="0" w:space="0" w:color="auto"/>
      </w:divBdr>
    </w:div>
    <w:div w:id="375663070">
      <w:bodyDiv w:val="1"/>
      <w:marLeft w:val="0"/>
      <w:marRight w:val="0"/>
      <w:marTop w:val="0"/>
      <w:marBottom w:val="0"/>
      <w:divBdr>
        <w:top w:val="none" w:sz="0" w:space="0" w:color="auto"/>
        <w:left w:val="none" w:sz="0" w:space="0" w:color="auto"/>
        <w:bottom w:val="none" w:sz="0" w:space="0" w:color="auto"/>
        <w:right w:val="none" w:sz="0" w:space="0" w:color="auto"/>
      </w:divBdr>
    </w:div>
    <w:div w:id="376199120">
      <w:bodyDiv w:val="1"/>
      <w:marLeft w:val="0"/>
      <w:marRight w:val="0"/>
      <w:marTop w:val="0"/>
      <w:marBottom w:val="0"/>
      <w:divBdr>
        <w:top w:val="none" w:sz="0" w:space="0" w:color="auto"/>
        <w:left w:val="none" w:sz="0" w:space="0" w:color="auto"/>
        <w:bottom w:val="none" w:sz="0" w:space="0" w:color="auto"/>
        <w:right w:val="none" w:sz="0" w:space="0" w:color="auto"/>
      </w:divBdr>
    </w:div>
    <w:div w:id="377248083">
      <w:bodyDiv w:val="1"/>
      <w:marLeft w:val="0"/>
      <w:marRight w:val="0"/>
      <w:marTop w:val="0"/>
      <w:marBottom w:val="0"/>
      <w:divBdr>
        <w:top w:val="none" w:sz="0" w:space="0" w:color="auto"/>
        <w:left w:val="none" w:sz="0" w:space="0" w:color="auto"/>
        <w:bottom w:val="none" w:sz="0" w:space="0" w:color="auto"/>
        <w:right w:val="none" w:sz="0" w:space="0" w:color="auto"/>
      </w:divBdr>
    </w:div>
    <w:div w:id="379092836">
      <w:bodyDiv w:val="1"/>
      <w:marLeft w:val="0"/>
      <w:marRight w:val="0"/>
      <w:marTop w:val="0"/>
      <w:marBottom w:val="0"/>
      <w:divBdr>
        <w:top w:val="none" w:sz="0" w:space="0" w:color="auto"/>
        <w:left w:val="none" w:sz="0" w:space="0" w:color="auto"/>
        <w:bottom w:val="none" w:sz="0" w:space="0" w:color="auto"/>
        <w:right w:val="none" w:sz="0" w:space="0" w:color="auto"/>
      </w:divBdr>
    </w:div>
    <w:div w:id="379519093">
      <w:bodyDiv w:val="1"/>
      <w:marLeft w:val="0"/>
      <w:marRight w:val="0"/>
      <w:marTop w:val="0"/>
      <w:marBottom w:val="0"/>
      <w:divBdr>
        <w:top w:val="none" w:sz="0" w:space="0" w:color="auto"/>
        <w:left w:val="none" w:sz="0" w:space="0" w:color="auto"/>
        <w:bottom w:val="none" w:sz="0" w:space="0" w:color="auto"/>
        <w:right w:val="none" w:sz="0" w:space="0" w:color="auto"/>
      </w:divBdr>
    </w:div>
    <w:div w:id="379596027">
      <w:bodyDiv w:val="1"/>
      <w:marLeft w:val="0"/>
      <w:marRight w:val="0"/>
      <w:marTop w:val="0"/>
      <w:marBottom w:val="0"/>
      <w:divBdr>
        <w:top w:val="none" w:sz="0" w:space="0" w:color="auto"/>
        <w:left w:val="none" w:sz="0" w:space="0" w:color="auto"/>
        <w:bottom w:val="none" w:sz="0" w:space="0" w:color="auto"/>
        <w:right w:val="none" w:sz="0" w:space="0" w:color="auto"/>
      </w:divBdr>
    </w:div>
    <w:div w:id="380253246">
      <w:bodyDiv w:val="1"/>
      <w:marLeft w:val="0"/>
      <w:marRight w:val="0"/>
      <w:marTop w:val="0"/>
      <w:marBottom w:val="0"/>
      <w:divBdr>
        <w:top w:val="none" w:sz="0" w:space="0" w:color="auto"/>
        <w:left w:val="none" w:sz="0" w:space="0" w:color="auto"/>
        <w:bottom w:val="none" w:sz="0" w:space="0" w:color="auto"/>
        <w:right w:val="none" w:sz="0" w:space="0" w:color="auto"/>
      </w:divBdr>
    </w:div>
    <w:div w:id="383332619">
      <w:bodyDiv w:val="1"/>
      <w:marLeft w:val="0"/>
      <w:marRight w:val="0"/>
      <w:marTop w:val="0"/>
      <w:marBottom w:val="0"/>
      <w:divBdr>
        <w:top w:val="none" w:sz="0" w:space="0" w:color="auto"/>
        <w:left w:val="none" w:sz="0" w:space="0" w:color="auto"/>
        <w:bottom w:val="none" w:sz="0" w:space="0" w:color="auto"/>
        <w:right w:val="none" w:sz="0" w:space="0" w:color="auto"/>
      </w:divBdr>
    </w:div>
    <w:div w:id="383678215">
      <w:bodyDiv w:val="1"/>
      <w:marLeft w:val="0"/>
      <w:marRight w:val="0"/>
      <w:marTop w:val="0"/>
      <w:marBottom w:val="0"/>
      <w:divBdr>
        <w:top w:val="none" w:sz="0" w:space="0" w:color="auto"/>
        <w:left w:val="none" w:sz="0" w:space="0" w:color="auto"/>
        <w:bottom w:val="none" w:sz="0" w:space="0" w:color="auto"/>
        <w:right w:val="none" w:sz="0" w:space="0" w:color="auto"/>
      </w:divBdr>
    </w:div>
    <w:div w:id="384069184">
      <w:bodyDiv w:val="1"/>
      <w:marLeft w:val="0"/>
      <w:marRight w:val="0"/>
      <w:marTop w:val="0"/>
      <w:marBottom w:val="0"/>
      <w:divBdr>
        <w:top w:val="none" w:sz="0" w:space="0" w:color="auto"/>
        <w:left w:val="none" w:sz="0" w:space="0" w:color="auto"/>
        <w:bottom w:val="none" w:sz="0" w:space="0" w:color="auto"/>
        <w:right w:val="none" w:sz="0" w:space="0" w:color="auto"/>
      </w:divBdr>
    </w:div>
    <w:div w:id="384529722">
      <w:bodyDiv w:val="1"/>
      <w:marLeft w:val="0"/>
      <w:marRight w:val="0"/>
      <w:marTop w:val="0"/>
      <w:marBottom w:val="0"/>
      <w:divBdr>
        <w:top w:val="none" w:sz="0" w:space="0" w:color="auto"/>
        <w:left w:val="none" w:sz="0" w:space="0" w:color="auto"/>
        <w:bottom w:val="none" w:sz="0" w:space="0" w:color="auto"/>
        <w:right w:val="none" w:sz="0" w:space="0" w:color="auto"/>
      </w:divBdr>
    </w:div>
    <w:div w:id="384917325">
      <w:bodyDiv w:val="1"/>
      <w:marLeft w:val="0"/>
      <w:marRight w:val="0"/>
      <w:marTop w:val="0"/>
      <w:marBottom w:val="0"/>
      <w:divBdr>
        <w:top w:val="none" w:sz="0" w:space="0" w:color="auto"/>
        <w:left w:val="none" w:sz="0" w:space="0" w:color="auto"/>
        <w:bottom w:val="none" w:sz="0" w:space="0" w:color="auto"/>
        <w:right w:val="none" w:sz="0" w:space="0" w:color="auto"/>
      </w:divBdr>
    </w:div>
    <w:div w:id="385222553">
      <w:bodyDiv w:val="1"/>
      <w:marLeft w:val="0"/>
      <w:marRight w:val="0"/>
      <w:marTop w:val="0"/>
      <w:marBottom w:val="0"/>
      <w:divBdr>
        <w:top w:val="none" w:sz="0" w:space="0" w:color="auto"/>
        <w:left w:val="none" w:sz="0" w:space="0" w:color="auto"/>
        <w:bottom w:val="none" w:sz="0" w:space="0" w:color="auto"/>
        <w:right w:val="none" w:sz="0" w:space="0" w:color="auto"/>
      </w:divBdr>
    </w:div>
    <w:div w:id="385299582">
      <w:bodyDiv w:val="1"/>
      <w:marLeft w:val="0"/>
      <w:marRight w:val="0"/>
      <w:marTop w:val="0"/>
      <w:marBottom w:val="0"/>
      <w:divBdr>
        <w:top w:val="none" w:sz="0" w:space="0" w:color="auto"/>
        <w:left w:val="none" w:sz="0" w:space="0" w:color="auto"/>
        <w:bottom w:val="none" w:sz="0" w:space="0" w:color="auto"/>
        <w:right w:val="none" w:sz="0" w:space="0" w:color="auto"/>
      </w:divBdr>
    </w:div>
    <w:div w:id="386296468">
      <w:bodyDiv w:val="1"/>
      <w:marLeft w:val="0"/>
      <w:marRight w:val="0"/>
      <w:marTop w:val="0"/>
      <w:marBottom w:val="0"/>
      <w:divBdr>
        <w:top w:val="none" w:sz="0" w:space="0" w:color="auto"/>
        <w:left w:val="none" w:sz="0" w:space="0" w:color="auto"/>
        <w:bottom w:val="none" w:sz="0" w:space="0" w:color="auto"/>
        <w:right w:val="none" w:sz="0" w:space="0" w:color="auto"/>
      </w:divBdr>
    </w:div>
    <w:div w:id="387344084">
      <w:bodyDiv w:val="1"/>
      <w:marLeft w:val="0"/>
      <w:marRight w:val="0"/>
      <w:marTop w:val="0"/>
      <w:marBottom w:val="0"/>
      <w:divBdr>
        <w:top w:val="none" w:sz="0" w:space="0" w:color="auto"/>
        <w:left w:val="none" w:sz="0" w:space="0" w:color="auto"/>
        <w:bottom w:val="none" w:sz="0" w:space="0" w:color="auto"/>
        <w:right w:val="none" w:sz="0" w:space="0" w:color="auto"/>
      </w:divBdr>
    </w:div>
    <w:div w:id="388044013">
      <w:bodyDiv w:val="1"/>
      <w:marLeft w:val="0"/>
      <w:marRight w:val="0"/>
      <w:marTop w:val="0"/>
      <w:marBottom w:val="0"/>
      <w:divBdr>
        <w:top w:val="none" w:sz="0" w:space="0" w:color="auto"/>
        <w:left w:val="none" w:sz="0" w:space="0" w:color="auto"/>
        <w:bottom w:val="none" w:sz="0" w:space="0" w:color="auto"/>
        <w:right w:val="none" w:sz="0" w:space="0" w:color="auto"/>
      </w:divBdr>
    </w:div>
    <w:div w:id="388379247">
      <w:bodyDiv w:val="1"/>
      <w:marLeft w:val="0"/>
      <w:marRight w:val="0"/>
      <w:marTop w:val="0"/>
      <w:marBottom w:val="0"/>
      <w:divBdr>
        <w:top w:val="none" w:sz="0" w:space="0" w:color="auto"/>
        <w:left w:val="none" w:sz="0" w:space="0" w:color="auto"/>
        <w:bottom w:val="none" w:sz="0" w:space="0" w:color="auto"/>
        <w:right w:val="none" w:sz="0" w:space="0" w:color="auto"/>
      </w:divBdr>
    </w:div>
    <w:div w:id="388647384">
      <w:bodyDiv w:val="1"/>
      <w:marLeft w:val="0"/>
      <w:marRight w:val="0"/>
      <w:marTop w:val="0"/>
      <w:marBottom w:val="0"/>
      <w:divBdr>
        <w:top w:val="none" w:sz="0" w:space="0" w:color="auto"/>
        <w:left w:val="none" w:sz="0" w:space="0" w:color="auto"/>
        <w:bottom w:val="none" w:sz="0" w:space="0" w:color="auto"/>
        <w:right w:val="none" w:sz="0" w:space="0" w:color="auto"/>
      </w:divBdr>
    </w:div>
    <w:div w:id="389424130">
      <w:bodyDiv w:val="1"/>
      <w:marLeft w:val="0"/>
      <w:marRight w:val="0"/>
      <w:marTop w:val="0"/>
      <w:marBottom w:val="0"/>
      <w:divBdr>
        <w:top w:val="none" w:sz="0" w:space="0" w:color="auto"/>
        <w:left w:val="none" w:sz="0" w:space="0" w:color="auto"/>
        <w:bottom w:val="none" w:sz="0" w:space="0" w:color="auto"/>
        <w:right w:val="none" w:sz="0" w:space="0" w:color="auto"/>
      </w:divBdr>
    </w:div>
    <w:div w:id="389429506">
      <w:bodyDiv w:val="1"/>
      <w:marLeft w:val="0"/>
      <w:marRight w:val="0"/>
      <w:marTop w:val="0"/>
      <w:marBottom w:val="0"/>
      <w:divBdr>
        <w:top w:val="none" w:sz="0" w:space="0" w:color="auto"/>
        <w:left w:val="none" w:sz="0" w:space="0" w:color="auto"/>
        <w:bottom w:val="none" w:sz="0" w:space="0" w:color="auto"/>
        <w:right w:val="none" w:sz="0" w:space="0" w:color="auto"/>
      </w:divBdr>
    </w:div>
    <w:div w:id="389695260">
      <w:bodyDiv w:val="1"/>
      <w:marLeft w:val="0"/>
      <w:marRight w:val="0"/>
      <w:marTop w:val="0"/>
      <w:marBottom w:val="0"/>
      <w:divBdr>
        <w:top w:val="none" w:sz="0" w:space="0" w:color="auto"/>
        <w:left w:val="none" w:sz="0" w:space="0" w:color="auto"/>
        <w:bottom w:val="none" w:sz="0" w:space="0" w:color="auto"/>
        <w:right w:val="none" w:sz="0" w:space="0" w:color="auto"/>
      </w:divBdr>
    </w:div>
    <w:div w:id="390932011">
      <w:bodyDiv w:val="1"/>
      <w:marLeft w:val="0"/>
      <w:marRight w:val="0"/>
      <w:marTop w:val="0"/>
      <w:marBottom w:val="0"/>
      <w:divBdr>
        <w:top w:val="none" w:sz="0" w:space="0" w:color="auto"/>
        <w:left w:val="none" w:sz="0" w:space="0" w:color="auto"/>
        <w:bottom w:val="none" w:sz="0" w:space="0" w:color="auto"/>
        <w:right w:val="none" w:sz="0" w:space="0" w:color="auto"/>
      </w:divBdr>
    </w:div>
    <w:div w:id="391657867">
      <w:bodyDiv w:val="1"/>
      <w:marLeft w:val="0"/>
      <w:marRight w:val="0"/>
      <w:marTop w:val="0"/>
      <w:marBottom w:val="0"/>
      <w:divBdr>
        <w:top w:val="none" w:sz="0" w:space="0" w:color="auto"/>
        <w:left w:val="none" w:sz="0" w:space="0" w:color="auto"/>
        <w:bottom w:val="none" w:sz="0" w:space="0" w:color="auto"/>
        <w:right w:val="none" w:sz="0" w:space="0" w:color="auto"/>
      </w:divBdr>
    </w:div>
    <w:div w:id="391929362">
      <w:bodyDiv w:val="1"/>
      <w:marLeft w:val="0"/>
      <w:marRight w:val="0"/>
      <w:marTop w:val="0"/>
      <w:marBottom w:val="0"/>
      <w:divBdr>
        <w:top w:val="none" w:sz="0" w:space="0" w:color="auto"/>
        <w:left w:val="none" w:sz="0" w:space="0" w:color="auto"/>
        <w:bottom w:val="none" w:sz="0" w:space="0" w:color="auto"/>
        <w:right w:val="none" w:sz="0" w:space="0" w:color="auto"/>
      </w:divBdr>
    </w:div>
    <w:div w:id="392582793">
      <w:bodyDiv w:val="1"/>
      <w:marLeft w:val="0"/>
      <w:marRight w:val="0"/>
      <w:marTop w:val="0"/>
      <w:marBottom w:val="0"/>
      <w:divBdr>
        <w:top w:val="none" w:sz="0" w:space="0" w:color="auto"/>
        <w:left w:val="none" w:sz="0" w:space="0" w:color="auto"/>
        <w:bottom w:val="none" w:sz="0" w:space="0" w:color="auto"/>
        <w:right w:val="none" w:sz="0" w:space="0" w:color="auto"/>
      </w:divBdr>
    </w:div>
    <w:div w:id="392630172">
      <w:bodyDiv w:val="1"/>
      <w:marLeft w:val="0"/>
      <w:marRight w:val="0"/>
      <w:marTop w:val="0"/>
      <w:marBottom w:val="0"/>
      <w:divBdr>
        <w:top w:val="none" w:sz="0" w:space="0" w:color="auto"/>
        <w:left w:val="none" w:sz="0" w:space="0" w:color="auto"/>
        <w:bottom w:val="none" w:sz="0" w:space="0" w:color="auto"/>
        <w:right w:val="none" w:sz="0" w:space="0" w:color="auto"/>
      </w:divBdr>
    </w:div>
    <w:div w:id="396704820">
      <w:bodyDiv w:val="1"/>
      <w:marLeft w:val="0"/>
      <w:marRight w:val="0"/>
      <w:marTop w:val="0"/>
      <w:marBottom w:val="0"/>
      <w:divBdr>
        <w:top w:val="none" w:sz="0" w:space="0" w:color="auto"/>
        <w:left w:val="none" w:sz="0" w:space="0" w:color="auto"/>
        <w:bottom w:val="none" w:sz="0" w:space="0" w:color="auto"/>
        <w:right w:val="none" w:sz="0" w:space="0" w:color="auto"/>
      </w:divBdr>
    </w:div>
    <w:div w:id="397362573">
      <w:bodyDiv w:val="1"/>
      <w:marLeft w:val="0"/>
      <w:marRight w:val="0"/>
      <w:marTop w:val="0"/>
      <w:marBottom w:val="0"/>
      <w:divBdr>
        <w:top w:val="none" w:sz="0" w:space="0" w:color="auto"/>
        <w:left w:val="none" w:sz="0" w:space="0" w:color="auto"/>
        <w:bottom w:val="none" w:sz="0" w:space="0" w:color="auto"/>
        <w:right w:val="none" w:sz="0" w:space="0" w:color="auto"/>
      </w:divBdr>
    </w:div>
    <w:div w:id="398284249">
      <w:bodyDiv w:val="1"/>
      <w:marLeft w:val="0"/>
      <w:marRight w:val="0"/>
      <w:marTop w:val="0"/>
      <w:marBottom w:val="0"/>
      <w:divBdr>
        <w:top w:val="none" w:sz="0" w:space="0" w:color="auto"/>
        <w:left w:val="none" w:sz="0" w:space="0" w:color="auto"/>
        <w:bottom w:val="none" w:sz="0" w:space="0" w:color="auto"/>
        <w:right w:val="none" w:sz="0" w:space="0" w:color="auto"/>
      </w:divBdr>
    </w:div>
    <w:div w:id="399209664">
      <w:bodyDiv w:val="1"/>
      <w:marLeft w:val="0"/>
      <w:marRight w:val="0"/>
      <w:marTop w:val="0"/>
      <w:marBottom w:val="0"/>
      <w:divBdr>
        <w:top w:val="none" w:sz="0" w:space="0" w:color="auto"/>
        <w:left w:val="none" w:sz="0" w:space="0" w:color="auto"/>
        <w:bottom w:val="none" w:sz="0" w:space="0" w:color="auto"/>
        <w:right w:val="none" w:sz="0" w:space="0" w:color="auto"/>
      </w:divBdr>
    </w:div>
    <w:div w:id="399255145">
      <w:bodyDiv w:val="1"/>
      <w:marLeft w:val="0"/>
      <w:marRight w:val="0"/>
      <w:marTop w:val="0"/>
      <w:marBottom w:val="0"/>
      <w:divBdr>
        <w:top w:val="none" w:sz="0" w:space="0" w:color="auto"/>
        <w:left w:val="none" w:sz="0" w:space="0" w:color="auto"/>
        <w:bottom w:val="none" w:sz="0" w:space="0" w:color="auto"/>
        <w:right w:val="none" w:sz="0" w:space="0" w:color="auto"/>
      </w:divBdr>
    </w:div>
    <w:div w:id="399594673">
      <w:bodyDiv w:val="1"/>
      <w:marLeft w:val="0"/>
      <w:marRight w:val="0"/>
      <w:marTop w:val="0"/>
      <w:marBottom w:val="0"/>
      <w:divBdr>
        <w:top w:val="none" w:sz="0" w:space="0" w:color="auto"/>
        <w:left w:val="none" w:sz="0" w:space="0" w:color="auto"/>
        <w:bottom w:val="none" w:sz="0" w:space="0" w:color="auto"/>
        <w:right w:val="none" w:sz="0" w:space="0" w:color="auto"/>
      </w:divBdr>
    </w:div>
    <w:div w:id="399671109">
      <w:bodyDiv w:val="1"/>
      <w:marLeft w:val="0"/>
      <w:marRight w:val="0"/>
      <w:marTop w:val="0"/>
      <w:marBottom w:val="0"/>
      <w:divBdr>
        <w:top w:val="none" w:sz="0" w:space="0" w:color="auto"/>
        <w:left w:val="none" w:sz="0" w:space="0" w:color="auto"/>
        <w:bottom w:val="none" w:sz="0" w:space="0" w:color="auto"/>
        <w:right w:val="none" w:sz="0" w:space="0" w:color="auto"/>
      </w:divBdr>
    </w:div>
    <w:div w:id="400059739">
      <w:bodyDiv w:val="1"/>
      <w:marLeft w:val="0"/>
      <w:marRight w:val="0"/>
      <w:marTop w:val="0"/>
      <w:marBottom w:val="0"/>
      <w:divBdr>
        <w:top w:val="none" w:sz="0" w:space="0" w:color="auto"/>
        <w:left w:val="none" w:sz="0" w:space="0" w:color="auto"/>
        <w:bottom w:val="none" w:sz="0" w:space="0" w:color="auto"/>
        <w:right w:val="none" w:sz="0" w:space="0" w:color="auto"/>
      </w:divBdr>
    </w:div>
    <w:div w:id="401099869">
      <w:bodyDiv w:val="1"/>
      <w:marLeft w:val="0"/>
      <w:marRight w:val="0"/>
      <w:marTop w:val="0"/>
      <w:marBottom w:val="0"/>
      <w:divBdr>
        <w:top w:val="none" w:sz="0" w:space="0" w:color="auto"/>
        <w:left w:val="none" w:sz="0" w:space="0" w:color="auto"/>
        <w:bottom w:val="none" w:sz="0" w:space="0" w:color="auto"/>
        <w:right w:val="none" w:sz="0" w:space="0" w:color="auto"/>
      </w:divBdr>
    </w:div>
    <w:div w:id="404114034">
      <w:bodyDiv w:val="1"/>
      <w:marLeft w:val="0"/>
      <w:marRight w:val="0"/>
      <w:marTop w:val="0"/>
      <w:marBottom w:val="0"/>
      <w:divBdr>
        <w:top w:val="none" w:sz="0" w:space="0" w:color="auto"/>
        <w:left w:val="none" w:sz="0" w:space="0" w:color="auto"/>
        <w:bottom w:val="none" w:sz="0" w:space="0" w:color="auto"/>
        <w:right w:val="none" w:sz="0" w:space="0" w:color="auto"/>
      </w:divBdr>
    </w:div>
    <w:div w:id="404380534">
      <w:bodyDiv w:val="1"/>
      <w:marLeft w:val="0"/>
      <w:marRight w:val="0"/>
      <w:marTop w:val="0"/>
      <w:marBottom w:val="0"/>
      <w:divBdr>
        <w:top w:val="none" w:sz="0" w:space="0" w:color="auto"/>
        <w:left w:val="none" w:sz="0" w:space="0" w:color="auto"/>
        <w:bottom w:val="none" w:sz="0" w:space="0" w:color="auto"/>
        <w:right w:val="none" w:sz="0" w:space="0" w:color="auto"/>
      </w:divBdr>
    </w:div>
    <w:div w:id="405154044">
      <w:bodyDiv w:val="1"/>
      <w:marLeft w:val="0"/>
      <w:marRight w:val="0"/>
      <w:marTop w:val="0"/>
      <w:marBottom w:val="0"/>
      <w:divBdr>
        <w:top w:val="none" w:sz="0" w:space="0" w:color="auto"/>
        <w:left w:val="none" w:sz="0" w:space="0" w:color="auto"/>
        <w:bottom w:val="none" w:sz="0" w:space="0" w:color="auto"/>
        <w:right w:val="none" w:sz="0" w:space="0" w:color="auto"/>
      </w:divBdr>
    </w:div>
    <w:div w:id="405733808">
      <w:bodyDiv w:val="1"/>
      <w:marLeft w:val="0"/>
      <w:marRight w:val="0"/>
      <w:marTop w:val="0"/>
      <w:marBottom w:val="0"/>
      <w:divBdr>
        <w:top w:val="none" w:sz="0" w:space="0" w:color="auto"/>
        <w:left w:val="none" w:sz="0" w:space="0" w:color="auto"/>
        <w:bottom w:val="none" w:sz="0" w:space="0" w:color="auto"/>
        <w:right w:val="none" w:sz="0" w:space="0" w:color="auto"/>
      </w:divBdr>
    </w:div>
    <w:div w:id="405881421">
      <w:bodyDiv w:val="1"/>
      <w:marLeft w:val="0"/>
      <w:marRight w:val="0"/>
      <w:marTop w:val="0"/>
      <w:marBottom w:val="0"/>
      <w:divBdr>
        <w:top w:val="none" w:sz="0" w:space="0" w:color="auto"/>
        <w:left w:val="none" w:sz="0" w:space="0" w:color="auto"/>
        <w:bottom w:val="none" w:sz="0" w:space="0" w:color="auto"/>
        <w:right w:val="none" w:sz="0" w:space="0" w:color="auto"/>
      </w:divBdr>
    </w:div>
    <w:div w:id="407308810">
      <w:bodyDiv w:val="1"/>
      <w:marLeft w:val="0"/>
      <w:marRight w:val="0"/>
      <w:marTop w:val="0"/>
      <w:marBottom w:val="0"/>
      <w:divBdr>
        <w:top w:val="none" w:sz="0" w:space="0" w:color="auto"/>
        <w:left w:val="none" w:sz="0" w:space="0" w:color="auto"/>
        <w:bottom w:val="none" w:sz="0" w:space="0" w:color="auto"/>
        <w:right w:val="none" w:sz="0" w:space="0" w:color="auto"/>
      </w:divBdr>
    </w:div>
    <w:div w:id="407506631">
      <w:bodyDiv w:val="1"/>
      <w:marLeft w:val="0"/>
      <w:marRight w:val="0"/>
      <w:marTop w:val="0"/>
      <w:marBottom w:val="0"/>
      <w:divBdr>
        <w:top w:val="none" w:sz="0" w:space="0" w:color="auto"/>
        <w:left w:val="none" w:sz="0" w:space="0" w:color="auto"/>
        <w:bottom w:val="none" w:sz="0" w:space="0" w:color="auto"/>
        <w:right w:val="none" w:sz="0" w:space="0" w:color="auto"/>
      </w:divBdr>
    </w:div>
    <w:div w:id="407658024">
      <w:bodyDiv w:val="1"/>
      <w:marLeft w:val="0"/>
      <w:marRight w:val="0"/>
      <w:marTop w:val="0"/>
      <w:marBottom w:val="0"/>
      <w:divBdr>
        <w:top w:val="none" w:sz="0" w:space="0" w:color="auto"/>
        <w:left w:val="none" w:sz="0" w:space="0" w:color="auto"/>
        <w:bottom w:val="none" w:sz="0" w:space="0" w:color="auto"/>
        <w:right w:val="none" w:sz="0" w:space="0" w:color="auto"/>
      </w:divBdr>
    </w:div>
    <w:div w:id="410279434">
      <w:bodyDiv w:val="1"/>
      <w:marLeft w:val="0"/>
      <w:marRight w:val="0"/>
      <w:marTop w:val="0"/>
      <w:marBottom w:val="0"/>
      <w:divBdr>
        <w:top w:val="none" w:sz="0" w:space="0" w:color="auto"/>
        <w:left w:val="none" w:sz="0" w:space="0" w:color="auto"/>
        <w:bottom w:val="none" w:sz="0" w:space="0" w:color="auto"/>
        <w:right w:val="none" w:sz="0" w:space="0" w:color="auto"/>
      </w:divBdr>
    </w:div>
    <w:div w:id="410978026">
      <w:bodyDiv w:val="1"/>
      <w:marLeft w:val="0"/>
      <w:marRight w:val="0"/>
      <w:marTop w:val="0"/>
      <w:marBottom w:val="0"/>
      <w:divBdr>
        <w:top w:val="none" w:sz="0" w:space="0" w:color="auto"/>
        <w:left w:val="none" w:sz="0" w:space="0" w:color="auto"/>
        <w:bottom w:val="none" w:sz="0" w:space="0" w:color="auto"/>
        <w:right w:val="none" w:sz="0" w:space="0" w:color="auto"/>
      </w:divBdr>
    </w:div>
    <w:div w:id="412236889">
      <w:bodyDiv w:val="1"/>
      <w:marLeft w:val="0"/>
      <w:marRight w:val="0"/>
      <w:marTop w:val="0"/>
      <w:marBottom w:val="0"/>
      <w:divBdr>
        <w:top w:val="none" w:sz="0" w:space="0" w:color="auto"/>
        <w:left w:val="none" w:sz="0" w:space="0" w:color="auto"/>
        <w:bottom w:val="none" w:sz="0" w:space="0" w:color="auto"/>
        <w:right w:val="none" w:sz="0" w:space="0" w:color="auto"/>
      </w:divBdr>
    </w:div>
    <w:div w:id="413013755">
      <w:bodyDiv w:val="1"/>
      <w:marLeft w:val="0"/>
      <w:marRight w:val="0"/>
      <w:marTop w:val="0"/>
      <w:marBottom w:val="0"/>
      <w:divBdr>
        <w:top w:val="none" w:sz="0" w:space="0" w:color="auto"/>
        <w:left w:val="none" w:sz="0" w:space="0" w:color="auto"/>
        <w:bottom w:val="none" w:sz="0" w:space="0" w:color="auto"/>
        <w:right w:val="none" w:sz="0" w:space="0" w:color="auto"/>
      </w:divBdr>
    </w:div>
    <w:div w:id="414015339">
      <w:bodyDiv w:val="1"/>
      <w:marLeft w:val="0"/>
      <w:marRight w:val="0"/>
      <w:marTop w:val="0"/>
      <w:marBottom w:val="0"/>
      <w:divBdr>
        <w:top w:val="none" w:sz="0" w:space="0" w:color="auto"/>
        <w:left w:val="none" w:sz="0" w:space="0" w:color="auto"/>
        <w:bottom w:val="none" w:sz="0" w:space="0" w:color="auto"/>
        <w:right w:val="none" w:sz="0" w:space="0" w:color="auto"/>
      </w:divBdr>
    </w:div>
    <w:div w:id="416906813">
      <w:bodyDiv w:val="1"/>
      <w:marLeft w:val="0"/>
      <w:marRight w:val="0"/>
      <w:marTop w:val="0"/>
      <w:marBottom w:val="0"/>
      <w:divBdr>
        <w:top w:val="none" w:sz="0" w:space="0" w:color="auto"/>
        <w:left w:val="none" w:sz="0" w:space="0" w:color="auto"/>
        <w:bottom w:val="none" w:sz="0" w:space="0" w:color="auto"/>
        <w:right w:val="none" w:sz="0" w:space="0" w:color="auto"/>
      </w:divBdr>
    </w:div>
    <w:div w:id="417865760">
      <w:bodyDiv w:val="1"/>
      <w:marLeft w:val="0"/>
      <w:marRight w:val="0"/>
      <w:marTop w:val="0"/>
      <w:marBottom w:val="0"/>
      <w:divBdr>
        <w:top w:val="none" w:sz="0" w:space="0" w:color="auto"/>
        <w:left w:val="none" w:sz="0" w:space="0" w:color="auto"/>
        <w:bottom w:val="none" w:sz="0" w:space="0" w:color="auto"/>
        <w:right w:val="none" w:sz="0" w:space="0" w:color="auto"/>
      </w:divBdr>
    </w:div>
    <w:div w:id="417949818">
      <w:bodyDiv w:val="1"/>
      <w:marLeft w:val="0"/>
      <w:marRight w:val="0"/>
      <w:marTop w:val="0"/>
      <w:marBottom w:val="0"/>
      <w:divBdr>
        <w:top w:val="none" w:sz="0" w:space="0" w:color="auto"/>
        <w:left w:val="none" w:sz="0" w:space="0" w:color="auto"/>
        <w:bottom w:val="none" w:sz="0" w:space="0" w:color="auto"/>
        <w:right w:val="none" w:sz="0" w:space="0" w:color="auto"/>
      </w:divBdr>
    </w:div>
    <w:div w:id="417988985">
      <w:bodyDiv w:val="1"/>
      <w:marLeft w:val="0"/>
      <w:marRight w:val="0"/>
      <w:marTop w:val="0"/>
      <w:marBottom w:val="0"/>
      <w:divBdr>
        <w:top w:val="none" w:sz="0" w:space="0" w:color="auto"/>
        <w:left w:val="none" w:sz="0" w:space="0" w:color="auto"/>
        <w:bottom w:val="none" w:sz="0" w:space="0" w:color="auto"/>
        <w:right w:val="none" w:sz="0" w:space="0" w:color="auto"/>
      </w:divBdr>
    </w:div>
    <w:div w:id="419301633">
      <w:bodyDiv w:val="1"/>
      <w:marLeft w:val="0"/>
      <w:marRight w:val="0"/>
      <w:marTop w:val="0"/>
      <w:marBottom w:val="0"/>
      <w:divBdr>
        <w:top w:val="none" w:sz="0" w:space="0" w:color="auto"/>
        <w:left w:val="none" w:sz="0" w:space="0" w:color="auto"/>
        <w:bottom w:val="none" w:sz="0" w:space="0" w:color="auto"/>
        <w:right w:val="none" w:sz="0" w:space="0" w:color="auto"/>
      </w:divBdr>
    </w:div>
    <w:div w:id="419521876">
      <w:bodyDiv w:val="1"/>
      <w:marLeft w:val="0"/>
      <w:marRight w:val="0"/>
      <w:marTop w:val="0"/>
      <w:marBottom w:val="0"/>
      <w:divBdr>
        <w:top w:val="none" w:sz="0" w:space="0" w:color="auto"/>
        <w:left w:val="none" w:sz="0" w:space="0" w:color="auto"/>
        <w:bottom w:val="none" w:sz="0" w:space="0" w:color="auto"/>
        <w:right w:val="none" w:sz="0" w:space="0" w:color="auto"/>
      </w:divBdr>
    </w:div>
    <w:div w:id="421535763">
      <w:bodyDiv w:val="1"/>
      <w:marLeft w:val="0"/>
      <w:marRight w:val="0"/>
      <w:marTop w:val="0"/>
      <w:marBottom w:val="0"/>
      <w:divBdr>
        <w:top w:val="none" w:sz="0" w:space="0" w:color="auto"/>
        <w:left w:val="none" w:sz="0" w:space="0" w:color="auto"/>
        <w:bottom w:val="none" w:sz="0" w:space="0" w:color="auto"/>
        <w:right w:val="none" w:sz="0" w:space="0" w:color="auto"/>
      </w:divBdr>
    </w:div>
    <w:div w:id="421724296">
      <w:bodyDiv w:val="1"/>
      <w:marLeft w:val="0"/>
      <w:marRight w:val="0"/>
      <w:marTop w:val="0"/>
      <w:marBottom w:val="0"/>
      <w:divBdr>
        <w:top w:val="none" w:sz="0" w:space="0" w:color="auto"/>
        <w:left w:val="none" w:sz="0" w:space="0" w:color="auto"/>
        <w:bottom w:val="none" w:sz="0" w:space="0" w:color="auto"/>
        <w:right w:val="none" w:sz="0" w:space="0" w:color="auto"/>
      </w:divBdr>
    </w:div>
    <w:div w:id="421996584">
      <w:bodyDiv w:val="1"/>
      <w:marLeft w:val="0"/>
      <w:marRight w:val="0"/>
      <w:marTop w:val="0"/>
      <w:marBottom w:val="0"/>
      <w:divBdr>
        <w:top w:val="none" w:sz="0" w:space="0" w:color="auto"/>
        <w:left w:val="none" w:sz="0" w:space="0" w:color="auto"/>
        <w:bottom w:val="none" w:sz="0" w:space="0" w:color="auto"/>
        <w:right w:val="none" w:sz="0" w:space="0" w:color="auto"/>
      </w:divBdr>
    </w:div>
    <w:div w:id="422336009">
      <w:bodyDiv w:val="1"/>
      <w:marLeft w:val="0"/>
      <w:marRight w:val="0"/>
      <w:marTop w:val="0"/>
      <w:marBottom w:val="0"/>
      <w:divBdr>
        <w:top w:val="none" w:sz="0" w:space="0" w:color="auto"/>
        <w:left w:val="none" w:sz="0" w:space="0" w:color="auto"/>
        <w:bottom w:val="none" w:sz="0" w:space="0" w:color="auto"/>
        <w:right w:val="none" w:sz="0" w:space="0" w:color="auto"/>
      </w:divBdr>
    </w:div>
    <w:div w:id="423838371">
      <w:bodyDiv w:val="1"/>
      <w:marLeft w:val="0"/>
      <w:marRight w:val="0"/>
      <w:marTop w:val="0"/>
      <w:marBottom w:val="0"/>
      <w:divBdr>
        <w:top w:val="none" w:sz="0" w:space="0" w:color="auto"/>
        <w:left w:val="none" w:sz="0" w:space="0" w:color="auto"/>
        <w:bottom w:val="none" w:sz="0" w:space="0" w:color="auto"/>
        <w:right w:val="none" w:sz="0" w:space="0" w:color="auto"/>
      </w:divBdr>
    </w:div>
    <w:div w:id="423890427">
      <w:bodyDiv w:val="1"/>
      <w:marLeft w:val="0"/>
      <w:marRight w:val="0"/>
      <w:marTop w:val="0"/>
      <w:marBottom w:val="0"/>
      <w:divBdr>
        <w:top w:val="none" w:sz="0" w:space="0" w:color="auto"/>
        <w:left w:val="none" w:sz="0" w:space="0" w:color="auto"/>
        <w:bottom w:val="none" w:sz="0" w:space="0" w:color="auto"/>
        <w:right w:val="none" w:sz="0" w:space="0" w:color="auto"/>
      </w:divBdr>
    </w:div>
    <w:div w:id="424377465">
      <w:bodyDiv w:val="1"/>
      <w:marLeft w:val="0"/>
      <w:marRight w:val="0"/>
      <w:marTop w:val="0"/>
      <w:marBottom w:val="0"/>
      <w:divBdr>
        <w:top w:val="none" w:sz="0" w:space="0" w:color="auto"/>
        <w:left w:val="none" w:sz="0" w:space="0" w:color="auto"/>
        <w:bottom w:val="none" w:sz="0" w:space="0" w:color="auto"/>
        <w:right w:val="none" w:sz="0" w:space="0" w:color="auto"/>
      </w:divBdr>
    </w:div>
    <w:div w:id="424612894">
      <w:bodyDiv w:val="1"/>
      <w:marLeft w:val="0"/>
      <w:marRight w:val="0"/>
      <w:marTop w:val="0"/>
      <w:marBottom w:val="0"/>
      <w:divBdr>
        <w:top w:val="none" w:sz="0" w:space="0" w:color="auto"/>
        <w:left w:val="none" w:sz="0" w:space="0" w:color="auto"/>
        <w:bottom w:val="none" w:sz="0" w:space="0" w:color="auto"/>
        <w:right w:val="none" w:sz="0" w:space="0" w:color="auto"/>
      </w:divBdr>
    </w:div>
    <w:div w:id="424807955">
      <w:bodyDiv w:val="1"/>
      <w:marLeft w:val="0"/>
      <w:marRight w:val="0"/>
      <w:marTop w:val="0"/>
      <w:marBottom w:val="0"/>
      <w:divBdr>
        <w:top w:val="none" w:sz="0" w:space="0" w:color="auto"/>
        <w:left w:val="none" w:sz="0" w:space="0" w:color="auto"/>
        <w:bottom w:val="none" w:sz="0" w:space="0" w:color="auto"/>
        <w:right w:val="none" w:sz="0" w:space="0" w:color="auto"/>
      </w:divBdr>
    </w:div>
    <w:div w:id="425465383">
      <w:bodyDiv w:val="1"/>
      <w:marLeft w:val="0"/>
      <w:marRight w:val="0"/>
      <w:marTop w:val="0"/>
      <w:marBottom w:val="0"/>
      <w:divBdr>
        <w:top w:val="none" w:sz="0" w:space="0" w:color="auto"/>
        <w:left w:val="none" w:sz="0" w:space="0" w:color="auto"/>
        <w:bottom w:val="none" w:sz="0" w:space="0" w:color="auto"/>
        <w:right w:val="none" w:sz="0" w:space="0" w:color="auto"/>
      </w:divBdr>
    </w:div>
    <w:div w:id="427192977">
      <w:bodyDiv w:val="1"/>
      <w:marLeft w:val="0"/>
      <w:marRight w:val="0"/>
      <w:marTop w:val="0"/>
      <w:marBottom w:val="0"/>
      <w:divBdr>
        <w:top w:val="none" w:sz="0" w:space="0" w:color="auto"/>
        <w:left w:val="none" w:sz="0" w:space="0" w:color="auto"/>
        <w:bottom w:val="none" w:sz="0" w:space="0" w:color="auto"/>
        <w:right w:val="none" w:sz="0" w:space="0" w:color="auto"/>
      </w:divBdr>
    </w:div>
    <w:div w:id="427312324">
      <w:bodyDiv w:val="1"/>
      <w:marLeft w:val="0"/>
      <w:marRight w:val="0"/>
      <w:marTop w:val="0"/>
      <w:marBottom w:val="0"/>
      <w:divBdr>
        <w:top w:val="none" w:sz="0" w:space="0" w:color="auto"/>
        <w:left w:val="none" w:sz="0" w:space="0" w:color="auto"/>
        <w:bottom w:val="none" w:sz="0" w:space="0" w:color="auto"/>
        <w:right w:val="none" w:sz="0" w:space="0" w:color="auto"/>
      </w:divBdr>
    </w:div>
    <w:div w:id="427384583">
      <w:bodyDiv w:val="1"/>
      <w:marLeft w:val="0"/>
      <w:marRight w:val="0"/>
      <w:marTop w:val="0"/>
      <w:marBottom w:val="0"/>
      <w:divBdr>
        <w:top w:val="none" w:sz="0" w:space="0" w:color="auto"/>
        <w:left w:val="none" w:sz="0" w:space="0" w:color="auto"/>
        <w:bottom w:val="none" w:sz="0" w:space="0" w:color="auto"/>
        <w:right w:val="none" w:sz="0" w:space="0" w:color="auto"/>
      </w:divBdr>
    </w:div>
    <w:div w:id="427507064">
      <w:bodyDiv w:val="1"/>
      <w:marLeft w:val="0"/>
      <w:marRight w:val="0"/>
      <w:marTop w:val="0"/>
      <w:marBottom w:val="0"/>
      <w:divBdr>
        <w:top w:val="none" w:sz="0" w:space="0" w:color="auto"/>
        <w:left w:val="none" w:sz="0" w:space="0" w:color="auto"/>
        <w:bottom w:val="none" w:sz="0" w:space="0" w:color="auto"/>
        <w:right w:val="none" w:sz="0" w:space="0" w:color="auto"/>
      </w:divBdr>
    </w:div>
    <w:div w:id="428431404">
      <w:bodyDiv w:val="1"/>
      <w:marLeft w:val="0"/>
      <w:marRight w:val="0"/>
      <w:marTop w:val="0"/>
      <w:marBottom w:val="0"/>
      <w:divBdr>
        <w:top w:val="none" w:sz="0" w:space="0" w:color="auto"/>
        <w:left w:val="none" w:sz="0" w:space="0" w:color="auto"/>
        <w:bottom w:val="none" w:sz="0" w:space="0" w:color="auto"/>
        <w:right w:val="none" w:sz="0" w:space="0" w:color="auto"/>
      </w:divBdr>
    </w:div>
    <w:div w:id="428694691">
      <w:bodyDiv w:val="1"/>
      <w:marLeft w:val="0"/>
      <w:marRight w:val="0"/>
      <w:marTop w:val="0"/>
      <w:marBottom w:val="0"/>
      <w:divBdr>
        <w:top w:val="none" w:sz="0" w:space="0" w:color="auto"/>
        <w:left w:val="none" w:sz="0" w:space="0" w:color="auto"/>
        <w:bottom w:val="none" w:sz="0" w:space="0" w:color="auto"/>
        <w:right w:val="none" w:sz="0" w:space="0" w:color="auto"/>
      </w:divBdr>
    </w:div>
    <w:div w:id="429742595">
      <w:bodyDiv w:val="1"/>
      <w:marLeft w:val="0"/>
      <w:marRight w:val="0"/>
      <w:marTop w:val="0"/>
      <w:marBottom w:val="0"/>
      <w:divBdr>
        <w:top w:val="none" w:sz="0" w:space="0" w:color="auto"/>
        <w:left w:val="none" w:sz="0" w:space="0" w:color="auto"/>
        <w:bottom w:val="none" w:sz="0" w:space="0" w:color="auto"/>
        <w:right w:val="none" w:sz="0" w:space="0" w:color="auto"/>
      </w:divBdr>
    </w:div>
    <w:div w:id="431172041">
      <w:bodyDiv w:val="1"/>
      <w:marLeft w:val="0"/>
      <w:marRight w:val="0"/>
      <w:marTop w:val="0"/>
      <w:marBottom w:val="0"/>
      <w:divBdr>
        <w:top w:val="none" w:sz="0" w:space="0" w:color="auto"/>
        <w:left w:val="none" w:sz="0" w:space="0" w:color="auto"/>
        <w:bottom w:val="none" w:sz="0" w:space="0" w:color="auto"/>
        <w:right w:val="none" w:sz="0" w:space="0" w:color="auto"/>
      </w:divBdr>
    </w:div>
    <w:div w:id="431516167">
      <w:bodyDiv w:val="1"/>
      <w:marLeft w:val="0"/>
      <w:marRight w:val="0"/>
      <w:marTop w:val="0"/>
      <w:marBottom w:val="0"/>
      <w:divBdr>
        <w:top w:val="none" w:sz="0" w:space="0" w:color="auto"/>
        <w:left w:val="none" w:sz="0" w:space="0" w:color="auto"/>
        <w:bottom w:val="none" w:sz="0" w:space="0" w:color="auto"/>
        <w:right w:val="none" w:sz="0" w:space="0" w:color="auto"/>
      </w:divBdr>
    </w:div>
    <w:div w:id="431821065">
      <w:bodyDiv w:val="1"/>
      <w:marLeft w:val="0"/>
      <w:marRight w:val="0"/>
      <w:marTop w:val="0"/>
      <w:marBottom w:val="0"/>
      <w:divBdr>
        <w:top w:val="none" w:sz="0" w:space="0" w:color="auto"/>
        <w:left w:val="none" w:sz="0" w:space="0" w:color="auto"/>
        <w:bottom w:val="none" w:sz="0" w:space="0" w:color="auto"/>
        <w:right w:val="none" w:sz="0" w:space="0" w:color="auto"/>
      </w:divBdr>
    </w:div>
    <w:div w:id="432241350">
      <w:bodyDiv w:val="1"/>
      <w:marLeft w:val="0"/>
      <w:marRight w:val="0"/>
      <w:marTop w:val="0"/>
      <w:marBottom w:val="0"/>
      <w:divBdr>
        <w:top w:val="none" w:sz="0" w:space="0" w:color="auto"/>
        <w:left w:val="none" w:sz="0" w:space="0" w:color="auto"/>
        <w:bottom w:val="none" w:sz="0" w:space="0" w:color="auto"/>
        <w:right w:val="none" w:sz="0" w:space="0" w:color="auto"/>
      </w:divBdr>
    </w:div>
    <w:div w:id="432749693">
      <w:bodyDiv w:val="1"/>
      <w:marLeft w:val="0"/>
      <w:marRight w:val="0"/>
      <w:marTop w:val="0"/>
      <w:marBottom w:val="0"/>
      <w:divBdr>
        <w:top w:val="none" w:sz="0" w:space="0" w:color="auto"/>
        <w:left w:val="none" w:sz="0" w:space="0" w:color="auto"/>
        <w:bottom w:val="none" w:sz="0" w:space="0" w:color="auto"/>
        <w:right w:val="none" w:sz="0" w:space="0" w:color="auto"/>
      </w:divBdr>
    </w:div>
    <w:div w:id="433092617">
      <w:bodyDiv w:val="1"/>
      <w:marLeft w:val="0"/>
      <w:marRight w:val="0"/>
      <w:marTop w:val="0"/>
      <w:marBottom w:val="0"/>
      <w:divBdr>
        <w:top w:val="none" w:sz="0" w:space="0" w:color="auto"/>
        <w:left w:val="none" w:sz="0" w:space="0" w:color="auto"/>
        <w:bottom w:val="none" w:sz="0" w:space="0" w:color="auto"/>
        <w:right w:val="none" w:sz="0" w:space="0" w:color="auto"/>
      </w:divBdr>
    </w:div>
    <w:div w:id="433134815">
      <w:bodyDiv w:val="1"/>
      <w:marLeft w:val="0"/>
      <w:marRight w:val="0"/>
      <w:marTop w:val="0"/>
      <w:marBottom w:val="0"/>
      <w:divBdr>
        <w:top w:val="none" w:sz="0" w:space="0" w:color="auto"/>
        <w:left w:val="none" w:sz="0" w:space="0" w:color="auto"/>
        <w:bottom w:val="none" w:sz="0" w:space="0" w:color="auto"/>
        <w:right w:val="none" w:sz="0" w:space="0" w:color="auto"/>
      </w:divBdr>
    </w:div>
    <w:div w:id="433477465">
      <w:bodyDiv w:val="1"/>
      <w:marLeft w:val="0"/>
      <w:marRight w:val="0"/>
      <w:marTop w:val="0"/>
      <w:marBottom w:val="0"/>
      <w:divBdr>
        <w:top w:val="none" w:sz="0" w:space="0" w:color="auto"/>
        <w:left w:val="none" w:sz="0" w:space="0" w:color="auto"/>
        <w:bottom w:val="none" w:sz="0" w:space="0" w:color="auto"/>
        <w:right w:val="none" w:sz="0" w:space="0" w:color="auto"/>
      </w:divBdr>
    </w:div>
    <w:div w:id="433979689">
      <w:bodyDiv w:val="1"/>
      <w:marLeft w:val="0"/>
      <w:marRight w:val="0"/>
      <w:marTop w:val="0"/>
      <w:marBottom w:val="0"/>
      <w:divBdr>
        <w:top w:val="none" w:sz="0" w:space="0" w:color="auto"/>
        <w:left w:val="none" w:sz="0" w:space="0" w:color="auto"/>
        <w:bottom w:val="none" w:sz="0" w:space="0" w:color="auto"/>
        <w:right w:val="none" w:sz="0" w:space="0" w:color="auto"/>
      </w:divBdr>
    </w:div>
    <w:div w:id="434254832">
      <w:bodyDiv w:val="1"/>
      <w:marLeft w:val="0"/>
      <w:marRight w:val="0"/>
      <w:marTop w:val="0"/>
      <w:marBottom w:val="0"/>
      <w:divBdr>
        <w:top w:val="none" w:sz="0" w:space="0" w:color="auto"/>
        <w:left w:val="none" w:sz="0" w:space="0" w:color="auto"/>
        <w:bottom w:val="none" w:sz="0" w:space="0" w:color="auto"/>
        <w:right w:val="none" w:sz="0" w:space="0" w:color="auto"/>
      </w:divBdr>
    </w:div>
    <w:div w:id="434401465">
      <w:bodyDiv w:val="1"/>
      <w:marLeft w:val="0"/>
      <w:marRight w:val="0"/>
      <w:marTop w:val="0"/>
      <w:marBottom w:val="0"/>
      <w:divBdr>
        <w:top w:val="none" w:sz="0" w:space="0" w:color="auto"/>
        <w:left w:val="none" w:sz="0" w:space="0" w:color="auto"/>
        <w:bottom w:val="none" w:sz="0" w:space="0" w:color="auto"/>
        <w:right w:val="none" w:sz="0" w:space="0" w:color="auto"/>
      </w:divBdr>
    </w:div>
    <w:div w:id="436759878">
      <w:bodyDiv w:val="1"/>
      <w:marLeft w:val="0"/>
      <w:marRight w:val="0"/>
      <w:marTop w:val="0"/>
      <w:marBottom w:val="0"/>
      <w:divBdr>
        <w:top w:val="none" w:sz="0" w:space="0" w:color="auto"/>
        <w:left w:val="none" w:sz="0" w:space="0" w:color="auto"/>
        <w:bottom w:val="none" w:sz="0" w:space="0" w:color="auto"/>
        <w:right w:val="none" w:sz="0" w:space="0" w:color="auto"/>
      </w:divBdr>
    </w:div>
    <w:div w:id="438573797">
      <w:bodyDiv w:val="1"/>
      <w:marLeft w:val="0"/>
      <w:marRight w:val="0"/>
      <w:marTop w:val="0"/>
      <w:marBottom w:val="0"/>
      <w:divBdr>
        <w:top w:val="none" w:sz="0" w:space="0" w:color="auto"/>
        <w:left w:val="none" w:sz="0" w:space="0" w:color="auto"/>
        <w:bottom w:val="none" w:sz="0" w:space="0" w:color="auto"/>
        <w:right w:val="none" w:sz="0" w:space="0" w:color="auto"/>
      </w:divBdr>
    </w:div>
    <w:div w:id="438912525">
      <w:bodyDiv w:val="1"/>
      <w:marLeft w:val="0"/>
      <w:marRight w:val="0"/>
      <w:marTop w:val="0"/>
      <w:marBottom w:val="0"/>
      <w:divBdr>
        <w:top w:val="none" w:sz="0" w:space="0" w:color="auto"/>
        <w:left w:val="none" w:sz="0" w:space="0" w:color="auto"/>
        <w:bottom w:val="none" w:sz="0" w:space="0" w:color="auto"/>
        <w:right w:val="none" w:sz="0" w:space="0" w:color="auto"/>
      </w:divBdr>
    </w:div>
    <w:div w:id="438914226">
      <w:bodyDiv w:val="1"/>
      <w:marLeft w:val="0"/>
      <w:marRight w:val="0"/>
      <w:marTop w:val="0"/>
      <w:marBottom w:val="0"/>
      <w:divBdr>
        <w:top w:val="none" w:sz="0" w:space="0" w:color="auto"/>
        <w:left w:val="none" w:sz="0" w:space="0" w:color="auto"/>
        <w:bottom w:val="none" w:sz="0" w:space="0" w:color="auto"/>
        <w:right w:val="none" w:sz="0" w:space="0" w:color="auto"/>
      </w:divBdr>
    </w:div>
    <w:div w:id="439302130">
      <w:bodyDiv w:val="1"/>
      <w:marLeft w:val="0"/>
      <w:marRight w:val="0"/>
      <w:marTop w:val="0"/>
      <w:marBottom w:val="0"/>
      <w:divBdr>
        <w:top w:val="none" w:sz="0" w:space="0" w:color="auto"/>
        <w:left w:val="none" w:sz="0" w:space="0" w:color="auto"/>
        <w:bottom w:val="none" w:sz="0" w:space="0" w:color="auto"/>
        <w:right w:val="none" w:sz="0" w:space="0" w:color="auto"/>
      </w:divBdr>
    </w:div>
    <w:div w:id="439376471">
      <w:bodyDiv w:val="1"/>
      <w:marLeft w:val="0"/>
      <w:marRight w:val="0"/>
      <w:marTop w:val="0"/>
      <w:marBottom w:val="0"/>
      <w:divBdr>
        <w:top w:val="none" w:sz="0" w:space="0" w:color="auto"/>
        <w:left w:val="none" w:sz="0" w:space="0" w:color="auto"/>
        <w:bottom w:val="none" w:sz="0" w:space="0" w:color="auto"/>
        <w:right w:val="none" w:sz="0" w:space="0" w:color="auto"/>
      </w:divBdr>
    </w:div>
    <w:div w:id="439498585">
      <w:bodyDiv w:val="1"/>
      <w:marLeft w:val="0"/>
      <w:marRight w:val="0"/>
      <w:marTop w:val="0"/>
      <w:marBottom w:val="0"/>
      <w:divBdr>
        <w:top w:val="none" w:sz="0" w:space="0" w:color="auto"/>
        <w:left w:val="none" w:sz="0" w:space="0" w:color="auto"/>
        <w:bottom w:val="none" w:sz="0" w:space="0" w:color="auto"/>
        <w:right w:val="none" w:sz="0" w:space="0" w:color="auto"/>
      </w:divBdr>
    </w:div>
    <w:div w:id="439836062">
      <w:bodyDiv w:val="1"/>
      <w:marLeft w:val="0"/>
      <w:marRight w:val="0"/>
      <w:marTop w:val="0"/>
      <w:marBottom w:val="0"/>
      <w:divBdr>
        <w:top w:val="none" w:sz="0" w:space="0" w:color="auto"/>
        <w:left w:val="none" w:sz="0" w:space="0" w:color="auto"/>
        <w:bottom w:val="none" w:sz="0" w:space="0" w:color="auto"/>
        <w:right w:val="none" w:sz="0" w:space="0" w:color="auto"/>
      </w:divBdr>
    </w:div>
    <w:div w:id="440220561">
      <w:bodyDiv w:val="1"/>
      <w:marLeft w:val="0"/>
      <w:marRight w:val="0"/>
      <w:marTop w:val="0"/>
      <w:marBottom w:val="0"/>
      <w:divBdr>
        <w:top w:val="none" w:sz="0" w:space="0" w:color="auto"/>
        <w:left w:val="none" w:sz="0" w:space="0" w:color="auto"/>
        <w:bottom w:val="none" w:sz="0" w:space="0" w:color="auto"/>
        <w:right w:val="none" w:sz="0" w:space="0" w:color="auto"/>
      </w:divBdr>
    </w:div>
    <w:div w:id="441800749">
      <w:bodyDiv w:val="1"/>
      <w:marLeft w:val="0"/>
      <w:marRight w:val="0"/>
      <w:marTop w:val="0"/>
      <w:marBottom w:val="0"/>
      <w:divBdr>
        <w:top w:val="none" w:sz="0" w:space="0" w:color="auto"/>
        <w:left w:val="none" w:sz="0" w:space="0" w:color="auto"/>
        <w:bottom w:val="none" w:sz="0" w:space="0" w:color="auto"/>
        <w:right w:val="none" w:sz="0" w:space="0" w:color="auto"/>
      </w:divBdr>
    </w:div>
    <w:div w:id="442723604">
      <w:bodyDiv w:val="1"/>
      <w:marLeft w:val="0"/>
      <w:marRight w:val="0"/>
      <w:marTop w:val="0"/>
      <w:marBottom w:val="0"/>
      <w:divBdr>
        <w:top w:val="none" w:sz="0" w:space="0" w:color="auto"/>
        <w:left w:val="none" w:sz="0" w:space="0" w:color="auto"/>
        <w:bottom w:val="none" w:sz="0" w:space="0" w:color="auto"/>
        <w:right w:val="none" w:sz="0" w:space="0" w:color="auto"/>
      </w:divBdr>
    </w:div>
    <w:div w:id="443237027">
      <w:bodyDiv w:val="1"/>
      <w:marLeft w:val="0"/>
      <w:marRight w:val="0"/>
      <w:marTop w:val="0"/>
      <w:marBottom w:val="0"/>
      <w:divBdr>
        <w:top w:val="none" w:sz="0" w:space="0" w:color="auto"/>
        <w:left w:val="none" w:sz="0" w:space="0" w:color="auto"/>
        <w:bottom w:val="none" w:sz="0" w:space="0" w:color="auto"/>
        <w:right w:val="none" w:sz="0" w:space="0" w:color="auto"/>
      </w:divBdr>
    </w:div>
    <w:div w:id="444544666">
      <w:bodyDiv w:val="1"/>
      <w:marLeft w:val="0"/>
      <w:marRight w:val="0"/>
      <w:marTop w:val="0"/>
      <w:marBottom w:val="0"/>
      <w:divBdr>
        <w:top w:val="none" w:sz="0" w:space="0" w:color="auto"/>
        <w:left w:val="none" w:sz="0" w:space="0" w:color="auto"/>
        <w:bottom w:val="none" w:sz="0" w:space="0" w:color="auto"/>
        <w:right w:val="none" w:sz="0" w:space="0" w:color="auto"/>
      </w:divBdr>
    </w:div>
    <w:div w:id="445000266">
      <w:bodyDiv w:val="1"/>
      <w:marLeft w:val="0"/>
      <w:marRight w:val="0"/>
      <w:marTop w:val="0"/>
      <w:marBottom w:val="0"/>
      <w:divBdr>
        <w:top w:val="none" w:sz="0" w:space="0" w:color="auto"/>
        <w:left w:val="none" w:sz="0" w:space="0" w:color="auto"/>
        <w:bottom w:val="none" w:sz="0" w:space="0" w:color="auto"/>
        <w:right w:val="none" w:sz="0" w:space="0" w:color="auto"/>
      </w:divBdr>
    </w:div>
    <w:div w:id="445125855">
      <w:bodyDiv w:val="1"/>
      <w:marLeft w:val="0"/>
      <w:marRight w:val="0"/>
      <w:marTop w:val="0"/>
      <w:marBottom w:val="0"/>
      <w:divBdr>
        <w:top w:val="none" w:sz="0" w:space="0" w:color="auto"/>
        <w:left w:val="none" w:sz="0" w:space="0" w:color="auto"/>
        <w:bottom w:val="none" w:sz="0" w:space="0" w:color="auto"/>
        <w:right w:val="none" w:sz="0" w:space="0" w:color="auto"/>
      </w:divBdr>
    </w:div>
    <w:div w:id="445270403">
      <w:bodyDiv w:val="1"/>
      <w:marLeft w:val="0"/>
      <w:marRight w:val="0"/>
      <w:marTop w:val="0"/>
      <w:marBottom w:val="0"/>
      <w:divBdr>
        <w:top w:val="none" w:sz="0" w:space="0" w:color="auto"/>
        <w:left w:val="none" w:sz="0" w:space="0" w:color="auto"/>
        <w:bottom w:val="none" w:sz="0" w:space="0" w:color="auto"/>
        <w:right w:val="none" w:sz="0" w:space="0" w:color="auto"/>
      </w:divBdr>
    </w:div>
    <w:div w:id="445851569">
      <w:bodyDiv w:val="1"/>
      <w:marLeft w:val="0"/>
      <w:marRight w:val="0"/>
      <w:marTop w:val="0"/>
      <w:marBottom w:val="0"/>
      <w:divBdr>
        <w:top w:val="none" w:sz="0" w:space="0" w:color="auto"/>
        <w:left w:val="none" w:sz="0" w:space="0" w:color="auto"/>
        <w:bottom w:val="none" w:sz="0" w:space="0" w:color="auto"/>
        <w:right w:val="none" w:sz="0" w:space="0" w:color="auto"/>
      </w:divBdr>
    </w:div>
    <w:div w:id="445930922">
      <w:bodyDiv w:val="1"/>
      <w:marLeft w:val="0"/>
      <w:marRight w:val="0"/>
      <w:marTop w:val="0"/>
      <w:marBottom w:val="0"/>
      <w:divBdr>
        <w:top w:val="none" w:sz="0" w:space="0" w:color="auto"/>
        <w:left w:val="none" w:sz="0" w:space="0" w:color="auto"/>
        <w:bottom w:val="none" w:sz="0" w:space="0" w:color="auto"/>
        <w:right w:val="none" w:sz="0" w:space="0" w:color="auto"/>
      </w:divBdr>
    </w:div>
    <w:div w:id="445932281">
      <w:bodyDiv w:val="1"/>
      <w:marLeft w:val="0"/>
      <w:marRight w:val="0"/>
      <w:marTop w:val="0"/>
      <w:marBottom w:val="0"/>
      <w:divBdr>
        <w:top w:val="none" w:sz="0" w:space="0" w:color="auto"/>
        <w:left w:val="none" w:sz="0" w:space="0" w:color="auto"/>
        <w:bottom w:val="none" w:sz="0" w:space="0" w:color="auto"/>
        <w:right w:val="none" w:sz="0" w:space="0" w:color="auto"/>
      </w:divBdr>
    </w:div>
    <w:div w:id="445975163">
      <w:bodyDiv w:val="1"/>
      <w:marLeft w:val="0"/>
      <w:marRight w:val="0"/>
      <w:marTop w:val="0"/>
      <w:marBottom w:val="0"/>
      <w:divBdr>
        <w:top w:val="none" w:sz="0" w:space="0" w:color="auto"/>
        <w:left w:val="none" w:sz="0" w:space="0" w:color="auto"/>
        <w:bottom w:val="none" w:sz="0" w:space="0" w:color="auto"/>
        <w:right w:val="none" w:sz="0" w:space="0" w:color="auto"/>
      </w:divBdr>
    </w:div>
    <w:div w:id="446704310">
      <w:bodyDiv w:val="1"/>
      <w:marLeft w:val="0"/>
      <w:marRight w:val="0"/>
      <w:marTop w:val="0"/>
      <w:marBottom w:val="0"/>
      <w:divBdr>
        <w:top w:val="none" w:sz="0" w:space="0" w:color="auto"/>
        <w:left w:val="none" w:sz="0" w:space="0" w:color="auto"/>
        <w:bottom w:val="none" w:sz="0" w:space="0" w:color="auto"/>
        <w:right w:val="none" w:sz="0" w:space="0" w:color="auto"/>
      </w:divBdr>
    </w:div>
    <w:div w:id="446706184">
      <w:bodyDiv w:val="1"/>
      <w:marLeft w:val="0"/>
      <w:marRight w:val="0"/>
      <w:marTop w:val="0"/>
      <w:marBottom w:val="0"/>
      <w:divBdr>
        <w:top w:val="none" w:sz="0" w:space="0" w:color="auto"/>
        <w:left w:val="none" w:sz="0" w:space="0" w:color="auto"/>
        <w:bottom w:val="none" w:sz="0" w:space="0" w:color="auto"/>
        <w:right w:val="none" w:sz="0" w:space="0" w:color="auto"/>
      </w:divBdr>
    </w:div>
    <w:div w:id="447162137">
      <w:bodyDiv w:val="1"/>
      <w:marLeft w:val="0"/>
      <w:marRight w:val="0"/>
      <w:marTop w:val="0"/>
      <w:marBottom w:val="0"/>
      <w:divBdr>
        <w:top w:val="none" w:sz="0" w:space="0" w:color="auto"/>
        <w:left w:val="none" w:sz="0" w:space="0" w:color="auto"/>
        <w:bottom w:val="none" w:sz="0" w:space="0" w:color="auto"/>
        <w:right w:val="none" w:sz="0" w:space="0" w:color="auto"/>
      </w:divBdr>
    </w:div>
    <w:div w:id="448859585">
      <w:bodyDiv w:val="1"/>
      <w:marLeft w:val="0"/>
      <w:marRight w:val="0"/>
      <w:marTop w:val="0"/>
      <w:marBottom w:val="0"/>
      <w:divBdr>
        <w:top w:val="none" w:sz="0" w:space="0" w:color="auto"/>
        <w:left w:val="none" w:sz="0" w:space="0" w:color="auto"/>
        <w:bottom w:val="none" w:sz="0" w:space="0" w:color="auto"/>
        <w:right w:val="none" w:sz="0" w:space="0" w:color="auto"/>
      </w:divBdr>
    </w:div>
    <w:div w:id="449128042">
      <w:bodyDiv w:val="1"/>
      <w:marLeft w:val="0"/>
      <w:marRight w:val="0"/>
      <w:marTop w:val="0"/>
      <w:marBottom w:val="0"/>
      <w:divBdr>
        <w:top w:val="none" w:sz="0" w:space="0" w:color="auto"/>
        <w:left w:val="none" w:sz="0" w:space="0" w:color="auto"/>
        <w:bottom w:val="none" w:sz="0" w:space="0" w:color="auto"/>
        <w:right w:val="none" w:sz="0" w:space="0" w:color="auto"/>
      </w:divBdr>
    </w:div>
    <w:div w:id="449319250">
      <w:bodyDiv w:val="1"/>
      <w:marLeft w:val="0"/>
      <w:marRight w:val="0"/>
      <w:marTop w:val="0"/>
      <w:marBottom w:val="0"/>
      <w:divBdr>
        <w:top w:val="none" w:sz="0" w:space="0" w:color="auto"/>
        <w:left w:val="none" w:sz="0" w:space="0" w:color="auto"/>
        <w:bottom w:val="none" w:sz="0" w:space="0" w:color="auto"/>
        <w:right w:val="none" w:sz="0" w:space="0" w:color="auto"/>
      </w:divBdr>
    </w:div>
    <w:div w:id="450824352">
      <w:bodyDiv w:val="1"/>
      <w:marLeft w:val="0"/>
      <w:marRight w:val="0"/>
      <w:marTop w:val="0"/>
      <w:marBottom w:val="0"/>
      <w:divBdr>
        <w:top w:val="none" w:sz="0" w:space="0" w:color="auto"/>
        <w:left w:val="none" w:sz="0" w:space="0" w:color="auto"/>
        <w:bottom w:val="none" w:sz="0" w:space="0" w:color="auto"/>
        <w:right w:val="none" w:sz="0" w:space="0" w:color="auto"/>
      </w:divBdr>
    </w:div>
    <w:div w:id="451479205">
      <w:bodyDiv w:val="1"/>
      <w:marLeft w:val="0"/>
      <w:marRight w:val="0"/>
      <w:marTop w:val="0"/>
      <w:marBottom w:val="0"/>
      <w:divBdr>
        <w:top w:val="none" w:sz="0" w:space="0" w:color="auto"/>
        <w:left w:val="none" w:sz="0" w:space="0" w:color="auto"/>
        <w:bottom w:val="none" w:sz="0" w:space="0" w:color="auto"/>
        <w:right w:val="none" w:sz="0" w:space="0" w:color="auto"/>
      </w:divBdr>
    </w:div>
    <w:div w:id="452329833">
      <w:bodyDiv w:val="1"/>
      <w:marLeft w:val="0"/>
      <w:marRight w:val="0"/>
      <w:marTop w:val="0"/>
      <w:marBottom w:val="0"/>
      <w:divBdr>
        <w:top w:val="none" w:sz="0" w:space="0" w:color="auto"/>
        <w:left w:val="none" w:sz="0" w:space="0" w:color="auto"/>
        <w:bottom w:val="none" w:sz="0" w:space="0" w:color="auto"/>
        <w:right w:val="none" w:sz="0" w:space="0" w:color="auto"/>
      </w:divBdr>
    </w:div>
    <w:div w:id="453331482">
      <w:bodyDiv w:val="1"/>
      <w:marLeft w:val="0"/>
      <w:marRight w:val="0"/>
      <w:marTop w:val="0"/>
      <w:marBottom w:val="0"/>
      <w:divBdr>
        <w:top w:val="none" w:sz="0" w:space="0" w:color="auto"/>
        <w:left w:val="none" w:sz="0" w:space="0" w:color="auto"/>
        <w:bottom w:val="none" w:sz="0" w:space="0" w:color="auto"/>
        <w:right w:val="none" w:sz="0" w:space="0" w:color="auto"/>
      </w:divBdr>
    </w:div>
    <w:div w:id="453643067">
      <w:bodyDiv w:val="1"/>
      <w:marLeft w:val="0"/>
      <w:marRight w:val="0"/>
      <w:marTop w:val="0"/>
      <w:marBottom w:val="0"/>
      <w:divBdr>
        <w:top w:val="none" w:sz="0" w:space="0" w:color="auto"/>
        <w:left w:val="none" w:sz="0" w:space="0" w:color="auto"/>
        <w:bottom w:val="none" w:sz="0" w:space="0" w:color="auto"/>
        <w:right w:val="none" w:sz="0" w:space="0" w:color="auto"/>
      </w:divBdr>
    </w:div>
    <w:div w:id="456678768">
      <w:bodyDiv w:val="1"/>
      <w:marLeft w:val="0"/>
      <w:marRight w:val="0"/>
      <w:marTop w:val="0"/>
      <w:marBottom w:val="0"/>
      <w:divBdr>
        <w:top w:val="none" w:sz="0" w:space="0" w:color="auto"/>
        <w:left w:val="none" w:sz="0" w:space="0" w:color="auto"/>
        <w:bottom w:val="none" w:sz="0" w:space="0" w:color="auto"/>
        <w:right w:val="none" w:sz="0" w:space="0" w:color="auto"/>
      </w:divBdr>
    </w:div>
    <w:div w:id="458499069">
      <w:bodyDiv w:val="1"/>
      <w:marLeft w:val="0"/>
      <w:marRight w:val="0"/>
      <w:marTop w:val="0"/>
      <w:marBottom w:val="0"/>
      <w:divBdr>
        <w:top w:val="none" w:sz="0" w:space="0" w:color="auto"/>
        <w:left w:val="none" w:sz="0" w:space="0" w:color="auto"/>
        <w:bottom w:val="none" w:sz="0" w:space="0" w:color="auto"/>
        <w:right w:val="none" w:sz="0" w:space="0" w:color="auto"/>
      </w:divBdr>
    </w:div>
    <w:div w:id="459350462">
      <w:bodyDiv w:val="1"/>
      <w:marLeft w:val="0"/>
      <w:marRight w:val="0"/>
      <w:marTop w:val="0"/>
      <w:marBottom w:val="0"/>
      <w:divBdr>
        <w:top w:val="none" w:sz="0" w:space="0" w:color="auto"/>
        <w:left w:val="none" w:sz="0" w:space="0" w:color="auto"/>
        <w:bottom w:val="none" w:sz="0" w:space="0" w:color="auto"/>
        <w:right w:val="none" w:sz="0" w:space="0" w:color="auto"/>
      </w:divBdr>
    </w:div>
    <w:div w:id="459494953">
      <w:bodyDiv w:val="1"/>
      <w:marLeft w:val="0"/>
      <w:marRight w:val="0"/>
      <w:marTop w:val="0"/>
      <w:marBottom w:val="0"/>
      <w:divBdr>
        <w:top w:val="none" w:sz="0" w:space="0" w:color="auto"/>
        <w:left w:val="none" w:sz="0" w:space="0" w:color="auto"/>
        <w:bottom w:val="none" w:sz="0" w:space="0" w:color="auto"/>
        <w:right w:val="none" w:sz="0" w:space="0" w:color="auto"/>
      </w:divBdr>
    </w:div>
    <w:div w:id="460000111">
      <w:bodyDiv w:val="1"/>
      <w:marLeft w:val="0"/>
      <w:marRight w:val="0"/>
      <w:marTop w:val="0"/>
      <w:marBottom w:val="0"/>
      <w:divBdr>
        <w:top w:val="none" w:sz="0" w:space="0" w:color="auto"/>
        <w:left w:val="none" w:sz="0" w:space="0" w:color="auto"/>
        <w:bottom w:val="none" w:sz="0" w:space="0" w:color="auto"/>
        <w:right w:val="none" w:sz="0" w:space="0" w:color="auto"/>
      </w:divBdr>
    </w:div>
    <w:div w:id="461995690">
      <w:bodyDiv w:val="1"/>
      <w:marLeft w:val="0"/>
      <w:marRight w:val="0"/>
      <w:marTop w:val="0"/>
      <w:marBottom w:val="0"/>
      <w:divBdr>
        <w:top w:val="none" w:sz="0" w:space="0" w:color="auto"/>
        <w:left w:val="none" w:sz="0" w:space="0" w:color="auto"/>
        <w:bottom w:val="none" w:sz="0" w:space="0" w:color="auto"/>
        <w:right w:val="none" w:sz="0" w:space="0" w:color="auto"/>
      </w:divBdr>
    </w:div>
    <w:div w:id="463694999">
      <w:bodyDiv w:val="1"/>
      <w:marLeft w:val="0"/>
      <w:marRight w:val="0"/>
      <w:marTop w:val="0"/>
      <w:marBottom w:val="0"/>
      <w:divBdr>
        <w:top w:val="none" w:sz="0" w:space="0" w:color="auto"/>
        <w:left w:val="none" w:sz="0" w:space="0" w:color="auto"/>
        <w:bottom w:val="none" w:sz="0" w:space="0" w:color="auto"/>
        <w:right w:val="none" w:sz="0" w:space="0" w:color="auto"/>
      </w:divBdr>
    </w:div>
    <w:div w:id="465052775">
      <w:bodyDiv w:val="1"/>
      <w:marLeft w:val="0"/>
      <w:marRight w:val="0"/>
      <w:marTop w:val="0"/>
      <w:marBottom w:val="0"/>
      <w:divBdr>
        <w:top w:val="none" w:sz="0" w:space="0" w:color="auto"/>
        <w:left w:val="none" w:sz="0" w:space="0" w:color="auto"/>
        <w:bottom w:val="none" w:sz="0" w:space="0" w:color="auto"/>
        <w:right w:val="none" w:sz="0" w:space="0" w:color="auto"/>
      </w:divBdr>
    </w:div>
    <w:div w:id="465203303">
      <w:bodyDiv w:val="1"/>
      <w:marLeft w:val="0"/>
      <w:marRight w:val="0"/>
      <w:marTop w:val="0"/>
      <w:marBottom w:val="0"/>
      <w:divBdr>
        <w:top w:val="none" w:sz="0" w:space="0" w:color="auto"/>
        <w:left w:val="none" w:sz="0" w:space="0" w:color="auto"/>
        <w:bottom w:val="none" w:sz="0" w:space="0" w:color="auto"/>
        <w:right w:val="none" w:sz="0" w:space="0" w:color="auto"/>
      </w:divBdr>
    </w:div>
    <w:div w:id="465271182">
      <w:bodyDiv w:val="1"/>
      <w:marLeft w:val="0"/>
      <w:marRight w:val="0"/>
      <w:marTop w:val="0"/>
      <w:marBottom w:val="0"/>
      <w:divBdr>
        <w:top w:val="none" w:sz="0" w:space="0" w:color="auto"/>
        <w:left w:val="none" w:sz="0" w:space="0" w:color="auto"/>
        <w:bottom w:val="none" w:sz="0" w:space="0" w:color="auto"/>
        <w:right w:val="none" w:sz="0" w:space="0" w:color="auto"/>
      </w:divBdr>
    </w:div>
    <w:div w:id="466701279">
      <w:bodyDiv w:val="1"/>
      <w:marLeft w:val="0"/>
      <w:marRight w:val="0"/>
      <w:marTop w:val="0"/>
      <w:marBottom w:val="0"/>
      <w:divBdr>
        <w:top w:val="none" w:sz="0" w:space="0" w:color="auto"/>
        <w:left w:val="none" w:sz="0" w:space="0" w:color="auto"/>
        <w:bottom w:val="none" w:sz="0" w:space="0" w:color="auto"/>
        <w:right w:val="none" w:sz="0" w:space="0" w:color="auto"/>
      </w:divBdr>
    </w:div>
    <w:div w:id="467280217">
      <w:bodyDiv w:val="1"/>
      <w:marLeft w:val="0"/>
      <w:marRight w:val="0"/>
      <w:marTop w:val="0"/>
      <w:marBottom w:val="0"/>
      <w:divBdr>
        <w:top w:val="none" w:sz="0" w:space="0" w:color="auto"/>
        <w:left w:val="none" w:sz="0" w:space="0" w:color="auto"/>
        <w:bottom w:val="none" w:sz="0" w:space="0" w:color="auto"/>
        <w:right w:val="none" w:sz="0" w:space="0" w:color="auto"/>
      </w:divBdr>
    </w:div>
    <w:div w:id="467361894">
      <w:bodyDiv w:val="1"/>
      <w:marLeft w:val="0"/>
      <w:marRight w:val="0"/>
      <w:marTop w:val="0"/>
      <w:marBottom w:val="0"/>
      <w:divBdr>
        <w:top w:val="none" w:sz="0" w:space="0" w:color="auto"/>
        <w:left w:val="none" w:sz="0" w:space="0" w:color="auto"/>
        <w:bottom w:val="none" w:sz="0" w:space="0" w:color="auto"/>
        <w:right w:val="none" w:sz="0" w:space="0" w:color="auto"/>
      </w:divBdr>
    </w:div>
    <w:div w:id="467941355">
      <w:bodyDiv w:val="1"/>
      <w:marLeft w:val="0"/>
      <w:marRight w:val="0"/>
      <w:marTop w:val="0"/>
      <w:marBottom w:val="0"/>
      <w:divBdr>
        <w:top w:val="none" w:sz="0" w:space="0" w:color="auto"/>
        <w:left w:val="none" w:sz="0" w:space="0" w:color="auto"/>
        <w:bottom w:val="none" w:sz="0" w:space="0" w:color="auto"/>
        <w:right w:val="none" w:sz="0" w:space="0" w:color="auto"/>
      </w:divBdr>
    </w:div>
    <w:div w:id="468136796">
      <w:bodyDiv w:val="1"/>
      <w:marLeft w:val="0"/>
      <w:marRight w:val="0"/>
      <w:marTop w:val="0"/>
      <w:marBottom w:val="0"/>
      <w:divBdr>
        <w:top w:val="none" w:sz="0" w:space="0" w:color="auto"/>
        <w:left w:val="none" w:sz="0" w:space="0" w:color="auto"/>
        <w:bottom w:val="none" w:sz="0" w:space="0" w:color="auto"/>
        <w:right w:val="none" w:sz="0" w:space="0" w:color="auto"/>
      </w:divBdr>
    </w:div>
    <w:div w:id="468521271">
      <w:bodyDiv w:val="1"/>
      <w:marLeft w:val="0"/>
      <w:marRight w:val="0"/>
      <w:marTop w:val="0"/>
      <w:marBottom w:val="0"/>
      <w:divBdr>
        <w:top w:val="none" w:sz="0" w:space="0" w:color="auto"/>
        <w:left w:val="none" w:sz="0" w:space="0" w:color="auto"/>
        <w:bottom w:val="none" w:sz="0" w:space="0" w:color="auto"/>
        <w:right w:val="none" w:sz="0" w:space="0" w:color="auto"/>
      </w:divBdr>
    </w:div>
    <w:div w:id="468593639">
      <w:bodyDiv w:val="1"/>
      <w:marLeft w:val="0"/>
      <w:marRight w:val="0"/>
      <w:marTop w:val="0"/>
      <w:marBottom w:val="0"/>
      <w:divBdr>
        <w:top w:val="none" w:sz="0" w:space="0" w:color="auto"/>
        <w:left w:val="none" w:sz="0" w:space="0" w:color="auto"/>
        <w:bottom w:val="none" w:sz="0" w:space="0" w:color="auto"/>
        <w:right w:val="none" w:sz="0" w:space="0" w:color="auto"/>
      </w:divBdr>
    </w:div>
    <w:div w:id="468937366">
      <w:bodyDiv w:val="1"/>
      <w:marLeft w:val="0"/>
      <w:marRight w:val="0"/>
      <w:marTop w:val="0"/>
      <w:marBottom w:val="0"/>
      <w:divBdr>
        <w:top w:val="none" w:sz="0" w:space="0" w:color="auto"/>
        <w:left w:val="none" w:sz="0" w:space="0" w:color="auto"/>
        <w:bottom w:val="none" w:sz="0" w:space="0" w:color="auto"/>
        <w:right w:val="none" w:sz="0" w:space="0" w:color="auto"/>
      </w:divBdr>
    </w:div>
    <w:div w:id="468979351">
      <w:bodyDiv w:val="1"/>
      <w:marLeft w:val="0"/>
      <w:marRight w:val="0"/>
      <w:marTop w:val="0"/>
      <w:marBottom w:val="0"/>
      <w:divBdr>
        <w:top w:val="none" w:sz="0" w:space="0" w:color="auto"/>
        <w:left w:val="none" w:sz="0" w:space="0" w:color="auto"/>
        <w:bottom w:val="none" w:sz="0" w:space="0" w:color="auto"/>
        <w:right w:val="none" w:sz="0" w:space="0" w:color="auto"/>
      </w:divBdr>
    </w:div>
    <w:div w:id="470558705">
      <w:bodyDiv w:val="1"/>
      <w:marLeft w:val="0"/>
      <w:marRight w:val="0"/>
      <w:marTop w:val="0"/>
      <w:marBottom w:val="0"/>
      <w:divBdr>
        <w:top w:val="none" w:sz="0" w:space="0" w:color="auto"/>
        <w:left w:val="none" w:sz="0" w:space="0" w:color="auto"/>
        <w:bottom w:val="none" w:sz="0" w:space="0" w:color="auto"/>
        <w:right w:val="none" w:sz="0" w:space="0" w:color="auto"/>
      </w:divBdr>
    </w:div>
    <w:div w:id="470825180">
      <w:bodyDiv w:val="1"/>
      <w:marLeft w:val="0"/>
      <w:marRight w:val="0"/>
      <w:marTop w:val="0"/>
      <w:marBottom w:val="0"/>
      <w:divBdr>
        <w:top w:val="none" w:sz="0" w:space="0" w:color="auto"/>
        <w:left w:val="none" w:sz="0" w:space="0" w:color="auto"/>
        <w:bottom w:val="none" w:sz="0" w:space="0" w:color="auto"/>
        <w:right w:val="none" w:sz="0" w:space="0" w:color="auto"/>
      </w:divBdr>
    </w:div>
    <w:div w:id="471411959">
      <w:bodyDiv w:val="1"/>
      <w:marLeft w:val="0"/>
      <w:marRight w:val="0"/>
      <w:marTop w:val="0"/>
      <w:marBottom w:val="0"/>
      <w:divBdr>
        <w:top w:val="none" w:sz="0" w:space="0" w:color="auto"/>
        <w:left w:val="none" w:sz="0" w:space="0" w:color="auto"/>
        <w:bottom w:val="none" w:sz="0" w:space="0" w:color="auto"/>
        <w:right w:val="none" w:sz="0" w:space="0" w:color="auto"/>
      </w:divBdr>
    </w:div>
    <w:div w:id="471597993">
      <w:bodyDiv w:val="1"/>
      <w:marLeft w:val="0"/>
      <w:marRight w:val="0"/>
      <w:marTop w:val="0"/>
      <w:marBottom w:val="0"/>
      <w:divBdr>
        <w:top w:val="none" w:sz="0" w:space="0" w:color="auto"/>
        <w:left w:val="none" w:sz="0" w:space="0" w:color="auto"/>
        <w:bottom w:val="none" w:sz="0" w:space="0" w:color="auto"/>
        <w:right w:val="none" w:sz="0" w:space="0" w:color="auto"/>
      </w:divBdr>
    </w:div>
    <w:div w:id="471796449">
      <w:bodyDiv w:val="1"/>
      <w:marLeft w:val="0"/>
      <w:marRight w:val="0"/>
      <w:marTop w:val="0"/>
      <w:marBottom w:val="0"/>
      <w:divBdr>
        <w:top w:val="none" w:sz="0" w:space="0" w:color="auto"/>
        <w:left w:val="none" w:sz="0" w:space="0" w:color="auto"/>
        <w:bottom w:val="none" w:sz="0" w:space="0" w:color="auto"/>
        <w:right w:val="none" w:sz="0" w:space="0" w:color="auto"/>
      </w:divBdr>
    </w:div>
    <w:div w:id="473497615">
      <w:bodyDiv w:val="1"/>
      <w:marLeft w:val="0"/>
      <w:marRight w:val="0"/>
      <w:marTop w:val="0"/>
      <w:marBottom w:val="0"/>
      <w:divBdr>
        <w:top w:val="none" w:sz="0" w:space="0" w:color="auto"/>
        <w:left w:val="none" w:sz="0" w:space="0" w:color="auto"/>
        <w:bottom w:val="none" w:sz="0" w:space="0" w:color="auto"/>
        <w:right w:val="none" w:sz="0" w:space="0" w:color="auto"/>
      </w:divBdr>
    </w:div>
    <w:div w:id="474106651">
      <w:bodyDiv w:val="1"/>
      <w:marLeft w:val="0"/>
      <w:marRight w:val="0"/>
      <w:marTop w:val="0"/>
      <w:marBottom w:val="0"/>
      <w:divBdr>
        <w:top w:val="none" w:sz="0" w:space="0" w:color="auto"/>
        <w:left w:val="none" w:sz="0" w:space="0" w:color="auto"/>
        <w:bottom w:val="none" w:sz="0" w:space="0" w:color="auto"/>
        <w:right w:val="none" w:sz="0" w:space="0" w:color="auto"/>
      </w:divBdr>
    </w:div>
    <w:div w:id="477576773">
      <w:bodyDiv w:val="1"/>
      <w:marLeft w:val="0"/>
      <w:marRight w:val="0"/>
      <w:marTop w:val="0"/>
      <w:marBottom w:val="0"/>
      <w:divBdr>
        <w:top w:val="none" w:sz="0" w:space="0" w:color="auto"/>
        <w:left w:val="none" w:sz="0" w:space="0" w:color="auto"/>
        <w:bottom w:val="none" w:sz="0" w:space="0" w:color="auto"/>
        <w:right w:val="none" w:sz="0" w:space="0" w:color="auto"/>
      </w:divBdr>
    </w:div>
    <w:div w:id="478303715">
      <w:bodyDiv w:val="1"/>
      <w:marLeft w:val="0"/>
      <w:marRight w:val="0"/>
      <w:marTop w:val="0"/>
      <w:marBottom w:val="0"/>
      <w:divBdr>
        <w:top w:val="none" w:sz="0" w:space="0" w:color="auto"/>
        <w:left w:val="none" w:sz="0" w:space="0" w:color="auto"/>
        <w:bottom w:val="none" w:sz="0" w:space="0" w:color="auto"/>
        <w:right w:val="none" w:sz="0" w:space="0" w:color="auto"/>
      </w:divBdr>
    </w:div>
    <w:div w:id="478421593">
      <w:bodyDiv w:val="1"/>
      <w:marLeft w:val="0"/>
      <w:marRight w:val="0"/>
      <w:marTop w:val="0"/>
      <w:marBottom w:val="0"/>
      <w:divBdr>
        <w:top w:val="none" w:sz="0" w:space="0" w:color="auto"/>
        <w:left w:val="none" w:sz="0" w:space="0" w:color="auto"/>
        <w:bottom w:val="none" w:sz="0" w:space="0" w:color="auto"/>
        <w:right w:val="none" w:sz="0" w:space="0" w:color="auto"/>
      </w:divBdr>
    </w:div>
    <w:div w:id="479226825">
      <w:bodyDiv w:val="1"/>
      <w:marLeft w:val="0"/>
      <w:marRight w:val="0"/>
      <w:marTop w:val="0"/>
      <w:marBottom w:val="0"/>
      <w:divBdr>
        <w:top w:val="none" w:sz="0" w:space="0" w:color="auto"/>
        <w:left w:val="none" w:sz="0" w:space="0" w:color="auto"/>
        <w:bottom w:val="none" w:sz="0" w:space="0" w:color="auto"/>
        <w:right w:val="none" w:sz="0" w:space="0" w:color="auto"/>
      </w:divBdr>
    </w:div>
    <w:div w:id="480117205">
      <w:bodyDiv w:val="1"/>
      <w:marLeft w:val="0"/>
      <w:marRight w:val="0"/>
      <w:marTop w:val="0"/>
      <w:marBottom w:val="0"/>
      <w:divBdr>
        <w:top w:val="none" w:sz="0" w:space="0" w:color="auto"/>
        <w:left w:val="none" w:sz="0" w:space="0" w:color="auto"/>
        <w:bottom w:val="none" w:sz="0" w:space="0" w:color="auto"/>
        <w:right w:val="none" w:sz="0" w:space="0" w:color="auto"/>
      </w:divBdr>
    </w:div>
    <w:div w:id="480735047">
      <w:bodyDiv w:val="1"/>
      <w:marLeft w:val="0"/>
      <w:marRight w:val="0"/>
      <w:marTop w:val="0"/>
      <w:marBottom w:val="0"/>
      <w:divBdr>
        <w:top w:val="none" w:sz="0" w:space="0" w:color="auto"/>
        <w:left w:val="none" w:sz="0" w:space="0" w:color="auto"/>
        <w:bottom w:val="none" w:sz="0" w:space="0" w:color="auto"/>
        <w:right w:val="none" w:sz="0" w:space="0" w:color="auto"/>
      </w:divBdr>
    </w:div>
    <w:div w:id="481391875">
      <w:bodyDiv w:val="1"/>
      <w:marLeft w:val="0"/>
      <w:marRight w:val="0"/>
      <w:marTop w:val="0"/>
      <w:marBottom w:val="0"/>
      <w:divBdr>
        <w:top w:val="none" w:sz="0" w:space="0" w:color="auto"/>
        <w:left w:val="none" w:sz="0" w:space="0" w:color="auto"/>
        <w:bottom w:val="none" w:sz="0" w:space="0" w:color="auto"/>
        <w:right w:val="none" w:sz="0" w:space="0" w:color="auto"/>
      </w:divBdr>
    </w:div>
    <w:div w:id="481896385">
      <w:bodyDiv w:val="1"/>
      <w:marLeft w:val="0"/>
      <w:marRight w:val="0"/>
      <w:marTop w:val="0"/>
      <w:marBottom w:val="0"/>
      <w:divBdr>
        <w:top w:val="none" w:sz="0" w:space="0" w:color="auto"/>
        <w:left w:val="none" w:sz="0" w:space="0" w:color="auto"/>
        <w:bottom w:val="none" w:sz="0" w:space="0" w:color="auto"/>
        <w:right w:val="none" w:sz="0" w:space="0" w:color="auto"/>
      </w:divBdr>
    </w:div>
    <w:div w:id="482432863">
      <w:bodyDiv w:val="1"/>
      <w:marLeft w:val="0"/>
      <w:marRight w:val="0"/>
      <w:marTop w:val="0"/>
      <w:marBottom w:val="0"/>
      <w:divBdr>
        <w:top w:val="none" w:sz="0" w:space="0" w:color="auto"/>
        <w:left w:val="none" w:sz="0" w:space="0" w:color="auto"/>
        <w:bottom w:val="none" w:sz="0" w:space="0" w:color="auto"/>
        <w:right w:val="none" w:sz="0" w:space="0" w:color="auto"/>
      </w:divBdr>
    </w:div>
    <w:div w:id="484593670">
      <w:bodyDiv w:val="1"/>
      <w:marLeft w:val="0"/>
      <w:marRight w:val="0"/>
      <w:marTop w:val="0"/>
      <w:marBottom w:val="0"/>
      <w:divBdr>
        <w:top w:val="none" w:sz="0" w:space="0" w:color="auto"/>
        <w:left w:val="none" w:sz="0" w:space="0" w:color="auto"/>
        <w:bottom w:val="none" w:sz="0" w:space="0" w:color="auto"/>
        <w:right w:val="none" w:sz="0" w:space="0" w:color="auto"/>
      </w:divBdr>
    </w:div>
    <w:div w:id="485243872">
      <w:bodyDiv w:val="1"/>
      <w:marLeft w:val="0"/>
      <w:marRight w:val="0"/>
      <w:marTop w:val="0"/>
      <w:marBottom w:val="0"/>
      <w:divBdr>
        <w:top w:val="none" w:sz="0" w:space="0" w:color="auto"/>
        <w:left w:val="none" w:sz="0" w:space="0" w:color="auto"/>
        <w:bottom w:val="none" w:sz="0" w:space="0" w:color="auto"/>
        <w:right w:val="none" w:sz="0" w:space="0" w:color="auto"/>
      </w:divBdr>
    </w:div>
    <w:div w:id="485246337">
      <w:bodyDiv w:val="1"/>
      <w:marLeft w:val="0"/>
      <w:marRight w:val="0"/>
      <w:marTop w:val="0"/>
      <w:marBottom w:val="0"/>
      <w:divBdr>
        <w:top w:val="none" w:sz="0" w:space="0" w:color="auto"/>
        <w:left w:val="none" w:sz="0" w:space="0" w:color="auto"/>
        <w:bottom w:val="none" w:sz="0" w:space="0" w:color="auto"/>
        <w:right w:val="none" w:sz="0" w:space="0" w:color="auto"/>
      </w:divBdr>
    </w:div>
    <w:div w:id="485559920">
      <w:bodyDiv w:val="1"/>
      <w:marLeft w:val="0"/>
      <w:marRight w:val="0"/>
      <w:marTop w:val="0"/>
      <w:marBottom w:val="0"/>
      <w:divBdr>
        <w:top w:val="none" w:sz="0" w:space="0" w:color="auto"/>
        <w:left w:val="none" w:sz="0" w:space="0" w:color="auto"/>
        <w:bottom w:val="none" w:sz="0" w:space="0" w:color="auto"/>
        <w:right w:val="none" w:sz="0" w:space="0" w:color="auto"/>
      </w:divBdr>
    </w:div>
    <w:div w:id="487943509">
      <w:bodyDiv w:val="1"/>
      <w:marLeft w:val="0"/>
      <w:marRight w:val="0"/>
      <w:marTop w:val="0"/>
      <w:marBottom w:val="0"/>
      <w:divBdr>
        <w:top w:val="none" w:sz="0" w:space="0" w:color="auto"/>
        <w:left w:val="none" w:sz="0" w:space="0" w:color="auto"/>
        <w:bottom w:val="none" w:sz="0" w:space="0" w:color="auto"/>
        <w:right w:val="none" w:sz="0" w:space="0" w:color="auto"/>
      </w:divBdr>
    </w:div>
    <w:div w:id="488400419">
      <w:bodyDiv w:val="1"/>
      <w:marLeft w:val="0"/>
      <w:marRight w:val="0"/>
      <w:marTop w:val="0"/>
      <w:marBottom w:val="0"/>
      <w:divBdr>
        <w:top w:val="none" w:sz="0" w:space="0" w:color="auto"/>
        <w:left w:val="none" w:sz="0" w:space="0" w:color="auto"/>
        <w:bottom w:val="none" w:sz="0" w:space="0" w:color="auto"/>
        <w:right w:val="none" w:sz="0" w:space="0" w:color="auto"/>
      </w:divBdr>
    </w:div>
    <w:div w:id="488719610">
      <w:bodyDiv w:val="1"/>
      <w:marLeft w:val="0"/>
      <w:marRight w:val="0"/>
      <w:marTop w:val="0"/>
      <w:marBottom w:val="0"/>
      <w:divBdr>
        <w:top w:val="none" w:sz="0" w:space="0" w:color="auto"/>
        <w:left w:val="none" w:sz="0" w:space="0" w:color="auto"/>
        <w:bottom w:val="none" w:sz="0" w:space="0" w:color="auto"/>
        <w:right w:val="none" w:sz="0" w:space="0" w:color="auto"/>
      </w:divBdr>
    </w:div>
    <w:div w:id="489442351">
      <w:bodyDiv w:val="1"/>
      <w:marLeft w:val="0"/>
      <w:marRight w:val="0"/>
      <w:marTop w:val="0"/>
      <w:marBottom w:val="0"/>
      <w:divBdr>
        <w:top w:val="none" w:sz="0" w:space="0" w:color="auto"/>
        <w:left w:val="none" w:sz="0" w:space="0" w:color="auto"/>
        <w:bottom w:val="none" w:sz="0" w:space="0" w:color="auto"/>
        <w:right w:val="none" w:sz="0" w:space="0" w:color="auto"/>
      </w:divBdr>
    </w:div>
    <w:div w:id="489753076">
      <w:bodyDiv w:val="1"/>
      <w:marLeft w:val="0"/>
      <w:marRight w:val="0"/>
      <w:marTop w:val="0"/>
      <w:marBottom w:val="0"/>
      <w:divBdr>
        <w:top w:val="none" w:sz="0" w:space="0" w:color="auto"/>
        <w:left w:val="none" w:sz="0" w:space="0" w:color="auto"/>
        <w:bottom w:val="none" w:sz="0" w:space="0" w:color="auto"/>
        <w:right w:val="none" w:sz="0" w:space="0" w:color="auto"/>
      </w:divBdr>
    </w:div>
    <w:div w:id="490021888">
      <w:bodyDiv w:val="1"/>
      <w:marLeft w:val="0"/>
      <w:marRight w:val="0"/>
      <w:marTop w:val="0"/>
      <w:marBottom w:val="0"/>
      <w:divBdr>
        <w:top w:val="none" w:sz="0" w:space="0" w:color="auto"/>
        <w:left w:val="none" w:sz="0" w:space="0" w:color="auto"/>
        <w:bottom w:val="none" w:sz="0" w:space="0" w:color="auto"/>
        <w:right w:val="none" w:sz="0" w:space="0" w:color="auto"/>
      </w:divBdr>
    </w:div>
    <w:div w:id="490102295">
      <w:bodyDiv w:val="1"/>
      <w:marLeft w:val="0"/>
      <w:marRight w:val="0"/>
      <w:marTop w:val="0"/>
      <w:marBottom w:val="0"/>
      <w:divBdr>
        <w:top w:val="none" w:sz="0" w:space="0" w:color="auto"/>
        <w:left w:val="none" w:sz="0" w:space="0" w:color="auto"/>
        <w:bottom w:val="none" w:sz="0" w:space="0" w:color="auto"/>
        <w:right w:val="none" w:sz="0" w:space="0" w:color="auto"/>
      </w:divBdr>
    </w:div>
    <w:div w:id="490172204">
      <w:bodyDiv w:val="1"/>
      <w:marLeft w:val="0"/>
      <w:marRight w:val="0"/>
      <w:marTop w:val="0"/>
      <w:marBottom w:val="0"/>
      <w:divBdr>
        <w:top w:val="none" w:sz="0" w:space="0" w:color="auto"/>
        <w:left w:val="none" w:sz="0" w:space="0" w:color="auto"/>
        <w:bottom w:val="none" w:sz="0" w:space="0" w:color="auto"/>
        <w:right w:val="none" w:sz="0" w:space="0" w:color="auto"/>
      </w:divBdr>
    </w:div>
    <w:div w:id="490830368">
      <w:bodyDiv w:val="1"/>
      <w:marLeft w:val="0"/>
      <w:marRight w:val="0"/>
      <w:marTop w:val="0"/>
      <w:marBottom w:val="0"/>
      <w:divBdr>
        <w:top w:val="none" w:sz="0" w:space="0" w:color="auto"/>
        <w:left w:val="none" w:sz="0" w:space="0" w:color="auto"/>
        <w:bottom w:val="none" w:sz="0" w:space="0" w:color="auto"/>
        <w:right w:val="none" w:sz="0" w:space="0" w:color="auto"/>
      </w:divBdr>
    </w:div>
    <w:div w:id="491262817">
      <w:bodyDiv w:val="1"/>
      <w:marLeft w:val="0"/>
      <w:marRight w:val="0"/>
      <w:marTop w:val="0"/>
      <w:marBottom w:val="0"/>
      <w:divBdr>
        <w:top w:val="none" w:sz="0" w:space="0" w:color="auto"/>
        <w:left w:val="none" w:sz="0" w:space="0" w:color="auto"/>
        <w:bottom w:val="none" w:sz="0" w:space="0" w:color="auto"/>
        <w:right w:val="none" w:sz="0" w:space="0" w:color="auto"/>
      </w:divBdr>
    </w:div>
    <w:div w:id="491605460">
      <w:bodyDiv w:val="1"/>
      <w:marLeft w:val="0"/>
      <w:marRight w:val="0"/>
      <w:marTop w:val="0"/>
      <w:marBottom w:val="0"/>
      <w:divBdr>
        <w:top w:val="none" w:sz="0" w:space="0" w:color="auto"/>
        <w:left w:val="none" w:sz="0" w:space="0" w:color="auto"/>
        <w:bottom w:val="none" w:sz="0" w:space="0" w:color="auto"/>
        <w:right w:val="none" w:sz="0" w:space="0" w:color="auto"/>
      </w:divBdr>
    </w:div>
    <w:div w:id="491799861">
      <w:bodyDiv w:val="1"/>
      <w:marLeft w:val="0"/>
      <w:marRight w:val="0"/>
      <w:marTop w:val="0"/>
      <w:marBottom w:val="0"/>
      <w:divBdr>
        <w:top w:val="none" w:sz="0" w:space="0" w:color="auto"/>
        <w:left w:val="none" w:sz="0" w:space="0" w:color="auto"/>
        <w:bottom w:val="none" w:sz="0" w:space="0" w:color="auto"/>
        <w:right w:val="none" w:sz="0" w:space="0" w:color="auto"/>
      </w:divBdr>
    </w:div>
    <w:div w:id="491992985">
      <w:bodyDiv w:val="1"/>
      <w:marLeft w:val="0"/>
      <w:marRight w:val="0"/>
      <w:marTop w:val="0"/>
      <w:marBottom w:val="0"/>
      <w:divBdr>
        <w:top w:val="none" w:sz="0" w:space="0" w:color="auto"/>
        <w:left w:val="none" w:sz="0" w:space="0" w:color="auto"/>
        <w:bottom w:val="none" w:sz="0" w:space="0" w:color="auto"/>
        <w:right w:val="none" w:sz="0" w:space="0" w:color="auto"/>
      </w:divBdr>
    </w:div>
    <w:div w:id="492916222">
      <w:bodyDiv w:val="1"/>
      <w:marLeft w:val="0"/>
      <w:marRight w:val="0"/>
      <w:marTop w:val="0"/>
      <w:marBottom w:val="0"/>
      <w:divBdr>
        <w:top w:val="none" w:sz="0" w:space="0" w:color="auto"/>
        <w:left w:val="none" w:sz="0" w:space="0" w:color="auto"/>
        <w:bottom w:val="none" w:sz="0" w:space="0" w:color="auto"/>
        <w:right w:val="none" w:sz="0" w:space="0" w:color="auto"/>
      </w:divBdr>
    </w:div>
    <w:div w:id="493303960">
      <w:bodyDiv w:val="1"/>
      <w:marLeft w:val="0"/>
      <w:marRight w:val="0"/>
      <w:marTop w:val="0"/>
      <w:marBottom w:val="0"/>
      <w:divBdr>
        <w:top w:val="none" w:sz="0" w:space="0" w:color="auto"/>
        <w:left w:val="none" w:sz="0" w:space="0" w:color="auto"/>
        <w:bottom w:val="none" w:sz="0" w:space="0" w:color="auto"/>
        <w:right w:val="none" w:sz="0" w:space="0" w:color="auto"/>
      </w:divBdr>
    </w:div>
    <w:div w:id="494145896">
      <w:bodyDiv w:val="1"/>
      <w:marLeft w:val="0"/>
      <w:marRight w:val="0"/>
      <w:marTop w:val="0"/>
      <w:marBottom w:val="0"/>
      <w:divBdr>
        <w:top w:val="none" w:sz="0" w:space="0" w:color="auto"/>
        <w:left w:val="none" w:sz="0" w:space="0" w:color="auto"/>
        <w:bottom w:val="none" w:sz="0" w:space="0" w:color="auto"/>
        <w:right w:val="none" w:sz="0" w:space="0" w:color="auto"/>
      </w:divBdr>
    </w:div>
    <w:div w:id="494347589">
      <w:bodyDiv w:val="1"/>
      <w:marLeft w:val="0"/>
      <w:marRight w:val="0"/>
      <w:marTop w:val="0"/>
      <w:marBottom w:val="0"/>
      <w:divBdr>
        <w:top w:val="none" w:sz="0" w:space="0" w:color="auto"/>
        <w:left w:val="none" w:sz="0" w:space="0" w:color="auto"/>
        <w:bottom w:val="none" w:sz="0" w:space="0" w:color="auto"/>
        <w:right w:val="none" w:sz="0" w:space="0" w:color="auto"/>
      </w:divBdr>
    </w:div>
    <w:div w:id="494993948">
      <w:bodyDiv w:val="1"/>
      <w:marLeft w:val="0"/>
      <w:marRight w:val="0"/>
      <w:marTop w:val="0"/>
      <w:marBottom w:val="0"/>
      <w:divBdr>
        <w:top w:val="none" w:sz="0" w:space="0" w:color="auto"/>
        <w:left w:val="none" w:sz="0" w:space="0" w:color="auto"/>
        <w:bottom w:val="none" w:sz="0" w:space="0" w:color="auto"/>
        <w:right w:val="none" w:sz="0" w:space="0" w:color="auto"/>
      </w:divBdr>
    </w:div>
    <w:div w:id="495389015">
      <w:bodyDiv w:val="1"/>
      <w:marLeft w:val="0"/>
      <w:marRight w:val="0"/>
      <w:marTop w:val="0"/>
      <w:marBottom w:val="0"/>
      <w:divBdr>
        <w:top w:val="none" w:sz="0" w:space="0" w:color="auto"/>
        <w:left w:val="none" w:sz="0" w:space="0" w:color="auto"/>
        <w:bottom w:val="none" w:sz="0" w:space="0" w:color="auto"/>
        <w:right w:val="none" w:sz="0" w:space="0" w:color="auto"/>
      </w:divBdr>
    </w:div>
    <w:div w:id="496069157">
      <w:bodyDiv w:val="1"/>
      <w:marLeft w:val="0"/>
      <w:marRight w:val="0"/>
      <w:marTop w:val="0"/>
      <w:marBottom w:val="0"/>
      <w:divBdr>
        <w:top w:val="none" w:sz="0" w:space="0" w:color="auto"/>
        <w:left w:val="none" w:sz="0" w:space="0" w:color="auto"/>
        <w:bottom w:val="none" w:sz="0" w:space="0" w:color="auto"/>
        <w:right w:val="none" w:sz="0" w:space="0" w:color="auto"/>
      </w:divBdr>
    </w:div>
    <w:div w:id="497156297">
      <w:bodyDiv w:val="1"/>
      <w:marLeft w:val="0"/>
      <w:marRight w:val="0"/>
      <w:marTop w:val="0"/>
      <w:marBottom w:val="0"/>
      <w:divBdr>
        <w:top w:val="none" w:sz="0" w:space="0" w:color="auto"/>
        <w:left w:val="none" w:sz="0" w:space="0" w:color="auto"/>
        <w:bottom w:val="none" w:sz="0" w:space="0" w:color="auto"/>
        <w:right w:val="none" w:sz="0" w:space="0" w:color="auto"/>
      </w:divBdr>
    </w:div>
    <w:div w:id="497963792">
      <w:bodyDiv w:val="1"/>
      <w:marLeft w:val="0"/>
      <w:marRight w:val="0"/>
      <w:marTop w:val="0"/>
      <w:marBottom w:val="0"/>
      <w:divBdr>
        <w:top w:val="none" w:sz="0" w:space="0" w:color="auto"/>
        <w:left w:val="none" w:sz="0" w:space="0" w:color="auto"/>
        <w:bottom w:val="none" w:sz="0" w:space="0" w:color="auto"/>
        <w:right w:val="none" w:sz="0" w:space="0" w:color="auto"/>
      </w:divBdr>
    </w:div>
    <w:div w:id="498355166">
      <w:bodyDiv w:val="1"/>
      <w:marLeft w:val="0"/>
      <w:marRight w:val="0"/>
      <w:marTop w:val="0"/>
      <w:marBottom w:val="0"/>
      <w:divBdr>
        <w:top w:val="none" w:sz="0" w:space="0" w:color="auto"/>
        <w:left w:val="none" w:sz="0" w:space="0" w:color="auto"/>
        <w:bottom w:val="none" w:sz="0" w:space="0" w:color="auto"/>
        <w:right w:val="none" w:sz="0" w:space="0" w:color="auto"/>
      </w:divBdr>
    </w:div>
    <w:div w:id="498693504">
      <w:bodyDiv w:val="1"/>
      <w:marLeft w:val="0"/>
      <w:marRight w:val="0"/>
      <w:marTop w:val="0"/>
      <w:marBottom w:val="0"/>
      <w:divBdr>
        <w:top w:val="none" w:sz="0" w:space="0" w:color="auto"/>
        <w:left w:val="none" w:sz="0" w:space="0" w:color="auto"/>
        <w:bottom w:val="none" w:sz="0" w:space="0" w:color="auto"/>
        <w:right w:val="none" w:sz="0" w:space="0" w:color="auto"/>
      </w:divBdr>
    </w:div>
    <w:div w:id="498814601">
      <w:bodyDiv w:val="1"/>
      <w:marLeft w:val="0"/>
      <w:marRight w:val="0"/>
      <w:marTop w:val="0"/>
      <w:marBottom w:val="0"/>
      <w:divBdr>
        <w:top w:val="none" w:sz="0" w:space="0" w:color="auto"/>
        <w:left w:val="none" w:sz="0" w:space="0" w:color="auto"/>
        <w:bottom w:val="none" w:sz="0" w:space="0" w:color="auto"/>
        <w:right w:val="none" w:sz="0" w:space="0" w:color="auto"/>
      </w:divBdr>
    </w:div>
    <w:div w:id="499858687">
      <w:bodyDiv w:val="1"/>
      <w:marLeft w:val="0"/>
      <w:marRight w:val="0"/>
      <w:marTop w:val="0"/>
      <w:marBottom w:val="0"/>
      <w:divBdr>
        <w:top w:val="none" w:sz="0" w:space="0" w:color="auto"/>
        <w:left w:val="none" w:sz="0" w:space="0" w:color="auto"/>
        <w:bottom w:val="none" w:sz="0" w:space="0" w:color="auto"/>
        <w:right w:val="none" w:sz="0" w:space="0" w:color="auto"/>
      </w:divBdr>
    </w:div>
    <w:div w:id="500005574">
      <w:bodyDiv w:val="1"/>
      <w:marLeft w:val="0"/>
      <w:marRight w:val="0"/>
      <w:marTop w:val="0"/>
      <w:marBottom w:val="0"/>
      <w:divBdr>
        <w:top w:val="none" w:sz="0" w:space="0" w:color="auto"/>
        <w:left w:val="none" w:sz="0" w:space="0" w:color="auto"/>
        <w:bottom w:val="none" w:sz="0" w:space="0" w:color="auto"/>
        <w:right w:val="none" w:sz="0" w:space="0" w:color="auto"/>
      </w:divBdr>
    </w:div>
    <w:div w:id="500386982">
      <w:bodyDiv w:val="1"/>
      <w:marLeft w:val="0"/>
      <w:marRight w:val="0"/>
      <w:marTop w:val="0"/>
      <w:marBottom w:val="0"/>
      <w:divBdr>
        <w:top w:val="none" w:sz="0" w:space="0" w:color="auto"/>
        <w:left w:val="none" w:sz="0" w:space="0" w:color="auto"/>
        <w:bottom w:val="none" w:sz="0" w:space="0" w:color="auto"/>
        <w:right w:val="none" w:sz="0" w:space="0" w:color="auto"/>
      </w:divBdr>
    </w:div>
    <w:div w:id="501046848">
      <w:bodyDiv w:val="1"/>
      <w:marLeft w:val="0"/>
      <w:marRight w:val="0"/>
      <w:marTop w:val="0"/>
      <w:marBottom w:val="0"/>
      <w:divBdr>
        <w:top w:val="none" w:sz="0" w:space="0" w:color="auto"/>
        <w:left w:val="none" w:sz="0" w:space="0" w:color="auto"/>
        <w:bottom w:val="none" w:sz="0" w:space="0" w:color="auto"/>
        <w:right w:val="none" w:sz="0" w:space="0" w:color="auto"/>
      </w:divBdr>
    </w:div>
    <w:div w:id="501510315">
      <w:bodyDiv w:val="1"/>
      <w:marLeft w:val="0"/>
      <w:marRight w:val="0"/>
      <w:marTop w:val="0"/>
      <w:marBottom w:val="0"/>
      <w:divBdr>
        <w:top w:val="none" w:sz="0" w:space="0" w:color="auto"/>
        <w:left w:val="none" w:sz="0" w:space="0" w:color="auto"/>
        <w:bottom w:val="none" w:sz="0" w:space="0" w:color="auto"/>
        <w:right w:val="none" w:sz="0" w:space="0" w:color="auto"/>
      </w:divBdr>
    </w:div>
    <w:div w:id="501513170">
      <w:bodyDiv w:val="1"/>
      <w:marLeft w:val="0"/>
      <w:marRight w:val="0"/>
      <w:marTop w:val="0"/>
      <w:marBottom w:val="0"/>
      <w:divBdr>
        <w:top w:val="none" w:sz="0" w:space="0" w:color="auto"/>
        <w:left w:val="none" w:sz="0" w:space="0" w:color="auto"/>
        <w:bottom w:val="none" w:sz="0" w:space="0" w:color="auto"/>
        <w:right w:val="none" w:sz="0" w:space="0" w:color="auto"/>
      </w:divBdr>
    </w:div>
    <w:div w:id="501821885">
      <w:bodyDiv w:val="1"/>
      <w:marLeft w:val="0"/>
      <w:marRight w:val="0"/>
      <w:marTop w:val="0"/>
      <w:marBottom w:val="0"/>
      <w:divBdr>
        <w:top w:val="none" w:sz="0" w:space="0" w:color="auto"/>
        <w:left w:val="none" w:sz="0" w:space="0" w:color="auto"/>
        <w:bottom w:val="none" w:sz="0" w:space="0" w:color="auto"/>
        <w:right w:val="none" w:sz="0" w:space="0" w:color="auto"/>
      </w:divBdr>
    </w:div>
    <w:div w:id="502664918">
      <w:bodyDiv w:val="1"/>
      <w:marLeft w:val="0"/>
      <w:marRight w:val="0"/>
      <w:marTop w:val="0"/>
      <w:marBottom w:val="0"/>
      <w:divBdr>
        <w:top w:val="none" w:sz="0" w:space="0" w:color="auto"/>
        <w:left w:val="none" w:sz="0" w:space="0" w:color="auto"/>
        <w:bottom w:val="none" w:sz="0" w:space="0" w:color="auto"/>
        <w:right w:val="none" w:sz="0" w:space="0" w:color="auto"/>
      </w:divBdr>
    </w:div>
    <w:div w:id="502933058">
      <w:bodyDiv w:val="1"/>
      <w:marLeft w:val="0"/>
      <w:marRight w:val="0"/>
      <w:marTop w:val="0"/>
      <w:marBottom w:val="0"/>
      <w:divBdr>
        <w:top w:val="none" w:sz="0" w:space="0" w:color="auto"/>
        <w:left w:val="none" w:sz="0" w:space="0" w:color="auto"/>
        <w:bottom w:val="none" w:sz="0" w:space="0" w:color="auto"/>
        <w:right w:val="none" w:sz="0" w:space="0" w:color="auto"/>
      </w:divBdr>
    </w:div>
    <w:div w:id="503936547">
      <w:bodyDiv w:val="1"/>
      <w:marLeft w:val="0"/>
      <w:marRight w:val="0"/>
      <w:marTop w:val="0"/>
      <w:marBottom w:val="0"/>
      <w:divBdr>
        <w:top w:val="none" w:sz="0" w:space="0" w:color="auto"/>
        <w:left w:val="none" w:sz="0" w:space="0" w:color="auto"/>
        <w:bottom w:val="none" w:sz="0" w:space="0" w:color="auto"/>
        <w:right w:val="none" w:sz="0" w:space="0" w:color="auto"/>
      </w:divBdr>
    </w:div>
    <w:div w:id="504244781">
      <w:bodyDiv w:val="1"/>
      <w:marLeft w:val="0"/>
      <w:marRight w:val="0"/>
      <w:marTop w:val="0"/>
      <w:marBottom w:val="0"/>
      <w:divBdr>
        <w:top w:val="none" w:sz="0" w:space="0" w:color="auto"/>
        <w:left w:val="none" w:sz="0" w:space="0" w:color="auto"/>
        <w:bottom w:val="none" w:sz="0" w:space="0" w:color="auto"/>
        <w:right w:val="none" w:sz="0" w:space="0" w:color="auto"/>
      </w:divBdr>
    </w:div>
    <w:div w:id="504588918">
      <w:bodyDiv w:val="1"/>
      <w:marLeft w:val="0"/>
      <w:marRight w:val="0"/>
      <w:marTop w:val="0"/>
      <w:marBottom w:val="0"/>
      <w:divBdr>
        <w:top w:val="none" w:sz="0" w:space="0" w:color="auto"/>
        <w:left w:val="none" w:sz="0" w:space="0" w:color="auto"/>
        <w:bottom w:val="none" w:sz="0" w:space="0" w:color="auto"/>
        <w:right w:val="none" w:sz="0" w:space="0" w:color="auto"/>
      </w:divBdr>
    </w:div>
    <w:div w:id="504633403">
      <w:bodyDiv w:val="1"/>
      <w:marLeft w:val="0"/>
      <w:marRight w:val="0"/>
      <w:marTop w:val="0"/>
      <w:marBottom w:val="0"/>
      <w:divBdr>
        <w:top w:val="none" w:sz="0" w:space="0" w:color="auto"/>
        <w:left w:val="none" w:sz="0" w:space="0" w:color="auto"/>
        <w:bottom w:val="none" w:sz="0" w:space="0" w:color="auto"/>
        <w:right w:val="none" w:sz="0" w:space="0" w:color="auto"/>
      </w:divBdr>
    </w:div>
    <w:div w:id="504982603">
      <w:bodyDiv w:val="1"/>
      <w:marLeft w:val="0"/>
      <w:marRight w:val="0"/>
      <w:marTop w:val="0"/>
      <w:marBottom w:val="0"/>
      <w:divBdr>
        <w:top w:val="none" w:sz="0" w:space="0" w:color="auto"/>
        <w:left w:val="none" w:sz="0" w:space="0" w:color="auto"/>
        <w:bottom w:val="none" w:sz="0" w:space="0" w:color="auto"/>
        <w:right w:val="none" w:sz="0" w:space="0" w:color="auto"/>
      </w:divBdr>
    </w:div>
    <w:div w:id="505562964">
      <w:bodyDiv w:val="1"/>
      <w:marLeft w:val="0"/>
      <w:marRight w:val="0"/>
      <w:marTop w:val="0"/>
      <w:marBottom w:val="0"/>
      <w:divBdr>
        <w:top w:val="none" w:sz="0" w:space="0" w:color="auto"/>
        <w:left w:val="none" w:sz="0" w:space="0" w:color="auto"/>
        <w:bottom w:val="none" w:sz="0" w:space="0" w:color="auto"/>
        <w:right w:val="none" w:sz="0" w:space="0" w:color="auto"/>
      </w:divBdr>
    </w:div>
    <w:div w:id="505679756">
      <w:bodyDiv w:val="1"/>
      <w:marLeft w:val="0"/>
      <w:marRight w:val="0"/>
      <w:marTop w:val="0"/>
      <w:marBottom w:val="0"/>
      <w:divBdr>
        <w:top w:val="none" w:sz="0" w:space="0" w:color="auto"/>
        <w:left w:val="none" w:sz="0" w:space="0" w:color="auto"/>
        <w:bottom w:val="none" w:sz="0" w:space="0" w:color="auto"/>
        <w:right w:val="none" w:sz="0" w:space="0" w:color="auto"/>
      </w:divBdr>
    </w:div>
    <w:div w:id="505679981">
      <w:bodyDiv w:val="1"/>
      <w:marLeft w:val="0"/>
      <w:marRight w:val="0"/>
      <w:marTop w:val="0"/>
      <w:marBottom w:val="0"/>
      <w:divBdr>
        <w:top w:val="none" w:sz="0" w:space="0" w:color="auto"/>
        <w:left w:val="none" w:sz="0" w:space="0" w:color="auto"/>
        <w:bottom w:val="none" w:sz="0" w:space="0" w:color="auto"/>
        <w:right w:val="none" w:sz="0" w:space="0" w:color="auto"/>
      </w:divBdr>
    </w:div>
    <w:div w:id="506334945">
      <w:bodyDiv w:val="1"/>
      <w:marLeft w:val="0"/>
      <w:marRight w:val="0"/>
      <w:marTop w:val="0"/>
      <w:marBottom w:val="0"/>
      <w:divBdr>
        <w:top w:val="none" w:sz="0" w:space="0" w:color="auto"/>
        <w:left w:val="none" w:sz="0" w:space="0" w:color="auto"/>
        <w:bottom w:val="none" w:sz="0" w:space="0" w:color="auto"/>
        <w:right w:val="none" w:sz="0" w:space="0" w:color="auto"/>
      </w:divBdr>
    </w:div>
    <w:div w:id="507136751">
      <w:bodyDiv w:val="1"/>
      <w:marLeft w:val="0"/>
      <w:marRight w:val="0"/>
      <w:marTop w:val="0"/>
      <w:marBottom w:val="0"/>
      <w:divBdr>
        <w:top w:val="none" w:sz="0" w:space="0" w:color="auto"/>
        <w:left w:val="none" w:sz="0" w:space="0" w:color="auto"/>
        <w:bottom w:val="none" w:sz="0" w:space="0" w:color="auto"/>
        <w:right w:val="none" w:sz="0" w:space="0" w:color="auto"/>
      </w:divBdr>
    </w:div>
    <w:div w:id="508830180">
      <w:bodyDiv w:val="1"/>
      <w:marLeft w:val="0"/>
      <w:marRight w:val="0"/>
      <w:marTop w:val="0"/>
      <w:marBottom w:val="0"/>
      <w:divBdr>
        <w:top w:val="none" w:sz="0" w:space="0" w:color="auto"/>
        <w:left w:val="none" w:sz="0" w:space="0" w:color="auto"/>
        <w:bottom w:val="none" w:sz="0" w:space="0" w:color="auto"/>
        <w:right w:val="none" w:sz="0" w:space="0" w:color="auto"/>
      </w:divBdr>
    </w:div>
    <w:div w:id="509027338">
      <w:bodyDiv w:val="1"/>
      <w:marLeft w:val="0"/>
      <w:marRight w:val="0"/>
      <w:marTop w:val="0"/>
      <w:marBottom w:val="0"/>
      <w:divBdr>
        <w:top w:val="none" w:sz="0" w:space="0" w:color="auto"/>
        <w:left w:val="none" w:sz="0" w:space="0" w:color="auto"/>
        <w:bottom w:val="none" w:sz="0" w:space="0" w:color="auto"/>
        <w:right w:val="none" w:sz="0" w:space="0" w:color="auto"/>
      </w:divBdr>
    </w:div>
    <w:div w:id="509032608">
      <w:bodyDiv w:val="1"/>
      <w:marLeft w:val="0"/>
      <w:marRight w:val="0"/>
      <w:marTop w:val="0"/>
      <w:marBottom w:val="0"/>
      <w:divBdr>
        <w:top w:val="none" w:sz="0" w:space="0" w:color="auto"/>
        <w:left w:val="none" w:sz="0" w:space="0" w:color="auto"/>
        <w:bottom w:val="none" w:sz="0" w:space="0" w:color="auto"/>
        <w:right w:val="none" w:sz="0" w:space="0" w:color="auto"/>
      </w:divBdr>
    </w:div>
    <w:div w:id="509686907">
      <w:bodyDiv w:val="1"/>
      <w:marLeft w:val="0"/>
      <w:marRight w:val="0"/>
      <w:marTop w:val="0"/>
      <w:marBottom w:val="0"/>
      <w:divBdr>
        <w:top w:val="none" w:sz="0" w:space="0" w:color="auto"/>
        <w:left w:val="none" w:sz="0" w:space="0" w:color="auto"/>
        <w:bottom w:val="none" w:sz="0" w:space="0" w:color="auto"/>
        <w:right w:val="none" w:sz="0" w:space="0" w:color="auto"/>
      </w:divBdr>
    </w:div>
    <w:div w:id="509829418">
      <w:bodyDiv w:val="1"/>
      <w:marLeft w:val="0"/>
      <w:marRight w:val="0"/>
      <w:marTop w:val="0"/>
      <w:marBottom w:val="0"/>
      <w:divBdr>
        <w:top w:val="none" w:sz="0" w:space="0" w:color="auto"/>
        <w:left w:val="none" w:sz="0" w:space="0" w:color="auto"/>
        <w:bottom w:val="none" w:sz="0" w:space="0" w:color="auto"/>
        <w:right w:val="none" w:sz="0" w:space="0" w:color="auto"/>
      </w:divBdr>
    </w:div>
    <w:div w:id="510795733">
      <w:bodyDiv w:val="1"/>
      <w:marLeft w:val="0"/>
      <w:marRight w:val="0"/>
      <w:marTop w:val="0"/>
      <w:marBottom w:val="0"/>
      <w:divBdr>
        <w:top w:val="none" w:sz="0" w:space="0" w:color="auto"/>
        <w:left w:val="none" w:sz="0" w:space="0" w:color="auto"/>
        <w:bottom w:val="none" w:sz="0" w:space="0" w:color="auto"/>
        <w:right w:val="none" w:sz="0" w:space="0" w:color="auto"/>
      </w:divBdr>
    </w:div>
    <w:div w:id="511141288">
      <w:bodyDiv w:val="1"/>
      <w:marLeft w:val="0"/>
      <w:marRight w:val="0"/>
      <w:marTop w:val="0"/>
      <w:marBottom w:val="0"/>
      <w:divBdr>
        <w:top w:val="none" w:sz="0" w:space="0" w:color="auto"/>
        <w:left w:val="none" w:sz="0" w:space="0" w:color="auto"/>
        <w:bottom w:val="none" w:sz="0" w:space="0" w:color="auto"/>
        <w:right w:val="none" w:sz="0" w:space="0" w:color="auto"/>
      </w:divBdr>
    </w:div>
    <w:div w:id="511648426">
      <w:bodyDiv w:val="1"/>
      <w:marLeft w:val="0"/>
      <w:marRight w:val="0"/>
      <w:marTop w:val="0"/>
      <w:marBottom w:val="0"/>
      <w:divBdr>
        <w:top w:val="none" w:sz="0" w:space="0" w:color="auto"/>
        <w:left w:val="none" w:sz="0" w:space="0" w:color="auto"/>
        <w:bottom w:val="none" w:sz="0" w:space="0" w:color="auto"/>
        <w:right w:val="none" w:sz="0" w:space="0" w:color="auto"/>
      </w:divBdr>
    </w:div>
    <w:div w:id="514686784">
      <w:bodyDiv w:val="1"/>
      <w:marLeft w:val="0"/>
      <w:marRight w:val="0"/>
      <w:marTop w:val="0"/>
      <w:marBottom w:val="0"/>
      <w:divBdr>
        <w:top w:val="none" w:sz="0" w:space="0" w:color="auto"/>
        <w:left w:val="none" w:sz="0" w:space="0" w:color="auto"/>
        <w:bottom w:val="none" w:sz="0" w:space="0" w:color="auto"/>
        <w:right w:val="none" w:sz="0" w:space="0" w:color="auto"/>
      </w:divBdr>
    </w:div>
    <w:div w:id="515775052">
      <w:bodyDiv w:val="1"/>
      <w:marLeft w:val="0"/>
      <w:marRight w:val="0"/>
      <w:marTop w:val="0"/>
      <w:marBottom w:val="0"/>
      <w:divBdr>
        <w:top w:val="none" w:sz="0" w:space="0" w:color="auto"/>
        <w:left w:val="none" w:sz="0" w:space="0" w:color="auto"/>
        <w:bottom w:val="none" w:sz="0" w:space="0" w:color="auto"/>
        <w:right w:val="none" w:sz="0" w:space="0" w:color="auto"/>
      </w:divBdr>
    </w:div>
    <w:div w:id="516117821">
      <w:bodyDiv w:val="1"/>
      <w:marLeft w:val="0"/>
      <w:marRight w:val="0"/>
      <w:marTop w:val="0"/>
      <w:marBottom w:val="0"/>
      <w:divBdr>
        <w:top w:val="none" w:sz="0" w:space="0" w:color="auto"/>
        <w:left w:val="none" w:sz="0" w:space="0" w:color="auto"/>
        <w:bottom w:val="none" w:sz="0" w:space="0" w:color="auto"/>
        <w:right w:val="none" w:sz="0" w:space="0" w:color="auto"/>
      </w:divBdr>
    </w:div>
    <w:div w:id="516623684">
      <w:bodyDiv w:val="1"/>
      <w:marLeft w:val="0"/>
      <w:marRight w:val="0"/>
      <w:marTop w:val="0"/>
      <w:marBottom w:val="0"/>
      <w:divBdr>
        <w:top w:val="none" w:sz="0" w:space="0" w:color="auto"/>
        <w:left w:val="none" w:sz="0" w:space="0" w:color="auto"/>
        <w:bottom w:val="none" w:sz="0" w:space="0" w:color="auto"/>
        <w:right w:val="none" w:sz="0" w:space="0" w:color="auto"/>
      </w:divBdr>
    </w:div>
    <w:div w:id="517044159">
      <w:bodyDiv w:val="1"/>
      <w:marLeft w:val="0"/>
      <w:marRight w:val="0"/>
      <w:marTop w:val="0"/>
      <w:marBottom w:val="0"/>
      <w:divBdr>
        <w:top w:val="none" w:sz="0" w:space="0" w:color="auto"/>
        <w:left w:val="none" w:sz="0" w:space="0" w:color="auto"/>
        <w:bottom w:val="none" w:sz="0" w:space="0" w:color="auto"/>
        <w:right w:val="none" w:sz="0" w:space="0" w:color="auto"/>
      </w:divBdr>
    </w:div>
    <w:div w:id="517045441">
      <w:bodyDiv w:val="1"/>
      <w:marLeft w:val="0"/>
      <w:marRight w:val="0"/>
      <w:marTop w:val="0"/>
      <w:marBottom w:val="0"/>
      <w:divBdr>
        <w:top w:val="none" w:sz="0" w:space="0" w:color="auto"/>
        <w:left w:val="none" w:sz="0" w:space="0" w:color="auto"/>
        <w:bottom w:val="none" w:sz="0" w:space="0" w:color="auto"/>
        <w:right w:val="none" w:sz="0" w:space="0" w:color="auto"/>
      </w:divBdr>
    </w:div>
    <w:div w:id="517619499">
      <w:bodyDiv w:val="1"/>
      <w:marLeft w:val="0"/>
      <w:marRight w:val="0"/>
      <w:marTop w:val="0"/>
      <w:marBottom w:val="0"/>
      <w:divBdr>
        <w:top w:val="none" w:sz="0" w:space="0" w:color="auto"/>
        <w:left w:val="none" w:sz="0" w:space="0" w:color="auto"/>
        <w:bottom w:val="none" w:sz="0" w:space="0" w:color="auto"/>
        <w:right w:val="none" w:sz="0" w:space="0" w:color="auto"/>
      </w:divBdr>
    </w:div>
    <w:div w:id="518393907">
      <w:bodyDiv w:val="1"/>
      <w:marLeft w:val="0"/>
      <w:marRight w:val="0"/>
      <w:marTop w:val="0"/>
      <w:marBottom w:val="0"/>
      <w:divBdr>
        <w:top w:val="none" w:sz="0" w:space="0" w:color="auto"/>
        <w:left w:val="none" w:sz="0" w:space="0" w:color="auto"/>
        <w:bottom w:val="none" w:sz="0" w:space="0" w:color="auto"/>
        <w:right w:val="none" w:sz="0" w:space="0" w:color="auto"/>
      </w:divBdr>
    </w:div>
    <w:div w:id="518858303">
      <w:bodyDiv w:val="1"/>
      <w:marLeft w:val="0"/>
      <w:marRight w:val="0"/>
      <w:marTop w:val="0"/>
      <w:marBottom w:val="0"/>
      <w:divBdr>
        <w:top w:val="none" w:sz="0" w:space="0" w:color="auto"/>
        <w:left w:val="none" w:sz="0" w:space="0" w:color="auto"/>
        <w:bottom w:val="none" w:sz="0" w:space="0" w:color="auto"/>
        <w:right w:val="none" w:sz="0" w:space="0" w:color="auto"/>
      </w:divBdr>
    </w:div>
    <w:div w:id="519973097">
      <w:bodyDiv w:val="1"/>
      <w:marLeft w:val="0"/>
      <w:marRight w:val="0"/>
      <w:marTop w:val="0"/>
      <w:marBottom w:val="0"/>
      <w:divBdr>
        <w:top w:val="none" w:sz="0" w:space="0" w:color="auto"/>
        <w:left w:val="none" w:sz="0" w:space="0" w:color="auto"/>
        <w:bottom w:val="none" w:sz="0" w:space="0" w:color="auto"/>
        <w:right w:val="none" w:sz="0" w:space="0" w:color="auto"/>
      </w:divBdr>
    </w:div>
    <w:div w:id="520242745">
      <w:bodyDiv w:val="1"/>
      <w:marLeft w:val="0"/>
      <w:marRight w:val="0"/>
      <w:marTop w:val="0"/>
      <w:marBottom w:val="0"/>
      <w:divBdr>
        <w:top w:val="none" w:sz="0" w:space="0" w:color="auto"/>
        <w:left w:val="none" w:sz="0" w:space="0" w:color="auto"/>
        <w:bottom w:val="none" w:sz="0" w:space="0" w:color="auto"/>
        <w:right w:val="none" w:sz="0" w:space="0" w:color="auto"/>
      </w:divBdr>
    </w:div>
    <w:div w:id="520314709">
      <w:bodyDiv w:val="1"/>
      <w:marLeft w:val="0"/>
      <w:marRight w:val="0"/>
      <w:marTop w:val="0"/>
      <w:marBottom w:val="0"/>
      <w:divBdr>
        <w:top w:val="none" w:sz="0" w:space="0" w:color="auto"/>
        <w:left w:val="none" w:sz="0" w:space="0" w:color="auto"/>
        <w:bottom w:val="none" w:sz="0" w:space="0" w:color="auto"/>
        <w:right w:val="none" w:sz="0" w:space="0" w:color="auto"/>
      </w:divBdr>
    </w:div>
    <w:div w:id="521281584">
      <w:bodyDiv w:val="1"/>
      <w:marLeft w:val="0"/>
      <w:marRight w:val="0"/>
      <w:marTop w:val="0"/>
      <w:marBottom w:val="0"/>
      <w:divBdr>
        <w:top w:val="none" w:sz="0" w:space="0" w:color="auto"/>
        <w:left w:val="none" w:sz="0" w:space="0" w:color="auto"/>
        <w:bottom w:val="none" w:sz="0" w:space="0" w:color="auto"/>
        <w:right w:val="none" w:sz="0" w:space="0" w:color="auto"/>
      </w:divBdr>
    </w:div>
    <w:div w:id="521630080">
      <w:bodyDiv w:val="1"/>
      <w:marLeft w:val="0"/>
      <w:marRight w:val="0"/>
      <w:marTop w:val="0"/>
      <w:marBottom w:val="0"/>
      <w:divBdr>
        <w:top w:val="none" w:sz="0" w:space="0" w:color="auto"/>
        <w:left w:val="none" w:sz="0" w:space="0" w:color="auto"/>
        <w:bottom w:val="none" w:sz="0" w:space="0" w:color="auto"/>
        <w:right w:val="none" w:sz="0" w:space="0" w:color="auto"/>
      </w:divBdr>
    </w:div>
    <w:div w:id="522060729">
      <w:bodyDiv w:val="1"/>
      <w:marLeft w:val="0"/>
      <w:marRight w:val="0"/>
      <w:marTop w:val="0"/>
      <w:marBottom w:val="0"/>
      <w:divBdr>
        <w:top w:val="none" w:sz="0" w:space="0" w:color="auto"/>
        <w:left w:val="none" w:sz="0" w:space="0" w:color="auto"/>
        <w:bottom w:val="none" w:sz="0" w:space="0" w:color="auto"/>
        <w:right w:val="none" w:sz="0" w:space="0" w:color="auto"/>
      </w:divBdr>
    </w:div>
    <w:div w:id="522206148">
      <w:bodyDiv w:val="1"/>
      <w:marLeft w:val="0"/>
      <w:marRight w:val="0"/>
      <w:marTop w:val="0"/>
      <w:marBottom w:val="0"/>
      <w:divBdr>
        <w:top w:val="none" w:sz="0" w:space="0" w:color="auto"/>
        <w:left w:val="none" w:sz="0" w:space="0" w:color="auto"/>
        <w:bottom w:val="none" w:sz="0" w:space="0" w:color="auto"/>
        <w:right w:val="none" w:sz="0" w:space="0" w:color="auto"/>
      </w:divBdr>
    </w:div>
    <w:div w:id="522210471">
      <w:bodyDiv w:val="1"/>
      <w:marLeft w:val="0"/>
      <w:marRight w:val="0"/>
      <w:marTop w:val="0"/>
      <w:marBottom w:val="0"/>
      <w:divBdr>
        <w:top w:val="none" w:sz="0" w:space="0" w:color="auto"/>
        <w:left w:val="none" w:sz="0" w:space="0" w:color="auto"/>
        <w:bottom w:val="none" w:sz="0" w:space="0" w:color="auto"/>
        <w:right w:val="none" w:sz="0" w:space="0" w:color="auto"/>
      </w:divBdr>
    </w:div>
    <w:div w:id="522474174">
      <w:bodyDiv w:val="1"/>
      <w:marLeft w:val="0"/>
      <w:marRight w:val="0"/>
      <w:marTop w:val="0"/>
      <w:marBottom w:val="0"/>
      <w:divBdr>
        <w:top w:val="none" w:sz="0" w:space="0" w:color="auto"/>
        <w:left w:val="none" w:sz="0" w:space="0" w:color="auto"/>
        <w:bottom w:val="none" w:sz="0" w:space="0" w:color="auto"/>
        <w:right w:val="none" w:sz="0" w:space="0" w:color="auto"/>
      </w:divBdr>
    </w:div>
    <w:div w:id="524288339">
      <w:bodyDiv w:val="1"/>
      <w:marLeft w:val="0"/>
      <w:marRight w:val="0"/>
      <w:marTop w:val="0"/>
      <w:marBottom w:val="0"/>
      <w:divBdr>
        <w:top w:val="none" w:sz="0" w:space="0" w:color="auto"/>
        <w:left w:val="none" w:sz="0" w:space="0" w:color="auto"/>
        <w:bottom w:val="none" w:sz="0" w:space="0" w:color="auto"/>
        <w:right w:val="none" w:sz="0" w:space="0" w:color="auto"/>
      </w:divBdr>
    </w:div>
    <w:div w:id="524710326">
      <w:bodyDiv w:val="1"/>
      <w:marLeft w:val="0"/>
      <w:marRight w:val="0"/>
      <w:marTop w:val="0"/>
      <w:marBottom w:val="0"/>
      <w:divBdr>
        <w:top w:val="none" w:sz="0" w:space="0" w:color="auto"/>
        <w:left w:val="none" w:sz="0" w:space="0" w:color="auto"/>
        <w:bottom w:val="none" w:sz="0" w:space="0" w:color="auto"/>
        <w:right w:val="none" w:sz="0" w:space="0" w:color="auto"/>
      </w:divBdr>
    </w:div>
    <w:div w:id="525097399">
      <w:bodyDiv w:val="1"/>
      <w:marLeft w:val="0"/>
      <w:marRight w:val="0"/>
      <w:marTop w:val="0"/>
      <w:marBottom w:val="0"/>
      <w:divBdr>
        <w:top w:val="none" w:sz="0" w:space="0" w:color="auto"/>
        <w:left w:val="none" w:sz="0" w:space="0" w:color="auto"/>
        <w:bottom w:val="none" w:sz="0" w:space="0" w:color="auto"/>
        <w:right w:val="none" w:sz="0" w:space="0" w:color="auto"/>
      </w:divBdr>
    </w:div>
    <w:div w:id="525485100">
      <w:bodyDiv w:val="1"/>
      <w:marLeft w:val="0"/>
      <w:marRight w:val="0"/>
      <w:marTop w:val="0"/>
      <w:marBottom w:val="0"/>
      <w:divBdr>
        <w:top w:val="none" w:sz="0" w:space="0" w:color="auto"/>
        <w:left w:val="none" w:sz="0" w:space="0" w:color="auto"/>
        <w:bottom w:val="none" w:sz="0" w:space="0" w:color="auto"/>
        <w:right w:val="none" w:sz="0" w:space="0" w:color="auto"/>
      </w:divBdr>
    </w:div>
    <w:div w:id="527530686">
      <w:bodyDiv w:val="1"/>
      <w:marLeft w:val="0"/>
      <w:marRight w:val="0"/>
      <w:marTop w:val="0"/>
      <w:marBottom w:val="0"/>
      <w:divBdr>
        <w:top w:val="none" w:sz="0" w:space="0" w:color="auto"/>
        <w:left w:val="none" w:sz="0" w:space="0" w:color="auto"/>
        <w:bottom w:val="none" w:sz="0" w:space="0" w:color="auto"/>
        <w:right w:val="none" w:sz="0" w:space="0" w:color="auto"/>
      </w:divBdr>
    </w:div>
    <w:div w:id="528687954">
      <w:bodyDiv w:val="1"/>
      <w:marLeft w:val="0"/>
      <w:marRight w:val="0"/>
      <w:marTop w:val="0"/>
      <w:marBottom w:val="0"/>
      <w:divBdr>
        <w:top w:val="none" w:sz="0" w:space="0" w:color="auto"/>
        <w:left w:val="none" w:sz="0" w:space="0" w:color="auto"/>
        <w:bottom w:val="none" w:sz="0" w:space="0" w:color="auto"/>
        <w:right w:val="none" w:sz="0" w:space="0" w:color="auto"/>
      </w:divBdr>
    </w:div>
    <w:div w:id="529757345">
      <w:bodyDiv w:val="1"/>
      <w:marLeft w:val="0"/>
      <w:marRight w:val="0"/>
      <w:marTop w:val="0"/>
      <w:marBottom w:val="0"/>
      <w:divBdr>
        <w:top w:val="none" w:sz="0" w:space="0" w:color="auto"/>
        <w:left w:val="none" w:sz="0" w:space="0" w:color="auto"/>
        <w:bottom w:val="none" w:sz="0" w:space="0" w:color="auto"/>
        <w:right w:val="none" w:sz="0" w:space="0" w:color="auto"/>
      </w:divBdr>
    </w:div>
    <w:div w:id="530460441">
      <w:bodyDiv w:val="1"/>
      <w:marLeft w:val="0"/>
      <w:marRight w:val="0"/>
      <w:marTop w:val="0"/>
      <w:marBottom w:val="0"/>
      <w:divBdr>
        <w:top w:val="none" w:sz="0" w:space="0" w:color="auto"/>
        <w:left w:val="none" w:sz="0" w:space="0" w:color="auto"/>
        <w:bottom w:val="none" w:sz="0" w:space="0" w:color="auto"/>
        <w:right w:val="none" w:sz="0" w:space="0" w:color="auto"/>
      </w:divBdr>
    </w:div>
    <w:div w:id="530537720">
      <w:bodyDiv w:val="1"/>
      <w:marLeft w:val="0"/>
      <w:marRight w:val="0"/>
      <w:marTop w:val="0"/>
      <w:marBottom w:val="0"/>
      <w:divBdr>
        <w:top w:val="none" w:sz="0" w:space="0" w:color="auto"/>
        <w:left w:val="none" w:sz="0" w:space="0" w:color="auto"/>
        <w:bottom w:val="none" w:sz="0" w:space="0" w:color="auto"/>
        <w:right w:val="none" w:sz="0" w:space="0" w:color="auto"/>
      </w:divBdr>
    </w:div>
    <w:div w:id="531067133">
      <w:bodyDiv w:val="1"/>
      <w:marLeft w:val="0"/>
      <w:marRight w:val="0"/>
      <w:marTop w:val="0"/>
      <w:marBottom w:val="0"/>
      <w:divBdr>
        <w:top w:val="none" w:sz="0" w:space="0" w:color="auto"/>
        <w:left w:val="none" w:sz="0" w:space="0" w:color="auto"/>
        <w:bottom w:val="none" w:sz="0" w:space="0" w:color="auto"/>
        <w:right w:val="none" w:sz="0" w:space="0" w:color="auto"/>
      </w:divBdr>
    </w:div>
    <w:div w:id="531266397">
      <w:bodyDiv w:val="1"/>
      <w:marLeft w:val="0"/>
      <w:marRight w:val="0"/>
      <w:marTop w:val="0"/>
      <w:marBottom w:val="0"/>
      <w:divBdr>
        <w:top w:val="none" w:sz="0" w:space="0" w:color="auto"/>
        <w:left w:val="none" w:sz="0" w:space="0" w:color="auto"/>
        <w:bottom w:val="none" w:sz="0" w:space="0" w:color="auto"/>
        <w:right w:val="none" w:sz="0" w:space="0" w:color="auto"/>
      </w:divBdr>
    </w:div>
    <w:div w:id="533814859">
      <w:bodyDiv w:val="1"/>
      <w:marLeft w:val="0"/>
      <w:marRight w:val="0"/>
      <w:marTop w:val="0"/>
      <w:marBottom w:val="0"/>
      <w:divBdr>
        <w:top w:val="none" w:sz="0" w:space="0" w:color="auto"/>
        <w:left w:val="none" w:sz="0" w:space="0" w:color="auto"/>
        <w:bottom w:val="none" w:sz="0" w:space="0" w:color="auto"/>
        <w:right w:val="none" w:sz="0" w:space="0" w:color="auto"/>
      </w:divBdr>
    </w:div>
    <w:div w:id="533887480">
      <w:bodyDiv w:val="1"/>
      <w:marLeft w:val="0"/>
      <w:marRight w:val="0"/>
      <w:marTop w:val="0"/>
      <w:marBottom w:val="0"/>
      <w:divBdr>
        <w:top w:val="none" w:sz="0" w:space="0" w:color="auto"/>
        <w:left w:val="none" w:sz="0" w:space="0" w:color="auto"/>
        <w:bottom w:val="none" w:sz="0" w:space="0" w:color="auto"/>
        <w:right w:val="none" w:sz="0" w:space="0" w:color="auto"/>
      </w:divBdr>
    </w:div>
    <w:div w:id="535505305">
      <w:bodyDiv w:val="1"/>
      <w:marLeft w:val="0"/>
      <w:marRight w:val="0"/>
      <w:marTop w:val="0"/>
      <w:marBottom w:val="0"/>
      <w:divBdr>
        <w:top w:val="none" w:sz="0" w:space="0" w:color="auto"/>
        <w:left w:val="none" w:sz="0" w:space="0" w:color="auto"/>
        <w:bottom w:val="none" w:sz="0" w:space="0" w:color="auto"/>
        <w:right w:val="none" w:sz="0" w:space="0" w:color="auto"/>
      </w:divBdr>
    </w:div>
    <w:div w:id="536167586">
      <w:bodyDiv w:val="1"/>
      <w:marLeft w:val="0"/>
      <w:marRight w:val="0"/>
      <w:marTop w:val="0"/>
      <w:marBottom w:val="0"/>
      <w:divBdr>
        <w:top w:val="none" w:sz="0" w:space="0" w:color="auto"/>
        <w:left w:val="none" w:sz="0" w:space="0" w:color="auto"/>
        <w:bottom w:val="none" w:sz="0" w:space="0" w:color="auto"/>
        <w:right w:val="none" w:sz="0" w:space="0" w:color="auto"/>
      </w:divBdr>
    </w:div>
    <w:div w:id="536357153">
      <w:bodyDiv w:val="1"/>
      <w:marLeft w:val="0"/>
      <w:marRight w:val="0"/>
      <w:marTop w:val="0"/>
      <w:marBottom w:val="0"/>
      <w:divBdr>
        <w:top w:val="none" w:sz="0" w:space="0" w:color="auto"/>
        <w:left w:val="none" w:sz="0" w:space="0" w:color="auto"/>
        <w:bottom w:val="none" w:sz="0" w:space="0" w:color="auto"/>
        <w:right w:val="none" w:sz="0" w:space="0" w:color="auto"/>
      </w:divBdr>
    </w:div>
    <w:div w:id="537014857">
      <w:bodyDiv w:val="1"/>
      <w:marLeft w:val="0"/>
      <w:marRight w:val="0"/>
      <w:marTop w:val="0"/>
      <w:marBottom w:val="0"/>
      <w:divBdr>
        <w:top w:val="none" w:sz="0" w:space="0" w:color="auto"/>
        <w:left w:val="none" w:sz="0" w:space="0" w:color="auto"/>
        <w:bottom w:val="none" w:sz="0" w:space="0" w:color="auto"/>
        <w:right w:val="none" w:sz="0" w:space="0" w:color="auto"/>
      </w:divBdr>
    </w:div>
    <w:div w:id="537091273">
      <w:bodyDiv w:val="1"/>
      <w:marLeft w:val="0"/>
      <w:marRight w:val="0"/>
      <w:marTop w:val="0"/>
      <w:marBottom w:val="0"/>
      <w:divBdr>
        <w:top w:val="none" w:sz="0" w:space="0" w:color="auto"/>
        <w:left w:val="none" w:sz="0" w:space="0" w:color="auto"/>
        <w:bottom w:val="none" w:sz="0" w:space="0" w:color="auto"/>
        <w:right w:val="none" w:sz="0" w:space="0" w:color="auto"/>
      </w:divBdr>
    </w:div>
    <w:div w:id="537275284">
      <w:bodyDiv w:val="1"/>
      <w:marLeft w:val="0"/>
      <w:marRight w:val="0"/>
      <w:marTop w:val="0"/>
      <w:marBottom w:val="0"/>
      <w:divBdr>
        <w:top w:val="none" w:sz="0" w:space="0" w:color="auto"/>
        <w:left w:val="none" w:sz="0" w:space="0" w:color="auto"/>
        <w:bottom w:val="none" w:sz="0" w:space="0" w:color="auto"/>
        <w:right w:val="none" w:sz="0" w:space="0" w:color="auto"/>
      </w:divBdr>
    </w:div>
    <w:div w:id="537624318">
      <w:bodyDiv w:val="1"/>
      <w:marLeft w:val="0"/>
      <w:marRight w:val="0"/>
      <w:marTop w:val="0"/>
      <w:marBottom w:val="0"/>
      <w:divBdr>
        <w:top w:val="none" w:sz="0" w:space="0" w:color="auto"/>
        <w:left w:val="none" w:sz="0" w:space="0" w:color="auto"/>
        <w:bottom w:val="none" w:sz="0" w:space="0" w:color="auto"/>
        <w:right w:val="none" w:sz="0" w:space="0" w:color="auto"/>
      </w:divBdr>
    </w:div>
    <w:div w:id="537930860">
      <w:bodyDiv w:val="1"/>
      <w:marLeft w:val="0"/>
      <w:marRight w:val="0"/>
      <w:marTop w:val="0"/>
      <w:marBottom w:val="0"/>
      <w:divBdr>
        <w:top w:val="none" w:sz="0" w:space="0" w:color="auto"/>
        <w:left w:val="none" w:sz="0" w:space="0" w:color="auto"/>
        <w:bottom w:val="none" w:sz="0" w:space="0" w:color="auto"/>
        <w:right w:val="none" w:sz="0" w:space="0" w:color="auto"/>
      </w:divBdr>
    </w:div>
    <w:div w:id="537939925">
      <w:bodyDiv w:val="1"/>
      <w:marLeft w:val="0"/>
      <w:marRight w:val="0"/>
      <w:marTop w:val="0"/>
      <w:marBottom w:val="0"/>
      <w:divBdr>
        <w:top w:val="none" w:sz="0" w:space="0" w:color="auto"/>
        <w:left w:val="none" w:sz="0" w:space="0" w:color="auto"/>
        <w:bottom w:val="none" w:sz="0" w:space="0" w:color="auto"/>
        <w:right w:val="none" w:sz="0" w:space="0" w:color="auto"/>
      </w:divBdr>
    </w:div>
    <w:div w:id="538594789">
      <w:bodyDiv w:val="1"/>
      <w:marLeft w:val="0"/>
      <w:marRight w:val="0"/>
      <w:marTop w:val="0"/>
      <w:marBottom w:val="0"/>
      <w:divBdr>
        <w:top w:val="none" w:sz="0" w:space="0" w:color="auto"/>
        <w:left w:val="none" w:sz="0" w:space="0" w:color="auto"/>
        <w:bottom w:val="none" w:sz="0" w:space="0" w:color="auto"/>
        <w:right w:val="none" w:sz="0" w:space="0" w:color="auto"/>
      </w:divBdr>
    </w:div>
    <w:div w:id="539979467">
      <w:bodyDiv w:val="1"/>
      <w:marLeft w:val="0"/>
      <w:marRight w:val="0"/>
      <w:marTop w:val="0"/>
      <w:marBottom w:val="0"/>
      <w:divBdr>
        <w:top w:val="none" w:sz="0" w:space="0" w:color="auto"/>
        <w:left w:val="none" w:sz="0" w:space="0" w:color="auto"/>
        <w:bottom w:val="none" w:sz="0" w:space="0" w:color="auto"/>
        <w:right w:val="none" w:sz="0" w:space="0" w:color="auto"/>
      </w:divBdr>
    </w:div>
    <w:div w:id="540360891">
      <w:bodyDiv w:val="1"/>
      <w:marLeft w:val="0"/>
      <w:marRight w:val="0"/>
      <w:marTop w:val="0"/>
      <w:marBottom w:val="0"/>
      <w:divBdr>
        <w:top w:val="none" w:sz="0" w:space="0" w:color="auto"/>
        <w:left w:val="none" w:sz="0" w:space="0" w:color="auto"/>
        <w:bottom w:val="none" w:sz="0" w:space="0" w:color="auto"/>
        <w:right w:val="none" w:sz="0" w:space="0" w:color="auto"/>
      </w:divBdr>
    </w:div>
    <w:div w:id="540361773">
      <w:bodyDiv w:val="1"/>
      <w:marLeft w:val="0"/>
      <w:marRight w:val="0"/>
      <w:marTop w:val="0"/>
      <w:marBottom w:val="0"/>
      <w:divBdr>
        <w:top w:val="none" w:sz="0" w:space="0" w:color="auto"/>
        <w:left w:val="none" w:sz="0" w:space="0" w:color="auto"/>
        <w:bottom w:val="none" w:sz="0" w:space="0" w:color="auto"/>
        <w:right w:val="none" w:sz="0" w:space="0" w:color="auto"/>
      </w:divBdr>
    </w:div>
    <w:div w:id="540410210">
      <w:bodyDiv w:val="1"/>
      <w:marLeft w:val="0"/>
      <w:marRight w:val="0"/>
      <w:marTop w:val="0"/>
      <w:marBottom w:val="0"/>
      <w:divBdr>
        <w:top w:val="none" w:sz="0" w:space="0" w:color="auto"/>
        <w:left w:val="none" w:sz="0" w:space="0" w:color="auto"/>
        <w:bottom w:val="none" w:sz="0" w:space="0" w:color="auto"/>
        <w:right w:val="none" w:sz="0" w:space="0" w:color="auto"/>
      </w:divBdr>
    </w:div>
    <w:div w:id="540477201">
      <w:bodyDiv w:val="1"/>
      <w:marLeft w:val="0"/>
      <w:marRight w:val="0"/>
      <w:marTop w:val="0"/>
      <w:marBottom w:val="0"/>
      <w:divBdr>
        <w:top w:val="none" w:sz="0" w:space="0" w:color="auto"/>
        <w:left w:val="none" w:sz="0" w:space="0" w:color="auto"/>
        <w:bottom w:val="none" w:sz="0" w:space="0" w:color="auto"/>
        <w:right w:val="none" w:sz="0" w:space="0" w:color="auto"/>
      </w:divBdr>
    </w:div>
    <w:div w:id="541094274">
      <w:bodyDiv w:val="1"/>
      <w:marLeft w:val="0"/>
      <w:marRight w:val="0"/>
      <w:marTop w:val="0"/>
      <w:marBottom w:val="0"/>
      <w:divBdr>
        <w:top w:val="none" w:sz="0" w:space="0" w:color="auto"/>
        <w:left w:val="none" w:sz="0" w:space="0" w:color="auto"/>
        <w:bottom w:val="none" w:sz="0" w:space="0" w:color="auto"/>
        <w:right w:val="none" w:sz="0" w:space="0" w:color="auto"/>
      </w:divBdr>
    </w:div>
    <w:div w:id="542788732">
      <w:bodyDiv w:val="1"/>
      <w:marLeft w:val="0"/>
      <w:marRight w:val="0"/>
      <w:marTop w:val="0"/>
      <w:marBottom w:val="0"/>
      <w:divBdr>
        <w:top w:val="none" w:sz="0" w:space="0" w:color="auto"/>
        <w:left w:val="none" w:sz="0" w:space="0" w:color="auto"/>
        <w:bottom w:val="none" w:sz="0" w:space="0" w:color="auto"/>
        <w:right w:val="none" w:sz="0" w:space="0" w:color="auto"/>
      </w:divBdr>
    </w:div>
    <w:div w:id="543060509">
      <w:bodyDiv w:val="1"/>
      <w:marLeft w:val="0"/>
      <w:marRight w:val="0"/>
      <w:marTop w:val="0"/>
      <w:marBottom w:val="0"/>
      <w:divBdr>
        <w:top w:val="none" w:sz="0" w:space="0" w:color="auto"/>
        <w:left w:val="none" w:sz="0" w:space="0" w:color="auto"/>
        <w:bottom w:val="none" w:sz="0" w:space="0" w:color="auto"/>
        <w:right w:val="none" w:sz="0" w:space="0" w:color="auto"/>
      </w:divBdr>
    </w:div>
    <w:div w:id="543181242">
      <w:bodyDiv w:val="1"/>
      <w:marLeft w:val="0"/>
      <w:marRight w:val="0"/>
      <w:marTop w:val="0"/>
      <w:marBottom w:val="0"/>
      <w:divBdr>
        <w:top w:val="none" w:sz="0" w:space="0" w:color="auto"/>
        <w:left w:val="none" w:sz="0" w:space="0" w:color="auto"/>
        <w:bottom w:val="none" w:sz="0" w:space="0" w:color="auto"/>
        <w:right w:val="none" w:sz="0" w:space="0" w:color="auto"/>
      </w:divBdr>
    </w:div>
    <w:div w:id="543718464">
      <w:bodyDiv w:val="1"/>
      <w:marLeft w:val="0"/>
      <w:marRight w:val="0"/>
      <w:marTop w:val="0"/>
      <w:marBottom w:val="0"/>
      <w:divBdr>
        <w:top w:val="none" w:sz="0" w:space="0" w:color="auto"/>
        <w:left w:val="none" w:sz="0" w:space="0" w:color="auto"/>
        <w:bottom w:val="none" w:sz="0" w:space="0" w:color="auto"/>
        <w:right w:val="none" w:sz="0" w:space="0" w:color="auto"/>
      </w:divBdr>
    </w:div>
    <w:div w:id="544369025">
      <w:bodyDiv w:val="1"/>
      <w:marLeft w:val="0"/>
      <w:marRight w:val="0"/>
      <w:marTop w:val="0"/>
      <w:marBottom w:val="0"/>
      <w:divBdr>
        <w:top w:val="none" w:sz="0" w:space="0" w:color="auto"/>
        <w:left w:val="none" w:sz="0" w:space="0" w:color="auto"/>
        <w:bottom w:val="none" w:sz="0" w:space="0" w:color="auto"/>
        <w:right w:val="none" w:sz="0" w:space="0" w:color="auto"/>
      </w:divBdr>
    </w:div>
    <w:div w:id="544685226">
      <w:bodyDiv w:val="1"/>
      <w:marLeft w:val="0"/>
      <w:marRight w:val="0"/>
      <w:marTop w:val="0"/>
      <w:marBottom w:val="0"/>
      <w:divBdr>
        <w:top w:val="none" w:sz="0" w:space="0" w:color="auto"/>
        <w:left w:val="none" w:sz="0" w:space="0" w:color="auto"/>
        <w:bottom w:val="none" w:sz="0" w:space="0" w:color="auto"/>
        <w:right w:val="none" w:sz="0" w:space="0" w:color="auto"/>
      </w:divBdr>
    </w:div>
    <w:div w:id="546452248">
      <w:bodyDiv w:val="1"/>
      <w:marLeft w:val="0"/>
      <w:marRight w:val="0"/>
      <w:marTop w:val="0"/>
      <w:marBottom w:val="0"/>
      <w:divBdr>
        <w:top w:val="none" w:sz="0" w:space="0" w:color="auto"/>
        <w:left w:val="none" w:sz="0" w:space="0" w:color="auto"/>
        <w:bottom w:val="none" w:sz="0" w:space="0" w:color="auto"/>
        <w:right w:val="none" w:sz="0" w:space="0" w:color="auto"/>
      </w:divBdr>
    </w:div>
    <w:div w:id="546718703">
      <w:bodyDiv w:val="1"/>
      <w:marLeft w:val="0"/>
      <w:marRight w:val="0"/>
      <w:marTop w:val="0"/>
      <w:marBottom w:val="0"/>
      <w:divBdr>
        <w:top w:val="none" w:sz="0" w:space="0" w:color="auto"/>
        <w:left w:val="none" w:sz="0" w:space="0" w:color="auto"/>
        <w:bottom w:val="none" w:sz="0" w:space="0" w:color="auto"/>
        <w:right w:val="none" w:sz="0" w:space="0" w:color="auto"/>
      </w:divBdr>
    </w:div>
    <w:div w:id="547104396">
      <w:bodyDiv w:val="1"/>
      <w:marLeft w:val="0"/>
      <w:marRight w:val="0"/>
      <w:marTop w:val="0"/>
      <w:marBottom w:val="0"/>
      <w:divBdr>
        <w:top w:val="none" w:sz="0" w:space="0" w:color="auto"/>
        <w:left w:val="none" w:sz="0" w:space="0" w:color="auto"/>
        <w:bottom w:val="none" w:sz="0" w:space="0" w:color="auto"/>
        <w:right w:val="none" w:sz="0" w:space="0" w:color="auto"/>
      </w:divBdr>
    </w:div>
    <w:div w:id="548542403">
      <w:bodyDiv w:val="1"/>
      <w:marLeft w:val="0"/>
      <w:marRight w:val="0"/>
      <w:marTop w:val="0"/>
      <w:marBottom w:val="0"/>
      <w:divBdr>
        <w:top w:val="none" w:sz="0" w:space="0" w:color="auto"/>
        <w:left w:val="none" w:sz="0" w:space="0" w:color="auto"/>
        <w:bottom w:val="none" w:sz="0" w:space="0" w:color="auto"/>
        <w:right w:val="none" w:sz="0" w:space="0" w:color="auto"/>
      </w:divBdr>
    </w:div>
    <w:div w:id="549459643">
      <w:bodyDiv w:val="1"/>
      <w:marLeft w:val="0"/>
      <w:marRight w:val="0"/>
      <w:marTop w:val="0"/>
      <w:marBottom w:val="0"/>
      <w:divBdr>
        <w:top w:val="none" w:sz="0" w:space="0" w:color="auto"/>
        <w:left w:val="none" w:sz="0" w:space="0" w:color="auto"/>
        <w:bottom w:val="none" w:sz="0" w:space="0" w:color="auto"/>
        <w:right w:val="none" w:sz="0" w:space="0" w:color="auto"/>
      </w:divBdr>
    </w:div>
    <w:div w:id="553156024">
      <w:bodyDiv w:val="1"/>
      <w:marLeft w:val="0"/>
      <w:marRight w:val="0"/>
      <w:marTop w:val="0"/>
      <w:marBottom w:val="0"/>
      <w:divBdr>
        <w:top w:val="none" w:sz="0" w:space="0" w:color="auto"/>
        <w:left w:val="none" w:sz="0" w:space="0" w:color="auto"/>
        <w:bottom w:val="none" w:sz="0" w:space="0" w:color="auto"/>
        <w:right w:val="none" w:sz="0" w:space="0" w:color="auto"/>
      </w:divBdr>
    </w:div>
    <w:div w:id="553347398">
      <w:bodyDiv w:val="1"/>
      <w:marLeft w:val="0"/>
      <w:marRight w:val="0"/>
      <w:marTop w:val="0"/>
      <w:marBottom w:val="0"/>
      <w:divBdr>
        <w:top w:val="none" w:sz="0" w:space="0" w:color="auto"/>
        <w:left w:val="none" w:sz="0" w:space="0" w:color="auto"/>
        <w:bottom w:val="none" w:sz="0" w:space="0" w:color="auto"/>
        <w:right w:val="none" w:sz="0" w:space="0" w:color="auto"/>
      </w:divBdr>
    </w:div>
    <w:div w:id="554045800">
      <w:bodyDiv w:val="1"/>
      <w:marLeft w:val="0"/>
      <w:marRight w:val="0"/>
      <w:marTop w:val="0"/>
      <w:marBottom w:val="0"/>
      <w:divBdr>
        <w:top w:val="none" w:sz="0" w:space="0" w:color="auto"/>
        <w:left w:val="none" w:sz="0" w:space="0" w:color="auto"/>
        <w:bottom w:val="none" w:sz="0" w:space="0" w:color="auto"/>
        <w:right w:val="none" w:sz="0" w:space="0" w:color="auto"/>
      </w:divBdr>
    </w:div>
    <w:div w:id="554656632">
      <w:bodyDiv w:val="1"/>
      <w:marLeft w:val="0"/>
      <w:marRight w:val="0"/>
      <w:marTop w:val="0"/>
      <w:marBottom w:val="0"/>
      <w:divBdr>
        <w:top w:val="none" w:sz="0" w:space="0" w:color="auto"/>
        <w:left w:val="none" w:sz="0" w:space="0" w:color="auto"/>
        <w:bottom w:val="none" w:sz="0" w:space="0" w:color="auto"/>
        <w:right w:val="none" w:sz="0" w:space="0" w:color="auto"/>
      </w:divBdr>
    </w:div>
    <w:div w:id="554662745">
      <w:bodyDiv w:val="1"/>
      <w:marLeft w:val="0"/>
      <w:marRight w:val="0"/>
      <w:marTop w:val="0"/>
      <w:marBottom w:val="0"/>
      <w:divBdr>
        <w:top w:val="none" w:sz="0" w:space="0" w:color="auto"/>
        <w:left w:val="none" w:sz="0" w:space="0" w:color="auto"/>
        <w:bottom w:val="none" w:sz="0" w:space="0" w:color="auto"/>
        <w:right w:val="none" w:sz="0" w:space="0" w:color="auto"/>
      </w:divBdr>
    </w:div>
    <w:div w:id="555626987">
      <w:bodyDiv w:val="1"/>
      <w:marLeft w:val="0"/>
      <w:marRight w:val="0"/>
      <w:marTop w:val="0"/>
      <w:marBottom w:val="0"/>
      <w:divBdr>
        <w:top w:val="none" w:sz="0" w:space="0" w:color="auto"/>
        <w:left w:val="none" w:sz="0" w:space="0" w:color="auto"/>
        <w:bottom w:val="none" w:sz="0" w:space="0" w:color="auto"/>
        <w:right w:val="none" w:sz="0" w:space="0" w:color="auto"/>
      </w:divBdr>
    </w:div>
    <w:div w:id="555816258">
      <w:bodyDiv w:val="1"/>
      <w:marLeft w:val="0"/>
      <w:marRight w:val="0"/>
      <w:marTop w:val="0"/>
      <w:marBottom w:val="0"/>
      <w:divBdr>
        <w:top w:val="none" w:sz="0" w:space="0" w:color="auto"/>
        <w:left w:val="none" w:sz="0" w:space="0" w:color="auto"/>
        <w:bottom w:val="none" w:sz="0" w:space="0" w:color="auto"/>
        <w:right w:val="none" w:sz="0" w:space="0" w:color="auto"/>
      </w:divBdr>
    </w:div>
    <w:div w:id="556673772">
      <w:bodyDiv w:val="1"/>
      <w:marLeft w:val="0"/>
      <w:marRight w:val="0"/>
      <w:marTop w:val="0"/>
      <w:marBottom w:val="0"/>
      <w:divBdr>
        <w:top w:val="none" w:sz="0" w:space="0" w:color="auto"/>
        <w:left w:val="none" w:sz="0" w:space="0" w:color="auto"/>
        <w:bottom w:val="none" w:sz="0" w:space="0" w:color="auto"/>
        <w:right w:val="none" w:sz="0" w:space="0" w:color="auto"/>
      </w:divBdr>
    </w:div>
    <w:div w:id="557787452">
      <w:bodyDiv w:val="1"/>
      <w:marLeft w:val="0"/>
      <w:marRight w:val="0"/>
      <w:marTop w:val="0"/>
      <w:marBottom w:val="0"/>
      <w:divBdr>
        <w:top w:val="none" w:sz="0" w:space="0" w:color="auto"/>
        <w:left w:val="none" w:sz="0" w:space="0" w:color="auto"/>
        <w:bottom w:val="none" w:sz="0" w:space="0" w:color="auto"/>
        <w:right w:val="none" w:sz="0" w:space="0" w:color="auto"/>
      </w:divBdr>
    </w:div>
    <w:div w:id="559706374">
      <w:bodyDiv w:val="1"/>
      <w:marLeft w:val="0"/>
      <w:marRight w:val="0"/>
      <w:marTop w:val="0"/>
      <w:marBottom w:val="0"/>
      <w:divBdr>
        <w:top w:val="none" w:sz="0" w:space="0" w:color="auto"/>
        <w:left w:val="none" w:sz="0" w:space="0" w:color="auto"/>
        <w:bottom w:val="none" w:sz="0" w:space="0" w:color="auto"/>
        <w:right w:val="none" w:sz="0" w:space="0" w:color="auto"/>
      </w:divBdr>
    </w:div>
    <w:div w:id="559947576">
      <w:bodyDiv w:val="1"/>
      <w:marLeft w:val="0"/>
      <w:marRight w:val="0"/>
      <w:marTop w:val="0"/>
      <w:marBottom w:val="0"/>
      <w:divBdr>
        <w:top w:val="none" w:sz="0" w:space="0" w:color="auto"/>
        <w:left w:val="none" w:sz="0" w:space="0" w:color="auto"/>
        <w:bottom w:val="none" w:sz="0" w:space="0" w:color="auto"/>
        <w:right w:val="none" w:sz="0" w:space="0" w:color="auto"/>
      </w:divBdr>
    </w:div>
    <w:div w:id="560019262">
      <w:bodyDiv w:val="1"/>
      <w:marLeft w:val="0"/>
      <w:marRight w:val="0"/>
      <w:marTop w:val="0"/>
      <w:marBottom w:val="0"/>
      <w:divBdr>
        <w:top w:val="none" w:sz="0" w:space="0" w:color="auto"/>
        <w:left w:val="none" w:sz="0" w:space="0" w:color="auto"/>
        <w:bottom w:val="none" w:sz="0" w:space="0" w:color="auto"/>
        <w:right w:val="none" w:sz="0" w:space="0" w:color="auto"/>
      </w:divBdr>
    </w:div>
    <w:div w:id="560408782">
      <w:bodyDiv w:val="1"/>
      <w:marLeft w:val="0"/>
      <w:marRight w:val="0"/>
      <w:marTop w:val="0"/>
      <w:marBottom w:val="0"/>
      <w:divBdr>
        <w:top w:val="none" w:sz="0" w:space="0" w:color="auto"/>
        <w:left w:val="none" w:sz="0" w:space="0" w:color="auto"/>
        <w:bottom w:val="none" w:sz="0" w:space="0" w:color="auto"/>
        <w:right w:val="none" w:sz="0" w:space="0" w:color="auto"/>
      </w:divBdr>
    </w:div>
    <w:div w:id="561867600">
      <w:bodyDiv w:val="1"/>
      <w:marLeft w:val="0"/>
      <w:marRight w:val="0"/>
      <w:marTop w:val="0"/>
      <w:marBottom w:val="0"/>
      <w:divBdr>
        <w:top w:val="none" w:sz="0" w:space="0" w:color="auto"/>
        <w:left w:val="none" w:sz="0" w:space="0" w:color="auto"/>
        <w:bottom w:val="none" w:sz="0" w:space="0" w:color="auto"/>
        <w:right w:val="none" w:sz="0" w:space="0" w:color="auto"/>
      </w:divBdr>
    </w:div>
    <w:div w:id="562058320">
      <w:bodyDiv w:val="1"/>
      <w:marLeft w:val="0"/>
      <w:marRight w:val="0"/>
      <w:marTop w:val="0"/>
      <w:marBottom w:val="0"/>
      <w:divBdr>
        <w:top w:val="none" w:sz="0" w:space="0" w:color="auto"/>
        <w:left w:val="none" w:sz="0" w:space="0" w:color="auto"/>
        <w:bottom w:val="none" w:sz="0" w:space="0" w:color="auto"/>
        <w:right w:val="none" w:sz="0" w:space="0" w:color="auto"/>
      </w:divBdr>
    </w:div>
    <w:div w:id="562523302">
      <w:bodyDiv w:val="1"/>
      <w:marLeft w:val="0"/>
      <w:marRight w:val="0"/>
      <w:marTop w:val="0"/>
      <w:marBottom w:val="0"/>
      <w:divBdr>
        <w:top w:val="none" w:sz="0" w:space="0" w:color="auto"/>
        <w:left w:val="none" w:sz="0" w:space="0" w:color="auto"/>
        <w:bottom w:val="none" w:sz="0" w:space="0" w:color="auto"/>
        <w:right w:val="none" w:sz="0" w:space="0" w:color="auto"/>
      </w:divBdr>
    </w:div>
    <w:div w:id="562986630">
      <w:bodyDiv w:val="1"/>
      <w:marLeft w:val="0"/>
      <w:marRight w:val="0"/>
      <w:marTop w:val="0"/>
      <w:marBottom w:val="0"/>
      <w:divBdr>
        <w:top w:val="none" w:sz="0" w:space="0" w:color="auto"/>
        <w:left w:val="none" w:sz="0" w:space="0" w:color="auto"/>
        <w:bottom w:val="none" w:sz="0" w:space="0" w:color="auto"/>
        <w:right w:val="none" w:sz="0" w:space="0" w:color="auto"/>
      </w:divBdr>
    </w:div>
    <w:div w:id="566452724">
      <w:bodyDiv w:val="1"/>
      <w:marLeft w:val="0"/>
      <w:marRight w:val="0"/>
      <w:marTop w:val="0"/>
      <w:marBottom w:val="0"/>
      <w:divBdr>
        <w:top w:val="none" w:sz="0" w:space="0" w:color="auto"/>
        <w:left w:val="none" w:sz="0" w:space="0" w:color="auto"/>
        <w:bottom w:val="none" w:sz="0" w:space="0" w:color="auto"/>
        <w:right w:val="none" w:sz="0" w:space="0" w:color="auto"/>
      </w:divBdr>
    </w:div>
    <w:div w:id="567496140">
      <w:bodyDiv w:val="1"/>
      <w:marLeft w:val="0"/>
      <w:marRight w:val="0"/>
      <w:marTop w:val="0"/>
      <w:marBottom w:val="0"/>
      <w:divBdr>
        <w:top w:val="none" w:sz="0" w:space="0" w:color="auto"/>
        <w:left w:val="none" w:sz="0" w:space="0" w:color="auto"/>
        <w:bottom w:val="none" w:sz="0" w:space="0" w:color="auto"/>
        <w:right w:val="none" w:sz="0" w:space="0" w:color="auto"/>
      </w:divBdr>
    </w:div>
    <w:div w:id="568076713">
      <w:bodyDiv w:val="1"/>
      <w:marLeft w:val="0"/>
      <w:marRight w:val="0"/>
      <w:marTop w:val="0"/>
      <w:marBottom w:val="0"/>
      <w:divBdr>
        <w:top w:val="none" w:sz="0" w:space="0" w:color="auto"/>
        <w:left w:val="none" w:sz="0" w:space="0" w:color="auto"/>
        <w:bottom w:val="none" w:sz="0" w:space="0" w:color="auto"/>
        <w:right w:val="none" w:sz="0" w:space="0" w:color="auto"/>
      </w:divBdr>
    </w:div>
    <w:div w:id="568275475">
      <w:bodyDiv w:val="1"/>
      <w:marLeft w:val="0"/>
      <w:marRight w:val="0"/>
      <w:marTop w:val="0"/>
      <w:marBottom w:val="0"/>
      <w:divBdr>
        <w:top w:val="none" w:sz="0" w:space="0" w:color="auto"/>
        <w:left w:val="none" w:sz="0" w:space="0" w:color="auto"/>
        <w:bottom w:val="none" w:sz="0" w:space="0" w:color="auto"/>
        <w:right w:val="none" w:sz="0" w:space="0" w:color="auto"/>
      </w:divBdr>
    </w:div>
    <w:div w:id="568807580">
      <w:bodyDiv w:val="1"/>
      <w:marLeft w:val="0"/>
      <w:marRight w:val="0"/>
      <w:marTop w:val="0"/>
      <w:marBottom w:val="0"/>
      <w:divBdr>
        <w:top w:val="none" w:sz="0" w:space="0" w:color="auto"/>
        <w:left w:val="none" w:sz="0" w:space="0" w:color="auto"/>
        <w:bottom w:val="none" w:sz="0" w:space="0" w:color="auto"/>
        <w:right w:val="none" w:sz="0" w:space="0" w:color="auto"/>
      </w:divBdr>
    </w:div>
    <w:div w:id="569076057">
      <w:bodyDiv w:val="1"/>
      <w:marLeft w:val="0"/>
      <w:marRight w:val="0"/>
      <w:marTop w:val="0"/>
      <w:marBottom w:val="0"/>
      <w:divBdr>
        <w:top w:val="none" w:sz="0" w:space="0" w:color="auto"/>
        <w:left w:val="none" w:sz="0" w:space="0" w:color="auto"/>
        <w:bottom w:val="none" w:sz="0" w:space="0" w:color="auto"/>
        <w:right w:val="none" w:sz="0" w:space="0" w:color="auto"/>
      </w:divBdr>
    </w:div>
    <w:div w:id="569116999">
      <w:bodyDiv w:val="1"/>
      <w:marLeft w:val="0"/>
      <w:marRight w:val="0"/>
      <w:marTop w:val="0"/>
      <w:marBottom w:val="0"/>
      <w:divBdr>
        <w:top w:val="none" w:sz="0" w:space="0" w:color="auto"/>
        <w:left w:val="none" w:sz="0" w:space="0" w:color="auto"/>
        <w:bottom w:val="none" w:sz="0" w:space="0" w:color="auto"/>
        <w:right w:val="none" w:sz="0" w:space="0" w:color="auto"/>
      </w:divBdr>
    </w:div>
    <w:div w:id="569196096">
      <w:bodyDiv w:val="1"/>
      <w:marLeft w:val="0"/>
      <w:marRight w:val="0"/>
      <w:marTop w:val="0"/>
      <w:marBottom w:val="0"/>
      <w:divBdr>
        <w:top w:val="none" w:sz="0" w:space="0" w:color="auto"/>
        <w:left w:val="none" w:sz="0" w:space="0" w:color="auto"/>
        <w:bottom w:val="none" w:sz="0" w:space="0" w:color="auto"/>
        <w:right w:val="none" w:sz="0" w:space="0" w:color="auto"/>
      </w:divBdr>
    </w:div>
    <w:div w:id="569923050">
      <w:bodyDiv w:val="1"/>
      <w:marLeft w:val="0"/>
      <w:marRight w:val="0"/>
      <w:marTop w:val="0"/>
      <w:marBottom w:val="0"/>
      <w:divBdr>
        <w:top w:val="none" w:sz="0" w:space="0" w:color="auto"/>
        <w:left w:val="none" w:sz="0" w:space="0" w:color="auto"/>
        <w:bottom w:val="none" w:sz="0" w:space="0" w:color="auto"/>
        <w:right w:val="none" w:sz="0" w:space="0" w:color="auto"/>
      </w:divBdr>
    </w:div>
    <w:div w:id="571085415">
      <w:bodyDiv w:val="1"/>
      <w:marLeft w:val="0"/>
      <w:marRight w:val="0"/>
      <w:marTop w:val="0"/>
      <w:marBottom w:val="0"/>
      <w:divBdr>
        <w:top w:val="none" w:sz="0" w:space="0" w:color="auto"/>
        <w:left w:val="none" w:sz="0" w:space="0" w:color="auto"/>
        <w:bottom w:val="none" w:sz="0" w:space="0" w:color="auto"/>
        <w:right w:val="none" w:sz="0" w:space="0" w:color="auto"/>
      </w:divBdr>
    </w:div>
    <w:div w:id="571890327">
      <w:bodyDiv w:val="1"/>
      <w:marLeft w:val="0"/>
      <w:marRight w:val="0"/>
      <w:marTop w:val="0"/>
      <w:marBottom w:val="0"/>
      <w:divBdr>
        <w:top w:val="none" w:sz="0" w:space="0" w:color="auto"/>
        <w:left w:val="none" w:sz="0" w:space="0" w:color="auto"/>
        <w:bottom w:val="none" w:sz="0" w:space="0" w:color="auto"/>
        <w:right w:val="none" w:sz="0" w:space="0" w:color="auto"/>
      </w:divBdr>
    </w:div>
    <w:div w:id="572009188">
      <w:bodyDiv w:val="1"/>
      <w:marLeft w:val="0"/>
      <w:marRight w:val="0"/>
      <w:marTop w:val="0"/>
      <w:marBottom w:val="0"/>
      <w:divBdr>
        <w:top w:val="none" w:sz="0" w:space="0" w:color="auto"/>
        <w:left w:val="none" w:sz="0" w:space="0" w:color="auto"/>
        <w:bottom w:val="none" w:sz="0" w:space="0" w:color="auto"/>
        <w:right w:val="none" w:sz="0" w:space="0" w:color="auto"/>
      </w:divBdr>
    </w:div>
    <w:div w:id="572593579">
      <w:bodyDiv w:val="1"/>
      <w:marLeft w:val="0"/>
      <w:marRight w:val="0"/>
      <w:marTop w:val="0"/>
      <w:marBottom w:val="0"/>
      <w:divBdr>
        <w:top w:val="none" w:sz="0" w:space="0" w:color="auto"/>
        <w:left w:val="none" w:sz="0" w:space="0" w:color="auto"/>
        <w:bottom w:val="none" w:sz="0" w:space="0" w:color="auto"/>
        <w:right w:val="none" w:sz="0" w:space="0" w:color="auto"/>
      </w:divBdr>
    </w:div>
    <w:div w:id="572665657">
      <w:bodyDiv w:val="1"/>
      <w:marLeft w:val="0"/>
      <w:marRight w:val="0"/>
      <w:marTop w:val="0"/>
      <w:marBottom w:val="0"/>
      <w:divBdr>
        <w:top w:val="none" w:sz="0" w:space="0" w:color="auto"/>
        <w:left w:val="none" w:sz="0" w:space="0" w:color="auto"/>
        <w:bottom w:val="none" w:sz="0" w:space="0" w:color="auto"/>
        <w:right w:val="none" w:sz="0" w:space="0" w:color="auto"/>
      </w:divBdr>
    </w:div>
    <w:div w:id="572929493">
      <w:bodyDiv w:val="1"/>
      <w:marLeft w:val="0"/>
      <w:marRight w:val="0"/>
      <w:marTop w:val="0"/>
      <w:marBottom w:val="0"/>
      <w:divBdr>
        <w:top w:val="none" w:sz="0" w:space="0" w:color="auto"/>
        <w:left w:val="none" w:sz="0" w:space="0" w:color="auto"/>
        <w:bottom w:val="none" w:sz="0" w:space="0" w:color="auto"/>
        <w:right w:val="none" w:sz="0" w:space="0" w:color="auto"/>
      </w:divBdr>
    </w:div>
    <w:div w:id="573470122">
      <w:bodyDiv w:val="1"/>
      <w:marLeft w:val="0"/>
      <w:marRight w:val="0"/>
      <w:marTop w:val="0"/>
      <w:marBottom w:val="0"/>
      <w:divBdr>
        <w:top w:val="none" w:sz="0" w:space="0" w:color="auto"/>
        <w:left w:val="none" w:sz="0" w:space="0" w:color="auto"/>
        <w:bottom w:val="none" w:sz="0" w:space="0" w:color="auto"/>
        <w:right w:val="none" w:sz="0" w:space="0" w:color="auto"/>
      </w:divBdr>
    </w:div>
    <w:div w:id="573471567">
      <w:bodyDiv w:val="1"/>
      <w:marLeft w:val="0"/>
      <w:marRight w:val="0"/>
      <w:marTop w:val="0"/>
      <w:marBottom w:val="0"/>
      <w:divBdr>
        <w:top w:val="none" w:sz="0" w:space="0" w:color="auto"/>
        <w:left w:val="none" w:sz="0" w:space="0" w:color="auto"/>
        <w:bottom w:val="none" w:sz="0" w:space="0" w:color="auto"/>
        <w:right w:val="none" w:sz="0" w:space="0" w:color="auto"/>
      </w:divBdr>
    </w:div>
    <w:div w:id="573589958">
      <w:bodyDiv w:val="1"/>
      <w:marLeft w:val="0"/>
      <w:marRight w:val="0"/>
      <w:marTop w:val="0"/>
      <w:marBottom w:val="0"/>
      <w:divBdr>
        <w:top w:val="none" w:sz="0" w:space="0" w:color="auto"/>
        <w:left w:val="none" w:sz="0" w:space="0" w:color="auto"/>
        <w:bottom w:val="none" w:sz="0" w:space="0" w:color="auto"/>
        <w:right w:val="none" w:sz="0" w:space="0" w:color="auto"/>
      </w:divBdr>
    </w:div>
    <w:div w:id="574441336">
      <w:bodyDiv w:val="1"/>
      <w:marLeft w:val="0"/>
      <w:marRight w:val="0"/>
      <w:marTop w:val="0"/>
      <w:marBottom w:val="0"/>
      <w:divBdr>
        <w:top w:val="none" w:sz="0" w:space="0" w:color="auto"/>
        <w:left w:val="none" w:sz="0" w:space="0" w:color="auto"/>
        <w:bottom w:val="none" w:sz="0" w:space="0" w:color="auto"/>
        <w:right w:val="none" w:sz="0" w:space="0" w:color="auto"/>
      </w:divBdr>
    </w:div>
    <w:div w:id="575550671">
      <w:bodyDiv w:val="1"/>
      <w:marLeft w:val="0"/>
      <w:marRight w:val="0"/>
      <w:marTop w:val="0"/>
      <w:marBottom w:val="0"/>
      <w:divBdr>
        <w:top w:val="none" w:sz="0" w:space="0" w:color="auto"/>
        <w:left w:val="none" w:sz="0" w:space="0" w:color="auto"/>
        <w:bottom w:val="none" w:sz="0" w:space="0" w:color="auto"/>
        <w:right w:val="none" w:sz="0" w:space="0" w:color="auto"/>
      </w:divBdr>
    </w:div>
    <w:div w:id="575825216">
      <w:bodyDiv w:val="1"/>
      <w:marLeft w:val="0"/>
      <w:marRight w:val="0"/>
      <w:marTop w:val="0"/>
      <w:marBottom w:val="0"/>
      <w:divBdr>
        <w:top w:val="none" w:sz="0" w:space="0" w:color="auto"/>
        <w:left w:val="none" w:sz="0" w:space="0" w:color="auto"/>
        <w:bottom w:val="none" w:sz="0" w:space="0" w:color="auto"/>
        <w:right w:val="none" w:sz="0" w:space="0" w:color="auto"/>
      </w:divBdr>
    </w:div>
    <w:div w:id="576204980">
      <w:bodyDiv w:val="1"/>
      <w:marLeft w:val="0"/>
      <w:marRight w:val="0"/>
      <w:marTop w:val="0"/>
      <w:marBottom w:val="0"/>
      <w:divBdr>
        <w:top w:val="none" w:sz="0" w:space="0" w:color="auto"/>
        <w:left w:val="none" w:sz="0" w:space="0" w:color="auto"/>
        <w:bottom w:val="none" w:sz="0" w:space="0" w:color="auto"/>
        <w:right w:val="none" w:sz="0" w:space="0" w:color="auto"/>
      </w:divBdr>
    </w:div>
    <w:div w:id="576399144">
      <w:bodyDiv w:val="1"/>
      <w:marLeft w:val="0"/>
      <w:marRight w:val="0"/>
      <w:marTop w:val="0"/>
      <w:marBottom w:val="0"/>
      <w:divBdr>
        <w:top w:val="none" w:sz="0" w:space="0" w:color="auto"/>
        <w:left w:val="none" w:sz="0" w:space="0" w:color="auto"/>
        <w:bottom w:val="none" w:sz="0" w:space="0" w:color="auto"/>
        <w:right w:val="none" w:sz="0" w:space="0" w:color="auto"/>
      </w:divBdr>
    </w:div>
    <w:div w:id="576476679">
      <w:bodyDiv w:val="1"/>
      <w:marLeft w:val="0"/>
      <w:marRight w:val="0"/>
      <w:marTop w:val="0"/>
      <w:marBottom w:val="0"/>
      <w:divBdr>
        <w:top w:val="none" w:sz="0" w:space="0" w:color="auto"/>
        <w:left w:val="none" w:sz="0" w:space="0" w:color="auto"/>
        <w:bottom w:val="none" w:sz="0" w:space="0" w:color="auto"/>
        <w:right w:val="none" w:sz="0" w:space="0" w:color="auto"/>
      </w:divBdr>
    </w:div>
    <w:div w:id="578253988">
      <w:bodyDiv w:val="1"/>
      <w:marLeft w:val="0"/>
      <w:marRight w:val="0"/>
      <w:marTop w:val="0"/>
      <w:marBottom w:val="0"/>
      <w:divBdr>
        <w:top w:val="none" w:sz="0" w:space="0" w:color="auto"/>
        <w:left w:val="none" w:sz="0" w:space="0" w:color="auto"/>
        <w:bottom w:val="none" w:sz="0" w:space="0" w:color="auto"/>
        <w:right w:val="none" w:sz="0" w:space="0" w:color="auto"/>
      </w:divBdr>
    </w:div>
    <w:div w:id="579026348">
      <w:bodyDiv w:val="1"/>
      <w:marLeft w:val="0"/>
      <w:marRight w:val="0"/>
      <w:marTop w:val="0"/>
      <w:marBottom w:val="0"/>
      <w:divBdr>
        <w:top w:val="none" w:sz="0" w:space="0" w:color="auto"/>
        <w:left w:val="none" w:sz="0" w:space="0" w:color="auto"/>
        <w:bottom w:val="none" w:sz="0" w:space="0" w:color="auto"/>
        <w:right w:val="none" w:sz="0" w:space="0" w:color="auto"/>
      </w:divBdr>
    </w:div>
    <w:div w:id="579213097">
      <w:bodyDiv w:val="1"/>
      <w:marLeft w:val="0"/>
      <w:marRight w:val="0"/>
      <w:marTop w:val="0"/>
      <w:marBottom w:val="0"/>
      <w:divBdr>
        <w:top w:val="none" w:sz="0" w:space="0" w:color="auto"/>
        <w:left w:val="none" w:sz="0" w:space="0" w:color="auto"/>
        <w:bottom w:val="none" w:sz="0" w:space="0" w:color="auto"/>
        <w:right w:val="none" w:sz="0" w:space="0" w:color="auto"/>
      </w:divBdr>
    </w:div>
    <w:div w:id="579290643">
      <w:bodyDiv w:val="1"/>
      <w:marLeft w:val="0"/>
      <w:marRight w:val="0"/>
      <w:marTop w:val="0"/>
      <w:marBottom w:val="0"/>
      <w:divBdr>
        <w:top w:val="none" w:sz="0" w:space="0" w:color="auto"/>
        <w:left w:val="none" w:sz="0" w:space="0" w:color="auto"/>
        <w:bottom w:val="none" w:sz="0" w:space="0" w:color="auto"/>
        <w:right w:val="none" w:sz="0" w:space="0" w:color="auto"/>
      </w:divBdr>
    </w:div>
    <w:div w:id="579758955">
      <w:bodyDiv w:val="1"/>
      <w:marLeft w:val="0"/>
      <w:marRight w:val="0"/>
      <w:marTop w:val="0"/>
      <w:marBottom w:val="0"/>
      <w:divBdr>
        <w:top w:val="none" w:sz="0" w:space="0" w:color="auto"/>
        <w:left w:val="none" w:sz="0" w:space="0" w:color="auto"/>
        <w:bottom w:val="none" w:sz="0" w:space="0" w:color="auto"/>
        <w:right w:val="none" w:sz="0" w:space="0" w:color="auto"/>
      </w:divBdr>
    </w:div>
    <w:div w:id="579944466">
      <w:bodyDiv w:val="1"/>
      <w:marLeft w:val="0"/>
      <w:marRight w:val="0"/>
      <w:marTop w:val="0"/>
      <w:marBottom w:val="0"/>
      <w:divBdr>
        <w:top w:val="none" w:sz="0" w:space="0" w:color="auto"/>
        <w:left w:val="none" w:sz="0" w:space="0" w:color="auto"/>
        <w:bottom w:val="none" w:sz="0" w:space="0" w:color="auto"/>
        <w:right w:val="none" w:sz="0" w:space="0" w:color="auto"/>
      </w:divBdr>
    </w:div>
    <w:div w:id="580142354">
      <w:bodyDiv w:val="1"/>
      <w:marLeft w:val="0"/>
      <w:marRight w:val="0"/>
      <w:marTop w:val="0"/>
      <w:marBottom w:val="0"/>
      <w:divBdr>
        <w:top w:val="none" w:sz="0" w:space="0" w:color="auto"/>
        <w:left w:val="none" w:sz="0" w:space="0" w:color="auto"/>
        <w:bottom w:val="none" w:sz="0" w:space="0" w:color="auto"/>
        <w:right w:val="none" w:sz="0" w:space="0" w:color="auto"/>
      </w:divBdr>
    </w:div>
    <w:div w:id="581260450">
      <w:bodyDiv w:val="1"/>
      <w:marLeft w:val="0"/>
      <w:marRight w:val="0"/>
      <w:marTop w:val="0"/>
      <w:marBottom w:val="0"/>
      <w:divBdr>
        <w:top w:val="none" w:sz="0" w:space="0" w:color="auto"/>
        <w:left w:val="none" w:sz="0" w:space="0" w:color="auto"/>
        <w:bottom w:val="none" w:sz="0" w:space="0" w:color="auto"/>
        <w:right w:val="none" w:sz="0" w:space="0" w:color="auto"/>
      </w:divBdr>
    </w:div>
    <w:div w:id="582298442">
      <w:bodyDiv w:val="1"/>
      <w:marLeft w:val="0"/>
      <w:marRight w:val="0"/>
      <w:marTop w:val="0"/>
      <w:marBottom w:val="0"/>
      <w:divBdr>
        <w:top w:val="none" w:sz="0" w:space="0" w:color="auto"/>
        <w:left w:val="none" w:sz="0" w:space="0" w:color="auto"/>
        <w:bottom w:val="none" w:sz="0" w:space="0" w:color="auto"/>
        <w:right w:val="none" w:sz="0" w:space="0" w:color="auto"/>
      </w:divBdr>
    </w:div>
    <w:div w:id="584459271">
      <w:bodyDiv w:val="1"/>
      <w:marLeft w:val="0"/>
      <w:marRight w:val="0"/>
      <w:marTop w:val="0"/>
      <w:marBottom w:val="0"/>
      <w:divBdr>
        <w:top w:val="none" w:sz="0" w:space="0" w:color="auto"/>
        <w:left w:val="none" w:sz="0" w:space="0" w:color="auto"/>
        <w:bottom w:val="none" w:sz="0" w:space="0" w:color="auto"/>
        <w:right w:val="none" w:sz="0" w:space="0" w:color="auto"/>
      </w:divBdr>
    </w:div>
    <w:div w:id="585964680">
      <w:bodyDiv w:val="1"/>
      <w:marLeft w:val="0"/>
      <w:marRight w:val="0"/>
      <w:marTop w:val="0"/>
      <w:marBottom w:val="0"/>
      <w:divBdr>
        <w:top w:val="none" w:sz="0" w:space="0" w:color="auto"/>
        <w:left w:val="none" w:sz="0" w:space="0" w:color="auto"/>
        <w:bottom w:val="none" w:sz="0" w:space="0" w:color="auto"/>
        <w:right w:val="none" w:sz="0" w:space="0" w:color="auto"/>
      </w:divBdr>
    </w:div>
    <w:div w:id="586429683">
      <w:bodyDiv w:val="1"/>
      <w:marLeft w:val="0"/>
      <w:marRight w:val="0"/>
      <w:marTop w:val="0"/>
      <w:marBottom w:val="0"/>
      <w:divBdr>
        <w:top w:val="none" w:sz="0" w:space="0" w:color="auto"/>
        <w:left w:val="none" w:sz="0" w:space="0" w:color="auto"/>
        <w:bottom w:val="none" w:sz="0" w:space="0" w:color="auto"/>
        <w:right w:val="none" w:sz="0" w:space="0" w:color="auto"/>
      </w:divBdr>
    </w:div>
    <w:div w:id="586619164">
      <w:bodyDiv w:val="1"/>
      <w:marLeft w:val="0"/>
      <w:marRight w:val="0"/>
      <w:marTop w:val="0"/>
      <w:marBottom w:val="0"/>
      <w:divBdr>
        <w:top w:val="none" w:sz="0" w:space="0" w:color="auto"/>
        <w:left w:val="none" w:sz="0" w:space="0" w:color="auto"/>
        <w:bottom w:val="none" w:sz="0" w:space="0" w:color="auto"/>
        <w:right w:val="none" w:sz="0" w:space="0" w:color="auto"/>
      </w:divBdr>
    </w:div>
    <w:div w:id="587348402">
      <w:bodyDiv w:val="1"/>
      <w:marLeft w:val="0"/>
      <w:marRight w:val="0"/>
      <w:marTop w:val="0"/>
      <w:marBottom w:val="0"/>
      <w:divBdr>
        <w:top w:val="none" w:sz="0" w:space="0" w:color="auto"/>
        <w:left w:val="none" w:sz="0" w:space="0" w:color="auto"/>
        <w:bottom w:val="none" w:sz="0" w:space="0" w:color="auto"/>
        <w:right w:val="none" w:sz="0" w:space="0" w:color="auto"/>
      </w:divBdr>
    </w:div>
    <w:div w:id="587351077">
      <w:bodyDiv w:val="1"/>
      <w:marLeft w:val="0"/>
      <w:marRight w:val="0"/>
      <w:marTop w:val="0"/>
      <w:marBottom w:val="0"/>
      <w:divBdr>
        <w:top w:val="none" w:sz="0" w:space="0" w:color="auto"/>
        <w:left w:val="none" w:sz="0" w:space="0" w:color="auto"/>
        <w:bottom w:val="none" w:sz="0" w:space="0" w:color="auto"/>
        <w:right w:val="none" w:sz="0" w:space="0" w:color="auto"/>
      </w:divBdr>
    </w:div>
    <w:div w:id="588344885">
      <w:bodyDiv w:val="1"/>
      <w:marLeft w:val="0"/>
      <w:marRight w:val="0"/>
      <w:marTop w:val="0"/>
      <w:marBottom w:val="0"/>
      <w:divBdr>
        <w:top w:val="none" w:sz="0" w:space="0" w:color="auto"/>
        <w:left w:val="none" w:sz="0" w:space="0" w:color="auto"/>
        <w:bottom w:val="none" w:sz="0" w:space="0" w:color="auto"/>
        <w:right w:val="none" w:sz="0" w:space="0" w:color="auto"/>
      </w:divBdr>
    </w:div>
    <w:div w:id="588927203">
      <w:bodyDiv w:val="1"/>
      <w:marLeft w:val="0"/>
      <w:marRight w:val="0"/>
      <w:marTop w:val="0"/>
      <w:marBottom w:val="0"/>
      <w:divBdr>
        <w:top w:val="none" w:sz="0" w:space="0" w:color="auto"/>
        <w:left w:val="none" w:sz="0" w:space="0" w:color="auto"/>
        <w:bottom w:val="none" w:sz="0" w:space="0" w:color="auto"/>
        <w:right w:val="none" w:sz="0" w:space="0" w:color="auto"/>
      </w:divBdr>
    </w:div>
    <w:div w:id="589973894">
      <w:bodyDiv w:val="1"/>
      <w:marLeft w:val="0"/>
      <w:marRight w:val="0"/>
      <w:marTop w:val="0"/>
      <w:marBottom w:val="0"/>
      <w:divBdr>
        <w:top w:val="none" w:sz="0" w:space="0" w:color="auto"/>
        <w:left w:val="none" w:sz="0" w:space="0" w:color="auto"/>
        <w:bottom w:val="none" w:sz="0" w:space="0" w:color="auto"/>
        <w:right w:val="none" w:sz="0" w:space="0" w:color="auto"/>
      </w:divBdr>
    </w:div>
    <w:div w:id="591285132">
      <w:bodyDiv w:val="1"/>
      <w:marLeft w:val="0"/>
      <w:marRight w:val="0"/>
      <w:marTop w:val="0"/>
      <w:marBottom w:val="0"/>
      <w:divBdr>
        <w:top w:val="none" w:sz="0" w:space="0" w:color="auto"/>
        <w:left w:val="none" w:sz="0" w:space="0" w:color="auto"/>
        <w:bottom w:val="none" w:sz="0" w:space="0" w:color="auto"/>
        <w:right w:val="none" w:sz="0" w:space="0" w:color="auto"/>
      </w:divBdr>
    </w:div>
    <w:div w:id="591620803">
      <w:bodyDiv w:val="1"/>
      <w:marLeft w:val="0"/>
      <w:marRight w:val="0"/>
      <w:marTop w:val="0"/>
      <w:marBottom w:val="0"/>
      <w:divBdr>
        <w:top w:val="none" w:sz="0" w:space="0" w:color="auto"/>
        <w:left w:val="none" w:sz="0" w:space="0" w:color="auto"/>
        <w:bottom w:val="none" w:sz="0" w:space="0" w:color="auto"/>
        <w:right w:val="none" w:sz="0" w:space="0" w:color="auto"/>
      </w:divBdr>
    </w:div>
    <w:div w:id="592205235">
      <w:bodyDiv w:val="1"/>
      <w:marLeft w:val="0"/>
      <w:marRight w:val="0"/>
      <w:marTop w:val="0"/>
      <w:marBottom w:val="0"/>
      <w:divBdr>
        <w:top w:val="none" w:sz="0" w:space="0" w:color="auto"/>
        <w:left w:val="none" w:sz="0" w:space="0" w:color="auto"/>
        <w:bottom w:val="none" w:sz="0" w:space="0" w:color="auto"/>
        <w:right w:val="none" w:sz="0" w:space="0" w:color="auto"/>
      </w:divBdr>
    </w:div>
    <w:div w:id="592476877">
      <w:bodyDiv w:val="1"/>
      <w:marLeft w:val="0"/>
      <w:marRight w:val="0"/>
      <w:marTop w:val="0"/>
      <w:marBottom w:val="0"/>
      <w:divBdr>
        <w:top w:val="none" w:sz="0" w:space="0" w:color="auto"/>
        <w:left w:val="none" w:sz="0" w:space="0" w:color="auto"/>
        <w:bottom w:val="none" w:sz="0" w:space="0" w:color="auto"/>
        <w:right w:val="none" w:sz="0" w:space="0" w:color="auto"/>
      </w:divBdr>
    </w:div>
    <w:div w:id="593051683">
      <w:bodyDiv w:val="1"/>
      <w:marLeft w:val="0"/>
      <w:marRight w:val="0"/>
      <w:marTop w:val="0"/>
      <w:marBottom w:val="0"/>
      <w:divBdr>
        <w:top w:val="none" w:sz="0" w:space="0" w:color="auto"/>
        <w:left w:val="none" w:sz="0" w:space="0" w:color="auto"/>
        <w:bottom w:val="none" w:sz="0" w:space="0" w:color="auto"/>
        <w:right w:val="none" w:sz="0" w:space="0" w:color="auto"/>
      </w:divBdr>
    </w:div>
    <w:div w:id="593250218">
      <w:bodyDiv w:val="1"/>
      <w:marLeft w:val="0"/>
      <w:marRight w:val="0"/>
      <w:marTop w:val="0"/>
      <w:marBottom w:val="0"/>
      <w:divBdr>
        <w:top w:val="none" w:sz="0" w:space="0" w:color="auto"/>
        <w:left w:val="none" w:sz="0" w:space="0" w:color="auto"/>
        <w:bottom w:val="none" w:sz="0" w:space="0" w:color="auto"/>
        <w:right w:val="none" w:sz="0" w:space="0" w:color="auto"/>
      </w:divBdr>
    </w:div>
    <w:div w:id="595016862">
      <w:bodyDiv w:val="1"/>
      <w:marLeft w:val="0"/>
      <w:marRight w:val="0"/>
      <w:marTop w:val="0"/>
      <w:marBottom w:val="0"/>
      <w:divBdr>
        <w:top w:val="none" w:sz="0" w:space="0" w:color="auto"/>
        <w:left w:val="none" w:sz="0" w:space="0" w:color="auto"/>
        <w:bottom w:val="none" w:sz="0" w:space="0" w:color="auto"/>
        <w:right w:val="none" w:sz="0" w:space="0" w:color="auto"/>
      </w:divBdr>
    </w:div>
    <w:div w:id="595594848">
      <w:bodyDiv w:val="1"/>
      <w:marLeft w:val="0"/>
      <w:marRight w:val="0"/>
      <w:marTop w:val="0"/>
      <w:marBottom w:val="0"/>
      <w:divBdr>
        <w:top w:val="none" w:sz="0" w:space="0" w:color="auto"/>
        <w:left w:val="none" w:sz="0" w:space="0" w:color="auto"/>
        <w:bottom w:val="none" w:sz="0" w:space="0" w:color="auto"/>
        <w:right w:val="none" w:sz="0" w:space="0" w:color="auto"/>
      </w:divBdr>
    </w:div>
    <w:div w:id="595748173">
      <w:bodyDiv w:val="1"/>
      <w:marLeft w:val="0"/>
      <w:marRight w:val="0"/>
      <w:marTop w:val="0"/>
      <w:marBottom w:val="0"/>
      <w:divBdr>
        <w:top w:val="none" w:sz="0" w:space="0" w:color="auto"/>
        <w:left w:val="none" w:sz="0" w:space="0" w:color="auto"/>
        <w:bottom w:val="none" w:sz="0" w:space="0" w:color="auto"/>
        <w:right w:val="none" w:sz="0" w:space="0" w:color="auto"/>
      </w:divBdr>
    </w:div>
    <w:div w:id="595795691">
      <w:bodyDiv w:val="1"/>
      <w:marLeft w:val="0"/>
      <w:marRight w:val="0"/>
      <w:marTop w:val="0"/>
      <w:marBottom w:val="0"/>
      <w:divBdr>
        <w:top w:val="none" w:sz="0" w:space="0" w:color="auto"/>
        <w:left w:val="none" w:sz="0" w:space="0" w:color="auto"/>
        <w:bottom w:val="none" w:sz="0" w:space="0" w:color="auto"/>
        <w:right w:val="none" w:sz="0" w:space="0" w:color="auto"/>
      </w:divBdr>
    </w:div>
    <w:div w:id="597105827">
      <w:bodyDiv w:val="1"/>
      <w:marLeft w:val="0"/>
      <w:marRight w:val="0"/>
      <w:marTop w:val="0"/>
      <w:marBottom w:val="0"/>
      <w:divBdr>
        <w:top w:val="none" w:sz="0" w:space="0" w:color="auto"/>
        <w:left w:val="none" w:sz="0" w:space="0" w:color="auto"/>
        <w:bottom w:val="none" w:sz="0" w:space="0" w:color="auto"/>
        <w:right w:val="none" w:sz="0" w:space="0" w:color="auto"/>
      </w:divBdr>
    </w:div>
    <w:div w:id="597174120">
      <w:bodyDiv w:val="1"/>
      <w:marLeft w:val="0"/>
      <w:marRight w:val="0"/>
      <w:marTop w:val="0"/>
      <w:marBottom w:val="0"/>
      <w:divBdr>
        <w:top w:val="none" w:sz="0" w:space="0" w:color="auto"/>
        <w:left w:val="none" w:sz="0" w:space="0" w:color="auto"/>
        <w:bottom w:val="none" w:sz="0" w:space="0" w:color="auto"/>
        <w:right w:val="none" w:sz="0" w:space="0" w:color="auto"/>
      </w:divBdr>
    </w:div>
    <w:div w:id="597644960">
      <w:bodyDiv w:val="1"/>
      <w:marLeft w:val="0"/>
      <w:marRight w:val="0"/>
      <w:marTop w:val="0"/>
      <w:marBottom w:val="0"/>
      <w:divBdr>
        <w:top w:val="none" w:sz="0" w:space="0" w:color="auto"/>
        <w:left w:val="none" w:sz="0" w:space="0" w:color="auto"/>
        <w:bottom w:val="none" w:sz="0" w:space="0" w:color="auto"/>
        <w:right w:val="none" w:sz="0" w:space="0" w:color="auto"/>
      </w:divBdr>
    </w:div>
    <w:div w:id="598878921">
      <w:bodyDiv w:val="1"/>
      <w:marLeft w:val="0"/>
      <w:marRight w:val="0"/>
      <w:marTop w:val="0"/>
      <w:marBottom w:val="0"/>
      <w:divBdr>
        <w:top w:val="none" w:sz="0" w:space="0" w:color="auto"/>
        <w:left w:val="none" w:sz="0" w:space="0" w:color="auto"/>
        <w:bottom w:val="none" w:sz="0" w:space="0" w:color="auto"/>
        <w:right w:val="none" w:sz="0" w:space="0" w:color="auto"/>
      </w:divBdr>
    </w:div>
    <w:div w:id="600140533">
      <w:bodyDiv w:val="1"/>
      <w:marLeft w:val="0"/>
      <w:marRight w:val="0"/>
      <w:marTop w:val="0"/>
      <w:marBottom w:val="0"/>
      <w:divBdr>
        <w:top w:val="none" w:sz="0" w:space="0" w:color="auto"/>
        <w:left w:val="none" w:sz="0" w:space="0" w:color="auto"/>
        <w:bottom w:val="none" w:sz="0" w:space="0" w:color="auto"/>
        <w:right w:val="none" w:sz="0" w:space="0" w:color="auto"/>
      </w:divBdr>
    </w:div>
    <w:div w:id="600795798">
      <w:bodyDiv w:val="1"/>
      <w:marLeft w:val="0"/>
      <w:marRight w:val="0"/>
      <w:marTop w:val="0"/>
      <w:marBottom w:val="0"/>
      <w:divBdr>
        <w:top w:val="none" w:sz="0" w:space="0" w:color="auto"/>
        <w:left w:val="none" w:sz="0" w:space="0" w:color="auto"/>
        <w:bottom w:val="none" w:sz="0" w:space="0" w:color="auto"/>
        <w:right w:val="none" w:sz="0" w:space="0" w:color="auto"/>
      </w:divBdr>
    </w:div>
    <w:div w:id="601767345">
      <w:bodyDiv w:val="1"/>
      <w:marLeft w:val="0"/>
      <w:marRight w:val="0"/>
      <w:marTop w:val="0"/>
      <w:marBottom w:val="0"/>
      <w:divBdr>
        <w:top w:val="none" w:sz="0" w:space="0" w:color="auto"/>
        <w:left w:val="none" w:sz="0" w:space="0" w:color="auto"/>
        <w:bottom w:val="none" w:sz="0" w:space="0" w:color="auto"/>
        <w:right w:val="none" w:sz="0" w:space="0" w:color="auto"/>
      </w:divBdr>
    </w:div>
    <w:div w:id="606043845">
      <w:bodyDiv w:val="1"/>
      <w:marLeft w:val="0"/>
      <w:marRight w:val="0"/>
      <w:marTop w:val="0"/>
      <w:marBottom w:val="0"/>
      <w:divBdr>
        <w:top w:val="none" w:sz="0" w:space="0" w:color="auto"/>
        <w:left w:val="none" w:sz="0" w:space="0" w:color="auto"/>
        <w:bottom w:val="none" w:sz="0" w:space="0" w:color="auto"/>
        <w:right w:val="none" w:sz="0" w:space="0" w:color="auto"/>
      </w:divBdr>
    </w:div>
    <w:div w:id="606430622">
      <w:bodyDiv w:val="1"/>
      <w:marLeft w:val="0"/>
      <w:marRight w:val="0"/>
      <w:marTop w:val="0"/>
      <w:marBottom w:val="0"/>
      <w:divBdr>
        <w:top w:val="none" w:sz="0" w:space="0" w:color="auto"/>
        <w:left w:val="none" w:sz="0" w:space="0" w:color="auto"/>
        <w:bottom w:val="none" w:sz="0" w:space="0" w:color="auto"/>
        <w:right w:val="none" w:sz="0" w:space="0" w:color="auto"/>
      </w:divBdr>
    </w:div>
    <w:div w:id="607587183">
      <w:bodyDiv w:val="1"/>
      <w:marLeft w:val="0"/>
      <w:marRight w:val="0"/>
      <w:marTop w:val="0"/>
      <w:marBottom w:val="0"/>
      <w:divBdr>
        <w:top w:val="none" w:sz="0" w:space="0" w:color="auto"/>
        <w:left w:val="none" w:sz="0" w:space="0" w:color="auto"/>
        <w:bottom w:val="none" w:sz="0" w:space="0" w:color="auto"/>
        <w:right w:val="none" w:sz="0" w:space="0" w:color="auto"/>
      </w:divBdr>
    </w:div>
    <w:div w:id="607929885">
      <w:bodyDiv w:val="1"/>
      <w:marLeft w:val="0"/>
      <w:marRight w:val="0"/>
      <w:marTop w:val="0"/>
      <w:marBottom w:val="0"/>
      <w:divBdr>
        <w:top w:val="none" w:sz="0" w:space="0" w:color="auto"/>
        <w:left w:val="none" w:sz="0" w:space="0" w:color="auto"/>
        <w:bottom w:val="none" w:sz="0" w:space="0" w:color="auto"/>
        <w:right w:val="none" w:sz="0" w:space="0" w:color="auto"/>
      </w:divBdr>
    </w:div>
    <w:div w:id="608783561">
      <w:bodyDiv w:val="1"/>
      <w:marLeft w:val="0"/>
      <w:marRight w:val="0"/>
      <w:marTop w:val="0"/>
      <w:marBottom w:val="0"/>
      <w:divBdr>
        <w:top w:val="none" w:sz="0" w:space="0" w:color="auto"/>
        <w:left w:val="none" w:sz="0" w:space="0" w:color="auto"/>
        <w:bottom w:val="none" w:sz="0" w:space="0" w:color="auto"/>
        <w:right w:val="none" w:sz="0" w:space="0" w:color="auto"/>
      </w:divBdr>
    </w:div>
    <w:div w:id="609169481">
      <w:bodyDiv w:val="1"/>
      <w:marLeft w:val="0"/>
      <w:marRight w:val="0"/>
      <w:marTop w:val="0"/>
      <w:marBottom w:val="0"/>
      <w:divBdr>
        <w:top w:val="none" w:sz="0" w:space="0" w:color="auto"/>
        <w:left w:val="none" w:sz="0" w:space="0" w:color="auto"/>
        <w:bottom w:val="none" w:sz="0" w:space="0" w:color="auto"/>
        <w:right w:val="none" w:sz="0" w:space="0" w:color="auto"/>
      </w:divBdr>
    </w:div>
    <w:div w:id="609240982">
      <w:bodyDiv w:val="1"/>
      <w:marLeft w:val="0"/>
      <w:marRight w:val="0"/>
      <w:marTop w:val="0"/>
      <w:marBottom w:val="0"/>
      <w:divBdr>
        <w:top w:val="none" w:sz="0" w:space="0" w:color="auto"/>
        <w:left w:val="none" w:sz="0" w:space="0" w:color="auto"/>
        <w:bottom w:val="none" w:sz="0" w:space="0" w:color="auto"/>
        <w:right w:val="none" w:sz="0" w:space="0" w:color="auto"/>
      </w:divBdr>
    </w:div>
    <w:div w:id="610670463">
      <w:bodyDiv w:val="1"/>
      <w:marLeft w:val="0"/>
      <w:marRight w:val="0"/>
      <w:marTop w:val="0"/>
      <w:marBottom w:val="0"/>
      <w:divBdr>
        <w:top w:val="none" w:sz="0" w:space="0" w:color="auto"/>
        <w:left w:val="none" w:sz="0" w:space="0" w:color="auto"/>
        <w:bottom w:val="none" w:sz="0" w:space="0" w:color="auto"/>
        <w:right w:val="none" w:sz="0" w:space="0" w:color="auto"/>
      </w:divBdr>
    </w:div>
    <w:div w:id="611135431">
      <w:bodyDiv w:val="1"/>
      <w:marLeft w:val="0"/>
      <w:marRight w:val="0"/>
      <w:marTop w:val="0"/>
      <w:marBottom w:val="0"/>
      <w:divBdr>
        <w:top w:val="none" w:sz="0" w:space="0" w:color="auto"/>
        <w:left w:val="none" w:sz="0" w:space="0" w:color="auto"/>
        <w:bottom w:val="none" w:sz="0" w:space="0" w:color="auto"/>
        <w:right w:val="none" w:sz="0" w:space="0" w:color="auto"/>
      </w:divBdr>
    </w:div>
    <w:div w:id="611937611">
      <w:bodyDiv w:val="1"/>
      <w:marLeft w:val="0"/>
      <w:marRight w:val="0"/>
      <w:marTop w:val="0"/>
      <w:marBottom w:val="0"/>
      <w:divBdr>
        <w:top w:val="none" w:sz="0" w:space="0" w:color="auto"/>
        <w:left w:val="none" w:sz="0" w:space="0" w:color="auto"/>
        <w:bottom w:val="none" w:sz="0" w:space="0" w:color="auto"/>
        <w:right w:val="none" w:sz="0" w:space="0" w:color="auto"/>
      </w:divBdr>
    </w:div>
    <w:div w:id="616061194">
      <w:bodyDiv w:val="1"/>
      <w:marLeft w:val="0"/>
      <w:marRight w:val="0"/>
      <w:marTop w:val="0"/>
      <w:marBottom w:val="0"/>
      <w:divBdr>
        <w:top w:val="none" w:sz="0" w:space="0" w:color="auto"/>
        <w:left w:val="none" w:sz="0" w:space="0" w:color="auto"/>
        <w:bottom w:val="none" w:sz="0" w:space="0" w:color="auto"/>
        <w:right w:val="none" w:sz="0" w:space="0" w:color="auto"/>
      </w:divBdr>
    </w:div>
    <w:div w:id="616255523">
      <w:bodyDiv w:val="1"/>
      <w:marLeft w:val="0"/>
      <w:marRight w:val="0"/>
      <w:marTop w:val="0"/>
      <w:marBottom w:val="0"/>
      <w:divBdr>
        <w:top w:val="none" w:sz="0" w:space="0" w:color="auto"/>
        <w:left w:val="none" w:sz="0" w:space="0" w:color="auto"/>
        <w:bottom w:val="none" w:sz="0" w:space="0" w:color="auto"/>
        <w:right w:val="none" w:sz="0" w:space="0" w:color="auto"/>
      </w:divBdr>
    </w:div>
    <w:div w:id="616564703">
      <w:bodyDiv w:val="1"/>
      <w:marLeft w:val="0"/>
      <w:marRight w:val="0"/>
      <w:marTop w:val="0"/>
      <w:marBottom w:val="0"/>
      <w:divBdr>
        <w:top w:val="none" w:sz="0" w:space="0" w:color="auto"/>
        <w:left w:val="none" w:sz="0" w:space="0" w:color="auto"/>
        <w:bottom w:val="none" w:sz="0" w:space="0" w:color="auto"/>
        <w:right w:val="none" w:sz="0" w:space="0" w:color="auto"/>
      </w:divBdr>
    </w:div>
    <w:div w:id="617375456">
      <w:bodyDiv w:val="1"/>
      <w:marLeft w:val="0"/>
      <w:marRight w:val="0"/>
      <w:marTop w:val="0"/>
      <w:marBottom w:val="0"/>
      <w:divBdr>
        <w:top w:val="none" w:sz="0" w:space="0" w:color="auto"/>
        <w:left w:val="none" w:sz="0" w:space="0" w:color="auto"/>
        <w:bottom w:val="none" w:sz="0" w:space="0" w:color="auto"/>
        <w:right w:val="none" w:sz="0" w:space="0" w:color="auto"/>
      </w:divBdr>
    </w:div>
    <w:div w:id="618612433">
      <w:bodyDiv w:val="1"/>
      <w:marLeft w:val="0"/>
      <w:marRight w:val="0"/>
      <w:marTop w:val="0"/>
      <w:marBottom w:val="0"/>
      <w:divBdr>
        <w:top w:val="none" w:sz="0" w:space="0" w:color="auto"/>
        <w:left w:val="none" w:sz="0" w:space="0" w:color="auto"/>
        <w:bottom w:val="none" w:sz="0" w:space="0" w:color="auto"/>
        <w:right w:val="none" w:sz="0" w:space="0" w:color="auto"/>
      </w:divBdr>
    </w:div>
    <w:div w:id="620453735">
      <w:bodyDiv w:val="1"/>
      <w:marLeft w:val="0"/>
      <w:marRight w:val="0"/>
      <w:marTop w:val="0"/>
      <w:marBottom w:val="0"/>
      <w:divBdr>
        <w:top w:val="none" w:sz="0" w:space="0" w:color="auto"/>
        <w:left w:val="none" w:sz="0" w:space="0" w:color="auto"/>
        <w:bottom w:val="none" w:sz="0" w:space="0" w:color="auto"/>
        <w:right w:val="none" w:sz="0" w:space="0" w:color="auto"/>
      </w:divBdr>
    </w:div>
    <w:div w:id="620696056">
      <w:bodyDiv w:val="1"/>
      <w:marLeft w:val="0"/>
      <w:marRight w:val="0"/>
      <w:marTop w:val="0"/>
      <w:marBottom w:val="0"/>
      <w:divBdr>
        <w:top w:val="none" w:sz="0" w:space="0" w:color="auto"/>
        <w:left w:val="none" w:sz="0" w:space="0" w:color="auto"/>
        <w:bottom w:val="none" w:sz="0" w:space="0" w:color="auto"/>
        <w:right w:val="none" w:sz="0" w:space="0" w:color="auto"/>
      </w:divBdr>
    </w:div>
    <w:div w:id="620720399">
      <w:bodyDiv w:val="1"/>
      <w:marLeft w:val="0"/>
      <w:marRight w:val="0"/>
      <w:marTop w:val="0"/>
      <w:marBottom w:val="0"/>
      <w:divBdr>
        <w:top w:val="none" w:sz="0" w:space="0" w:color="auto"/>
        <w:left w:val="none" w:sz="0" w:space="0" w:color="auto"/>
        <w:bottom w:val="none" w:sz="0" w:space="0" w:color="auto"/>
        <w:right w:val="none" w:sz="0" w:space="0" w:color="auto"/>
      </w:divBdr>
    </w:div>
    <w:div w:id="622928757">
      <w:bodyDiv w:val="1"/>
      <w:marLeft w:val="0"/>
      <w:marRight w:val="0"/>
      <w:marTop w:val="0"/>
      <w:marBottom w:val="0"/>
      <w:divBdr>
        <w:top w:val="none" w:sz="0" w:space="0" w:color="auto"/>
        <w:left w:val="none" w:sz="0" w:space="0" w:color="auto"/>
        <w:bottom w:val="none" w:sz="0" w:space="0" w:color="auto"/>
        <w:right w:val="none" w:sz="0" w:space="0" w:color="auto"/>
      </w:divBdr>
    </w:div>
    <w:div w:id="623539625">
      <w:bodyDiv w:val="1"/>
      <w:marLeft w:val="0"/>
      <w:marRight w:val="0"/>
      <w:marTop w:val="0"/>
      <w:marBottom w:val="0"/>
      <w:divBdr>
        <w:top w:val="none" w:sz="0" w:space="0" w:color="auto"/>
        <w:left w:val="none" w:sz="0" w:space="0" w:color="auto"/>
        <w:bottom w:val="none" w:sz="0" w:space="0" w:color="auto"/>
        <w:right w:val="none" w:sz="0" w:space="0" w:color="auto"/>
      </w:divBdr>
    </w:div>
    <w:div w:id="624115612">
      <w:bodyDiv w:val="1"/>
      <w:marLeft w:val="0"/>
      <w:marRight w:val="0"/>
      <w:marTop w:val="0"/>
      <w:marBottom w:val="0"/>
      <w:divBdr>
        <w:top w:val="none" w:sz="0" w:space="0" w:color="auto"/>
        <w:left w:val="none" w:sz="0" w:space="0" w:color="auto"/>
        <w:bottom w:val="none" w:sz="0" w:space="0" w:color="auto"/>
        <w:right w:val="none" w:sz="0" w:space="0" w:color="auto"/>
      </w:divBdr>
    </w:div>
    <w:div w:id="625543783">
      <w:bodyDiv w:val="1"/>
      <w:marLeft w:val="0"/>
      <w:marRight w:val="0"/>
      <w:marTop w:val="0"/>
      <w:marBottom w:val="0"/>
      <w:divBdr>
        <w:top w:val="none" w:sz="0" w:space="0" w:color="auto"/>
        <w:left w:val="none" w:sz="0" w:space="0" w:color="auto"/>
        <w:bottom w:val="none" w:sz="0" w:space="0" w:color="auto"/>
        <w:right w:val="none" w:sz="0" w:space="0" w:color="auto"/>
      </w:divBdr>
    </w:div>
    <w:div w:id="625544196">
      <w:bodyDiv w:val="1"/>
      <w:marLeft w:val="0"/>
      <w:marRight w:val="0"/>
      <w:marTop w:val="0"/>
      <w:marBottom w:val="0"/>
      <w:divBdr>
        <w:top w:val="none" w:sz="0" w:space="0" w:color="auto"/>
        <w:left w:val="none" w:sz="0" w:space="0" w:color="auto"/>
        <w:bottom w:val="none" w:sz="0" w:space="0" w:color="auto"/>
        <w:right w:val="none" w:sz="0" w:space="0" w:color="auto"/>
      </w:divBdr>
    </w:div>
    <w:div w:id="626157407">
      <w:bodyDiv w:val="1"/>
      <w:marLeft w:val="0"/>
      <w:marRight w:val="0"/>
      <w:marTop w:val="0"/>
      <w:marBottom w:val="0"/>
      <w:divBdr>
        <w:top w:val="none" w:sz="0" w:space="0" w:color="auto"/>
        <w:left w:val="none" w:sz="0" w:space="0" w:color="auto"/>
        <w:bottom w:val="none" w:sz="0" w:space="0" w:color="auto"/>
        <w:right w:val="none" w:sz="0" w:space="0" w:color="auto"/>
      </w:divBdr>
    </w:div>
    <w:div w:id="626818418">
      <w:bodyDiv w:val="1"/>
      <w:marLeft w:val="0"/>
      <w:marRight w:val="0"/>
      <w:marTop w:val="0"/>
      <w:marBottom w:val="0"/>
      <w:divBdr>
        <w:top w:val="none" w:sz="0" w:space="0" w:color="auto"/>
        <w:left w:val="none" w:sz="0" w:space="0" w:color="auto"/>
        <w:bottom w:val="none" w:sz="0" w:space="0" w:color="auto"/>
        <w:right w:val="none" w:sz="0" w:space="0" w:color="auto"/>
      </w:divBdr>
    </w:div>
    <w:div w:id="630087954">
      <w:bodyDiv w:val="1"/>
      <w:marLeft w:val="0"/>
      <w:marRight w:val="0"/>
      <w:marTop w:val="0"/>
      <w:marBottom w:val="0"/>
      <w:divBdr>
        <w:top w:val="none" w:sz="0" w:space="0" w:color="auto"/>
        <w:left w:val="none" w:sz="0" w:space="0" w:color="auto"/>
        <w:bottom w:val="none" w:sz="0" w:space="0" w:color="auto"/>
        <w:right w:val="none" w:sz="0" w:space="0" w:color="auto"/>
      </w:divBdr>
    </w:div>
    <w:div w:id="630552932">
      <w:bodyDiv w:val="1"/>
      <w:marLeft w:val="0"/>
      <w:marRight w:val="0"/>
      <w:marTop w:val="0"/>
      <w:marBottom w:val="0"/>
      <w:divBdr>
        <w:top w:val="none" w:sz="0" w:space="0" w:color="auto"/>
        <w:left w:val="none" w:sz="0" w:space="0" w:color="auto"/>
        <w:bottom w:val="none" w:sz="0" w:space="0" w:color="auto"/>
        <w:right w:val="none" w:sz="0" w:space="0" w:color="auto"/>
      </w:divBdr>
    </w:div>
    <w:div w:id="630987211">
      <w:bodyDiv w:val="1"/>
      <w:marLeft w:val="0"/>
      <w:marRight w:val="0"/>
      <w:marTop w:val="0"/>
      <w:marBottom w:val="0"/>
      <w:divBdr>
        <w:top w:val="none" w:sz="0" w:space="0" w:color="auto"/>
        <w:left w:val="none" w:sz="0" w:space="0" w:color="auto"/>
        <w:bottom w:val="none" w:sz="0" w:space="0" w:color="auto"/>
        <w:right w:val="none" w:sz="0" w:space="0" w:color="auto"/>
      </w:divBdr>
    </w:div>
    <w:div w:id="631593370">
      <w:bodyDiv w:val="1"/>
      <w:marLeft w:val="0"/>
      <w:marRight w:val="0"/>
      <w:marTop w:val="0"/>
      <w:marBottom w:val="0"/>
      <w:divBdr>
        <w:top w:val="none" w:sz="0" w:space="0" w:color="auto"/>
        <w:left w:val="none" w:sz="0" w:space="0" w:color="auto"/>
        <w:bottom w:val="none" w:sz="0" w:space="0" w:color="auto"/>
        <w:right w:val="none" w:sz="0" w:space="0" w:color="auto"/>
      </w:divBdr>
    </w:div>
    <w:div w:id="632056636">
      <w:bodyDiv w:val="1"/>
      <w:marLeft w:val="0"/>
      <w:marRight w:val="0"/>
      <w:marTop w:val="0"/>
      <w:marBottom w:val="0"/>
      <w:divBdr>
        <w:top w:val="none" w:sz="0" w:space="0" w:color="auto"/>
        <w:left w:val="none" w:sz="0" w:space="0" w:color="auto"/>
        <w:bottom w:val="none" w:sz="0" w:space="0" w:color="auto"/>
        <w:right w:val="none" w:sz="0" w:space="0" w:color="auto"/>
      </w:divBdr>
    </w:div>
    <w:div w:id="632322424">
      <w:bodyDiv w:val="1"/>
      <w:marLeft w:val="0"/>
      <w:marRight w:val="0"/>
      <w:marTop w:val="0"/>
      <w:marBottom w:val="0"/>
      <w:divBdr>
        <w:top w:val="none" w:sz="0" w:space="0" w:color="auto"/>
        <w:left w:val="none" w:sz="0" w:space="0" w:color="auto"/>
        <w:bottom w:val="none" w:sz="0" w:space="0" w:color="auto"/>
        <w:right w:val="none" w:sz="0" w:space="0" w:color="auto"/>
      </w:divBdr>
    </w:div>
    <w:div w:id="633370027">
      <w:bodyDiv w:val="1"/>
      <w:marLeft w:val="0"/>
      <w:marRight w:val="0"/>
      <w:marTop w:val="0"/>
      <w:marBottom w:val="0"/>
      <w:divBdr>
        <w:top w:val="none" w:sz="0" w:space="0" w:color="auto"/>
        <w:left w:val="none" w:sz="0" w:space="0" w:color="auto"/>
        <w:bottom w:val="none" w:sz="0" w:space="0" w:color="auto"/>
        <w:right w:val="none" w:sz="0" w:space="0" w:color="auto"/>
      </w:divBdr>
    </w:div>
    <w:div w:id="634414312">
      <w:bodyDiv w:val="1"/>
      <w:marLeft w:val="0"/>
      <w:marRight w:val="0"/>
      <w:marTop w:val="0"/>
      <w:marBottom w:val="0"/>
      <w:divBdr>
        <w:top w:val="none" w:sz="0" w:space="0" w:color="auto"/>
        <w:left w:val="none" w:sz="0" w:space="0" w:color="auto"/>
        <w:bottom w:val="none" w:sz="0" w:space="0" w:color="auto"/>
        <w:right w:val="none" w:sz="0" w:space="0" w:color="auto"/>
      </w:divBdr>
    </w:div>
    <w:div w:id="635333543">
      <w:bodyDiv w:val="1"/>
      <w:marLeft w:val="0"/>
      <w:marRight w:val="0"/>
      <w:marTop w:val="0"/>
      <w:marBottom w:val="0"/>
      <w:divBdr>
        <w:top w:val="none" w:sz="0" w:space="0" w:color="auto"/>
        <w:left w:val="none" w:sz="0" w:space="0" w:color="auto"/>
        <w:bottom w:val="none" w:sz="0" w:space="0" w:color="auto"/>
        <w:right w:val="none" w:sz="0" w:space="0" w:color="auto"/>
      </w:divBdr>
    </w:div>
    <w:div w:id="635649563">
      <w:bodyDiv w:val="1"/>
      <w:marLeft w:val="0"/>
      <w:marRight w:val="0"/>
      <w:marTop w:val="0"/>
      <w:marBottom w:val="0"/>
      <w:divBdr>
        <w:top w:val="none" w:sz="0" w:space="0" w:color="auto"/>
        <w:left w:val="none" w:sz="0" w:space="0" w:color="auto"/>
        <w:bottom w:val="none" w:sz="0" w:space="0" w:color="auto"/>
        <w:right w:val="none" w:sz="0" w:space="0" w:color="auto"/>
      </w:divBdr>
    </w:div>
    <w:div w:id="635991104">
      <w:bodyDiv w:val="1"/>
      <w:marLeft w:val="0"/>
      <w:marRight w:val="0"/>
      <w:marTop w:val="0"/>
      <w:marBottom w:val="0"/>
      <w:divBdr>
        <w:top w:val="none" w:sz="0" w:space="0" w:color="auto"/>
        <w:left w:val="none" w:sz="0" w:space="0" w:color="auto"/>
        <w:bottom w:val="none" w:sz="0" w:space="0" w:color="auto"/>
        <w:right w:val="none" w:sz="0" w:space="0" w:color="auto"/>
      </w:divBdr>
    </w:div>
    <w:div w:id="636303483">
      <w:bodyDiv w:val="1"/>
      <w:marLeft w:val="0"/>
      <w:marRight w:val="0"/>
      <w:marTop w:val="0"/>
      <w:marBottom w:val="0"/>
      <w:divBdr>
        <w:top w:val="none" w:sz="0" w:space="0" w:color="auto"/>
        <w:left w:val="none" w:sz="0" w:space="0" w:color="auto"/>
        <w:bottom w:val="none" w:sz="0" w:space="0" w:color="auto"/>
        <w:right w:val="none" w:sz="0" w:space="0" w:color="auto"/>
      </w:divBdr>
    </w:div>
    <w:div w:id="636491118">
      <w:bodyDiv w:val="1"/>
      <w:marLeft w:val="0"/>
      <w:marRight w:val="0"/>
      <w:marTop w:val="0"/>
      <w:marBottom w:val="0"/>
      <w:divBdr>
        <w:top w:val="none" w:sz="0" w:space="0" w:color="auto"/>
        <w:left w:val="none" w:sz="0" w:space="0" w:color="auto"/>
        <w:bottom w:val="none" w:sz="0" w:space="0" w:color="auto"/>
        <w:right w:val="none" w:sz="0" w:space="0" w:color="auto"/>
      </w:divBdr>
    </w:div>
    <w:div w:id="636841823">
      <w:bodyDiv w:val="1"/>
      <w:marLeft w:val="0"/>
      <w:marRight w:val="0"/>
      <w:marTop w:val="0"/>
      <w:marBottom w:val="0"/>
      <w:divBdr>
        <w:top w:val="none" w:sz="0" w:space="0" w:color="auto"/>
        <w:left w:val="none" w:sz="0" w:space="0" w:color="auto"/>
        <w:bottom w:val="none" w:sz="0" w:space="0" w:color="auto"/>
        <w:right w:val="none" w:sz="0" w:space="0" w:color="auto"/>
      </w:divBdr>
    </w:div>
    <w:div w:id="636953132">
      <w:bodyDiv w:val="1"/>
      <w:marLeft w:val="0"/>
      <w:marRight w:val="0"/>
      <w:marTop w:val="0"/>
      <w:marBottom w:val="0"/>
      <w:divBdr>
        <w:top w:val="none" w:sz="0" w:space="0" w:color="auto"/>
        <w:left w:val="none" w:sz="0" w:space="0" w:color="auto"/>
        <w:bottom w:val="none" w:sz="0" w:space="0" w:color="auto"/>
        <w:right w:val="none" w:sz="0" w:space="0" w:color="auto"/>
      </w:divBdr>
    </w:div>
    <w:div w:id="636956152">
      <w:bodyDiv w:val="1"/>
      <w:marLeft w:val="0"/>
      <w:marRight w:val="0"/>
      <w:marTop w:val="0"/>
      <w:marBottom w:val="0"/>
      <w:divBdr>
        <w:top w:val="none" w:sz="0" w:space="0" w:color="auto"/>
        <w:left w:val="none" w:sz="0" w:space="0" w:color="auto"/>
        <w:bottom w:val="none" w:sz="0" w:space="0" w:color="auto"/>
        <w:right w:val="none" w:sz="0" w:space="0" w:color="auto"/>
      </w:divBdr>
    </w:div>
    <w:div w:id="637145069">
      <w:bodyDiv w:val="1"/>
      <w:marLeft w:val="0"/>
      <w:marRight w:val="0"/>
      <w:marTop w:val="0"/>
      <w:marBottom w:val="0"/>
      <w:divBdr>
        <w:top w:val="none" w:sz="0" w:space="0" w:color="auto"/>
        <w:left w:val="none" w:sz="0" w:space="0" w:color="auto"/>
        <w:bottom w:val="none" w:sz="0" w:space="0" w:color="auto"/>
        <w:right w:val="none" w:sz="0" w:space="0" w:color="auto"/>
      </w:divBdr>
    </w:div>
    <w:div w:id="638194115">
      <w:bodyDiv w:val="1"/>
      <w:marLeft w:val="0"/>
      <w:marRight w:val="0"/>
      <w:marTop w:val="0"/>
      <w:marBottom w:val="0"/>
      <w:divBdr>
        <w:top w:val="none" w:sz="0" w:space="0" w:color="auto"/>
        <w:left w:val="none" w:sz="0" w:space="0" w:color="auto"/>
        <w:bottom w:val="none" w:sz="0" w:space="0" w:color="auto"/>
        <w:right w:val="none" w:sz="0" w:space="0" w:color="auto"/>
      </w:divBdr>
    </w:div>
    <w:div w:id="639072889">
      <w:bodyDiv w:val="1"/>
      <w:marLeft w:val="0"/>
      <w:marRight w:val="0"/>
      <w:marTop w:val="0"/>
      <w:marBottom w:val="0"/>
      <w:divBdr>
        <w:top w:val="none" w:sz="0" w:space="0" w:color="auto"/>
        <w:left w:val="none" w:sz="0" w:space="0" w:color="auto"/>
        <w:bottom w:val="none" w:sz="0" w:space="0" w:color="auto"/>
        <w:right w:val="none" w:sz="0" w:space="0" w:color="auto"/>
      </w:divBdr>
    </w:div>
    <w:div w:id="642582838">
      <w:bodyDiv w:val="1"/>
      <w:marLeft w:val="0"/>
      <w:marRight w:val="0"/>
      <w:marTop w:val="0"/>
      <w:marBottom w:val="0"/>
      <w:divBdr>
        <w:top w:val="none" w:sz="0" w:space="0" w:color="auto"/>
        <w:left w:val="none" w:sz="0" w:space="0" w:color="auto"/>
        <w:bottom w:val="none" w:sz="0" w:space="0" w:color="auto"/>
        <w:right w:val="none" w:sz="0" w:space="0" w:color="auto"/>
      </w:divBdr>
    </w:div>
    <w:div w:id="643851024">
      <w:bodyDiv w:val="1"/>
      <w:marLeft w:val="0"/>
      <w:marRight w:val="0"/>
      <w:marTop w:val="0"/>
      <w:marBottom w:val="0"/>
      <w:divBdr>
        <w:top w:val="none" w:sz="0" w:space="0" w:color="auto"/>
        <w:left w:val="none" w:sz="0" w:space="0" w:color="auto"/>
        <w:bottom w:val="none" w:sz="0" w:space="0" w:color="auto"/>
        <w:right w:val="none" w:sz="0" w:space="0" w:color="auto"/>
      </w:divBdr>
    </w:div>
    <w:div w:id="644511931">
      <w:bodyDiv w:val="1"/>
      <w:marLeft w:val="0"/>
      <w:marRight w:val="0"/>
      <w:marTop w:val="0"/>
      <w:marBottom w:val="0"/>
      <w:divBdr>
        <w:top w:val="none" w:sz="0" w:space="0" w:color="auto"/>
        <w:left w:val="none" w:sz="0" w:space="0" w:color="auto"/>
        <w:bottom w:val="none" w:sz="0" w:space="0" w:color="auto"/>
        <w:right w:val="none" w:sz="0" w:space="0" w:color="auto"/>
      </w:divBdr>
    </w:div>
    <w:div w:id="644554148">
      <w:bodyDiv w:val="1"/>
      <w:marLeft w:val="0"/>
      <w:marRight w:val="0"/>
      <w:marTop w:val="0"/>
      <w:marBottom w:val="0"/>
      <w:divBdr>
        <w:top w:val="none" w:sz="0" w:space="0" w:color="auto"/>
        <w:left w:val="none" w:sz="0" w:space="0" w:color="auto"/>
        <w:bottom w:val="none" w:sz="0" w:space="0" w:color="auto"/>
        <w:right w:val="none" w:sz="0" w:space="0" w:color="auto"/>
      </w:divBdr>
    </w:div>
    <w:div w:id="644815950">
      <w:bodyDiv w:val="1"/>
      <w:marLeft w:val="0"/>
      <w:marRight w:val="0"/>
      <w:marTop w:val="0"/>
      <w:marBottom w:val="0"/>
      <w:divBdr>
        <w:top w:val="none" w:sz="0" w:space="0" w:color="auto"/>
        <w:left w:val="none" w:sz="0" w:space="0" w:color="auto"/>
        <w:bottom w:val="none" w:sz="0" w:space="0" w:color="auto"/>
        <w:right w:val="none" w:sz="0" w:space="0" w:color="auto"/>
      </w:divBdr>
    </w:div>
    <w:div w:id="646394980">
      <w:bodyDiv w:val="1"/>
      <w:marLeft w:val="0"/>
      <w:marRight w:val="0"/>
      <w:marTop w:val="0"/>
      <w:marBottom w:val="0"/>
      <w:divBdr>
        <w:top w:val="none" w:sz="0" w:space="0" w:color="auto"/>
        <w:left w:val="none" w:sz="0" w:space="0" w:color="auto"/>
        <w:bottom w:val="none" w:sz="0" w:space="0" w:color="auto"/>
        <w:right w:val="none" w:sz="0" w:space="0" w:color="auto"/>
      </w:divBdr>
    </w:div>
    <w:div w:id="646670347">
      <w:bodyDiv w:val="1"/>
      <w:marLeft w:val="0"/>
      <w:marRight w:val="0"/>
      <w:marTop w:val="0"/>
      <w:marBottom w:val="0"/>
      <w:divBdr>
        <w:top w:val="none" w:sz="0" w:space="0" w:color="auto"/>
        <w:left w:val="none" w:sz="0" w:space="0" w:color="auto"/>
        <w:bottom w:val="none" w:sz="0" w:space="0" w:color="auto"/>
        <w:right w:val="none" w:sz="0" w:space="0" w:color="auto"/>
      </w:divBdr>
    </w:div>
    <w:div w:id="647783130">
      <w:bodyDiv w:val="1"/>
      <w:marLeft w:val="0"/>
      <w:marRight w:val="0"/>
      <w:marTop w:val="0"/>
      <w:marBottom w:val="0"/>
      <w:divBdr>
        <w:top w:val="none" w:sz="0" w:space="0" w:color="auto"/>
        <w:left w:val="none" w:sz="0" w:space="0" w:color="auto"/>
        <w:bottom w:val="none" w:sz="0" w:space="0" w:color="auto"/>
        <w:right w:val="none" w:sz="0" w:space="0" w:color="auto"/>
      </w:divBdr>
    </w:div>
    <w:div w:id="647898387">
      <w:bodyDiv w:val="1"/>
      <w:marLeft w:val="0"/>
      <w:marRight w:val="0"/>
      <w:marTop w:val="0"/>
      <w:marBottom w:val="0"/>
      <w:divBdr>
        <w:top w:val="none" w:sz="0" w:space="0" w:color="auto"/>
        <w:left w:val="none" w:sz="0" w:space="0" w:color="auto"/>
        <w:bottom w:val="none" w:sz="0" w:space="0" w:color="auto"/>
        <w:right w:val="none" w:sz="0" w:space="0" w:color="auto"/>
      </w:divBdr>
    </w:div>
    <w:div w:id="649290210">
      <w:bodyDiv w:val="1"/>
      <w:marLeft w:val="0"/>
      <w:marRight w:val="0"/>
      <w:marTop w:val="0"/>
      <w:marBottom w:val="0"/>
      <w:divBdr>
        <w:top w:val="none" w:sz="0" w:space="0" w:color="auto"/>
        <w:left w:val="none" w:sz="0" w:space="0" w:color="auto"/>
        <w:bottom w:val="none" w:sz="0" w:space="0" w:color="auto"/>
        <w:right w:val="none" w:sz="0" w:space="0" w:color="auto"/>
      </w:divBdr>
    </w:div>
    <w:div w:id="651254735">
      <w:bodyDiv w:val="1"/>
      <w:marLeft w:val="0"/>
      <w:marRight w:val="0"/>
      <w:marTop w:val="0"/>
      <w:marBottom w:val="0"/>
      <w:divBdr>
        <w:top w:val="none" w:sz="0" w:space="0" w:color="auto"/>
        <w:left w:val="none" w:sz="0" w:space="0" w:color="auto"/>
        <w:bottom w:val="none" w:sz="0" w:space="0" w:color="auto"/>
        <w:right w:val="none" w:sz="0" w:space="0" w:color="auto"/>
      </w:divBdr>
    </w:div>
    <w:div w:id="655845382">
      <w:bodyDiv w:val="1"/>
      <w:marLeft w:val="0"/>
      <w:marRight w:val="0"/>
      <w:marTop w:val="0"/>
      <w:marBottom w:val="0"/>
      <w:divBdr>
        <w:top w:val="none" w:sz="0" w:space="0" w:color="auto"/>
        <w:left w:val="none" w:sz="0" w:space="0" w:color="auto"/>
        <w:bottom w:val="none" w:sz="0" w:space="0" w:color="auto"/>
        <w:right w:val="none" w:sz="0" w:space="0" w:color="auto"/>
      </w:divBdr>
    </w:div>
    <w:div w:id="657264752">
      <w:bodyDiv w:val="1"/>
      <w:marLeft w:val="0"/>
      <w:marRight w:val="0"/>
      <w:marTop w:val="0"/>
      <w:marBottom w:val="0"/>
      <w:divBdr>
        <w:top w:val="none" w:sz="0" w:space="0" w:color="auto"/>
        <w:left w:val="none" w:sz="0" w:space="0" w:color="auto"/>
        <w:bottom w:val="none" w:sz="0" w:space="0" w:color="auto"/>
        <w:right w:val="none" w:sz="0" w:space="0" w:color="auto"/>
      </w:divBdr>
    </w:div>
    <w:div w:id="658121247">
      <w:bodyDiv w:val="1"/>
      <w:marLeft w:val="0"/>
      <w:marRight w:val="0"/>
      <w:marTop w:val="0"/>
      <w:marBottom w:val="0"/>
      <w:divBdr>
        <w:top w:val="none" w:sz="0" w:space="0" w:color="auto"/>
        <w:left w:val="none" w:sz="0" w:space="0" w:color="auto"/>
        <w:bottom w:val="none" w:sz="0" w:space="0" w:color="auto"/>
        <w:right w:val="none" w:sz="0" w:space="0" w:color="auto"/>
      </w:divBdr>
    </w:div>
    <w:div w:id="658269610">
      <w:bodyDiv w:val="1"/>
      <w:marLeft w:val="0"/>
      <w:marRight w:val="0"/>
      <w:marTop w:val="0"/>
      <w:marBottom w:val="0"/>
      <w:divBdr>
        <w:top w:val="none" w:sz="0" w:space="0" w:color="auto"/>
        <w:left w:val="none" w:sz="0" w:space="0" w:color="auto"/>
        <w:bottom w:val="none" w:sz="0" w:space="0" w:color="auto"/>
        <w:right w:val="none" w:sz="0" w:space="0" w:color="auto"/>
      </w:divBdr>
    </w:div>
    <w:div w:id="658272946">
      <w:bodyDiv w:val="1"/>
      <w:marLeft w:val="0"/>
      <w:marRight w:val="0"/>
      <w:marTop w:val="0"/>
      <w:marBottom w:val="0"/>
      <w:divBdr>
        <w:top w:val="none" w:sz="0" w:space="0" w:color="auto"/>
        <w:left w:val="none" w:sz="0" w:space="0" w:color="auto"/>
        <w:bottom w:val="none" w:sz="0" w:space="0" w:color="auto"/>
        <w:right w:val="none" w:sz="0" w:space="0" w:color="auto"/>
      </w:divBdr>
    </w:div>
    <w:div w:id="659117185">
      <w:bodyDiv w:val="1"/>
      <w:marLeft w:val="0"/>
      <w:marRight w:val="0"/>
      <w:marTop w:val="0"/>
      <w:marBottom w:val="0"/>
      <w:divBdr>
        <w:top w:val="none" w:sz="0" w:space="0" w:color="auto"/>
        <w:left w:val="none" w:sz="0" w:space="0" w:color="auto"/>
        <w:bottom w:val="none" w:sz="0" w:space="0" w:color="auto"/>
        <w:right w:val="none" w:sz="0" w:space="0" w:color="auto"/>
      </w:divBdr>
    </w:div>
    <w:div w:id="659886789">
      <w:bodyDiv w:val="1"/>
      <w:marLeft w:val="0"/>
      <w:marRight w:val="0"/>
      <w:marTop w:val="0"/>
      <w:marBottom w:val="0"/>
      <w:divBdr>
        <w:top w:val="none" w:sz="0" w:space="0" w:color="auto"/>
        <w:left w:val="none" w:sz="0" w:space="0" w:color="auto"/>
        <w:bottom w:val="none" w:sz="0" w:space="0" w:color="auto"/>
        <w:right w:val="none" w:sz="0" w:space="0" w:color="auto"/>
      </w:divBdr>
    </w:div>
    <w:div w:id="660158458">
      <w:bodyDiv w:val="1"/>
      <w:marLeft w:val="0"/>
      <w:marRight w:val="0"/>
      <w:marTop w:val="0"/>
      <w:marBottom w:val="0"/>
      <w:divBdr>
        <w:top w:val="none" w:sz="0" w:space="0" w:color="auto"/>
        <w:left w:val="none" w:sz="0" w:space="0" w:color="auto"/>
        <w:bottom w:val="none" w:sz="0" w:space="0" w:color="auto"/>
        <w:right w:val="none" w:sz="0" w:space="0" w:color="auto"/>
      </w:divBdr>
    </w:div>
    <w:div w:id="660235393">
      <w:bodyDiv w:val="1"/>
      <w:marLeft w:val="0"/>
      <w:marRight w:val="0"/>
      <w:marTop w:val="0"/>
      <w:marBottom w:val="0"/>
      <w:divBdr>
        <w:top w:val="none" w:sz="0" w:space="0" w:color="auto"/>
        <w:left w:val="none" w:sz="0" w:space="0" w:color="auto"/>
        <w:bottom w:val="none" w:sz="0" w:space="0" w:color="auto"/>
        <w:right w:val="none" w:sz="0" w:space="0" w:color="auto"/>
      </w:divBdr>
    </w:div>
    <w:div w:id="661660438">
      <w:bodyDiv w:val="1"/>
      <w:marLeft w:val="0"/>
      <w:marRight w:val="0"/>
      <w:marTop w:val="0"/>
      <w:marBottom w:val="0"/>
      <w:divBdr>
        <w:top w:val="none" w:sz="0" w:space="0" w:color="auto"/>
        <w:left w:val="none" w:sz="0" w:space="0" w:color="auto"/>
        <w:bottom w:val="none" w:sz="0" w:space="0" w:color="auto"/>
        <w:right w:val="none" w:sz="0" w:space="0" w:color="auto"/>
      </w:divBdr>
    </w:div>
    <w:div w:id="661859247">
      <w:bodyDiv w:val="1"/>
      <w:marLeft w:val="0"/>
      <w:marRight w:val="0"/>
      <w:marTop w:val="0"/>
      <w:marBottom w:val="0"/>
      <w:divBdr>
        <w:top w:val="none" w:sz="0" w:space="0" w:color="auto"/>
        <w:left w:val="none" w:sz="0" w:space="0" w:color="auto"/>
        <w:bottom w:val="none" w:sz="0" w:space="0" w:color="auto"/>
        <w:right w:val="none" w:sz="0" w:space="0" w:color="auto"/>
      </w:divBdr>
    </w:div>
    <w:div w:id="662195807">
      <w:bodyDiv w:val="1"/>
      <w:marLeft w:val="0"/>
      <w:marRight w:val="0"/>
      <w:marTop w:val="0"/>
      <w:marBottom w:val="0"/>
      <w:divBdr>
        <w:top w:val="none" w:sz="0" w:space="0" w:color="auto"/>
        <w:left w:val="none" w:sz="0" w:space="0" w:color="auto"/>
        <w:bottom w:val="none" w:sz="0" w:space="0" w:color="auto"/>
        <w:right w:val="none" w:sz="0" w:space="0" w:color="auto"/>
      </w:divBdr>
    </w:div>
    <w:div w:id="663435486">
      <w:bodyDiv w:val="1"/>
      <w:marLeft w:val="0"/>
      <w:marRight w:val="0"/>
      <w:marTop w:val="0"/>
      <w:marBottom w:val="0"/>
      <w:divBdr>
        <w:top w:val="none" w:sz="0" w:space="0" w:color="auto"/>
        <w:left w:val="none" w:sz="0" w:space="0" w:color="auto"/>
        <w:bottom w:val="none" w:sz="0" w:space="0" w:color="auto"/>
        <w:right w:val="none" w:sz="0" w:space="0" w:color="auto"/>
      </w:divBdr>
    </w:div>
    <w:div w:id="664016650">
      <w:bodyDiv w:val="1"/>
      <w:marLeft w:val="0"/>
      <w:marRight w:val="0"/>
      <w:marTop w:val="0"/>
      <w:marBottom w:val="0"/>
      <w:divBdr>
        <w:top w:val="none" w:sz="0" w:space="0" w:color="auto"/>
        <w:left w:val="none" w:sz="0" w:space="0" w:color="auto"/>
        <w:bottom w:val="none" w:sz="0" w:space="0" w:color="auto"/>
        <w:right w:val="none" w:sz="0" w:space="0" w:color="auto"/>
      </w:divBdr>
    </w:div>
    <w:div w:id="664356171">
      <w:bodyDiv w:val="1"/>
      <w:marLeft w:val="0"/>
      <w:marRight w:val="0"/>
      <w:marTop w:val="0"/>
      <w:marBottom w:val="0"/>
      <w:divBdr>
        <w:top w:val="none" w:sz="0" w:space="0" w:color="auto"/>
        <w:left w:val="none" w:sz="0" w:space="0" w:color="auto"/>
        <w:bottom w:val="none" w:sz="0" w:space="0" w:color="auto"/>
        <w:right w:val="none" w:sz="0" w:space="0" w:color="auto"/>
      </w:divBdr>
    </w:div>
    <w:div w:id="664474978">
      <w:bodyDiv w:val="1"/>
      <w:marLeft w:val="0"/>
      <w:marRight w:val="0"/>
      <w:marTop w:val="0"/>
      <w:marBottom w:val="0"/>
      <w:divBdr>
        <w:top w:val="none" w:sz="0" w:space="0" w:color="auto"/>
        <w:left w:val="none" w:sz="0" w:space="0" w:color="auto"/>
        <w:bottom w:val="none" w:sz="0" w:space="0" w:color="auto"/>
        <w:right w:val="none" w:sz="0" w:space="0" w:color="auto"/>
      </w:divBdr>
    </w:div>
    <w:div w:id="667056865">
      <w:bodyDiv w:val="1"/>
      <w:marLeft w:val="0"/>
      <w:marRight w:val="0"/>
      <w:marTop w:val="0"/>
      <w:marBottom w:val="0"/>
      <w:divBdr>
        <w:top w:val="none" w:sz="0" w:space="0" w:color="auto"/>
        <w:left w:val="none" w:sz="0" w:space="0" w:color="auto"/>
        <w:bottom w:val="none" w:sz="0" w:space="0" w:color="auto"/>
        <w:right w:val="none" w:sz="0" w:space="0" w:color="auto"/>
      </w:divBdr>
    </w:div>
    <w:div w:id="667289569">
      <w:bodyDiv w:val="1"/>
      <w:marLeft w:val="0"/>
      <w:marRight w:val="0"/>
      <w:marTop w:val="0"/>
      <w:marBottom w:val="0"/>
      <w:divBdr>
        <w:top w:val="none" w:sz="0" w:space="0" w:color="auto"/>
        <w:left w:val="none" w:sz="0" w:space="0" w:color="auto"/>
        <w:bottom w:val="none" w:sz="0" w:space="0" w:color="auto"/>
        <w:right w:val="none" w:sz="0" w:space="0" w:color="auto"/>
      </w:divBdr>
    </w:div>
    <w:div w:id="667293745">
      <w:bodyDiv w:val="1"/>
      <w:marLeft w:val="0"/>
      <w:marRight w:val="0"/>
      <w:marTop w:val="0"/>
      <w:marBottom w:val="0"/>
      <w:divBdr>
        <w:top w:val="none" w:sz="0" w:space="0" w:color="auto"/>
        <w:left w:val="none" w:sz="0" w:space="0" w:color="auto"/>
        <w:bottom w:val="none" w:sz="0" w:space="0" w:color="auto"/>
        <w:right w:val="none" w:sz="0" w:space="0" w:color="auto"/>
      </w:divBdr>
    </w:div>
    <w:div w:id="668992028">
      <w:bodyDiv w:val="1"/>
      <w:marLeft w:val="0"/>
      <w:marRight w:val="0"/>
      <w:marTop w:val="0"/>
      <w:marBottom w:val="0"/>
      <w:divBdr>
        <w:top w:val="none" w:sz="0" w:space="0" w:color="auto"/>
        <w:left w:val="none" w:sz="0" w:space="0" w:color="auto"/>
        <w:bottom w:val="none" w:sz="0" w:space="0" w:color="auto"/>
        <w:right w:val="none" w:sz="0" w:space="0" w:color="auto"/>
      </w:divBdr>
    </w:div>
    <w:div w:id="669673026">
      <w:bodyDiv w:val="1"/>
      <w:marLeft w:val="0"/>
      <w:marRight w:val="0"/>
      <w:marTop w:val="0"/>
      <w:marBottom w:val="0"/>
      <w:divBdr>
        <w:top w:val="none" w:sz="0" w:space="0" w:color="auto"/>
        <w:left w:val="none" w:sz="0" w:space="0" w:color="auto"/>
        <w:bottom w:val="none" w:sz="0" w:space="0" w:color="auto"/>
        <w:right w:val="none" w:sz="0" w:space="0" w:color="auto"/>
      </w:divBdr>
    </w:div>
    <w:div w:id="669677432">
      <w:bodyDiv w:val="1"/>
      <w:marLeft w:val="0"/>
      <w:marRight w:val="0"/>
      <w:marTop w:val="0"/>
      <w:marBottom w:val="0"/>
      <w:divBdr>
        <w:top w:val="none" w:sz="0" w:space="0" w:color="auto"/>
        <w:left w:val="none" w:sz="0" w:space="0" w:color="auto"/>
        <w:bottom w:val="none" w:sz="0" w:space="0" w:color="auto"/>
        <w:right w:val="none" w:sz="0" w:space="0" w:color="auto"/>
      </w:divBdr>
    </w:div>
    <w:div w:id="669984653">
      <w:bodyDiv w:val="1"/>
      <w:marLeft w:val="0"/>
      <w:marRight w:val="0"/>
      <w:marTop w:val="0"/>
      <w:marBottom w:val="0"/>
      <w:divBdr>
        <w:top w:val="none" w:sz="0" w:space="0" w:color="auto"/>
        <w:left w:val="none" w:sz="0" w:space="0" w:color="auto"/>
        <w:bottom w:val="none" w:sz="0" w:space="0" w:color="auto"/>
        <w:right w:val="none" w:sz="0" w:space="0" w:color="auto"/>
      </w:divBdr>
    </w:div>
    <w:div w:id="670792997">
      <w:bodyDiv w:val="1"/>
      <w:marLeft w:val="0"/>
      <w:marRight w:val="0"/>
      <w:marTop w:val="0"/>
      <w:marBottom w:val="0"/>
      <w:divBdr>
        <w:top w:val="none" w:sz="0" w:space="0" w:color="auto"/>
        <w:left w:val="none" w:sz="0" w:space="0" w:color="auto"/>
        <w:bottom w:val="none" w:sz="0" w:space="0" w:color="auto"/>
        <w:right w:val="none" w:sz="0" w:space="0" w:color="auto"/>
      </w:divBdr>
    </w:div>
    <w:div w:id="671027911">
      <w:bodyDiv w:val="1"/>
      <w:marLeft w:val="0"/>
      <w:marRight w:val="0"/>
      <w:marTop w:val="0"/>
      <w:marBottom w:val="0"/>
      <w:divBdr>
        <w:top w:val="none" w:sz="0" w:space="0" w:color="auto"/>
        <w:left w:val="none" w:sz="0" w:space="0" w:color="auto"/>
        <w:bottom w:val="none" w:sz="0" w:space="0" w:color="auto"/>
        <w:right w:val="none" w:sz="0" w:space="0" w:color="auto"/>
      </w:divBdr>
    </w:div>
    <w:div w:id="671028624">
      <w:bodyDiv w:val="1"/>
      <w:marLeft w:val="0"/>
      <w:marRight w:val="0"/>
      <w:marTop w:val="0"/>
      <w:marBottom w:val="0"/>
      <w:divBdr>
        <w:top w:val="none" w:sz="0" w:space="0" w:color="auto"/>
        <w:left w:val="none" w:sz="0" w:space="0" w:color="auto"/>
        <w:bottom w:val="none" w:sz="0" w:space="0" w:color="auto"/>
        <w:right w:val="none" w:sz="0" w:space="0" w:color="auto"/>
      </w:divBdr>
    </w:div>
    <w:div w:id="672145233">
      <w:bodyDiv w:val="1"/>
      <w:marLeft w:val="0"/>
      <w:marRight w:val="0"/>
      <w:marTop w:val="0"/>
      <w:marBottom w:val="0"/>
      <w:divBdr>
        <w:top w:val="none" w:sz="0" w:space="0" w:color="auto"/>
        <w:left w:val="none" w:sz="0" w:space="0" w:color="auto"/>
        <w:bottom w:val="none" w:sz="0" w:space="0" w:color="auto"/>
        <w:right w:val="none" w:sz="0" w:space="0" w:color="auto"/>
      </w:divBdr>
    </w:div>
    <w:div w:id="673217279">
      <w:bodyDiv w:val="1"/>
      <w:marLeft w:val="0"/>
      <w:marRight w:val="0"/>
      <w:marTop w:val="0"/>
      <w:marBottom w:val="0"/>
      <w:divBdr>
        <w:top w:val="none" w:sz="0" w:space="0" w:color="auto"/>
        <w:left w:val="none" w:sz="0" w:space="0" w:color="auto"/>
        <w:bottom w:val="none" w:sz="0" w:space="0" w:color="auto"/>
        <w:right w:val="none" w:sz="0" w:space="0" w:color="auto"/>
      </w:divBdr>
    </w:div>
    <w:div w:id="673921613">
      <w:bodyDiv w:val="1"/>
      <w:marLeft w:val="0"/>
      <w:marRight w:val="0"/>
      <w:marTop w:val="0"/>
      <w:marBottom w:val="0"/>
      <w:divBdr>
        <w:top w:val="none" w:sz="0" w:space="0" w:color="auto"/>
        <w:left w:val="none" w:sz="0" w:space="0" w:color="auto"/>
        <w:bottom w:val="none" w:sz="0" w:space="0" w:color="auto"/>
        <w:right w:val="none" w:sz="0" w:space="0" w:color="auto"/>
      </w:divBdr>
    </w:div>
    <w:div w:id="674502735">
      <w:bodyDiv w:val="1"/>
      <w:marLeft w:val="0"/>
      <w:marRight w:val="0"/>
      <w:marTop w:val="0"/>
      <w:marBottom w:val="0"/>
      <w:divBdr>
        <w:top w:val="none" w:sz="0" w:space="0" w:color="auto"/>
        <w:left w:val="none" w:sz="0" w:space="0" w:color="auto"/>
        <w:bottom w:val="none" w:sz="0" w:space="0" w:color="auto"/>
        <w:right w:val="none" w:sz="0" w:space="0" w:color="auto"/>
      </w:divBdr>
    </w:div>
    <w:div w:id="674652627">
      <w:bodyDiv w:val="1"/>
      <w:marLeft w:val="0"/>
      <w:marRight w:val="0"/>
      <w:marTop w:val="0"/>
      <w:marBottom w:val="0"/>
      <w:divBdr>
        <w:top w:val="none" w:sz="0" w:space="0" w:color="auto"/>
        <w:left w:val="none" w:sz="0" w:space="0" w:color="auto"/>
        <w:bottom w:val="none" w:sz="0" w:space="0" w:color="auto"/>
        <w:right w:val="none" w:sz="0" w:space="0" w:color="auto"/>
      </w:divBdr>
    </w:div>
    <w:div w:id="674767839">
      <w:bodyDiv w:val="1"/>
      <w:marLeft w:val="0"/>
      <w:marRight w:val="0"/>
      <w:marTop w:val="0"/>
      <w:marBottom w:val="0"/>
      <w:divBdr>
        <w:top w:val="none" w:sz="0" w:space="0" w:color="auto"/>
        <w:left w:val="none" w:sz="0" w:space="0" w:color="auto"/>
        <w:bottom w:val="none" w:sz="0" w:space="0" w:color="auto"/>
        <w:right w:val="none" w:sz="0" w:space="0" w:color="auto"/>
      </w:divBdr>
    </w:div>
    <w:div w:id="674963288">
      <w:bodyDiv w:val="1"/>
      <w:marLeft w:val="0"/>
      <w:marRight w:val="0"/>
      <w:marTop w:val="0"/>
      <w:marBottom w:val="0"/>
      <w:divBdr>
        <w:top w:val="none" w:sz="0" w:space="0" w:color="auto"/>
        <w:left w:val="none" w:sz="0" w:space="0" w:color="auto"/>
        <w:bottom w:val="none" w:sz="0" w:space="0" w:color="auto"/>
        <w:right w:val="none" w:sz="0" w:space="0" w:color="auto"/>
      </w:divBdr>
    </w:div>
    <w:div w:id="675425049">
      <w:bodyDiv w:val="1"/>
      <w:marLeft w:val="0"/>
      <w:marRight w:val="0"/>
      <w:marTop w:val="0"/>
      <w:marBottom w:val="0"/>
      <w:divBdr>
        <w:top w:val="none" w:sz="0" w:space="0" w:color="auto"/>
        <w:left w:val="none" w:sz="0" w:space="0" w:color="auto"/>
        <w:bottom w:val="none" w:sz="0" w:space="0" w:color="auto"/>
        <w:right w:val="none" w:sz="0" w:space="0" w:color="auto"/>
      </w:divBdr>
    </w:div>
    <w:div w:id="675888634">
      <w:bodyDiv w:val="1"/>
      <w:marLeft w:val="0"/>
      <w:marRight w:val="0"/>
      <w:marTop w:val="0"/>
      <w:marBottom w:val="0"/>
      <w:divBdr>
        <w:top w:val="none" w:sz="0" w:space="0" w:color="auto"/>
        <w:left w:val="none" w:sz="0" w:space="0" w:color="auto"/>
        <w:bottom w:val="none" w:sz="0" w:space="0" w:color="auto"/>
        <w:right w:val="none" w:sz="0" w:space="0" w:color="auto"/>
      </w:divBdr>
    </w:div>
    <w:div w:id="676737306">
      <w:bodyDiv w:val="1"/>
      <w:marLeft w:val="0"/>
      <w:marRight w:val="0"/>
      <w:marTop w:val="0"/>
      <w:marBottom w:val="0"/>
      <w:divBdr>
        <w:top w:val="none" w:sz="0" w:space="0" w:color="auto"/>
        <w:left w:val="none" w:sz="0" w:space="0" w:color="auto"/>
        <w:bottom w:val="none" w:sz="0" w:space="0" w:color="auto"/>
        <w:right w:val="none" w:sz="0" w:space="0" w:color="auto"/>
      </w:divBdr>
    </w:div>
    <w:div w:id="676805162">
      <w:bodyDiv w:val="1"/>
      <w:marLeft w:val="0"/>
      <w:marRight w:val="0"/>
      <w:marTop w:val="0"/>
      <w:marBottom w:val="0"/>
      <w:divBdr>
        <w:top w:val="none" w:sz="0" w:space="0" w:color="auto"/>
        <w:left w:val="none" w:sz="0" w:space="0" w:color="auto"/>
        <w:bottom w:val="none" w:sz="0" w:space="0" w:color="auto"/>
        <w:right w:val="none" w:sz="0" w:space="0" w:color="auto"/>
      </w:divBdr>
    </w:div>
    <w:div w:id="677002667">
      <w:bodyDiv w:val="1"/>
      <w:marLeft w:val="0"/>
      <w:marRight w:val="0"/>
      <w:marTop w:val="0"/>
      <w:marBottom w:val="0"/>
      <w:divBdr>
        <w:top w:val="none" w:sz="0" w:space="0" w:color="auto"/>
        <w:left w:val="none" w:sz="0" w:space="0" w:color="auto"/>
        <w:bottom w:val="none" w:sz="0" w:space="0" w:color="auto"/>
        <w:right w:val="none" w:sz="0" w:space="0" w:color="auto"/>
      </w:divBdr>
    </w:div>
    <w:div w:id="678656810">
      <w:bodyDiv w:val="1"/>
      <w:marLeft w:val="0"/>
      <w:marRight w:val="0"/>
      <w:marTop w:val="0"/>
      <w:marBottom w:val="0"/>
      <w:divBdr>
        <w:top w:val="none" w:sz="0" w:space="0" w:color="auto"/>
        <w:left w:val="none" w:sz="0" w:space="0" w:color="auto"/>
        <w:bottom w:val="none" w:sz="0" w:space="0" w:color="auto"/>
        <w:right w:val="none" w:sz="0" w:space="0" w:color="auto"/>
      </w:divBdr>
    </w:div>
    <w:div w:id="678854441">
      <w:bodyDiv w:val="1"/>
      <w:marLeft w:val="0"/>
      <w:marRight w:val="0"/>
      <w:marTop w:val="0"/>
      <w:marBottom w:val="0"/>
      <w:divBdr>
        <w:top w:val="none" w:sz="0" w:space="0" w:color="auto"/>
        <w:left w:val="none" w:sz="0" w:space="0" w:color="auto"/>
        <w:bottom w:val="none" w:sz="0" w:space="0" w:color="auto"/>
        <w:right w:val="none" w:sz="0" w:space="0" w:color="auto"/>
      </w:divBdr>
    </w:div>
    <w:div w:id="679551950">
      <w:bodyDiv w:val="1"/>
      <w:marLeft w:val="0"/>
      <w:marRight w:val="0"/>
      <w:marTop w:val="0"/>
      <w:marBottom w:val="0"/>
      <w:divBdr>
        <w:top w:val="none" w:sz="0" w:space="0" w:color="auto"/>
        <w:left w:val="none" w:sz="0" w:space="0" w:color="auto"/>
        <w:bottom w:val="none" w:sz="0" w:space="0" w:color="auto"/>
        <w:right w:val="none" w:sz="0" w:space="0" w:color="auto"/>
      </w:divBdr>
    </w:div>
    <w:div w:id="680857525">
      <w:bodyDiv w:val="1"/>
      <w:marLeft w:val="0"/>
      <w:marRight w:val="0"/>
      <w:marTop w:val="0"/>
      <w:marBottom w:val="0"/>
      <w:divBdr>
        <w:top w:val="none" w:sz="0" w:space="0" w:color="auto"/>
        <w:left w:val="none" w:sz="0" w:space="0" w:color="auto"/>
        <w:bottom w:val="none" w:sz="0" w:space="0" w:color="auto"/>
        <w:right w:val="none" w:sz="0" w:space="0" w:color="auto"/>
      </w:divBdr>
    </w:div>
    <w:div w:id="681980005">
      <w:bodyDiv w:val="1"/>
      <w:marLeft w:val="0"/>
      <w:marRight w:val="0"/>
      <w:marTop w:val="0"/>
      <w:marBottom w:val="0"/>
      <w:divBdr>
        <w:top w:val="none" w:sz="0" w:space="0" w:color="auto"/>
        <w:left w:val="none" w:sz="0" w:space="0" w:color="auto"/>
        <w:bottom w:val="none" w:sz="0" w:space="0" w:color="auto"/>
        <w:right w:val="none" w:sz="0" w:space="0" w:color="auto"/>
      </w:divBdr>
    </w:div>
    <w:div w:id="683095244">
      <w:bodyDiv w:val="1"/>
      <w:marLeft w:val="0"/>
      <w:marRight w:val="0"/>
      <w:marTop w:val="0"/>
      <w:marBottom w:val="0"/>
      <w:divBdr>
        <w:top w:val="none" w:sz="0" w:space="0" w:color="auto"/>
        <w:left w:val="none" w:sz="0" w:space="0" w:color="auto"/>
        <w:bottom w:val="none" w:sz="0" w:space="0" w:color="auto"/>
        <w:right w:val="none" w:sz="0" w:space="0" w:color="auto"/>
      </w:divBdr>
    </w:div>
    <w:div w:id="683216561">
      <w:bodyDiv w:val="1"/>
      <w:marLeft w:val="0"/>
      <w:marRight w:val="0"/>
      <w:marTop w:val="0"/>
      <w:marBottom w:val="0"/>
      <w:divBdr>
        <w:top w:val="none" w:sz="0" w:space="0" w:color="auto"/>
        <w:left w:val="none" w:sz="0" w:space="0" w:color="auto"/>
        <w:bottom w:val="none" w:sz="0" w:space="0" w:color="auto"/>
        <w:right w:val="none" w:sz="0" w:space="0" w:color="auto"/>
      </w:divBdr>
    </w:div>
    <w:div w:id="683241743">
      <w:bodyDiv w:val="1"/>
      <w:marLeft w:val="0"/>
      <w:marRight w:val="0"/>
      <w:marTop w:val="0"/>
      <w:marBottom w:val="0"/>
      <w:divBdr>
        <w:top w:val="none" w:sz="0" w:space="0" w:color="auto"/>
        <w:left w:val="none" w:sz="0" w:space="0" w:color="auto"/>
        <w:bottom w:val="none" w:sz="0" w:space="0" w:color="auto"/>
        <w:right w:val="none" w:sz="0" w:space="0" w:color="auto"/>
      </w:divBdr>
    </w:div>
    <w:div w:id="683747632">
      <w:bodyDiv w:val="1"/>
      <w:marLeft w:val="0"/>
      <w:marRight w:val="0"/>
      <w:marTop w:val="0"/>
      <w:marBottom w:val="0"/>
      <w:divBdr>
        <w:top w:val="none" w:sz="0" w:space="0" w:color="auto"/>
        <w:left w:val="none" w:sz="0" w:space="0" w:color="auto"/>
        <w:bottom w:val="none" w:sz="0" w:space="0" w:color="auto"/>
        <w:right w:val="none" w:sz="0" w:space="0" w:color="auto"/>
      </w:divBdr>
    </w:div>
    <w:div w:id="683819995">
      <w:bodyDiv w:val="1"/>
      <w:marLeft w:val="0"/>
      <w:marRight w:val="0"/>
      <w:marTop w:val="0"/>
      <w:marBottom w:val="0"/>
      <w:divBdr>
        <w:top w:val="none" w:sz="0" w:space="0" w:color="auto"/>
        <w:left w:val="none" w:sz="0" w:space="0" w:color="auto"/>
        <w:bottom w:val="none" w:sz="0" w:space="0" w:color="auto"/>
        <w:right w:val="none" w:sz="0" w:space="0" w:color="auto"/>
      </w:divBdr>
    </w:div>
    <w:div w:id="684088963">
      <w:bodyDiv w:val="1"/>
      <w:marLeft w:val="0"/>
      <w:marRight w:val="0"/>
      <w:marTop w:val="0"/>
      <w:marBottom w:val="0"/>
      <w:divBdr>
        <w:top w:val="none" w:sz="0" w:space="0" w:color="auto"/>
        <w:left w:val="none" w:sz="0" w:space="0" w:color="auto"/>
        <w:bottom w:val="none" w:sz="0" w:space="0" w:color="auto"/>
        <w:right w:val="none" w:sz="0" w:space="0" w:color="auto"/>
      </w:divBdr>
    </w:div>
    <w:div w:id="684476618">
      <w:bodyDiv w:val="1"/>
      <w:marLeft w:val="0"/>
      <w:marRight w:val="0"/>
      <w:marTop w:val="0"/>
      <w:marBottom w:val="0"/>
      <w:divBdr>
        <w:top w:val="none" w:sz="0" w:space="0" w:color="auto"/>
        <w:left w:val="none" w:sz="0" w:space="0" w:color="auto"/>
        <w:bottom w:val="none" w:sz="0" w:space="0" w:color="auto"/>
        <w:right w:val="none" w:sz="0" w:space="0" w:color="auto"/>
      </w:divBdr>
    </w:div>
    <w:div w:id="684554164">
      <w:bodyDiv w:val="1"/>
      <w:marLeft w:val="0"/>
      <w:marRight w:val="0"/>
      <w:marTop w:val="0"/>
      <w:marBottom w:val="0"/>
      <w:divBdr>
        <w:top w:val="none" w:sz="0" w:space="0" w:color="auto"/>
        <w:left w:val="none" w:sz="0" w:space="0" w:color="auto"/>
        <w:bottom w:val="none" w:sz="0" w:space="0" w:color="auto"/>
        <w:right w:val="none" w:sz="0" w:space="0" w:color="auto"/>
      </w:divBdr>
    </w:div>
    <w:div w:id="685210920">
      <w:bodyDiv w:val="1"/>
      <w:marLeft w:val="0"/>
      <w:marRight w:val="0"/>
      <w:marTop w:val="0"/>
      <w:marBottom w:val="0"/>
      <w:divBdr>
        <w:top w:val="none" w:sz="0" w:space="0" w:color="auto"/>
        <w:left w:val="none" w:sz="0" w:space="0" w:color="auto"/>
        <w:bottom w:val="none" w:sz="0" w:space="0" w:color="auto"/>
        <w:right w:val="none" w:sz="0" w:space="0" w:color="auto"/>
      </w:divBdr>
    </w:div>
    <w:div w:id="686099614">
      <w:bodyDiv w:val="1"/>
      <w:marLeft w:val="0"/>
      <w:marRight w:val="0"/>
      <w:marTop w:val="0"/>
      <w:marBottom w:val="0"/>
      <w:divBdr>
        <w:top w:val="none" w:sz="0" w:space="0" w:color="auto"/>
        <w:left w:val="none" w:sz="0" w:space="0" w:color="auto"/>
        <w:bottom w:val="none" w:sz="0" w:space="0" w:color="auto"/>
        <w:right w:val="none" w:sz="0" w:space="0" w:color="auto"/>
      </w:divBdr>
    </w:div>
    <w:div w:id="686441708">
      <w:bodyDiv w:val="1"/>
      <w:marLeft w:val="0"/>
      <w:marRight w:val="0"/>
      <w:marTop w:val="0"/>
      <w:marBottom w:val="0"/>
      <w:divBdr>
        <w:top w:val="none" w:sz="0" w:space="0" w:color="auto"/>
        <w:left w:val="none" w:sz="0" w:space="0" w:color="auto"/>
        <w:bottom w:val="none" w:sz="0" w:space="0" w:color="auto"/>
        <w:right w:val="none" w:sz="0" w:space="0" w:color="auto"/>
      </w:divBdr>
    </w:div>
    <w:div w:id="686710041">
      <w:bodyDiv w:val="1"/>
      <w:marLeft w:val="0"/>
      <w:marRight w:val="0"/>
      <w:marTop w:val="0"/>
      <w:marBottom w:val="0"/>
      <w:divBdr>
        <w:top w:val="none" w:sz="0" w:space="0" w:color="auto"/>
        <w:left w:val="none" w:sz="0" w:space="0" w:color="auto"/>
        <w:bottom w:val="none" w:sz="0" w:space="0" w:color="auto"/>
        <w:right w:val="none" w:sz="0" w:space="0" w:color="auto"/>
      </w:divBdr>
    </w:div>
    <w:div w:id="687369003">
      <w:bodyDiv w:val="1"/>
      <w:marLeft w:val="0"/>
      <w:marRight w:val="0"/>
      <w:marTop w:val="0"/>
      <w:marBottom w:val="0"/>
      <w:divBdr>
        <w:top w:val="none" w:sz="0" w:space="0" w:color="auto"/>
        <w:left w:val="none" w:sz="0" w:space="0" w:color="auto"/>
        <w:bottom w:val="none" w:sz="0" w:space="0" w:color="auto"/>
        <w:right w:val="none" w:sz="0" w:space="0" w:color="auto"/>
      </w:divBdr>
    </w:div>
    <w:div w:id="690375402">
      <w:bodyDiv w:val="1"/>
      <w:marLeft w:val="0"/>
      <w:marRight w:val="0"/>
      <w:marTop w:val="0"/>
      <w:marBottom w:val="0"/>
      <w:divBdr>
        <w:top w:val="none" w:sz="0" w:space="0" w:color="auto"/>
        <w:left w:val="none" w:sz="0" w:space="0" w:color="auto"/>
        <w:bottom w:val="none" w:sz="0" w:space="0" w:color="auto"/>
        <w:right w:val="none" w:sz="0" w:space="0" w:color="auto"/>
      </w:divBdr>
    </w:div>
    <w:div w:id="691801648">
      <w:bodyDiv w:val="1"/>
      <w:marLeft w:val="0"/>
      <w:marRight w:val="0"/>
      <w:marTop w:val="0"/>
      <w:marBottom w:val="0"/>
      <w:divBdr>
        <w:top w:val="none" w:sz="0" w:space="0" w:color="auto"/>
        <w:left w:val="none" w:sz="0" w:space="0" w:color="auto"/>
        <w:bottom w:val="none" w:sz="0" w:space="0" w:color="auto"/>
        <w:right w:val="none" w:sz="0" w:space="0" w:color="auto"/>
      </w:divBdr>
    </w:div>
    <w:div w:id="691883835">
      <w:bodyDiv w:val="1"/>
      <w:marLeft w:val="0"/>
      <w:marRight w:val="0"/>
      <w:marTop w:val="0"/>
      <w:marBottom w:val="0"/>
      <w:divBdr>
        <w:top w:val="none" w:sz="0" w:space="0" w:color="auto"/>
        <w:left w:val="none" w:sz="0" w:space="0" w:color="auto"/>
        <w:bottom w:val="none" w:sz="0" w:space="0" w:color="auto"/>
        <w:right w:val="none" w:sz="0" w:space="0" w:color="auto"/>
      </w:divBdr>
    </w:div>
    <w:div w:id="692733553">
      <w:bodyDiv w:val="1"/>
      <w:marLeft w:val="0"/>
      <w:marRight w:val="0"/>
      <w:marTop w:val="0"/>
      <w:marBottom w:val="0"/>
      <w:divBdr>
        <w:top w:val="none" w:sz="0" w:space="0" w:color="auto"/>
        <w:left w:val="none" w:sz="0" w:space="0" w:color="auto"/>
        <w:bottom w:val="none" w:sz="0" w:space="0" w:color="auto"/>
        <w:right w:val="none" w:sz="0" w:space="0" w:color="auto"/>
      </w:divBdr>
    </w:div>
    <w:div w:id="693649246">
      <w:bodyDiv w:val="1"/>
      <w:marLeft w:val="0"/>
      <w:marRight w:val="0"/>
      <w:marTop w:val="0"/>
      <w:marBottom w:val="0"/>
      <w:divBdr>
        <w:top w:val="none" w:sz="0" w:space="0" w:color="auto"/>
        <w:left w:val="none" w:sz="0" w:space="0" w:color="auto"/>
        <w:bottom w:val="none" w:sz="0" w:space="0" w:color="auto"/>
        <w:right w:val="none" w:sz="0" w:space="0" w:color="auto"/>
      </w:divBdr>
    </w:div>
    <w:div w:id="694422201">
      <w:bodyDiv w:val="1"/>
      <w:marLeft w:val="0"/>
      <w:marRight w:val="0"/>
      <w:marTop w:val="0"/>
      <w:marBottom w:val="0"/>
      <w:divBdr>
        <w:top w:val="none" w:sz="0" w:space="0" w:color="auto"/>
        <w:left w:val="none" w:sz="0" w:space="0" w:color="auto"/>
        <w:bottom w:val="none" w:sz="0" w:space="0" w:color="auto"/>
        <w:right w:val="none" w:sz="0" w:space="0" w:color="auto"/>
      </w:divBdr>
    </w:div>
    <w:div w:id="695545891">
      <w:bodyDiv w:val="1"/>
      <w:marLeft w:val="0"/>
      <w:marRight w:val="0"/>
      <w:marTop w:val="0"/>
      <w:marBottom w:val="0"/>
      <w:divBdr>
        <w:top w:val="none" w:sz="0" w:space="0" w:color="auto"/>
        <w:left w:val="none" w:sz="0" w:space="0" w:color="auto"/>
        <w:bottom w:val="none" w:sz="0" w:space="0" w:color="auto"/>
        <w:right w:val="none" w:sz="0" w:space="0" w:color="auto"/>
      </w:divBdr>
    </w:div>
    <w:div w:id="697969466">
      <w:bodyDiv w:val="1"/>
      <w:marLeft w:val="0"/>
      <w:marRight w:val="0"/>
      <w:marTop w:val="0"/>
      <w:marBottom w:val="0"/>
      <w:divBdr>
        <w:top w:val="none" w:sz="0" w:space="0" w:color="auto"/>
        <w:left w:val="none" w:sz="0" w:space="0" w:color="auto"/>
        <w:bottom w:val="none" w:sz="0" w:space="0" w:color="auto"/>
        <w:right w:val="none" w:sz="0" w:space="0" w:color="auto"/>
      </w:divBdr>
    </w:div>
    <w:div w:id="698773245">
      <w:bodyDiv w:val="1"/>
      <w:marLeft w:val="0"/>
      <w:marRight w:val="0"/>
      <w:marTop w:val="0"/>
      <w:marBottom w:val="0"/>
      <w:divBdr>
        <w:top w:val="none" w:sz="0" w:space="0" w:color="auto"/>
        <w:left w:val="none" w:sz="0" w:space="0" w:color="auto"/>
        <w:bottom w:val="none" w:sz="0" w:space="0" w:color="auto"/>
        <w:right w:val="none" w:sz="0" w:space="0" w:color="auto"/>
      </w:divBdr>
    </w:div>
    <w:div w:id="699286173">
      <w:bodyDiv w:val="1"/>
      <w:marLeft w:val="0"/>
      <w:marRight w:val="0"/>
      <w:marTop w:val="0"/>
      <w:marBottom w:val="0"/>
      <w:divBdr>
        <w:top w:val="none" w:sz="0" w:space="0" w:color="auto"/>
        <w:left w:val="none" w:sz="0" w:space="0" w:color="auto"/>
        <w:bottom w:val="none" w:sz="0" w:space="0" w:color="auto"/>
        <w:right w:val="none" w:sz="0" w:space="0" w:color="auto"/>
      </w:divBdr>
    </w:div>
    <w:div w:id="699361224">
      <w:bodyDiv w:val="1"/>
      <w:marLeft w:val="0"/>
      <w:marRight w:val="0"/>
      <w:marTop w:val="0"/>
      <w:marBottom w:val="0"/>
      <w:divBdr>
        <w:top w:val="none" w:sz="0" w:space="0" w:color="auto"/>
        <w:left w:val="none" w:sz="0" w:space="0" w:color="auto"/>
        <w:bottom w:val="none" w:sz="0" w:space="0" w:color="auto"/>
        <w:right w:val="none" w:sz="0" w:space="0" w:color="auto"/>
      </w:divBdr>
    </w:div>
    <w:div w:id="699471197">
      <w:bodyDiv w:val="1"/>
      <w:marLeft w:val="0"/>
      <w:marRight w:val="0"/>
      <w:marTop w:val="0"/>
      <w:marBottom w:val="0"/>
      <w:divBdr>
        <w:top w:val="none" w:sz="0" w:space="0" w:color="auto"/>
        <w:left w:val="none" w:sz="0" w:space="0" w:color="auto"/>
        <w:bottom w:val="none" w:sz="0" w:space="0" w:color="auto"/>
        <w:right w:val="none" w:sz="0" w:space="0" w:color="auto"/>
      </w:divBdr>
    </w:div>
    <w:div w:id="699471671">
      <w:bodyDiv w:val="1"/>
      <w:marLeft w:val="0"/>
      <w:marRight w:val="0"/>
      <w:marTop w:val="0"/>
      <w:marBottom w:val="0"/>
      <w:divBdr>
        <w:top w:val="none" w:sz="0" w:space="0" w:color="auto"/>
        <w:left w:val="none" w:sz="0" w:space="0" w:color="auto"/>
        <w:bottom w:val="none" w:sz="0" w:space="0" w:color="auto"/>
        <w:right w:val="none" w:sz="0" w:space="0" w:color="auto"/>
      </w:divBdr>
    </w:div>
    <w:div w:id="699859024">
      <w:bodyDiv w:val="1"/>
      <w:marLeft w:val="0"/>
      <w:marRight w:val="0"/>
      <w:marTop w:val="0"/>
      <w:marBottom w:val="0"/>
      <w:divBdr>
        <w:top w:val="none" w:sz="0" w:space="0" w:color="auto"/>
        <w:left w:val="none" w:sz="0" w:space="0" w:color="auto"/>
        <w:bottom w:val="none" w:sz="0" w:space="0" w:color="auto"/>
        <w:right w:val="none" w:sz="0" w:space="0" w:color="auto"/>
      </w:divBdr>
    </w:div>
    <w:div w:id="700207897">
      <w:bodyDiv w:val="1"/>
      <w:marLeft w:val="0"/>
      <w:marRight w:val="0"/>
      <w:marTop w:val="0"/>
      <w:marBottom w:val="0"/>
      <w:divBdr>
        <w:top w:val="none" w:sz="0" w:space="0" w:color="auto"/>
        <w:left w:val="none" w:sz="0" w:space="0" w:color="auto"/>
        <w:bottom w:val="none" w:sz="0" w:space="0" w:color="auto"/>
        <w:right w:val="none" w:sz="0" w:space="0" w:color="auto"/>
      </w:divBdr>
    </w:div>
    <w:div w:id="700276835">
      <w:bodyDiv w:val="1"/>
      <w:marLeft w:val="0"/>
      <w:marRight w:val="0"/>
      <w:marTop w:val="0"/>
      <w:marBottom w:val="0"/>
      <w:divBdr>
        <w:top w:val="none" w:sz="0" w:space="0" w:color="auto"/>
        <w:left w:val="none" w:sz="0" w:space="0" w:color="auto"/>
        <w:bottom w:val="none" w:sz="0" w:space="0" w:color="auto"/>
        <w:right w:val="none" w:sz="0" w:space="0" w:color="auto"/>
      </w:divBdr>
    </w:div>
    <w:div w:id="701127415">
      <w:bodyDiv w:val="1"/>
      <w:marLeft w:val="0"/>
      <w:marRight w:val="0"/>
      <w:marTop w:val="0"/>
      <w:marBottom w:val="0"/>
      <w:divBdr>
        <w:top w:val="none" w:sz="0" w:space="0" w:color="auto"/>
        <w:left w:val="none" w:sz="0" w:space="0" w:color="auto"/>
        <w:bottom w:val="none" w:sz="0" w:space="0" w:color="auto"/>
        <w:right w:val="none" w:sz="0" w:space="0" w:color="auto"/>
      </w:divBdr>
    </w:div>
    <w:div w:id="701636794">
      <w:bodyDiv w:val="1"/>
      <w:marLeft w:val="0"/>
      <w:marRight w:val="0"/>
      <w:marTop w:val="0"/>
      <w:marBottom w:val="0"/>
      <w:divBdr>
        <w:top w:val="none" w:sz="0" w:space="0" w:color="auto"/>
        <w:left w:val="none" w:sz="0" w:space="0" w:color="auto"/>
        <w:bottom w:val="none" w:sz="0" w:space="0" w:color="auto"/>
        <w:right w:val="none" w:sz="0" w:space="0" w:color="auto"/>
      </w:divBdr>
    </w:div>
    <w:div w:id="701638729">
      <w:bodyDiv w:val="1"/>
      <w:marLeft w:val="0"/>
      <w:marRight w:val="0"/>
      <w:marTop w:val="0"/>
      <w:marBottom w:val="0"/>
      <w:divBdr>
        <w:top w:val="none" w:sz="0" w:space="0" w:color="auto"/>
        <w:left w:val="none" w:sz="0" w:space="0" w:color="auto"/>
        <w:bottom w:val="none" w:sz="0" w:space="0" w:color="auto"/>
        <w:right w:val="none" w:sz="0" w:space="0" w:color="auto"/>
      </w:divBdr>
    </w:div>
    <w:div w:id="702755463">
      <w:bodyDiv w:val="1"/>
      <w:marLeft w:val="0"/>
      <w:marRight w:val="0"/>
      <w:marTop w:val="0"/>
      <w:marBottom w:val="0"/>
      <w:divBdr>
        <w:top w:val="none" w:sz="0" w:space="0" w:color="auto"/>
        <w:left w:val="none" w:sz="0" w:space="0" w:color="auto"/>
        <w:bottom w:val="none" w:sz="0" w:space="0" w:color="auto"/>
        <w:right w:val="none" w:sz="0" w:space="0" w:color="auto"/>
      </w:divBdr>
    </w:div>
    <w:div w:id="703361251">
      <w:bodyDiv w:val="1"/>
      <w:marLeft w:val="0"/>
      <w:marRight w:val="0"/>
      <w:marTop w:val="0"/>
      <w:marBottom w:val="0"/>
      <w:divBdr>
        <w:top w:val="none" w:sz="0" w:space="0" w:color="auto"/>
        <w:left w:val="none" w:sz="0" w:space="0" w:color="auto"/>
        <w:bottom w:val="none" w:sz="0" w:space="0" w:color="auto"/>
        <w:right w:val="none" w:sz="0" w:space="0" w:color="auto"/>
      </w:divBdr>
    </w:div>
    <w:div w:id="703410835">
      <w:bodyDiv w:val="1"/>
      <w:marLeft w:val="0"/>
      <w:marRight w:val="0"/>
      <w:marTop w:val="0"/>
      <w:marBottom w:val="0"/>
      <w:divBdr>
        <w:top w:val="none" w:sz="0" w:space="0" w:color="auto"/>
        <w:left w:val="none" w:sz="0" w:space="0" w:color="auto"/>
        <w:bottom w:val="none" w:sz="0" w:space="0" w:color="auto"/>
        <w:right w:val="none" w:sz="0" w:space="0" w:color="auto"/>
      </w:divBdr>
    </w:div>
    <w:div w:id="703484801">
      <w:bodyDiv w:val="1"/>
      <w:marLeft w:val="0"/>
      <w:marRight w:val="0"/>
      <w:marTop w:val="0"/>
      <w:marBottom w:val="0"/>
      <w:divBdr>
        <w:top w:val="none" w:sz="0" w:space="0" w:color="auto"/>
        <w:left w:val="none" w:sz="0" w:space="0" w:color="auto"/>
        <w:bottom w:val="none" w:sz="0" w:space="0" w:color="auto"/>
        <w:right w:val="none" w:sz="0" w:space="0" w:color="auto"/>
      </w:divBdr>
    </w:div>
    <w:div w:id="703796071">
      <w:bodyDiv w:val="1"/>
      <w:marLeft w:val="0"/>
      <w:marRight w:val="0"/>
      <w:marTop w:val="0"/>
      <w:marBottom w:val="0"/>
      <w:divBdr>
        <w:top w:val="none" w:sz="0" w:space="0" w:color="auto"/>
        <w:left w:val="none" w:sz="0" w:space="0" w:color="auto"/>
        <w:bottom w:val="none" w:sz="0" w:space="0" w:color="auto"/>
        <w:right w:val="none" w:sz="0" w:space="0" w:color="auto"/>
      </w:divBdr>
    </w:div>
    <w:div w:id="703869857">
      <w:bodyDiv w:val="1"/>
      <w:marLeft w:val="0"/>
      <w:marRight w:val="0"/>
      <w:marTop w:val="0"/>
      <w:marBottom w:val="0"/>
      <w:divBdr>
        <w:top w:val="none" w:sz="0" w:space="0" w:color="auto"/>
        <w:left w:val="none" w:sz="0" w:space="0" w:color="auto"/>
        <w:bottom w:val="none" w:sz="0" w:space="0" w:color="auto"/>
        <w:right w:val="none" w:sz="0" w:space="0" w:color="auto"/>
      </w:divBdr>
    </w:div>
    <w:div w:id="704522855">
      <w:bodyDiv w:val="1"/>
      <w:marLeft w:val="0"/>
      <w:marRight w:val="0"/>
      <w:marTop w:val="0"/>
      <w:marBottom w:val="0"/>
      <w:divBdr>
        <w:top w:val="none" w:sz="0" w:space="0" w:color="auto"/>
        <w:left w:val="none" w:sz="0" w:space="0" w:color="auto"/>
        <w:bottom w:val="none" w:sz="0" w:space="0" w:color="auto"/>
        <w:right w:val="none" w:sz="0" w:space="0" w:color="auto"/>
      </w:divBdr>
    </w:div>
    <w:div w:id="707032198">
      <w:bodyDiv w:val="1"/>
      <w:marLeft w:val="0"/>
      <w:marRight w:val="0"/>
      <w:marTop w:val="0"/>
      <w:marBottom w:val="0"/>
      <w:divBdr>
        <w:top w:val="none" w:sz="0" w:space="0" w:color="auto"/>
        <w:left w:val="none" w:sz="0" w:space="0" w:color="auto"/>
        <w:bottom w:val="none" w:sz="0" w:space="0" w:color="auto"/>
        <w:right w:val="none" w:sz="0" w:space="0" w:color="auto"/>
      </w:divBdr>
    </w:div>
    <w:div w:id="708719980">
      <w:bodyDiv w:val="1"/>
      <w:marLeft w:val="0"/>
      <w:marRight w:val="0"/>
      <w:marTop w:val="0"/>
      <w:marBottom w:val="0"/>
      <w:divBdr>
        <w:top w:val="none" w:sz="0" w:space="0" w:color="auto"/>
        <w:left w:val="none" w:sz="0" w:space="0" w:color="auto"/>
        <w:bottom w:val="none" w:sz="0" w:space="0" w:color="auto"/>
        <w:right w:val="none" w:sz="0" w:space="0" w:color="auto"/>
      </w:divBdr>
    </w:div>
    <w:div w:id="710962943">
      <w:bodyDiv w:val="1"/>
      <w:marLeft w:val="0"/>
      <w:marRight w:val="0"/>
      <w:marTop w:val="0"/>
      <w:marBottom w:val="0"/>
      <w:divBdr>
        <w:top w:val="none" w:sz="0" w:space="0" w:color="auto"/>
        <w:left w:val="none" w:sz="0" w:space="0" w:color="auto"/>
        <w:bottom w:val="none" w:sz="0" w:space="0" w:color="auto"/>
        <w:right w:val="none" w:sz="0" w:space="0" w:color="auto"/>
      </w:divBdr>
    </w:div>
    <w:div w:id="711921755">
      <w:bodyDiv w:val="1"/>
      <w:marLeft w:val="0"/>
      <w:marRight w:val="0"/>
      <w:marTop w:val="0"/>
      <w:marBottom w:val="0"/>
      <w:divBdr>
        <w:top w:val="none" w:sz="0" w:space="0" w:color="auto"/>
        <w:left w:val="none" w:sz="0" w:space="0" w:color="auto"/>
        <w:bottom w:val="none" w:sz="0" w:space="0" w:color="auto"/>
        <w:right w:val="none" w:sz="0" w:space="0" w:color="auto"/>
      </w:divBdr>
    </w:div>
    <w:div w:id="711928910">
      <w:bodyDiv w:val="1"/>
      <w:marLeft w:val="0"/>
      <w:marRight w:val="0"/>
      <w:marTop w:val="0"/>
      <w:marBottom w:val="0"/>
      <w:divBdr>
        <w:top w:val="none" w:sz="0" w:space="0" w:color="auto"/>
        <w:left w:val="none" w:sz="0" w:space="0" w:color="auto"/>
        <w:bottom w:val="none" w:sz="0" w:space="0" w:color="auto"/>
        <w:right w:val="none" w:sz="0" w:space="0" w:color="auto"/>
      </w:divBdr>
    </w:div>
    <w:div w:id="712660629">
      <w:bodyDiv w:val="1"/>
      <w:marLeft w:val="0"/>
      <w:marRight w:val="0"/>
      <w:marTop w:val="0"/>
      <w:marBottom w:val="0"/>
      <w:divBdr>
        <w:top w:val="none" w:sz="0" w:space="0" w:color="auto"/>
        <w:left w:val="none" w:sz="0" w:space="0" w:color="auto"/>
        <w:bottom w:val="none" w:sz="0" w:space="0" w:color="auto"/>
        <w:right w:val="none" w:sz="0" w:space="0" w:color="auto"/>
      </w:divBdr>
    </w:div>
    <w:div w:id="712854378">
      <w:bodyDiv w:val="1"/>
      <w:marLeft w:val="0"/>
      <w:marRight w:val="0"/>
      <w:marTop w:val="0"/>
      <w:marBottom w:val="0"/>
      <w:divBdr>
        <w:top w:val="none" w:sz="0" w:space="0" w:color="auto"/>
        <w:left w:val="none" w:sz="0" w:space="0" w:color="auto"/>
        <w:bottom w:val="none" w:sz="0" w:space="0" w:color="auto"/>
        <w:right w:val="none" w:sz="0" w:space="0" w:color="auto"/>
      </w:divBdr>
    </w:div>
    <w:div w:id="713231955">
      <w:bodyDiv w:val="1"/>
      <w:marLeft w:val="0"/>
      <w:marRight w:val="0"/>
      <w:marTop w:val="0"/>
      <w:marBottom w:val="0"/>
      <w:divBdr>
        <w:top w:val="none" w:sz="0" w:space="0" w:color="auto"/>
        <w:left w:val="none" w:sz="0" w:space="0" w:color="auto"/>
        <w:bottom w:val="none" w:sz="0" w:space="0" w:color="auto"/>
        <w:right w:val="none" w:sz="0" w:space="0" w:color="auto"/>
      </w:divBdr>
    </w:div>
    <w:div w:id="713234990">
      <w:bodyDiv w:val="1"/>
      <w:marLeft w:val="0"/>
      <w:marRight w:val="0"/>
      <w:marTop w:val="0"/>
      <w:marBottom w:val="0"/>
      <w:divBdr>
        <w:top w:val="none" w:sz="0" w:space="0" w:color="auto"/>
        <w:left w:val="none" w:sz="0" w:space="0" w:color="auto"/>
        <w:bottom w:val="none" w:sz="0" w:space="0" w:color="auto"/>
        <w:right w:val="none" w:sz="0" w:space="0" w:color="auto"/>
      </w:divBdr>
    </w:div>
    <w:div w:id="713697353">
      <w:bodyDiv w:val="1"/>
      <w:marLeft w:val="0"/>
      <w:marRight w:val="0"/>
      <w:marTop w:val="0"/>
      <w:marBottom w:val="0"/>
      <w:divBdr>
        <w:top w:val="none" w:sz="0" w:space="0" w:color="auto"/>
        <w:left w:val="none" w:sz="0" w:space="0" w:color="auto"/>
        <w:bottom w:val="none" w:sz="0" w:space="0" w:color="auto"/>
        <w:right w:val="none" w:sz="0" w:space="0" w:color="auto"/>
      </w:divBdr>
    </w:div>
    <w:div w:id="714355026">
      <w:bodyDiv w:val="1"/>
      <w:marLeft w:val="0"/>
      <w:marRight w:val="0"/>
      <w:marTop w:val="0"/>
      <w:marBottom w:val="0"/>
      <w:divBdr>
        <w:top w:val="none" w:sz="0" w:space="0" w:color="auto"/>
        <w:left w:val="none" w:sz="0" w:space="0" w:color="auto"/>
        <w:bottom w:val="none" w:sz="0" w:space="0" w:color="auto"/>
        <w:right w:val="none" w:sz="0" w:space="0" w:color="auto"/>
      </w:divBdr>
    </w:div>
    <w:div w:id="715352522">
      <w:bodyDiv w:val="1"/>
      <w:marLeft w:val="0"/>
      <w:marRight w:val="0"/>
      <w:marTop w:val="0"/>
      <w:marBottom w:val="0"/>
      <w:divBdr>
        <w:top w:val="none" w:sz="0" w:space="0" w:color="auto"/>
        <w:left w:val="none" w:sz="0" w:space="0" w:color="auto"/>
        <w:bottom w:val="none" w:sz="0" w:space="0" w:color="auto"/>
        <w:right w:val="none" w:sz="0" w:space="0" w:color="auto"/>
      </w:divBdr>
    </w:div>
    <w:div w:id="720053763">
      <w:bodyDiv w:val="1"/>
      <w:marLeft w:val="0"/>
      <w:marRight w:val="0"/>
      <w:marTop w:val="0"/>
      <w:marBottom w:val="0"/>
      <w:divBdr>
        <w:top w:val="none" w:sz="0" w:space="0" w:color="auto"/>
        <w:left w:val="none" w:sz="0" w:space="0" w:color="auto"/>
        <w:bottom w:val="none" w:sz="0" w:space="0" w:color="auto"/>
        <w:right w:val="none" w:sz="0" w:space="0" w:color="auto"/>
      </w:divBdr>
    </w:div>
    <w:div w:id="721372741">
      <w:bodyDiv w:val="1"/>
      <w:marLeft w:val="0"/>
      <w:marRight w:val="0"/>
      <w:marTop w:val="0"/>
      <w:marBottom w:val="0"/>
      <w:divBdr>
        <w:top w:val="none" w:sz="0" w:space="0" w:color="auto"/>
        <w:left w:val="none" w:sz="0" w:space="0" w:color="auto"/>
        <w:bottom w:val="none" w:sz="0" w:space="0" w:color="auto"/>
        <w:right w:val="none" w:sz="0" w:space="0" w:color="auto"/>
      </w:divBdr>
    </w:div>
    <w:div w:id="721754419">
      <w:bodyDiv w:val="1"/>
      <w:marLeft w:val="0"/>
      <w:marRight w:val="0"/>
      <w:marTop w:val="0"/>
      <w:marBottom w:val="0"/>
      <w:divBdr>
        <w:top w:val="none" w:sz="0" w:space="0" w:color="auto"/>
        <w:left w:val="none" w:sz="0" w:space="0" w:color="auto"/>
        <w:bottom w:val="none" w:sz="0" w:space="0" w:color="auto"/>
        <w:right w:val="none" w:sz="0" w:space="0" w:color="auto"/>
      </w:divBdr>
    </w:div>
    <w:div w:id="722023468">
      <w:bodyDiv w:val="1"/>
      <w:marLeft w:val="0"/>
      <w:marRight w:val="0"/>
      <w:marTop w:val="0"/>
      <w:marBottom w:val="0"/>
      <w:divBdr>
        <w:top w:val="none" w:sz="0" w:space="0" w:color="auto"/>
        <w:left w:val="none" w:sz="0" w:space="0" w:color="auto"/>
        <w:bottom w:val="none" w:sz="0" w:space="0" w:color="auto"/>
        <w:right w:val="none" w:sz="0" w:space="0" w:color="auto"/>
      </w:divBdr>
    </w:div>
    <w:div w:id="722604404">
      <w:bodyDiv w:val="1"/>
      <w:marLeft w:val="0"/>
      <w:marRight w:val="0"/>
      <w:marTop w:val="0"/>
      <w:marBottom w:val="0"/>
      <w:divBdr>
        <w:top w:val="none" w:sz="0" w:space="0" w:color="auto"/>
        <w:left w:val="none" w:sz="0" w:space="0" w:color="auto"/>
        <w:bottom w:val="none" w:sz="0" w:space="0" w:color="auto"/>
        <w:right w:val="none" w:sz="0" w:space="0" w:color="auto"/>
      </w:divBdr>
    </w:div>
    <w:div w:id="722606404">
      <w:bodyDiv w:val="1"/>
      <w:marLeft w:val="0"/>
      <w:marRight w:val="0"/>
      <w:marTop w:val="0"/>
      <w:marBottom w:val="0"/>
      <w:divBdr>
        <w:top w:val="none" w:sz="0" w:space="0" w:color="auto"/>
        <w:left w:val="none" w:sz="0" w:space="0" w:color="auto"/>
        <w:bottom w:val="none" w:sz="0" w:space="0" w:color="auto"/>
        <w:right w:val="none" w:sz="0" w:space="0" w:color="auto"/>
      </w:divBdr>
    </w:div>
    <w:div w:id="724448799">
      <w:bodyDiv w:val="1"/>
      <w:marLeft w:val="0"/>
      <w:marRight w:val="0"/>
      <w:marTop w:val="0"/>
      <w:marBottom w:val="0"/>
      <w:divBdr>
        <w:top w:val="none" w:sz="0" w:space="0" w:color="auto"/>
        <w:left w:val="none" w:sz="0" w:space="0" w:color="auto"/>
        <w:bottom w:val="none" w:sz="0" w:space="0" w:color="auto"/>
        <w:right w:val="none" w:sz="0" w:space="0" w:color="auto"/>
      </w:divBdr>
    </w:div>
    <w:div w:id="724450006">
      <w:bodyDiv w:val="1"/>
      <w:marLeft w:val="0"/>
      <w:marRight w:val="0"/>
      <w:marTop w:val="0"/>
      <w:marBottom w:val="0"/>
      <w:divBdr>
        <w:top w:val="none" w:sz="0" w:space="0" w:color="auto"/>
        <w:left w:val="none" w:sz="0" w:space="0" w:color="auto"/>
        <w:bottom w:val="none" w:sz="0" w:space="0" w:color="auto"/>
        <w:right w:val="none" w:sz="0" w:space="0" w:color="auto"/>
      </w:divBdr>
    </w:div>
    <w:div w:id="724568852">
      <w:bodyDiv w:val="1"/>
      <w:marLeft w:val="0"/>
      <w:marRight w:val="0"/>
      <w:marTop w:val="0"/>
      <w:marBottom w:val="0"/>
      <w:divBdr>
        <w:top w:val="none" w:sz="0" w:space="0" w:color="auto"/>
        <w:left w:val="none" w:sz="0" w:space="0" w:color="auto"/>
        <w:bottom w:val="none" w:sz="0" w:space="0" w:color="auto"/>
        <w:right w:val="none" w:sz="0" w:space="0" w:color="auto"/>
      </w:divBdr>
    </w:div>
    <w:div w:id="724913699">
      <w:bodyDiv w:val="1"/>
      <w:marLeft w:val="0"/>
      <w:marRight w:val="0"/>
      <w:marTop w:val="0"/>
      <w:marBottom w:val="0"/>
      <w:divBdr>
        <w:top w:val="none" w:sz="0" w:space="0" w:color="auto"/>
        <w:left w:val="none" w:sz="0" w:space="0" w:color="auto"/>
        <w:bottom w:val="none" w:sz="0" w:space="0" w:color="auto"/>
        <w:right w:val="none" w:sz="0" w:space="0" w:color="auto"/>
      </w:divBdr>
    </w:div>
    <w:div w:id="725958879">
      <w:bodyDiv w:val="1"/>
      <w:marLeft w:val="0"/>
      <w:marRight w:val="0"/>
      <w:marTop w:val="0"/>
      <w:marBottom w:val="0"/>
      <w:divBdr>
        <w:top w:val="none" w:sz="0" w:space="0" w:color="auto"/>
        <w:left w:val="none" w:sz="0" w:space="0" w:color="auto"/>
        <w:bottom w:val="none" w:sz="0" w:space="0" w:color="auto"/>
        <w:right w:val="none" w:sz="0" w:space="0" w:color="auto"/>
      </w:divBdr>
    </w:div>
    <w:div w:id="726611997">
      <w:bodyDiv w:val="1"/>
      <w:marLeft w:val="0"/>
      <w:marRight w:val="0"/>
      <w:marTop w:val="0"/>
      <w:marBottom w:val="0"/>
      <w:divBdr>
        <w:top w:val="none" w:sz="0" w:space="0" w:color="auto"/>
        <w:left w:val="none" w:sz="0" w:space="0" w:color="auto"/>
        <w:bottom w:val="none" w:sz="0" w:space="0" w:color="auto"/>
        <w:right w:val="none" w:sz="0" w:space="0" w:color="auto"/>
      </w:divBdr>
    </w:div>
    <w:div w:id="726730618">
      <w:bodyDiv w:val="1"/>
      <w:marLeft w:val="0"/>
      <w:marRight w:val="0"/>
      <w:marTop w:val="0"/>
      <w:marBottom w:val="0"/>
      <w:divBdr>
        <w:top w:val="none" w:sz="0" w:space="0" w:color="auto"/>
        <w:left w:val="none" w:sz="0" w:space="0" w:color="auto"/>
        <w:bottom w:val="none" w:sz="0" w:space="0" w:color="auto"/>
        <w:right w:val="none" w:sz="0" w:space="0" w:color="auto"/>
      </w:divBdr>
    </w:div>
    <w:div w:id="727219938">
      <w:bodyDiv w:val="1"/>
      <w:marLeft w:val="0"/>
      <w:marRight w:val="0"/>
      <w:marTop w:val="0"/>
      <w:marBottom w:val="0"/>
      <w:divBdr>
        <w:top w:val="none" w:sz="0" w:space="0" w:color="auto"/>
        <w:left w:val="none" w:sz="0" w:space="0" w:color="auto"/>
        <w:bottom w:val="none" w:sz="0" w:space="0" w:color="auto"/>
        <w:right w:val="none" w:sz="0" w:space="0" w:color="auto"/>
      </w:divBdr>
    </w:div>
    <w:div w:id="727608665">
      <w:bodyDiv w:val="1"/>
      <w:marLeft w:val="0"/>
      <w:marRight w:val="0"/>
      <w:marTop w:val="0"/>
      <w:marBottom w:val="0"/>
      <w:divBdr>
        <w:top w:val="none" w:sz="0" w:space="0" w:color="auto"/>
        <w:left w:val="none" w:sz="0" w:space="0" w:color="auto"/>
        <w:bottom w:val="none" w:sz="0" w:space="0" w:color="auto"/>
        <w:right w:val="none" w:sz="0" w:space="0" w:color="auto"/>
      </w:divBdr>
    </w:div>
    <w:div w:id="728188108">
      <w:bodyDiv w:val="1"/>
      <w:marLeft w:val="0"/>
      <w:marRight w:val="0"/>
      <w:marTop w:val="0"/>
      <w:marBottom w:val="0"/>
      <w:divBdr>
        <w:top w:val="none" w:sz="0" w:space="0" w:color="auto"/>
        <w:left w:val="none" w:sz="0" w:space="0" w:color="auto"/>
        <w:bottom w:val="none" w:sz="0" w:space="0" w:color="auto"/>
        <w:right w:val="none" w:sz="0" w:space="0" w:color="auto"/>
      </w:divBdr>
    </w:div>
    <w:div w:id="728189033">
      <w:bodyDiv w:val="1"/>
      <w:marLeft w:val="0"/>
      <w:marRight w:val="0"/>
      <w:marTop w:val="0"/>
      <w:marBottom w:val="0"/>
      <w:divBdr>
        <w:top w:val="none" w:sz="0" w:space="0" w:color="auto"/>
        <w:left w:val="none" w:sz="0" w:space="0" w:color="auto"/>
        <w:bottom w:val="none" w:sz="0" w:space="0" w:color="auto"/>
        <w:right w:val="none" w:sz="0" w:space="0" w:color="auto"/>
      </w:divBdr>
    </w:div>
    <w:div w:id="728841726">
      <w:bodyDiv w:val="1"/>
      <w:marLeft w:val="0"/>
      <w:marRight w:val="0"/>
      <w:marTop w:val="0"/>
      <w:marBottom w:val="0"/>
      <w:divBdr>
        <w:top w:val="none" w:sz="0" w:space="0" w:color="auto"/>
        <w:left w:val="none" w:sz="0" w:space="0" w:color="auto"/>
        <w:bottom w:val="none" w:sz="0" w:space="0" w:color="auto"/>
        <w:right w:val="none" w:sz="0" w:space="0" w:color="auto"/>
      </w:divBdr>
    </w:div>
    <w:div w:id="730928019">
      <w:bodyDiv w:val="1"/>
      <w:marLeft w:val="0"/>
      <w:marRight w:val="0"/>
      <w:marTop w:val="0"/>
      <w:marBottom w:val="0"/>
      <w:divBdr>
        <w:top w:val="none" w:sz="0" w:space="0" w:color="auto"/>
        <w:left w:val="none" w:sz="0" w:space="0" w:color="auto"/>
        <w:bottom w:val="none" w:sz="0" w:space="0" w:color="auto"/>
        <w:right w:val="none" w:sz="0" w:space="0" w:color="auto"/>
      </w:divBdr>
    </w:div>
    <w:div w:id="731391471">
      <w:bodyDiv w:val="1"/>
      <w:marLeft w:val="0"/>
      <w:marRight w:val="0"/>
      <w:marTop w:val="0"/>
      <w:marBottom w:val="0"/>
      <w:divBdr>
        <w:top w:val="none" w:sz="0" w:space="0" w:color="auto"/>
        <w:left w:val="none" w:sz="0" w:space="0" w:color="auto"/>
        <w:bottom w:val="none" w:sz="0" w:space="0" w:color="auto"/>
        <w:right w:val="none" w:sz="0" w:space="0" w:color="auto"/>
      </w:divBdr>
    </w:div>
    <w:div w:id="733283186">
      <w:bodyDiv w:val="1"/>
      <w:marLeft w:val="0"/>
      <w:marRight w:val="0"/>
      <w:marTop w:val="0"/>
      <w:marBottom w:val="0"/>
      <w:divBdr>
        <w:top w:val="none" w:sz="0" w:space="0" w:color="auto"/>
        <w:left w:val="none" w:sz="0" w:space="0" w:color="auto"/>
        <w:bottom w:val="none" w:sz="0" w:space="0" w:color="auto"/>
        <w:right w:val="none" w:sz="0" w:space="0" w:color="auto"/>
      </w:divBdr>
    </w:div>
    <w:div w:id="733434339">
      <w:bodyDiv w:val="1"/>
      <w:marLeft w:val="0"/>
      <w:marRight w:val="0"/>
      <w:marTop w:val="0"/>
      <w:marBottom w:val="0"/>
      <w:divBdr>
        <w:top w:val="none" w:sz="0" w:space="0" w:color="auto"/>
        <w:left w:val="none" w:sz="0" w:space="0" w:color="auto"/>
        <w:bottom w:val="none" w:sz="0" w:space="0" w:color="auto"/>
        <w:right w:val="none" w:sz="0" w:space="0" w:color="auto"/>
      </w:divBdr>
    </w:div>
    <w:div w:id="734427954">
      <w:bodyDiv w:val="1"/>
      <w:marLeft w:val="0"/>
      <w:marRight w:val="0"/>
      <w:marTop w:val="0"/>
      <w:marBottom w:val="0"/>
      <w:divBdr>
        <w:top w:val="none" w:sz="0" w:space="0" w:color="auto"/>
        <w:left w:val="none" w:sz="0" w:space="0" w:color="auto"/>
        <w:bottom w:val="none" w:sz="0" w:space="0" w:color="auto"/>
        <w:right w:val="none" w:sz="0" w:space="0" w:color="auto"/>
      </w:divBdr>
    </w:div>
    <w:div w:id="734549271">
      <w:bodyDiv w:val="1"/>
      <w:marLeft w:val="0"/>
      <w:marRight w:val="0"/>
      <w:marTop w:val="0"/>
      <w:marBottom w:val="0"/>
      <w:divBdr>
        <w:top w:val="none" w:sz="0" w:space="0" w:color="auto"/>
        <w:left w:val="none" w:sz="0" w:space="0" w:color="auto"/>
        <w:bottom w:val="none" w:sz="0" w:space="0" w:color="auto"/>
        <w:right w:val="none" w:sz="0" w:space="0" w:color="auto"/>
      </w:divBdr>
    </w:div>
    <w:div w:id="735128981">
      <w:bodyDiv w:val="1"/>
      <w:marLeft w:val="0"/>
      <w:marRight w:val="0"/>
      <w:marTop w:val="0"/>
      <w:marBottom w:val="0"/>
      <w:divBdr>
        <w:top w:val="none" w:sz="0" w:space="0" w:color="auto"/>
        <w:left w:val="none" w:sz="0" w:space="0" w:color="auto"/>
        <w:bottom w:val="none" w:sz="0" w:space="0" w:color="auto"/>
        <w:right w:val="none" w:sz="0" w:space="0" w:color="auto"/>
      </w:divBdr>
    </w:div>
    <w:div w:id="735393064">
      <w:bodyDiv w:val="1"/>
      <w:marLeft w:val="0"/>
      <w:marRight w:val="0"/>
      <w:marTop w:val="0"/>
      <w:marBottom w:val="0"/>
      <w:divBdr>
        <w:top w:val="none" w:sz="0" w:space="0" w:color="auto"/>
        <w:left w:val="none" w:sz="0" w:space="0" w:color="auto"/>
        <w:bottom w:val="none" w:sz="0" w:space="0" w:color="auto"/>
        <w:right w:val="none" w:sz="0" w:space="0" w:color="auto"/>
      </w:divBdr>
    </w:div>
    <w:div w:id="735668350">
      <w:bodyDiv w:val="1"/>
      <w:marLeft w:val="0"/>
      <w:marRight w:val="0"/>
      <w:marTop w:val="0"/>
      <w:marBottom w:val="0"/>
      <w:divBdr>
        <w:top w:val="none" w:sz="0" w:space="0" w:color="auto"/>
        <w:left w:val="none" w:sz="0" w:space="0" w:color="auto"/>
        <w:bottom w:val="none" w:sz="0" w:space="0" w:color="auto"/>
        <w:right w:val="none" w:sz="0" w:space="0" w:color="auto"/>
      </w:divBdr>
    </w:div>
    <w:div w:id="736512871">
      <w:bodyDiv w:val="1"/>
      <w:marLeft w:val="0"/>
      <w:marRight w:val="0"/>
      <w:marTop w:val="0"/>
      <w:marBottom w:val="0"/>
      <w:divBdr>
        <w:top w:val="none" w:sz="0" w:space="0" w:color="auto"/>
        <w:left w:val="none" w:sz="0" w:space="0" w:color="auto"/>
        <w:bottom w:val="none" w:sz="0" w:space="0" w:color="auto"/>
        <w:right w:val="none" w:sz="0" w:space="0" w:color="auto"/>
      </w:divBdr>
    </w:div>
    <w:div w:id="737482308">
      <w:bodyDiv w:val="1"/>
      <w:marLeft w:val="0"/>
      <w:marRight w:val="0"/>
      <w:marTop w:val="0"/>
      <w:marBottom w:val="0"/>
      <w:divBdr>
        <w:top w:val="none" w:sz="0" w:space="0" w:color="auto"/>
        <w:left w:val="none" w:sz="0" w:space="0" w:color="auto"/>
        <w:bottom w:val="none" w:sz="0" w:space="0" w:color="auto"/>
        <w:right w:val="none" w:sz="0" w:space="0" w:color="auto"/>
      </w:divBdr>
    </w:div>
    <w:div w:id="738359601">
      <w:bodyDiv w:val="1"/>
      <w:marLeft w:val="0"/>
      <w:marRight w:val="0"/>
      <w:marTop w:val="0"/>
      <w:marBottom w:val="0"/>
      <w:divBdr>
        <w:top w:val="none" w:sz="0" w:space="0" w:color="auto"/>
        <w:left w:val="none" w:sz="0" w:space="0" w:color="auto"/>
        <w:bottom w:val="none" w:sz="0" w:space="0" w:color="auto"/>
        <w:right w:val="none" w:sz="0" w:space="0" w:color="auto"/>
      </w:divBdr>
    </w:div>
    <w:div w:id="738863497">
      <w:bodyDiv w:val="1"/>
      <w:marLeft w:val="0"/>
      <w:marRight w:val="0"/>
      <w:marTop w:val="0"/>
      <w:marBottom w:val="0"/>
      <w:divBdr>
        <w:top w:val="none" w:sz="0" w:space="0" w:color="auto"/>
        <w:left w:val="none" w:sz="0" w:space="0" w:color="auto"/>
        <w:bottom w:val="none" w:sz="0" w:space="0" w:color="auto"/>
        <w:right w:val="none" w:sz="0" w:space="0" w:color="auto"/>
      </w:divBdr>
    </w:div>
    <w:div w:id="739402340">
      <w:bodyDiv w:val="1"/>
      <w:marLeft w:val="0"/>
      <w:marRight w:val="0"/>
      <w:marTop w:val="0"/>
      <w:marBottom w:val="0"/>
      <w:divBdr>
        <w:top w:val="none" w:sz="0" w:space="0" w:color="auto"/>
        <w:left w:val="none" w:sz="0" w:space="0" w:color="auto"/>
        <w:bottom w:val="none" w:sz="0" w:space="0" w:color="auto"/>
        <w:right w:val="none" w:sz="0" w:space="0" w:color="auto"/>
      </w:divBdr>
    </w:div>
    <w:div w:id="739600478">
      <w:bodyDiv w:val="1"/>
      <w:marLeft w:val="0"/>
      <w:marRight w:val="0"/>
      <w:marTop w:val="0"/>
      <w:marBottom w:val="0"/>
      <w:divBdr>
        <w:top w:val="none" w:sz="0" w:space="0" w:color="auto"/>
        <w:left w:val="none" w:sz="0" w:space="0" w:color="auto"/>
        <w:bottom w:val="none" w:sz="0" w:space="0" w:color="auto"/>
        <w:right w:val="none" w:sz="0" w:space="0" w:color="auto"/>
      </w:divBdr>
    </w:div>
    <w:div w:id="739715594">
      <w:bodyDiv w:val="1"/>
      <w:marLeft w:val="0"/>
      <w:marRight w:val="0"/>
      <w:marTop w:val="0"/>
      <w:marBottom w:val="0"/>
      <w:divBdr>
        <w:top w:val="none" w:sz="0" w:space="0" w:color="auto"/>
        <w:left w:val="none" w:sz="0" w:space="0" w:color="auto"/>
        <w:bottom w:val="none" w:sz="0" w:space="0" w:color="auto"/>
        <w:right w:val="none" w:sz="0" w:space="0" w:color="auto"/>
      </w:divBdr>
    </w:div>
    <w:div w:id="741830780">
      <w:bodyDiv w:val="1"/>
      <w:marLeft w:val="0"/>
      <w:marRight w:val="0"/>
      <w:marTop w:val="0"/>
      <w:marBottom w:val="0"/>
      <w:divBdr>
        <w:top w:val="none" w:sz="0" w:space="0" w:color="auto"/>
        <w:left w:val="none" w:sz="0" w:space="0" w:color="auto"/>
        <w:bottom w:val="none" w:sz="0" w:space="0" w:color="auto"/>
        <w:right w:val="none" w:sz="0" w:space="0" w:color="auto"/>
      </w:divBdr>
    </w:div>
    <w:div w:id="742725470">
      <w:bodyDiv w:val="1"/>
      <w:marLeft w:val="0"/>
      <w:marRight w:val="0"/>
      <w:marTop w:val="0"/>
      <w:marBottom w:val="0"/>
      <w:divBdr>
        <w:top w:val="none" w:sz="0" w:space="0" w:color="auto"/>
        <w:left w:val="none" w:sz="0" w:space="0" w:color="auto"/>
        <w:bottom w:val="none" w:sz="0" w:space="0" w:color="auto"/>
        <w:right w:val="none" w:sz="0" w:space="0" w:color="auto"/>
      </w:divBdr>
    </w:div>
    <w:div w:id="742801012">
      <w:bodyDiv w:val="1"/>
      <w:marLeft w:val="0"/>
      <w:marRight w:val="0"/>
      <w:marTop w:val="0"/>
      <w:marBottom w:val="0"/>
      <w:divBdr>
        <w:top w:val="none" w:sz="0" w:space="0" w:color="auto"/>
        <w:left w:val="none" w:sz="0" w:space="0" w:color="auto"/>
        <w:bottom w:val="none" w:sz="0" w:space="0" w:color="auto"/>
        <w:right w:val="none" w:sz="0" w:space="0" w:color="auto"/>
      </w:divBdr>
    </w:div>
    <w:div w:id="742989695">
      <w:bodyDiv w:val="1"/>
      <w:marLeft w:val="0"/>
      <w:marRight w:val="0"/>
      <w:marTop w:val="0"/>
      <w:marBottom w:val="0"/>
      <w:divBdr>
        <w:top w:val="none" w:sz="0" w:space="0" w:color="auto"/>
        <w:left w:val="none" w:sz="0" w:space="0" w:color="auto"/>
        <w:bottom w:val="none" w:sz="0" w:space="0" w:color="auto"/>
        <w:right w:val="none" w:sz="0" w:space="0" w:color="auto"/>
      </w:divBdr>
    </w:div>
    <w:div w:id="743142581">
      <w:bodyDiv w:val="1"/>
      <w:marLeft w:val="0"/>
      <w:marRight w:val="0"/>
      <w:marTop w:val="0"/>
      <w:marBottom w:val="0"/>
      <w:divBdr>
        <w:top w:val="none" w:sz="0" w:space="0" w:color="auto"/>
        <w:left w:val="none" w:sz="0" w:space="0" w:color="auto"/>
        <w:bottom w:val="none" w:sz="0" w:space="0" w:color="auto"/>
        <w:right w:val="none" w:sz="0" w:space="0" w:color="auto"/>
      </w:divBdr>
    </w:div>
    <w:div w:id="744110474">
      <w:bodyDiv w:val="1"/>
      <w:marLeft w:val="0"/>
      <w:marRight w:val="0"/>
      <w:marTop w:val="0"/>
      <w:marBottom w:val="0"/>
      <w:divBdr>
        <w:top w:val="none" w:sz="0" w:space="0" w:color="auto"/>
        <w:left w:val="none" w:sz="0" w:space="0" w:color="auto"/>
        <w:bottom w:val="none" w:sz="0" w:space="0" w:color="auto"/>
        <w:right w:val="none" w:sz="0" w:space="0" w:color="auto"/>
      </w:divBdr>
    </w:div>
    <w:div w:id="744644583">
      <w:bodyDiv w:val="1"/>
      <w:marLeft w:val="0"/>
      <w:marRight w:val="0"/>
      <w:marTop w:val="0"/>
      <w:marBottom w:val="0"/>
      <w:divBdr>
        <w:top w:val="none" w:sz="0" w:space="0" w:color="auto"/>
        <w:left w:val="none" w:sz="0" w:space="0" w:color="auto"/>
        <w:bottom w:val="none" w:sz="0" w:space="0" w:color="auto"/>
        <w:right w:val="none" w:sz="0" w:space="0" w:color="auto"/>
      </w:divBdr>
    </w:div>
    <w:div w:id="745031636">
      <w:bodyDiv w:val="1"/>
      <w:marLeft w:val="0"/>
      <w:marRight w:val="0"/>
      <w:marTop w:val="0"/>
      <w:marBottom w:val="0"/>
      <w:divBdr>
        <w:top w:val="none" w:sz="0" w:space="0" w:color="auto"/>
        <w:left w:val="none" w:sz="0" w:space="0" w:color="auto"/>
        <w:bottom w:val="none" w:sz="0" w:space="0" w:color="auto"/>
        <w:right w:val="none" w:sz="0" w:space="0" w:color="auto"/>
      </w:divBdr>
    </w:div>
    <w:div w:id="745105764">
      <w:bodyDiv w:val="1"/>
      <w:marLeft w:val="0"/>
      <w:marRight w:val="0"/>
      <w:marTop w:val="0"/>
      <w:marBottom w:val="0"/>
      <w:divBdr>
        <w:top w:val="none" w:sz="0" w:space="0" w:color="auto"/>
        <w:left w:val="none" w:sz="0" w:space="0" w:color="auto"/>
        <w:bottom w:val="none" w:sz="0" w:space="0" w:color="auto"/>
        <w:right w:val="none" w:sz="0" w:space="0" w:color="auto"/>
      </w:divBdr>
    </w:div>
    <w:div w:id="748160010">
      <w:bodyDiv w:val="1"/>
      <w:marLeft w:val="0"/>
      <w:marRight w:val="0"/>
      <w:marTop w:val="0"/>
      <w:marBottom w:val="0"/>
      <w:divBdr>
        <w:top w:val="none" w:sz="0" w:space="0" w:color="auto"/>
        <w:left w:val="none" w:sz="0" w:space="0" w:color="auto"/>
        <w:bottom w:val="none" w:sz="0" w:space="0" w:color="auto"/>
        <w:right w:val="none" w:sz="0" w:space="0" w:color="auto"/>
      </w:divBdr>
    </w:div>
    <w:div w:id="749690872">
      <w:bodyDiv w:val="1"/>
      <w:marLeft w:val="0"/>
      <w:marRight w:val="0"/>
      <w:marTop w:val="0"/>
      <w:marBottom w:val="0"/>
      <w:divBdr>
        <w:top w:val="none" w:sz="0" w:space="0" w:color="auto"/>
        <w:left w:val="none" w:sz="0" w:space="0" w:color="auto"/>
        <w:bottom w:val="none" w:sz="0" w:space="0" w:color="auto"/>
        <w:right w:val="none" w:sz="0" w:space="0" w:color="auto"/>
      </w:divBdr>
    </w:div>
    <w:div w:id="750584001">
      <w:bodyDiv w:val="1"/>
      <w:marLeft w:val="0"/>
      <w:marRight w:val="0"/>
      <w:marTop w:val="0"/>
      <w:marBottom w:val="0"/>
      <w:divBdr>
        <w:top w:val="none" w:sz="0" w:space="0" w:color="auto"/>
        <w:left w:val="none" w:sz="0" w:space="0" w:color="auto"/>
        <w:bottom w:val="none" w:sz="0" w:space="0" w:color="auto"/>
        <w:right w:val="none" w:sz="0" w:space="0" w:color="auto"/>
      </w:divBdr>
    </w:div>
    <w:div w:id="751122479">
      <w:bodyDiv w:val="1"/>
      <w:marLeft w:val="0"/>
      <w:marRight w:val="0"/>
      <w:marTop w:val="0"/>
      <w:marBottom w:val="0"/>
      <w:divBdr>
        <w:top w:val="none" w:sz="0" w:space="0" w:color="auto"/>
        <w:left w:val="none" w:sz="0" w:space="0" w:color="auto"/>
        <w:bottom w:val="none" w:sz="0" w:space="0" w:color="auto"/>
        <w:right w:val="none" w:sz="0" w:space="0" w:color="auto"/>
      </w:divBdr>
    </w:div>
    <w:div w:id="752093967">
      <w:bodyDiv w:val="1"/>
      <w:marLeft w:val="0"/>
      <w:marRight w:val="0"/>
      <w:marTop w:val="0"/>
      <w:marBottom w:val="0"/>
      <w:divBdr>
        <w:top w:val="none" w:sz="0" w:space="0" w:color="auto"/>
        <w:left w:val="none" w:sz="0" w:space="0" w:color="auto"/>
        <w:bottom w:val="none" w:sz="0" w:space="0" w:color="auto"/>
        <w:right w:val="none" w:sz="0" w:space="0" w:color="auto"/>
      </w:divBdr>
    </w:div>
    <w:div w:id="752552439">
      <w:bodyDiv w:val="1"/>
      <w:marLeft w:val="0"/>
      <w:marRight w:val="0"/>
      <w:marTop w:val="0"/>
      <w:marBottom w:val="0"/>
      <w:divBdr>
        <w:top w:val="none" w:sz="0" w:space="0" w:color="auto"/>
        <w:left w:val="none" w:sz="0" w:space="0" w:color="auto"/>
        <w:bottom w:val="none" w:sz="0" w:space="0" w:color="auto"/>
        <w:right w:val="none" w:sz="0" w:space="0" w:color="auto"/>
      </w:divBdr>
    </w:div>
    <w:div w:id="752555981">
      <w:bodyDiv w:val="1"/>
      <w:marLeft w:val="0"/>
      <w:marRight w:val="0"/>
      <w:marTop w:val="0"/>
      <w:marBottom w:val="0"/>
      <w:divBdr>
        <w:top w:val="none" w:sz="0" w:space="0" w:color="auto"/>
        <w:left w:val="none" w:sz="0" w:space="0" w:color="auto"/>
        <w:bottom w:val="none" w:sz="0" w:space="0" w:color="auto"/>
        <w:right w:val="none" w:sz="0" w:space="0" w:color="auto"/>
      </w:divBdr>
    </w:div>
    <w:div w:id="752581990">
      <w:bodyDiv w:val="1"/>
      <w:marLeft w:val="0"/>
      <w:marRight w:val="0"/>
      <w:marTop w:val="0"/>
      <w:marBottom w:val="0"/>
      <w:divBdr>
        <w:top w:val="none" w:sz="0" w:space="0" w:color="auto"/>
        <w:left w:val="none" w:sz="0" w:space="0" w:color="auto"/>
        <w:bottom w:val="none" w:sz="0" w:space="0" w:color="auto"/>
        <w:right w:val="none" w:sz="0" w:space="0" w:color="auto"/>
      </w:divBdr>
    </w:div>
    <w:div w:id="754395531">
      <w:bodyDiv w:val="1"/>
      <w:marLeft w:val="0"/>
      <w:marRight w:val="0"/>
      <w:marTop w:val="0"/>
      <w:marBottom w:val="0"/>
      <w:divBdr>
        <w:top w:val="none" w:sz="0" w:space="0" w:color="auto"/>
        <w:left w:val="none" w:sz="0" w:space="0" w:color="auto"/>
        <w:bottom w:val="none" w:sz="0" w:space="0" w:color="auto"/>
        <w:right w:val="none" w:sz="0" w:space="0" w:color="auto"/>
      </w:divBdr>
    </w:div>
    <w:div w:id="754478462">
      <w:bodyDiv w:val="1"/>
      <w:marLeft w:val="0"/>
      <w:marRight w:val="0"/>
      <w:marTop w:val="0"/>
      <w:marBottom w:val="0"/>
      <w:divBdr>
        <w:top w:val="none" w:sz="0" w:space="0" w:color="auto"/>
        <w:left w:val="none" w:sz="0" w:space="0" w:color="auto"/>
        <w:bottom w:val="none" w:sz="0" w:space="0" w:color="auto"/>
        <w:right w:val="none" w:sz="0" w:space="0" w:color="auto"/>
      </w:divBdr>
    </w:div>
    <w:div w:id="754547928">
      <w:bodyDiv w:val="1"/>
      <w:marLeft w:val="0"/>
      <w:marRight w:val="0"/>
      <w:marTop w:val="0"/>
      <w:marBottom w:val="0"/>
      <w:divBdr>
        <w:top w:val="none" w:sz="0" w:space="0" w:color="auto"/>
        <w:left w:val="none" w:sz="0" w:space="0" w:color="auto"/>
        <w:bottom w:val="none" w:sz="0" w:space="0" w:color="auto"/>
        <w:right w:val="none" w:sz="0" w:space="0" w:color="auto"/>
      </w:divBdr>
    </w:div>
    <w:div w:id="755982916">
      <w:bodyDiv w:val="1"/>
      <w:marLeft w:val="0"/>
      <w:marRight w:val="0"/>
      <w:marTop w:val="0"/>
      <w:marBottom w:val="0"/>
      <w:divBdr>
        <w:top w:val="none" w:sz="0" w:space="0" w:color="auto"/>
        <w:left w:val="none" w:sz="0" w:space="0" w:color="auto"/>
        <w:bottom w:val="none" w:sz="0" w:space="0" w:color="auto"/>
        <w:right w:val="none" w:sz="0" w:space="0" w:color="auto"/>
      </w:divBdr>
    </w:div>
    <w:div w:id="756561729">
      <w:bodyDiv w:val="1"/>
      <w:marLeft w:val="0"/>
      <w:marRight w:val="0"/>
      <w:marTop w:val="0"/>
      <w:marBottom w:val="0"/>
      <w:divBdr>
        <w:top w:val="none" w:sz="0" w:space="0" w:color="auto"/>
        <w:left w:val="none" w:sz="0" w:space="0" w:color="auto"/>
        <w:bottom w:val="none" w:sz="0" w:space="0" w:color="auto"/>
        <w:right w:val="none" w:sz="0" w:space="0" w:color="auto"/>
      </w:divBdr>
    </w:div>
    <w:div w:id="757209643">
      <w:bodyDiv w:val="1"/>
      <w:marLeft w:val="0"/>
      <w:marRight w:val="0"/>
      <w:marTop w:val="0"/>
      <w:marBottom w:val="0"/>
      <w:divBdr>
        <w:top w:val="none" w:sz="0" w:space="0" w:color="auto"/>
        <w:left w:val="none" w:sz="0" w:space="0" w:color="auto"/>
        <w:bottom w:val="none" w:sz="0" w:space="0" w:color="auto"/>
        <w:right w:val="none" w:sz="0" w:space="0" w:color="auto"/>
      </w:divBdr>
    </w:div>
    <w:div w:id="757211385">
      <w:bodyDiv w:val="1"/>
      <w:marLeft w:val="0"/>
      <w:marRight w:val="0"/>
      <w:marTop w:val="0"/>
      <w:marBottom w:val="0"/>
      <w:divBdr>
        <w:top w:val="none" w:sz="0" w:space="0" w:color="auto"/>
        <w:left w:val="none" w:sz="0" w:space="0" w:color="auto"/>
        <w:bottom w:val="none" w:sz="0" w:space="0" w:color="auto"/>
        <w:right w:val="none" w:sz="0" w:space="0" w:color="auto"/>
      </w:divBdr>
    </w:div>
    <w:div w:id="757335011">
      <w:bodyDiv w:val="1"/>
      <w:marLeft w:val="0"/>
      <w:marRight w:val="0"/>
      <w:marTop w:val="0"/>
      <w:marBottom w:val="0"/>
      <w:divBdr>
        <w:top w:val="none" w:sz="0" w:space="0" w:color="auto"/>
        <w:left w:val="none" w:sz="0" w:space="0" w:color="auto"/>
        <w:bottom w:val="none" w:sz="0" w:space="0" w:color="auto"/>
        <w:right w:val="none" w:sz="0" w:space="0" w:color="auto"/>
      </w:divBdr>
    </w:div>
    <w:div w:id="757404544">
      <w:bodyDiv w:val="1"/>
      <w:marLeft w:val="0"/>
      <w:marRight w:val="0"/>
      <w:marTop w:val="0"/>
      <w:marBottom w:val="0"/>
      <w:divBdr>
        <w:top w:val="none" w:sz="0" w:space="0" w:color="auto"/>
        <w:left w:val="none" w:sz="0" w:space="0" w:color="auto"/>
        <w:bottom w:val="none" w:sz="0" w:space="0" w:color="auto"/>
        <w:right w:val="none" w:sz="0" w:space="0" w:color="auto"/>
      </w:divBdr>
    </w:div>
    <w:div w:id="757945284">
      <w:bodyDiv w:val="1"/>
      <w:marLeft w:val="0"/>
      <w:marRight w:val="0"/>
      <w:marTop w:val="0"/>
      <w:marBottom w:val="0"/>
      <w:divBdr>
        <w:top w:val="none" w:sz="0" w:space="0" w:color="auto"/>
        <w:left w:val="none" w:sz="0" w:space="0" w:color="auto"/>
        <w:bottom w:val="none" w:sz="0" w:space="0" w:color="auto"/>
        <w:right w:val="none" w:sz="0" w:space="0" w:color="auto"/>
      </w:divBdr>
    </w:div>
    <w:div w:id="758256463">
      <w:bodyDiv w:val="1"/>
      <w:marLeft w:val="0"/>
      <w:marRight w:val="0"/>
      <w:marTop w:val="0"/>
      <w:marBottom w:val="0"/>
      <w:divBdr>
        <w:top w:val="none" w:sz="0" w:space="0" w:color="auto"/>
        <w:left w:val="none" w:sz="0" w:space="0" w:color="auto"/>
        <w:bottom w:val="none" w:sz="0" w:space="0" w:color="auto"/>
        <w:right w:val="none" w:sz="0" w:space="0" w:color="auto"/>
      </w:divBdr>
    </w:div>
    <w:div w:id="759566832">
      <w:bodyDiv w:val="1"/>
      <w:marLeft w:val="0"/>
      <w:marRight w:val="0"/>
      <w:marTop w:val="0"/>
      <w:marBottom w:val="0"/>
      <w:divBdr>
        <w:top w:val="none" w:sz="0" w:space="0" w:color="auto"/>
        <w:left w:val="none" w:sz="0" w:space="0" w:color="auto"/>
        <w:bottom w:val="none" w:sz="0" w:space="0" w:color="auto"/>
        <w:right w:val="none" w:sz="0" w:space="0" w:color="auto"/>
      </w:divBdr>
    </w:div>
    <w:div w:id="760763780">
      <w:bodyDiv w:val="1"/>
      <w:marLeft w:val="0"/>
      <w:marRight w:val="0"/>
      <w:marTop w:val="0"/>
      <w:marBottom w:val="0"/>
      <w:divBdr>
        <w:top w:val="none" w:sz="0" w:space="0" w:color="auto"/>
        <w:left w:val="none" w:sz="0" w:space="0" w:color="auto"/>
        <w:bottom w:val="none" w:sz="0" w:space="0" w:color="auto"/>
        <w:right w:val="none" w:sz="0" w:space="0" w:color="auto"/>
      </w:divBdr>
    </w:div>
    <w:div w:id="760955882">
      <w:bodyDiv w:val="1"/>
      <w:marLeft w:val="0"/>
      <w:marRight w:val="0"/>
      <w:marTop w:val="0"/>
      <w:marBottom w:val="0"/>
      <w:divBdr>
        <w:top w:val="none" w:sz="0" w:space="0" w:color="auto"/>
        <w:left w:val="none" w:sz="0" w:space="0" w:color="auto"/>
        <w:bottom w:val="none" w:sz="0" w:space="0" w:color="auto"/>
        <w:right w:val="none" w:sz="0" w:space="0" w:color="auto"/>
      </w:divBdr>
    </w:div>
    <w:div w:id="761681793">
      <w:bodyDiv w:val="1"/>
      <w:marLeft w:val="0"/>
      <w:marRight w:val="0"/>
      <w:marTop w:val="0"/>
      <w:marBottom w:val="0"/>
      <w:divBdr>
        <w:top w:val="none" w:sz="0" w:space="0" w:color="auto"/>
        <w:left w:val="none" w:sz="0" w:space="0" w:color="auto"/>
        <w:bottom w:val="none" w:sz="0" w:space="0" w:color="auto"/>
        <w:right w:val="none" w:sz="0" w:space="0" w:color="auto"/>
      </w:divBdr>
    </w:div>
    <w:div w:id="762384151">
      <w:bodyDiv w:val="1"/>
      <w:marLeft w:val="0"/>
      <w:marRight w:val="0"/>
      <w:marTop w:val="0"/>
      <w:marBottom w:val="0"/>
      <w:divBdr>
        <w:top w:val="none" w:sz="0" w:space="0" w:color="auto"/>
        <w:left w:val="none" w:sz="0" w:space="0" w:color="auto"/>
        <w:bottom w:val="none" w:sz="0" w:space="0" w:color="auto"/>
        <w:right w:val="none" w:sz="0" w:space="0" w:color="auto"/>
      </w:divBdr>
    </w:div>
    <w:div w:id="762460171">
      <w:bodyDiv w:val="1"/>
      <w:marLeft w:val="0"/>
      <w:marRight w:val="0"/>
      <w:marTop w:val="0"/>
      <w:marBottom w:val="0"/>
      <w:divBdr>
        <w:top w:val="none" w:sz="0" w:space="0" w:color="auto"/>
        <w:left w:val="none" w:sz="0" w:space="0" w:color="auto"/>
        <w:bottom w:val="none" w:sz="0" w:space="0" w:color="auto"/>
        <w:right w:val="none" w:sz="0" w:space="0" w:color="auto"/>
      </w:divBdr>
    </w:div>
    <w:div w:id="762645240">
      <w:bodyDiv w:val="1"/>
      <w:marLeft w:val="0"/>
      <w:marRight w:val="0"/>
      <w:marTop w:val="0"/>
      <w:marBottom w:val="0"/>
      <w:divBdr>
        <w:top w:val="none" w:sz="0" w:space="0" w:color="auto"/>
        <w:left w:val="none" w:sz="0" w:space="0" w:color="auto"/>
        <w:bottom w:val="none" w:sz="0" w:space="0" w:color="auto"/>
        <w:right w:val="none" w:sz="0" w:space="0" w:color="auto"/>
      </w:divBdr>
    </w:div>
    <w:div w:id="762651981">
      <w:bodyDiv w:val="1"/>
      <w:marLeft w:val="0"/>
      <w:marRight w:val="0"/>
      <w:marTop w:val="0"/>
      <w:marBottom w:val="0"/>
      <w:divBdr>
        <w:top w:val="none" w:sz="0" w:space="0" w:color="auto"/>
        <w:left w:val="none" w:sz="0" w:space="0" w:color="auto"/>
        <w:bottom w:val="none" w:sz="0" w:space="0" w:color="auto"/>
        <w:right w:val="none" w:sz="0" w:space="0" w:color="auto"/>
      </w:divBdr>
    </w:div>
    <w:div w:id="763498781">
      <w:bodyDiv w:val="1"/>
      <w:marLeft w:val="0"/>
      <w:marRight w:val="0"/>
      <w:marTop w:val="0"/>
      <w:marBottom w:val="0"/>
      <w:divBdr>
        <w:top w:val="none" w:sz="0" w:space="0" w:color="auto"/>
        <w:left w:val="none" w:sz="0" w:space="0" w:color="auto"/>
        <w:bottom w:val="none" w:sz="0" w:space="0" w:color="auto"/>
        <w:right w:val="none" w:sz="0" w:space="0" w:color="auto"/>
      </w:divBdr>
    </w:div>
    <w:div w:id="763838102">
      <w:bodyDiv w:val="1"/>
      <w:marLeft w:val="0"/>
      <w:marRight w:val="0"/>
      <w:marTop w:val="0"/>
      <w:marBottom w:val="0"/>
      <w:divBdr>
        <w:top w:val="none" w:sz="0" w:space="0" w:color="auto"/>
        <w:left w:val="none" w:sz="0" w:space="0" w:color="auto"/>
        <w:bottom w:val="none" w:sz="0" w:space="0" w:color="auto"/>
        <w:right w:val="none" w:sz="0" w:space="0" w:color="auto"/>
      </w:divBdr>
    </w:div>
    <w:div w:id="764230451">
      <w:bodyDiv w:val="1"/>
      <w:marLeft w:val="0"/>
      <w:marRight w:val="0"/>
      <w:marTop w:val="0"/>
      <w:marBottom w:val="0"/>
      <w:divBdr>
        <w:top w:val="none" w:sz="0" w:space="0" w:color="auto"/>
        <w:left w:val="none" w:sz="0" w:space="0" w:color="auto"/>
        <w:bottom w:val="none" w:sz="0" w:space="0" w:color="auto"/>
        <w:right w:val="none" w:sz="0" w:space="0" w:color="auto"/>
      </w:divBdr>
    </w:div>
    <w:div w:id="764766794">
      <w:bodyDiv w:val="1"/>
      <w:marLeft w:val="0"/>
      <w:marRight w:val="0"/>
      <w:marTop w:val="0"/>
      <w:marBottom w:val="0"/>
      <w:divBdr>
        <w:top w:val="none" w:sz="0" w:space="0" w:color="auto"/>
        <w:left w:val="none" w:sz="0" w:space="0" w:color="auto"/>
        <w:bottom w:val="none" w:sz="0" w:space="0" w:color="auto"/>
        <w:right w:val="none" w:sz="0" w:space="0" w:color="auto"/>
      </w:divBdr>
    </w:div>
    <w:div w:id="765813136">
      <w:bodyDiv w:val="1"/>
      <w:marLeft w:val="0"/>
      <w:marRight w:val="0"/>
      <w:marTop w:val="0"/>
      <w:marBottom w:val="0"/>
      <w:divBdr>
        <w:top w:val="none" w:sz="0" w:space="0" w:color="auto"/>
        <w:left w:val="none" w:sz="0" w:space="0" w:color="auto"/>
        <w:bottom w:val="none" w:sz="0" w:space="0" w:color="auto"/>
        <w:right w:val="none" w:sz="0" w:space="0" w:color="auto"/>
      </w:divBdr>
    </w:div>
    <w:div w:id="766583105">
      <w:bodyDiv w:val="1"/>
      <w:marLeft w:val="0"/>
      <w:marRight w:val="0"/>
      <w:marTop w:val="0"/>
      <w:marBottom w:val="0"/>
      <w:divBdr>
        <w:top w:val="none" w:sz="0" w:space="0" w:color="auto"/>
        <w:left w:val="none" w:sz="0" w:space="0" w:color="auto"/>
        <w:bottom w:val="none" w:sz="0" w:space="0" w:color="auto"/>
        <w:right w:val="none" w:sz="0" w:space="0" w:color="auto"/>
      </w:divBdr>
    </w:div>
    <w:div w:id="767391997">
      <w:bodyDiv w:val="1"/>
      <w:marLeft w:val="0"/>
      <w:marRight w:val="0"/>
      <w:marTop w:val="0"/>
      <w:marBottom w:val="0"/>
      <w:divBdr>
        <w:top w:val="none" w:sz="0" w:space="0" w:color="auto"/>
        <w:left w:val="none" w:sz="0" w:space="0" w:color="auto"/>
        <w:bottom w:val="none" w:sz="0" w:space="0" w:color="auto"/>
        <w:right w:val="none" w:sz="0" w:space="0" w:color="auto"/>
      </w:divBdr>
    </w:div>
    <w:div w:id="768546745">
      <w:bodyDiv w:val="1"/>
      <w:marLeft w:val="0"/>
      <w:marRight w:val="0"/>
      <w:marTop w:val="0"/>
      <w:marBottom w:val="0"/>
      <w:divBdr>
        <w:top w:val="none" w:sz="0" w:space="0" w:color="auto"/>
        <w:left w:val="none" w:sz="0" w:space="0" w:color="auto"/>
        <w:bottom w:val="none" w:sz="0" w:space="0" w:color="auto"/>
        <w:right w:val="none" w:sz="0" w:space="0" w:color="auto"/>
      </w:divBdr>
    </w:div>
    <w:div w:id="771784620">
      <w:bodyDiv w:val="1"/>
      <w:marLeft w:val="0"/>
      <w:marRight w:val="0"/>
      <w:marTop w:val="0"/>
      <w:marBottom w:val="0"/>
      <w:divBdr>
        <w:top w:val="none" w:sz="0" w:space="0" w:color="auto"/>
        <w:left w:val="none" w:sz="0" w:space="0" w:color="auto"/>
        <w:bottom w:val="none" w:sz="0" w:space="0" w:color="auto"/>
        <w:right w:val="none" w:sz="0" w:space="0" w:color="auto"/>
      </w:divBdr>
    </w:div>
    <w:div w:id="772020699">
      <w:bodyDiv w:val="1"/>
      <w:marLeft w:val="0"/>
      <w:marRight w:val="0"/>
      <w:marTop w:val="0"/>
      <w:marBottom w:val="0"/>
      <w:divBdr>
        <w:top w:val="none" w:sz="0" w:space="0" w:color="auto"/>
        <w:left w:val="none" w:sz="0" w:space="0" w:color="auto"/>
        <w:bottom w:val="none" w:sz="0" w:space="0" w:color="auto"/>
        <w:right w:val="none" w:sz="0" w:space="0" w:color="auto"/>
      </w:divBdr>
    </w:div>
    <w:div w:id="772046469">
      <w:bodyDiv w:val="1"/>
      <w:marLeft w:val="0"/>
      <w:marRight w:val="0"/>
      <w:marTop w:val="0"/>
      <w:marBottom w:val="0"/>
      <w:divBdr>
        <w:top w:val="none" w:sz="0" w:space="0" w:color="auto"/>
        <w:left w:val="none" w:sz="0" w:space="0" w:color="auto"/>
        <w:bottom w:val="none" w:sz="0" w:space="0" w:color="auto"/>
        <w:right w:val="none" w:sz="0" w:space="0" w:color="auto"/>
      </w:divBdr>
    </w:div>
    <w:div w:id="772437089">
      <w:bodyDiv w:val="1"/>
      <w:marLeft w:val="0"/>
      <w:marRight w:val="0"/>
      <w:marTop w:val="0"/>
      <w:marBottom w:val="0"/>
      <w:divBdr>
        <w:top w:val="none" w:sz="0" w:space="0" w:color="auto"/>
        <w:left w:val="none" w:sz="0" w:space="0" w:color="auto"/>
        <w:bottom w:val="none" w:sz="0" w:space="0" w:color="auto"/>
        <w:right w:val="none" w:sz="0" w:space="0" w:color="auto"/>
      </w:divBdr>
    </w:div>
    <w:div w:id="773746862">
      <w:bodyDiv w:val="1"/>
      <w:marLeft w:val="0"/>
      <w:marRight w:val="0"/>
      <w:marTop w:val="0"/>
      <w:marBottom w:val="0"/>
      <w:divBdr>
        <w:top w:val="none" w:sz="0" w:space="0" w:color="auto"/>
        <w:left w:val="none" w:sz="0" w:space="0" w:color="auto"/>
        <w:bottom w:val="none" w:sz="0" w:space="0" w:color="auto"/>
        <w:right w:val="none" w:sz="0" w:space="0" w:color="auto"/>
      </w:divBdr>
    </w:div>
    <w:div w:id="775029328">
      <w:bodyDiv w:val="1"/>
      <w:marLeft w:val="0"/>
      <w:marRight w:val="0"/>
      <w:marTop w:val="0"/>
      <w:marBottom w:val="0"/>
      <w:divBdr>
        <w:top w:val="none" w:sz="0" w:space="0" w:color="auto"/>
        <w:left w:val="none" w:sz="0" w:space="0" w:color="auto"/>
        <w:bottom w:val="none" w:sz="0" w:space="0" w:color="auto"/>
        <w:right w:val="none" w:sz="0" w:space="0" w:color="auto"/>
      </w:divBdr>
    </w:div>
    <w:div w:id="776098502">
      <w:bodyDiv w:val="1"/>
      <w:marLeft w:val="0"/>
      <w:marRight w:val="0"/>
      <w:marTop w:val="0"/>
      <w:marBottom w:val="0"/>
      <w:divBdr>
        <w:top w:val="none" w:sz="0" w:space="0" w:color="auto"/>
        <w:left w:val="none" w:sz="0" w:space="0" w:color="auto"/>
        <w:bottom w:val="none" w:sz="0" w:space="0" w:color="auto"/>
        <w:right w:val="none" w:sz="0" w:space="0" w:color="auto"/>
      </w:divBdr>
    </w:div>
    <w:div w:id="776369361">
      <w:bodyDiv w:val="1"/>
      <w:marLeft w:val="0"/>
      <w:marRight w:val="0"/>
      <w:marTop w:val="0"/>
      <w:marBottom w:val="0"/>
      <w:divBdr>
        <w:top w:val="none" w:sz="0" w:space="0" w:color="auto"/>
        <w:left w:val="none" w:sz="0" w:space="0" w:color="auto"/>
        <w:bottom w:val="none" w:sz="0" w:space="0" w:color="auto"/>
        <w:right w:val="none" w:sz="0" w:space="0" w:color="auto"/>
      </w:divBdr>
    </w:div>
    <w:div w:id="776559802">
      <w:bodyDiv w:val="1"/>
      <w:marLeft w:val="0"/>
      <w:marRight w:val="0"/>
      <w:marTop w:val="0"/>
      <w:marBottom w:val="0"/>
      <w:divBdr>
        <w:top w:val="none" w:sz="0" w:space="0" w:color="auto"/>
        <w:left w:val="none" w:sz="0" w:space="0" w:color="auto"/>
        <w:bottom w:val="none" w:sz="0" w:space="0" w:color="auto"/>
        <w:right w:val="none" w:sz="0" w:space="0" w:color="auto"/>
      </w:divBdr>
    </w:div>
    <w:div w:id="778834991">
      <w:bodyDiv w:val="1"/>
      <w:marLeft w:val="0"/>
      <w:marRight w:val="0"/>
      <w:marTop w:val="0"/>
      <w:marBottom w:val="0"/>
      <w:divBdr>
        <w:top w:val="none" w:sz="0" w:space="0" w:color="auto"/>
        <w:left w:val="none" w:sz="0" w:space="0" w:color="auto"/>
        <w:bottom w:val="none" w:sz="0" w:space="0" w:color="auto"/>
        <w:right w:val="none" w:sz="0" w:space="0" w:color="auto"/>
      </w:divBdr>
    </w:div>
    <w:div w:id="779686976">
      <w:bodyDiv w:val="1"/>
      <w:marLeft w:val="0"/>
      <w:marRight w:val="0"/>
      <w:marTop w:val="0"/>
      <w:marBottom w:val="0"/>
      <w:divBdr>
        <w:top w:val="none" w:sz="0" w:space="0" w:color="auto"/>
        <w:left w:val="none" w:sz="0" w:space="0" w:color="auto"/>
        <w:bottom w:val="none" w:sz="0" w:space="0" w:color="auto"/>
        <w:right w:val="none" w:sz="0" w:space="0" w:color="auto"/>
      </w:divBdr>
    </w:div>
    <w:div w:id="779757699">
      <w:bodyDiv w:val="1"/>
      <w:marLeft w:val="0"/>
      <w:marRight w:val="0"/>
      <w:marTop w:val="0"/>
      <w:marBottom w:val="0"/>
      <w:divBdr>
        <w:top w:val="none" w:sz="0" w:space="0" w:color="auto"/>
        <w:left w:val="none" w:sz="0" w:space="0" w:color="auto"/>
        <w:bottom w:val="none" w:sz="0" w:space="0" w:color="auto"/>
        <w:right w:val="none" w:sz="0" w:space="0" w:color="auto"/>
      </w:divBdr>
    </w:div>
    <w:div w:id="779764412">
      <w:bodyDiv w:val="1"/>
      <w:marLeft w:val="0"/>
      <w:marRight w:val="0"/>
      <w:marTop w:val="0"/>
      <w:marBottom w:val="0"/>
      <w:divBdr>
        <w:top w:val="none" w:sz="0" w:space="0" w:color="auto"/>
        <w:left w:val="none" w:sz="0" w:space="0" w:color="auto"/>
        <w:bottom w:val="none" w:sz="0" w:space="0" w:color="auto"/>
        <w:right w:val="none" w:sz="0" w:space="0" w:color="auto"/>
      </w:divBdr>
    </w:div>
    <w:div w:id="779882164">
      <w:bodyDiv w:val="1"/>
      <w:marLeft w:val="0"/>
      <w:marRight w:val="0"/>
      <w:marTop w:val="0"/>
      <w:marBottom w:val="0"/>
      <w:divBdr>
        <w:top w:val="none" w:sz="0" w:space="0" w:color="auto"/>
        <w:left w:val="none" w:sz="0" w:space="0" w:color="auto"/>
        <w:bottom w:val="none" w:sz="0" w:space="0" w:color="auto"/>
        <w:right w:val="none" w:sz="0" w:space="0" w:color="auto"/>
      </w:divBdr>
    </w:div>
    <w:div w:id="780299157">
      <w:bodyDiv w:val="1"/>
      <w:marLeft w:val="0"/>
      <w:marRight w:val="0"/>
      <w:marTop w:val="0"/>
      <w:marBottom w:val="0"/>
      <w:divBdr>
        <w:top w:val="none" w:sz="0" w:space="0" w:color="auto"/>
        <w:left w:val="none" w:sz="0" w:space="0" w:color="auto"/>
        <w:bottom w:val="none" w:sz="0" w:space="0" w:color="auto"/>
        <w:right w:val="none" w:sz="0" w:space="0" w:color="auto"/>
      </w:divBdr>
    </w:div>
    <w:div w:id="781076086">
      <w:bodyDiv w:val="1"/>
      <w:marLeft w:val="0"/>
      <w:marRight w:val="0"/>
      <w:marTop w:val="0"/>
      <w:marBottom w:val="0"/>
      <w:divBdr>
        <w:top w:val="none" w:sz="0" w:space="0" w:color="auto"/>
        <w:left w:val="none" w:sz="0" w:space="0" w:color="auto"/>
        <w:bottom w:val="none" w:sz="0" w:space="0" w:color="auto"/>
        <w:right w:val="none" w:sz="0" w:space="0" w:color="auto"/>
      </w:divBdr>
    </w:div>
    <w:div w:id="782189618">
      <w:bodyDiv w:val="1"/>
      <w:marLeft w:val="0"/>
      <w:marRight w:val="0"/>
      <w:marTop w:val="0"/>
      <w:marBottom w:val="0"/>
      <w:divBdr>
        <w:top w:val="none" w:sz="0" w:space="0" w:color="auto"/>
        <w:left w:val="none" w:sz="0" w:space="0" w:color="auto"/>
        <w:bottom w:val="none" w:sz="0" w:space="0" w:color="auto"/>
        <w:right w:val="none" w:sz="0" w:space="0" w:color="auto"/>
      </w:divBdr>
    </w:div>
    <w:div w:id="783305713">
      <w:bodyDiv w:val="1"/>
      <w:marLeft w:val="0"/>
      <w:marRight w:val="0"/>
      <w:marTop w:val="0"/>
      <w:marBottom w:val="0"/>
      <w:divBdr>
        <w:top w:val="none" w:sz="0" w:space="0" w:color="auto"/>
        <w:left w:val="none" w:sz="0" w:space="0" w:color="auto"/>
        <w:bottom w:val="none" w:sz="0" w:space="0" w:color="auto"/>
        <w:right w:val="none" w:sz="0" w:space="0" w:color="auto"/>
      </w:divBdr>
    </w:div>
    <w:div w:id="783499852">
      <w:bodyDiv w:val="1"/>
      <w:marLeft w:val="0"/>
      <w:marRight w:val="0"/>
      <w:marTop w:val="0"/>
      <w:marBottom w:val="0"/>
      <w:divBdr>
        <w:top w:val="none" w:sz="0" w:space="0" w:color="auto"/>
        <w:left w:val="none" w:sz="0" w:space="0" w:color="auto"/>
        <w:bottom w:val="none" w:sz="0" w:space="0" w:color="auto"/>
        <w:right w:val="none" w:sz="0" w:space="0" w:color="auto"/>
      </w:divBdr>
    </w:div>
    <w:div w:id="784034416">
      <w:bodyDiv w:val="1"/>
      <w:marLeft w:val="0"/>
      <w:marRight w:val="0"/>
      <w:marTop w:val="0"/>
      <w:marBottom w:val="0"/>
      <w:divBdr>
        <w:top w:val="none" w:sz="0" w:space="0" w:color="auto"/>
        <w:left w:val="none" w:sz="0" w:space="0" w:color="auto"/>
        <w:bottom w:val="none" w:sz="0" w:space="0" w:color="auto"/>
        <w:right w:val="none" w:sz="0" w:space="0" w:color="auto"/>
      </w:divBdr>
    </w:div>
    <w:div w:id="784425164">
      <w:bodyDiv w:val="1"/>
      <w:marLeft w:val="0"/>
      <w:marRight w:val="0"/>
      <w:marTop w:val="0"/>
      <w:marBottom w:val="0"/>
      <w:divBdr>
        <w:top w:val="none" w:sz="0" w:space="0" w:color="auto"/>
        <w:left w:val="none" w:sz="0" w:space="0" w:color="auto"/>
        <w:bottom w:val="none" w:sz="0" w:space="0" w:color="auto"/>
        <w:right w:val="none" w:sz="0" w:space="0" w:color="auto"/>
      </w:divBdr>
    </w:div>
    <w:div w:id="785074960">
      <w:bodyDiv w:val="1"/>
      <w:marLeft w:val="0"/>
      <w:marRight w:val="0"/>
      <w:marTop w:val="0"/>
      <w:marBottom w:val="0"/>
      <w:divBdr>
        <w:top w:val="none" w:sz="0" w:space="0" w:color="auto"/>
        <w:left w:val="none" w:sz="0" w:space="0" w:color="auto"/>
        <w:bottom w:val="none" w:sz="0" w:space="0" w:color="auto"/>
        <w:right w:val="none" w:sz="0" w:space="0" w:color="auto"/>
      </w:divBdr>
    </w:div>
    <w:div w:id="785542740">
      <w:bodyDiv w:val="1"/>
      <w:marLeft w:val="0"/>
      <w:marRight w:val="0"/>
      <w:marTop w:val="0"/>
      <w:marBottom w:val="0"/>
      <w:divBdr>
        <w:top w:val="none" w:sz="0" w:space="0" w:color="auto"/>
        <w:left w:val="none" w:sz="0" w:space="0" w:color="auto"/>
        <w:bottom w:val="none" w:sz="0" w:space="0" w:color="auto"/>
        <w:right w:val="none" w:sz="0" w:space="0" w:color="auto"/>
      </w:divBdr>
    </w:div>
    <w:div w:id="786387637">
      <w:bodyDiv w:val="1"/>
      <w:marLeft w:val="0"/>
      <w:marRight w:val="0"/>
      <w:marTop w:val="0"/>
      <w:marBottom w:val="0"/>
      <w:divBdr>
        <w:top w:val="none" w:sz="0" w:space="0" w:color="auto"/>
        <w:left w:val="none" w:sz="0" w:space="0" w:color="auto"/>
        <w:bottom w:val="none" w:sz="0" w:space="0" w:color="auto"/>
        <w:right w:val="none" w:sz="0" w:space="0" w:color="auto"/>
      </w:divBdr>
    </w:div>
    <w:div w:id="786503629">
      <w:bodyDiv w:val="1"/>
      <w:marLeft w:val="0"/>
      <w:marRight w:val="0"/>
      <w:marTop w:val="0"/>
      <w:marBottom w:val="0"/>
      <w:divBdr>
        <w:top w:val="none" w:sz="0" w:space="0" w:color="auto"/>
        <w:left w:val="none" w:sz="0" w:space="0" w:color="auto"/>
        <w:bottom w:val="none" w:sz="0" w:space="0" w:color="auto"/>
        <w:right w:val="none" w:sz="0" w:space="0" w:color="auto"/>
      </w:divBdr>
    </w:div>
    <w:div w:id="786696947">
      <w:bodyDiv w:val="1"/>
      <w:marLeft w:val="0"/>
      <w:marRight w:val="0"/>
      <w:marTop w:val="0"/>
      <w:marBottom w:val="0"/>
      <w:divBdr>
        <w:top w:val="none" w:sz="0" w:space="0" w:color="auto"/>
        <w:left w:val="none" w:sz="0" w:space="0" w:color="auto"/>
        <w:bottom w:val="none" w:sz="0" w:space="0" w:color="auto"/>
        <w:right w:val="none" w:sz="0" w:space="0" w:color="auto"/>
      </w:divBdr>
    </w:div>
    <w:div w:id="790628588">
      <w:bodyDiv w:val="1"/>
      <w:marLeft w:val="0"/>
      <w:marRight w:val="0"/>
      <w:marTop w:val="0"/>
      <w:marBottom w:val="0"/>
      <w:divBdr>
        <w:top w:val="none" w:sz="0" w:space="0" w:color="auto"/>
        <w:left w:val="none" w:sz="0" w:space="0" w:color="auto"/>
        <w:bottom w:val="none" w:sz="0" w:space="0" w:color="auto"/>
        <w:right w:val="none" w:sz="0" w:space="0" w:color="auto"/>
      </w:divBdr>
    </w:div>
    <w:div w:id="791434730">
      <w:bodyDiv w:val="1"/>
      <w:marLeft w:val="0"/>
      <w:marRight w:val="0"/>
      <w:marTop w:val="0"/>
      <w:marBottom w:val="0"/>
      <w:divBdr>
        <w:top w:val="none" w:sz="0" w:space="0" w:color="auto"/>
        <w:left w:val="none" w:sz="0" w:space="0" w:color="auto"/>
        <w:bottom w:val="none" w:sz="0" w:space="0" w:color="auto"/>
        <w:right w:val="none" w:sz="0" w:space="0" w:color="auto"/>
      </w:divBdr>
    </w:div>
    <w:div w:id="791558999">
      <w:bodyDiv w:val="1"/>
      <w:marLeft w:val="0"/>
      <w:marRight w:val="0"/>
      <w:marTop w:val="0"/>
      <w:marBottom w:val="0"/>
      <w:divBdr>
        <w:top w:val="none" w:sz="0" w:space="0" w:color="auto"/>
        <w:left w:val="none" w:sz="0" w:space="0" w:color="auto"/>
        <w:bottom w:val="none" w:sz="0" w:space="0" w:color="auto"/>
        <w:right w:val="none" w:sz="0" w:space="0" w:color="auto"/>
      </w:divBdr>
    </w:div>
    <w:div w:id="791560761">
      <w:bodyDiv w:val="1"/>
      <w:marLeft w:val="0"/>
      <w:marRight w:val="0"/>
      <w:marTop w:val="0"/>
      <w:marBottom w:val="0"/>
      <w:divBdr>
        <w:top w:val="none" w:sz="0" w:space="0" w:color="auto"/>
        <w:left w:val="none" w:sz="0" w:space="0" w:color="auto"/>
        <w:bottom w:val="none" w:sz="0" w:space="0" w:color="auto"/>
        <w:right w:val="none" w:sz="0" w:space="0" w:color="auto"/>
      </w:divBdr>
    </w:div>
    <w:div w:id="791747436">
      <w:bodyDiv w:val="1"/>
      <w:marLeft w:val="0"/>
      <w:marRight w:val="0"/>
      <w:marTop w:val="0"/>
      <w:marBottom w:val="0"/>
      <w:divBdr>
        <w:top w:val="none" w:sz="0" w:space="0" w:color="auto"/>
        <w:left w:val="none" w:sz="0" w:space="0" w:color="auto"/>
        <w:bottom w:val="none" w:sz="0" w:space="0" w:color="auto"/>
        <w:right w:val="none" w:sz="0" w:space="0" w:color="auto"/>
      </w:divBdr>
    </w:div>
    <w:div w:id="791898916">
      <w:bodyDiv w:val="1"/>
      <w:marLeft w:val="0"/>
      <w:marRight w:val="0"/>
      <w:marTop w:val="0"/>
      <w:marBottom w:val="0"/>
      <w:divBdr>
        <w:top w:val="none" w:sz="0" w:space="0" w:color="auto"/>
        <w:left w:val="none" w:sz="0" w:space="0" w:color="auto"/>
        <w:bottom w:val="none" w:sz="0" w:space="0" w:color="auto"/>
        <w:right w:val="none" w:sz="0" w:space="0" w:color="auto"/>
      </w:divBdr>
    </w:div>
    <w:div w:id="792331337">
      <w:bodyDiv w:val="1"/>
      <w:marLeft w:val="0"/>
      <w:marRight w:val="0"/>
      <w:marTop w:val="0"/>
      <w:marBottom w:val="0"/>
      <w:divBdr>
        <w:top w:val="none" w:sz="0" w:space="0" w:color="auto"/>
        <w:left w:val="none" w:sz="0" w:space="0" w:color="auto"/>
        <w:bottom w:val="none" w:sz="0" w:space="0" w:color="auto"/>
        <w:right w:val="none" w:sz="0" w:space="0" w:color="auto"/>
      </w:divBdr>
    </w:div>
    <w:div w:id="793133550">
      <w:bodyDiv w:val="1"/>
      <w:marLeft w:val="0"/>
      <w:marRight w:val="0"/>
      <w:marTop w:val="0"/>
      <w:marBottom w:val="0"/>
      <w:divBdr>
        <w:top w:val="none" w:sz="0" w:space="0" w:color="auto"/>
        <w:left w:val="none" w:sz="0" w:space="0" w:color="auto"/>
        <w:bottom w:val="none" w:sz="0" w:space="0" w:color="auto"/>
        <w:right w:val="none" w:sz="0" w:space="0" w:color="auto"/>
      </w:divBdr>
    </w:div>
    <w:div w:id="793863640">
      <w:bodyDiv w:val="1"/>
      <w:marLeft w:val="0"/>
      <w:marRight w:val="0"/>
      <w:marTop w:val="0"/>
      <w:marBottom w:val="0"/>
      <w:divBdr>
        <w:top w:val="none" w:sz="0" w:space="0" w:color="auto"/>
        <w:left w:val="none" w:sz="0" w:space="0" w:color="auto"/>
        <w:bottom w:val="none" w:sz="0" w:space="0" w:color="auto"/>
        <w:right w:val="none" w:sz="0" w:space="0" w:color="auto"/>
      </w:divBdr>
    </w:div>
    <w:div w:id="793988242">
      <w:bodyDiv w:val="1"/>
      <w:marLeft w:val="0"/>
      <w:marRight w:val="0"/>
      <w:marTop w:val="0"/>
      <w:marBottom w:val="0"/>
      <w:divBdr>
        <w:top w:val="none" w:sz="0" w:space="0" w:color="auto"/>
        <w:left w:val="none" w:sz="0" w:space="0" w:color="auto"/>
        <w:bottom w:val="none" w:sz="0" w:space="0" w:color="auto"/>
        <w:right w:val="none" w:sz="0" w:space="0" w:color="auto"/>
      </w:divBdr>
    </w:div>
    <w:div w:id="794131054">
      <w:bodyDiv w:val="1"/>
      <w:marLeft w:val="0"/>
      <w:marRight w:val="0"/>
      <w:marTop w:val="0"/>
      <w:marBottom w:val="0"/>
      <w:divBdr>
        <w:top w:val="none" w:sz="0" w:space="0" w:color="auto"/>
        <w:left w:val="none" w:sz="0" w:space="0" w:color="auto"/>
        <w:bottom w:val="none" w:sz="0" w:space="0" w:color="auto"/>
        <w:right w:val="none" w:sz="0" w:space="0" w:color="auto"/>
      </w:divBdr>
    </w:div>
    <w:div w:id="795176805">
      <w:bodyDiv w:val="1"/>
      <w:marLeft w:val="0"/>
      <w:marRight w:val="0"/>
      <w:marTop w:val="0"/>
      <w:marBottom w:val="0"/>
      <w:divBdr>
        <w:top w:val="none" w:sz="0" w:space="0" w:color="auto"/>
        <w:left w:val="none" w:sz="0" w:space="0" w:color="auto"/>
        <w:bottom w:val="none" w:sz="0" w:space="0" w:color="auto"/>
        <w:right w:val="none" w:sz="0" w:space="0" w:color="auto"/>
      </w:divBdr>
    </w:div>
    <w:div w:id="796022639">
      <w:bodyDiv w:val="1"/>
      <w:marLeft w:val="0"/>
      <w:marRight w:val="0"/>
      <w:marTop w:val="0"/>
      <w:marBottom w:val="0"/>
      <w:divBdr>
        <w:top w:val="none" w:sz="0" w:space="0" w:color="auto"/>
        <w:left w:val="none" w:sz="0" w:space="0" w:color="auto"/>
        <w:bottom w:val="none" w:sz="0" w:space="0" w:color="auto"/>
        <w:right w:val="none" w:sz="0" w:space="0" w:color="auto"/>
      </w:divBdr>
    </w:div>
    <w:div w:id="796414632">
      <w:bodyDiv w:val="1"/>
      <w:marLeft w:val="0"/>
      <w:marRight w:val="0"/>
      <w:marTop w:val="0"/>
      <w:marBottom w:val="0"/>
      <w:divBdr>
        <w:top w:val="none" w:sz="0" w:space="0" w:color="auto"/>
        <w:left w:val="none" w:sz="0" w:space="0" w:color="auto"/>
        <w:bottom w:val="none" w:sz="0" w:space="0" w:color="auto"/>
        <w:right w:val="none" w:sz="0" w:space="0" w:color="auto"/>
      </w:divBdr>
    </w:div>
    <w:div w:id="796485449">
      <w:bodyDiv w:val="1"/>
      <w:marLeft w:val="0"/>
      <w:marRight w:val="0"/>
      <w:marTop w:val="0"/>
      <w:marBottom w:val="0"/>
      <w:divBdr>
        <w:top w:val="none" w:sz="0" w:space="0" w:color="auto"/>
        <w:left w:val="none" w:sz="0" w:space="0" w:color="auto"/>
        <w:bottom w:val="none" w:sz="0" w:space="0" w:color="auto"/>
        <w:right w:val="none" w:sz="0" w:space="0" w:color="auto"/>
      </w:divBdr>
    </w:div>
    <w:div w:id="796679251">
      <w:bodyDiv w:val="1"/>
      <w:marLeft w:val="0"/>
      <w:marRight w:val="0"/>
      <w:marTop w:val="0"/>
      <w:marBottom w:val="0"/>
      <w:divBdr>
        <w:top w:val="none" w:sz="0" w:space="0" w:color="auto"/>
        <w:left w:val="none" w:sz="0" w:space="0" w:color="auto"/>
        <w:bottom w:val="none" w:sz="0" w:space="0" w:color="auto"/>
        <w:right w:val="none" w:sz="0" w:space="0" w:color="auto"/>
      </w:divBdr>
    </w:div>
    <w:div w:id="797525303">
      <w:bodyDiv w:val="1"/>
      <w:marLeft w:val="0"/>
      <w:marRight w:val="0"/>
      <w:marTop w:val="0"/>
      <w:marBottom w:val="0"/>
      <w:divBdr>
        <w:top w:val="none" w:sz="0" w:space="0" w:color="auto"/>
        <w:left w:val="none" w:sz="0" w:space="0" w:color="auto"/>
        <w:bottom w:val="none" w:sz="0" w:space="0" w:color="auto"/>
        <w:right w:val="none" w:sz="0" w:space="0" w:color="auto"/>
      </w:divBdr>
    </w:div>
    <w:div w:id="797525943">
      <w:bodyDiv w:val="1"/>
      <w:marLeft w:val="0"/>
      <w:marRight w:val="0"/>
      <w:marTop w:val="0"/>
      <w:marBottom w:val="0"/>
      <w:divBdr>
        <w:top w:val="none" w:sz="0" w:space="0" w:color="auto"/>
        <w:left w:val="none" w:sz="0" w:space="0" w:color="auto"/>
        <w:bottom w:val="none" w:sz="0" w:space="0" w:color="auto"/>
        <w:right w:val="none" w:sz="0" w:space="0" w:color="auto"/>
      </w:divBdr>
    </w:div>
    <w:div w:id="797533782">
      <w:bodyDiv w:val="1"/>
      <w:marLeft w:val="0"/>
      <w:marRight w:val="0"/>
      <w:marTop w:val="0"/>
      <w:marBottom w:val="0"/>
      <w:divBdr>
        <w:top w:val="none" w:sz="0" w:space="0" w:color="auto"/>
        <w:left w:val="none" w:sz="0" w:space="0" w:color="auto"/>
        <w:bottom w:val="none" w:sz="0" w:space="0" w:color="auto"/>
        <w:right w:val="none" w:sz="0" w:space="0" w:color="auto"/>
      </w:divBdr>
    </w:div>
    <w:div w:id="800809093">
      <w:bodyDiv w:val="1"/>
      <w:marLeft w:val="0"/>
      <w:marRight w:val="0"/>
      <w:marTop w:val="0"/>
      <w:marBottom w:val="0"/>
      <w:divBdr>
        <w:top w:val="none" w:sz="0" w:space="0" w:color="auto"/>
        <w:left w:val="none" w:sz="0" w:space="0" w:color="auto"/>
        <w:bottom w:val="none" w:sz="0" w:space="0" w:color="auto"/>
        <w:right w:val="none" w:sz="0" w:space="0" w:color="auto"/>
      </w:divBdr>
    </w:div>
    <w:div w:id="802312396">
      <w:bodyDiv w:val="1"/>
      <w:marLeft w:val="0"/>
      <w:marRight w:val="0"/>
      <w:marTop w:val="0"/>
      <w:marBottom w:val="0"/>
      <w:divBdr>
        <w:top w:val="none" w:sz="0" w:space="0" w:color="auto"/>
        <w:left w:val="none" w:sz="0" w:space="0" w:color="auto"/>
        <w:bottom w:val="none" w:sz="0" w:space="0" w:color="auto"/>
        <w:right w:val="none" w:sz="0" w:space="0" w:color="auto"/>
      </w:divBdr>
    </w:div>
    <w:div w:id="802428899">
      <w:bodyDiv w:val="1"/>
      <w:marLeft w:val="0"/>
      <w:marRight w:val="0"/>
      <w:marTop w:val="0"/>
      <w:marBottom w:val="0"/>
      <w:divBdr>
        <w:top w:val="none" w:sz="0" w:space="0" w:color="auto"/>
        <w:left w:val="none" w:sz="0" w:space="0" w:color="auto"/>
        <w:bottom w:val="none" w:sz="0" w:space="0" w:color="auto"/>
        <w:right w:val="none" w:sz="0" w:space="0" w:color="auto"/>
      </w:divBdr>
    </w:div>
    <w:div w:id="802431530">
      <w:bodyDiv w:val="1"/>
      <w:marLeft w:val="0"/>
      <w:marRight w:val="0"/>
      <w:marTop w:val="0"/>
      <w:marBottom w:val="0"/>
      <w:divBdr>
        <w:top w:val="none" w:sz="0" w:space="0" w:color="auto"/>
        <w:left w:val="none" w:sz="0" w:space="0" w:color="auto"/>
        <w:bottom w:val="none" w:sz="0" w:space="0" w:color="auto"/>
        <w:right w:val="none" w:sz="0" w:space="0" w:color="auto"/>
      </w:divBdr>
    </w:div>
    <w:div w:id="802700810">
      <w:bodyDiv w:val="1"/>
      <w:marLeft w:val="0"/>
      <w:marRight w:val="0"/>
      <w:marTop w:val="0"/>
      <w:marBottom w:val="0"/>
      <w:divBdr>
        <w:top w:val="none" w:sz="0" w:space="0" w:color="auto"/>
        <w:left w:val="none" w:sz="0" w:space="0" w:color="auto"/>
        <w:bottom w:val="none" w:sz="0" w:space="0" w:color="auto"/>
        <w:right w:val="none" w:sz="0" w:space="0" w:color="auto"/>
      </w:divBdr>
    </w:div>
    <w:div w:id="803084401">
      <w:bodyDiv w:val="1"/>
      <w:marLeft w:val="0"/>
      <w:marRight w:val="0"/>
      <w:marTop w:val="0"/>
      <w:marBottom w:val="0"/>
      <w:divBdr>
        <w:top w:val="none" w:sz="0" w:space="0" w:color="auto"/>
        <w:left w:val="none" w:sz="0" w:space="0" w:color="auto"/>
        <w:bottom w:val="none" w:sz="0" w:space="0" w:color="auto"/>
        <w:right w:val="none" w:sz="0" w:space="0" w:color="auto"/>
      </w:divBdr>
    </w:div>
    <w:div w:id="803350246">
      <w:bodyDiv w:val="1"/>
      <w:marLeft w:val="0"/>
      <w:marRight w:val="0"/>
      <w:marTop w:val="0"/>
      <w:marBottom w:val="0"/>
      <w:divBdr>
        <w:top w:val="none" w:sz="0" w:space="0" w:color="auto"/>
        <w:left w:val="none" w:sz="0" w:space="0" w:color="auto"/>
        <w:bottom w:val="none" w:sz="0" w:space="0" w:color="auto"/>
        <w:right w:val="none" w:sz="0" w:space="0" w:color="auto"/>
      </w:divBdr>
    </w:div>
    <w:div w:id="803618810">
      <w:bodyDiv w:val="1"/>
      <w:marLeft w:val="0"/>
      <w:marRight w:val="0"/>
      <w:marTop w:val="0"/>
      <w:marBottom w:val="0"/>
      <w:divBdr>
        <w:top w:val="none" w:sz="0" w:space="0" w:color="auto"/>
        <w:left w:val="none" w:sz="0" w:space="0" w:color="auto"/>
        <w:bottom w:val="none" w:sz="0" w:space="0" w:color="auto"/>
        <w:right w:val="none" w:sz="0" w:space="0" w:color="auto"/>
      </w:divBdr>
    </w:div>
    <w:div w:id="804814061">
      <w:bodyDiv w:val="1"/>
      <w:marLeft w:val="0"/>
      <w:marRight w:val="0"/>
      <w:marTop w:val="0"/>
      <w:marBottom w:val="0"/>
      <w:divBdr>
        <w:top w:val="none" w:sz="0" w:space="0" w:color="auto"/>
        <w:left w:val="none" w:sz="0" w:space="0" w:color="auto"/>
        <w:bottom w:val="none" w:sz="0" w:space="0" w:color="auto"/>
        <w:right w:val="none" w:sz="0" w:space="0" w:color="auto"/>
      </w:divBdr>
    </w:div>
    <w:div w:id="805391565">
      <w:bodyDiv w:val="1"/>
      <w:marLeft w:val="0"/>
      <w:marRight w:val="0"/>
      <w:marTop w:val="0"/>
      <w:marBottom w:val="0"/>
      <w:divBdr>
        <w:top w:val="none" w:sz="0" w:space="0" w:color="auto"/>
        <w:left w:val="none" w:sz="0" w:space="0" w:color="auto"/>
        <w:bottom w:val="none" w:sz="0" w:space="0" w:color="auto"/>
        <w:right w:val="none" w:sz="0" w:space="0" w:color="auto"/>
      </w:divBdr>
    </w:div>
    <w:div w:id="805927187">
      <w:bodyDiv w:val="1"/>
      <w:marLeft w:val="0"/>
      <w:marRight w:val="0"/>
      <w:marTop w:val="0"/>
      <w:marBottom w:val="0"/>
      <w:divBdr>
        <w:top w:val="none" w:sz="0" w:space="0" w:color="auto"/>
        <w:left w:val="none" w:sz="0" w:space="0" w:color="auto"/>
        <w:bottom w:val="none" w:sz="0" w:space="0" w:color="auto"/>
        <w:right w:val="none" w:sz="0" w:space="0" w:color="auto"/>
      </w:divBdr>
    </w:div>
    <w:div w:id="805928356">
      <w:bodyDiv w:val="1"/>
      <w:marLeft w:val="0"/>
      <w:marRight w:val="0"/>
      <w:marTop w:val="0"/>
      <w:marBottom w:val="0"/>
      <w:divBdr>
        <w:top w:val="none" w:sz="0" w:space="0" w:color="auto"/>
        <w:left w:val="none" w:sz="0" w:space="0" w:color="auto"/>
        <w:bottom w:val="none" w:sz="0" w:space="0" w:color="auto"/>
        <w:right w:val="none" w:sz="0" w:space="0" w:color="auto"/>
      </w:divBdr>
    </w:div>
    <w:div w:id="806122022">
      <w:bodyDiv w:val="1"/>
      <w:marLeft w:val="0"/>
      <w:marRight w:val="0"/>
      <w:marTop w:val="0"/>
      <w:marBottom w:val="0"/>
      <w:divBdr>
        <w:top w:val="none" w:sz="0" w:space="0" w:color="auto"/>
        <w:left w:val="none" w:sz="0" w:space="0" w:color="auto"/>
        <w:bottom w:val="none" w:sz="0" w:space="0" w:color="auto"/>
        <w:right w:val="none" w:sz="0" w:space="0" w:color="auto"/>
      </w:divBdr>
    </w:div>
    <w:div w:id="806627881">
      <w:bodyDiv w:val="1"/>
      <w:marLeft w:val="0"/>
      <w:marRight w:val="0"/>
      <w:marTop w:val="0"/>
      <w:marBottom w:val="0"/>
      <w:divBdr>
        <w:top w:val="none" w:sz="0" w:space="0" w:color="auto"/>
        <w:left w:val="none" w:sz="0" w:space="0" w:color="auto"/>
        <w:bottom w:val="none" w:sz="0" w:space="0" w:color="auto"/>
        <w:right w:val="none" w:sz="0" w:space="0" w:color="auto"/>
      </w:divBdr>
    </w:div>
    <w:div w:id="808396020">
      <w:bodyDiv w:val="1"/>
      <w:marLeft w:val="0"/>
      <w:marRight w:val="0"/>
      <w:marTop w:val="0"/>
      <w:marBottom w:val="0"/>
      <w:divBdr>
        <w:top w:val="none" w:sz="0" w:space="0" w:color="auto"/>
        <w:left w:val="none" w:sz="0" w:space="0" w:color="auto"/>
        <w:bottom w:val="none" w:sz="0" w:space="0" w:color="auto"/>
        <w:right w:val="none" w:sz="0" w:space="0" w:color="auto"/>
      </w:divBdr>
    </w:div>
    <w:div w:id="808937788">
      <w:bodyDiv w:val="1"/>
      <w:marLeft w:val="0"/>
      <w:marRight w:val="0"/>
      <w:marTop w:val="0"/>
      <w:marBottom w:val="0"/>
      <w:divBdr>
        <w:top w:val="none" w:sz="0" w:space="0" w:color="auto"/>
        <w:left w:val="none" w:sz="0" w:space="0" w:color="auto"/>
        <w:bottom w:val="none" w:sz="0" w:space="0" w:color="auto"/>
        <w:right w:val="none" w:sz="0" w:space="0" w:color="auto"/>
      </w:divBdr>
    </w:div>
    <w:div w:id="809707657">
      <w:bodyDiv w:val="1"/>
      <w:marLeft w:val="0"/>
      <w:marRight w:val="0"/>
      <w:marTop w:val="0"/>
      <w:marBottom w:val="0"/>
      <w:divBdr>
        <w:top w:val="none" w:sz="0" w:space="0" w:color="auto"/>
        <w:left w:val="none" w:sz="0" w:space="0" w:color="auto"/>
        <w:bottom w:val="none" w:sz="0" w:space="0" w:color="auto"/>
        <w:right w:val="none" w:sz="0" w:space="0" w:color="auto"/>
      </w:divBdr>
    </w:div>
    <w:div w:id="810057025">
      <w:bodyDiv w:val="1"/>
      <w:marLeft w:val="0"/>
      <w:marRight w:val="0"/>
      <w:marTop w:val="0"/>
      <w:marBottom w:val="0"/>
      <w:divBdr>
        <w:top w:val="none" w:sz="0" w:space="0" w:color="auto"/>
        <w:left w:val="none" w:sz="0" w:space="0" w:color="auto"/>
        <w:bottom w:val="none" w:sz="0" w:space="0" w:color="auto"/>
        <w:right w:val="none" w:sz="0" w:space="0" w:color="auto"/>
      </w:divBdr>
    </w:div>
    <w:div w:id="810174807">
      <w:bodyDiv w:val="1"/>
      <w:marLeft w:val="0"/>
      <w:marRight w:val="0"/>
      <w:marTop w:val="0"/>
      <w:marBottom w:val="0"/>
      <w:divBdr>
        <w:top w:val="none" w:sz="0" w:space="0" w:color="auto"/>
        <w:left w:val="none" w:sz="0" w:space="0" w:color="auto"/>
        <w:bottom w:val="none" w:sz="0" w:space="0" w:color="auto"/>
        <w:right w:val="none" w:sz="0" w:space="0" w:color="auto"/>
      </w:divBdr>
    </w:div>
    <w:div w:id="810748645">
      <w:bodyDiv w:val="1"/>
      <w:marLeft w:val="0"/>
      <w:marRight w:val="0"/>
      <w:marTop w:val="0"/>
      <w:marBottom w:val="0"/>
      <w:divBdr>
        <w:top w:val="none" w:sz="0" w:space="0" w:color="auto"/>
        <w:left w:val="none" w:sz="0" w:space="0" w:color="auto"/>
        <w:bottom w:val="none" w:sz="0" w:space="0" w:color="auto"/>
        <w:right w:val="none" w:sz="0" w:space="0" w:color="auto"/>
      </w:divBdr>
    </w:div>
    <w:div w:id="810899998">
      <w:bodyDiv w:val="1"/>
      <w:marLeft w:val="0"/>
      <w:marRight w:val="0"/>
      <w:marTop w:val="0"/>
      <w:marBottom w:val="0"/>
      <w:divBdr>
        <w:top w:val="none" w:sz="0" w:space="0" w:color="auto"/>
        <w:left w:val="none" w:sz="0" w:space="0" w:color="auto"/>
        <w:bottom w:val="none" w:sz="0" w:space="0" w:color="auto"/>
        <w:right w:val="none" w:sz="0" w:space="0" w:color="auto"/>
      </w:divBdr>
    </w:div>
    <w:div w:id="811798771">
      <w:bodyDiv w:val="1"/>
      <w:marLeft w:val="0"/>
      <w:marRight w:val="0"/>
      <w:marTop w:val="0"/>
      <w:marBottom w:val="0"/>
      <w:divBdr>
        <w:top w:val="none" w:sz="0" w:space="0" w:color="auto"/>
        <w:left w:val="none" w:sz="0" w:space="0" w:color="auto"/>
        <w:bottom w:val="none" w:sz="0" w:space="0" w:color="auto"/>
        <w:right w:val="none" w:sz="0" w:space="0" w:color="auto"/>
      </w:divBdr>
    </w:div>
    <w:div w:id="812596629">
      <w:bodyDiv w:val="1"/>
      <w:marLeft w:val="0"/>
      <w:marRight w:val="0"/>
      <w:marTop w:val="0"/>
      <w:marBottom w:val="0"/>
      <w:divBdr>
        <w:top w:val="none" w:sz="0" w:space="0" w:color="auto"/>
        <w:left w:val="none" w:sz="0" w:space="0" w:color="auto"/>
        <w:bottom w:val="none" w:sz="0" w:space="0" w:color="auto"/>
        <w:right w:val="none" w:sz="0" w:space="0" w:color="auto"/>
      </w:divBdr>
    </w:div>
    <w:div w:id="812992502">
      <w:bodyDiv w:val="1"/>
      <w:marLeft w:val="0"/>
      <w:marRight w:val="0"/>
      <w:marTop w:val="0"/>
      <w:marBottom w:val="0"/>
      <w:divBdr>
        <w:top w:val="none" w:sz="0" w:space="0" w:color="auto"/>
        <w:left w:val="none" w:sz="0" w:space="0" w:color="auto"/>
        <w:bottom w:val="none" w:sz="0" w:space="0" w:color="auto"/>
        <w:right w:val="none" w:sz="0" w:space="0" w:color="auto"/>
      </w:divBdr>
    </w:div>
    <w:div w:id="814957830">
      <w:bodyDiv w:val="1"/>
      <w:marLeft w:val="0"/>
      <w:marRight w:val="0"/>
      <w:marTop w:val="0"/>
      <w:marBottom w:val="0"/>
      <w:divBdr>
        <w:top w:val="none" w:sz="0" w:space="0" w:color="auto"/>
        <w:left w:val="none" w:sz="0" w:space="0" w:color="auto"/>
        <w:bottom w:val="none" w:sz="0" w:space="0" w:color="auto"/>
        <w:right w:val="none" w:sz="0" w:space="0" w:color="auto"/>
      </w:divBdr>
    </w:div>
    <w:div w:id="815680671">
      <w:bodyDiv w:val="1"/>
      <w:marLeft w:val="0"/>
      <w:marRight w:val="0"/>
      <w:marTop w:val="0"/>
      <w:marBottom w:val="0"/>
      <w:divBdr>
        <w:top w:val="none" w:sz="0" w:space="0" w:color="auto"/>
        <w:left w:val="none" w:sz="0" w:space="0" w:color="auto"/>
        <w:bottom w:val="none" w:sz="0" w:space="0" w:color="auto"/>
        <w:right w:val="none" w:sz="0" w:space="0" w:color="auto"/>
      </w:divBdr>
    </w:div>
    <w:div w:id="816067367">
      <w:bodyDiv w:val="1"/>
      <w:marLeft w:val="0"/>
      <w:marRight w:val="0"/>
      <w:marTop w:val="0"/>
      <w:marBottom w:val="0"/>
      <w:divBdr>
        <w:top w:val="none" w:sz="0" w:space="0" w:color="auto"/>
        <w:left w:val="none" w:sz="0" w:space="0" w:color="auto"/>
        <w:bottom w:val="none" w:sz="0" w:space="0" w:color="auto"/>
        <w:right w:val="none" w:sz="0" w:space="0" w:color="auto"/>
      </w:divBdr>
    </w:div>
    <w:div w:id="816382415">
      <w:bodyDiv w:val="1"/>
      <w:marLeft w:val="0"/>
      <w:marRight w:val="0"/>
      <w:marTop w:val="0"/>
      <w:marBottom w:val="0"/>
      <w:divBdr>
        <w:top w:val="none" w:sz="0" w:space="0" w:color="auto"/>
        <w:left w:val="none" w:sz="0" w:space="0" w:color="auto"/>
        <w:bottom w:val="none" w:sz="0" w:space="0" w:color="auto"/>
        <w:right w:val="none" w:sz="0" w:space="0" w:color="auto"/>
      </w:divBdr>
    </w:div>
    <w:div w:id="816844597">
      <w:bodyDiv w:val="1"/>
      <w:marLeft w:val="0"/>
      <w:marRight w:val="0"/>
      <w:marTop w:val="0"/>
      <w:marBottom w:val="0"/>
      <w:divBdr>
        <w:top w:val="none" w:sz="0" w:space="0" w:color="auto"/>
        <w:left w:val="none" w:sz="0" w:space="0" w:color="auto"/>
        <w:bottom w:val="none" w:sz="0" w:space="0" w:color="auto"/>
        <w:right w:val="none" w:sz="0" w:space="0" w:color="auto"/>
      </w:divBdr>
    </w:div>
    <w:div w:id="817258684">
      <w:bodyDiv w:val="1"/>
      <w:marLeft w:val="0"/>
      <w:marRight w:val="0"/>
      <w:marTop w:val="0"/>
      <w:marBottom w:val="0"/>
      <w:divBdr>
        <w:top w:val="none" w:sz="0" w:space="0" w:color="auto"/>
        <w:left w:val="none" w:sz="0" w:space="0" w:color="auto"/>
        <w:bottom w:val="none" w:sz="0" w:space="0" w:color="auto"/>
        <w:right w:val="none" w:sz="0" w:space="0" w:color="auto"/>
      </w:divBdr>
    </w:div>
    <w:div w:id="817309402">
      <w:bodyDiv w:val="1"/>
      <w:marLeft w:val="0"/>
      <w:marRight w:val="0"/>
      <w:marTop w:val="0"/>
      <w:marBottom w:val="0"/>
      <w:divBdr>
        <w:top w:val="none" w:sz="0" w:space="0" w:color="auto"/>
        <w:left w:val="none" w:sz="0" w:space="0" w:color="auto"/>
        <w:bottom w:val="none" w:sz="0" w:space="0" w:color="auto"/>
        <w:right w:val="none" w:sz="0" w:space="0" w:color="auto"/>
      </w:divBdr>
    </w:div>
    <w:div w:id="817458091">
      <w:bodyDiv w:val="1"/>
      <w:marLeft w:val="0"/>
      <w:marRight w:val="0"/>
      <w:marTop w:val="0"/>
      <w:marBottom w:val="0"/>
      <w:divBdr>
        <w:top w:val="none" w:sz="0" w:space="0" w:color="auto"/>
        <w:left w:val="none" w:sz="0" w:space="0" w:color="auto"/>
        <w:bottom w:val="none" w:sz="0" w:space="0" w:color="auto"/>
        <w:right w:val="none" w:sz="0" w:space="0" w:color="auto"/>
      </w:divBdr>
    </w:div>
    <w:div w:id="817724021">
      <w:bodyDiv w:val="1"/>
      <w:marLeft w:val="0"/>
      <w:marRight w:val="0"/>
      <w:marTop w:val="0"/>
      <w:marBottom w:val="0"/>
      <w:divBdr>
        <w:top w:val="none" w:sz="0" w:space="0" w:color="auto"/>
        <w:left w:val="none" w:sz="0" w:space="0" w:color="auto"/>
        <w:bottom w:val="none" w:sz="0" w:space="0" w:color="auto"/>
        <w:right w:val="none" w:sz="0" w:space="0" w:color="auto"/>
      </w:divBdr>
    </w:div>
    <w:div w:id="818114797">
      <w:bodyDiv w:val="1"/>
      <w:marLeft w:val="0"/>
      <w:marRight w:val="0"/>
      <w:marTop w:val="0"/>
      <w:marBottom w:val="0"/>
      <w:divBdr>
        <w:top w:val="none" w:sz="0" w:space="0" w:color="auto"/>
        <w:left w:val="none" w:sz="0" w:space="0" w:color="auto"/>
        <w:bottom w:val="none" w:sz="0" w:space="0" w:color="auto"/>
        <w:right w:val="none" w:sz="0" w:space="0" w:color="auto"/>
      </w:divBdr>
    </w:div>
    <w:div w:id="818575581">
      <w:bodyDiv w:val="1"/>
      <w:marLeft w:val="0"/>
      <w:marRight w:val="0"/>
      <w:marTop w:val="0"/>
      <w:marBottom w:val="0"/>
      <w:divBdr>
        <w:top w:val="none" w:sz="0" w:space="0" w:color="auto"/>
        <w:left w:val="none" w:sz="0" w:space="0" w:color="auto"/>
        <w:bottom w:val="none" w:sz="0" w:space="0" w:color="auto"/>
        <w:right w:val="none" w:sz="0" w:space="0" w:color="auto"/>
      </w:divBdr>
    </w:div>
    <w:div w:id="819033067">
      <w:bodyDiv w:val="1"/>
      <w:marLeft w:val="0"/>
      <w:marRight w:val="0"/>
      <w:marTop w:val="0"/>
      <w:marBottom w:val="0"/>
      <w:divBdr>
        <w:top w:val="none" w:sz="0" w:space="0" w:color="auto"/>
        <w:left w:val="none" w:sz="0" w:space="0" w:color="auto"/>
        <w:bottom w:val="none" w:sz="0" w:space="0" w:color="auto"/>
        <w:right w:val="none" w:sz="0" w:space="0" w:color="auto"/>
      </w:divBdr>
    </w:div>
    <w:div w:id="819733215">
      <w:bodyDiv w:val="1"/>
      <w:marLeft w:val="0"/>
      <w:marRight w:val="0"/>
      <w:marTop w:val="0"/>
      <w:marBottom w:val="0"/>
      <w:divBdr>
        <w:top w:val="none" w:sz="0" w:space="0" w:color="auto"/>
        <w:left w:val="none" w:sz="0" w:space="0" w:color="auto"/>
        <w:bottom w:val="none" w:sz="0" w:space="0" w:color="auto"/>
        <w:right w:val="none" w:sz="0" w:space="0" w:color="auto"/>
      </w:divBdr>
    </w:div>
    <w:div w:id="819885740">
      <w:bodyDiv w:val="1"/>
      <w:marLeft w:val="0"/>
      <w:marRight w:val="0"/>
      <w:marTop w:val="0"/>
      <w:marBottom w:val="0"/>
      <w:divBdr>
        <w:top w:val="none" w:sz="0" w:space="0" w:color="auto"/>
        <w:left w:val="none" w:sz="0" w:space="0" w:color="auto"/>
        <w:bottom w:val="none" w:sz="0" w:space="0" w:color="auto"/>
        <w:right w:val="none" w:sz="0" w:space="0" w:color="auto"/>
      </w:divBdr>
    </w:div>
    <w:div w:id="819924943">
      <w:bodyDiv w:val="1"/>
      <w:marLeft w:val="0"/>
      <w:marRight w:val="0"/>
      <w:marTop w:val="0"/>
      <w:marBottom w:val="0"/>
      <w:divBdr>
        <w:top w:val="none" w:sz="0" w:space="0" w:color="auto"/>
        <w:left w:val="none" w:sz="0" w:space="0" w:color="auto"/>
        <w:bottom w:val="none" w:sz="0" w:space="0" w:color="auto"/>
        <w:right w:val="none" w:sz="0" w:space="0" w:color="auto"/>
      </w:divBdr>
    </w:div>
    <w:div w:id="820148968">
      <w:bodyDiv w:val="1"/>
      <w:marLeft w:val="0"/>
      <w:marRight w:val="0"/>
      <w:marTop w:val="0"/>
      <w:marBottom w:val="0"/>
      <w:divBdr>
        <w:top w:val="none" w:sz="0" w:space="0" w:color="auto"/>
        <w:left w:val="none" w:sz="0" w:space="0" w:color="auto"/>
        <w:bottom w:val="none" w:sz="0" w:space="0" w:color="auto"/>
        <w:right w:val="none" w:sz="0" w:space="0" w:color="auto"/>
      </w:divBdr>
    </w:div>
    <w:div w:id="820469080">
      <w:bodyDiv w:val="1"/>
      <w:marLeft w:val="0"/>
      <w:marRight w:val="0"/>
      <w:marTop w:val="0"/>
      <w:marBottom w:val="0"/>
      <w:divBdr>
        <w:top w:val="none" w:sz="0" w:space="0" w:color="auto"/>
        <w:left w:val="none" w:sz="0" w:space="0" w:color="auto"/>
        <w:bottom w:val="none" w:sz="0" w:space="0" w:color="auto"/>
        <w:right w:val="none" w:sz="0" w:space="0" w:color="auto"/>
      </w:divBdr>
    </w:div>
    <w:div w:id="820653028">
      <w:bodyDiv w:val="1"/>
      <w:marLeft w:val="0"/>
      <w:marRight w:val="0"/>
      <w:marTop w:val="0"/>
      <w:marBottom w:val="0"/>
      <w:divBdr>
        <w:top w:val="none" w:sz="0" w:space="0" w:color="auto"/>
        <w:left w:val="none" w:sz="0" w:space="0" w:color="auto"/>
        <w:bottom w:val="none" w:sz="0" w:space="0" w:color="auto"/>
        <w:right w:val="none" w:sz="0" w:space="0" w:color="auto"/>
      </w:divBdr>
    </w:div>
    <w:div w:id="820729274">
      <w:bodyDiv w:val="1"/>
      <w:marLeft w:val="0"/>
      <w:marRight w:val="0"/>
      <w:marTop w:val="0"/>
      <w:marBottom w:val="0"/>
      <w:divBdr>
        <w:top w:val="none" w:sz="0" w:space="0" w:color="auto"/>
        <w:left w:val="none" w:sz="0" w:space="0" w:color="auto"/>
        <w:bottom w:val="none" w:sz="0" w:space="0" w:color="auto"/>
        <w:right w:val="none" w:sz="0" w:space="0" w:color="auto"/>
      </w:divBdr>
    </w:div>
    <w:div w:id="821505246">
      <w:bodyDiv w:val="1"/>
      <w:marLeft w:val="0"/>
      <w:marRight w:val="0"/>
      <w:marTop w:val="0"/>
      <w:marBottom w:val="0"/>
      <w:divBdr>
        <w:top w:val="none" w:sz="0" w:space="0" w:color="auto"/>
        <w:left w:val="none" w:sz="0" w:space="0" w:color="auto"/>
        <w:bottom w:val="none" w:sz="0" w:space="0" w:color="auto"/>
        <w:right w:val="none" w:sz="0" w:space="0" w:color="auto"/>
      </w:divBdr>
    </w:div>
    <w:div w:id="821700969">
      <w:bodyDiv w:val="1"/>
      <w:marLeft w:val="0"/>
      <w:marRight w:val="0"/>
      <w:marTop w:val="0"/>
      <w:marBottom w:val="0"/>
      <w:divBdr>
        <w:top w:val="none" w:sz="0" w:space="0" w:color="auto"/>
        <w:left w:val="none" w:sz="0" w:space="0" w:color="auto"/>
        <w:bottom w:val="none" w:sz="0" w:space="0" w:color="auto"/>
        <w:right w:val="none" w:sz="0" w:space="0" w:color="auto"/>
      </w:divBdr>
    </w:div>
    <w:div w:id="821968790">
      <w:bodyDiv w:val="1"/>
      <w:marLeft w:val="0"/>
      <w:marRight w:val="0"/>
      <w:marTop w:val="0"/>
      <w:marBottom w:val="0"/>
      <w:divBdr>
        <w:top w:val="none" w:sz="0" w:space="0" w:color="auto"/>
        <w:left w:val="none" w:sz="0" w:space="0" w:color="auto"/>
        <w:bottom w:val="none" w:sz="0" w:space="0" w:color="auto"/>
        <w:right w:val="none" w:sz="0" w:space="0" w:color="auto"/>
      </w:divBdr>
    </w:div>
    <w:div w:id="822087738">
      <w:bodyDiv w:val="1"/>
      <w:marLeft w:val="0"/>
      <w:marRight w:val="0"/>
      <w:marTop w:val="0"/>
      <w:marBottom w:val="0"/>
      <w:divBdr>
        <w:top w:val="none" w:sz="0" w:space="0" w:color="auto"/>
        <w:left w:val="none" w:sz="0" w:space="0" w:color="auto"/>
        <w:bottom w:val="none" w:sz="0" w:space="0" w:color="auto"/>
        <w:right w:val="none" w:sz="0" w:space="0" w:color="auto"/>
      </w:divBdr>
    </w:div>
    <w:div w:id="822350691">
      <w:bodyDiv w:val="1"/>
      <w:marLeft w:val="0"/>
      <w:marRight w:val="0"/>
      <w:marTop w:val="0"/>
      <w:marBottom w:val="0"/>
      <w:divBdr>
        <w:top w:val="none" w:sz="0" w:space="0" w:color="auto"/>
        <w:left w:val="none" w:sz="0" w:space="0" w:color="auto"/>
        <w:bottom w:val="none" w:sz="0" w:space="0" w:color="auto"/>
        <w:right w:val="none" w:sz="0" w:space="0" w:color="auto"/>
      </w:divBdr>
    </w:div>
    <w:div w:id="822429223">
      <w:bodyDiv w:val="1"/>
      <w:marLeft w:val="0"/>
      <w:marRight w:val="0"/>
      <w:marTop w:val="0"/>
      <w:marBottom w:val="0"/>
      <w:divBdr>
        <w:top w:val="none" w:sz="0" w:space="0" w:color="auto"/>
        <w:left w:val="none" w:sz="0" w:space="0" w:color="auto"/>
        <w:bottom w:val="none" w:sz="0" w:space="0" w:color="auto"/>
        <w:right w:val="none" w:sz="0" w:space="0" w:color="auto"/>
      </w:divBdr>
    </w:div>
    <w:div w:id="825048406">
      <w:bodyDiv w:val="1"/>
      <w:marLeft w:val="0"/>
      <w:marRight w:val="0"/>
      <w:marTop w:val="0"/>
      <w:marBottom w:val="0"/>
      <w:divBdr>
        <w:top w:val="none" w:sz="0" w:space="0" w:color="auto"/>
        <w:left w:val="none" w:sz="0" w:space="0" w:color="auto"/>
        <w:bottom w:val="none" w:sz="0" w:space="0" w:color="auto"/>
        <w:right w:val="none" w:sz="0" w:space="0" w:color="auto"/>
      </w:divBdr>
    </w:div>
    <w:div w:id="826366539">
      <w:bodyDiv w:val="1"/>
      <w:marLeft w:val="0"/>
      <w:marRight w:val="0"/>
      <w:marTop w:val="0"/>
      <w:marBottom w:val="0"/>
      <w:divBdr>
        <w:top w:val="none" w:sz="0" w:space="0" w:color="auto"/>
        <w:left w:val="none" w:sz="0" w:space="0" w:color="auto"/>
        <w:bottom w:val="none" w:sz="0" w:space="0" w:color="auto"/>
        <w:right w:val="none" w:sz="0" w:space="0" w:color="auto"/>
      </w:divBdr>
    </w:div>
    <w:div w:id="826558461">
      <w:bodyDiv w:val="1"/>
      <w:marLeft w:val="0"/>
      <w:marRight w:val="0"/>
      <w:marTop w:val="0"/>
      <w:marBottom w:val="0"/>
      <w:divBdr>
        <w:top w:val="none" w:sz="0" w:space="0" w:color="auto"/>
        <w:left w:val="none" w:sz="0" w:space="0" w:color="auto"/>
        <w:bottom w:val="none" w:sz="0" w:space="0" w:color="auto"/>
        <w:right w:val="none" w:sz="0" w:space="0" w:color="auto"/>
      </w:divBdr>
    </w:div>
    <w:div w:id="827014444">
      <w:bodyDiv w:val="1"/>
      <w:marLeft w:val="0"/>
      <w:marRight w:val="0"/>
      <w:marTop w:val="0"/>
      <w:marBottom w:val="0"/>
      <w:divBdr>
        <w:top w:val="none" w:sz="0" w:space="0" w:color="auto"/>
        <w:left w:val="none" w:sz="0" w:space="0" w:color="auto"/>
        <w:bottom w:val="none" w:sz="0" w:space="0" w:color="auto"/>
        <w:right w:val="none" w:sz="0" w:space="0" w:color="auto"/>
      </w:divBdr>
    </w:div>
    <w:div w:id="827284712">
      <w:bodyDiv w:val="1"/>
      <w:marLeft w:val="0"/>
      <w:marRight w:val="0"/>
      <w:marTop w:val="0"/>
      <w:marBottom w:val="0"/>
      <w:divBdr>
        <w:top w:val="none" w:sz="0" w:space="0" w:color="auto"/>
        <w:left w:val="none" w:sz="0" w:space="0" w:color="auto"/>
        <w:bottom w:val="none" w:sz="0" w:space="0" w:color="auto"/>
        <w:right w:val="none" w:sz="0" w:space="0" w:color="auto"/>
      </w:divBdr>
    </w:div>
    <w:div w:id="828987429">
      <w:bodyDiv w:val="1"/>
      <w:marLeft w:val="0"/>
      <w:marRight w:val="0"/>
      <w:marTop w:val="0"/>
      <w:marBottom w:val="0"/>
      <w:divBdr>
        <w:top w:val="none" w:sz="0" w:space="0" w:color="auto"/>
        <w:left w:val="none" w:sz="0" w:space="0" w:color="auto"/>
        <w:bottom w:val="none" w:sz="0" w:space="0" w:color="auto"/>
        <w:right w:val="none" w:sz="0" w:space="0" w:color="auto"/>
      </w:divBdr>
    </w:div>
    <w:div w:id="829903792">
      <w:bodyDiv w:val="1"/>
      <w:marLeft w:val="0"/>
      <w:marRight w:val="0"/>
      <w:marTop w:val="0"/>
      <w:marBottom w:val="0"/>
      <w:divBdr>
        <w:top w:val="none" w:sz="0" w:space="0" w:color="auto"/>
        <w:left w:val="none" w:sz="0" w:space="0" w:color="auto"/>
        <w:bottom w:val="none" w:sz="0" w:space="0" w:color="auto"/>
        <w:right w:val="none" w:sz="0" w:space="0" w:color="auto"/>
      </w:divBdr>
    </w:div>
    <w:div w:id="830170660">
      <w:bodyDiv w:val="1"/>
      <w:marLeft w:val="0"/>
      <w:marRight w:val="0"/>
      <w:marTop w:val="0"/>
      <w:marBottom w:val="0"/>
      <w:divBdr>
        <w:top w:val="none" w:sz="0" w:space="0" w:color="auto"/>
        <w:left w:val="none" w:sz="0" w:space="0" w:color="auto"/>
        <w:bottom w:val="none" w:sz="0" w:space="0" w:color="auto"/>
        <w:right w:val="none" w:sz="0" w:space="0" w:color="auto"/>
      </w:divBdr>
    </w:div>
    <w:div w:id="831289524">
      <w:bodyDiv w:val="1"/>
      <w:marLeft w:val="0"/>
      <w:marRight w:val="0"/>
      <w:marTop w:val="0"/>
      <w:marBottom w:val="0"/>
      <w:divBdr>
        <w:top w:val="none" w:sz="0" w:space="0" w:color="auto"/>
        <w:left w:val="none" w:sz="0" w:space="0" w:color="auto"/>
        <w:bottom w:val="none" w:sz="0" w:space="0" w:color="auto"/>
        <w:right w:val="none" w:sz="0" w:space="0" w:color="auto"/>
      </w:divBdr>
    </w:div>
    <w:div w:id="831414377">
      <w:bodyDiv w:val="1"/>
      <w:marLeft w:val="0"/>
      <w:marRight w:val="0"/>
      <w:marTop w:val="0"/>
      <w:marBottom w:val="0"/>
      <w:divBdr>
        <w:top w:val="none" w:sz="0" w:space="0" w:color="auto"/>
        <w:left w:val="none" w:sz="0" w:space="0" w:color="auto"/>
        <w:bottom w:val="none" w:sz="0" w:space="0" w:color="auto"/>
        <w:right w:val="none" w:sz="0" w:space="0" w:color="auto"/>
      </w:divBdr>
    </w:div>
    <w:div w:id="831608222">
      <w:bodyDiv w:val="1"/>
      <w:marLeft w:val="0"/>
      <w:marRight w:val="0"/>
      <w:marTop w:val="0"/>
      <w:marBottom w:val="0"/>
      <w:divBdr>
        <w:top w:val="none" w:sz="0" w:space="0" w:color="auto"/>
        <w:left w:val="none" w:sz="0" w:space="0" w:color="auto"/>
        <w:bottom w:val="none" w:sz="0" w:space="0" w:color="auto"/>
        <w:right w:val="none" w:sz="0" w:space="0" w:color="auto"/>
      </w:divBdr>
    </w:div>
    <w:div w:id="831872779">
      <w:bodyDiv w:val="1"/>
      <w:marLeft w:val="0"/>
      <w:marRight w:val="0"/>
      <w:marTop w:val="0"/>
      <w:marBottom w:val="0"/>
      <w:divBdr>
        <w:top w:val="none" w:sz="0" w:space="0" w:color="auto"/>
        <w:left w:val="none" w:sz="0" w:space="0" w:color="auto"/>
        <w:bottom w:val="none" w:sz="0" w:space="0" w:color="auto"/>
        <w:right w:val="none" w:sz="0" w:space="0" w:color="auto"/>
      </w:divBdr>
    </w:div>
    <w:div w:id="832912051">
      <w:bodyDiv w:val="1"/>
      <w:marLeft w:val="0"/>
      <w:marRight w:val="0"/>
      <w:marTop w:val="0"/>
      <w:marBottom w:val="0"/>
      <w:divBdr>
        <w:top w:val="none" w:sz="0" w:space="0" w:color="auto"/>
        <w:left w:val="none" w:sz="0" w:space="0" w:color="auto"/>
        <w:bottom w:val="none" w:sz="0" w:space="0" w:color="auto"/>
        <w:right w:val="none" w:sz="0" w:space="0" w:color="auto"/>
      </w:divBdr>
    </w:div>
    <w:div w:id="834149086">
      <w:bodyDiv w:val="1"/>
      <w:marLeft w:val="0"/>
      <w:marRight w:val="0"/>
      <w:marTop w:val="0"/>
      <w:marBottom w:val="0"/>
      <w:divBdr>
        <w:top w:val="none" w:sz="0" w:space="0" w:color="auto"/>
        <w:left w:val="none" w:sz="0" w:space="0" w:color="auto"/>
        <w:bottom w:val="none" w:sz="0" w:space="0" w:color="auto"/>
        <w:right w:val="none" w:sz="0" w:space="0" w:color="auto"/>
      </w:divBdr>
    </w:div>
    <w:div w:id="835342280">
      <w:bodyDiv w:val="1"/>
      <w:marLeft w:val="0"/>
      <w:marRight w:val="0"/>
      <w:marTop w:val="0"/>
      <w:marBottom w:val="0"/>
      <w:divBdr>
        <w:top w:val="none" w:sz="0" w:space="0" w:color="auto"/>
        <w:left w:val="none" w:sz="0" w:space="0" w:color="auto"/>
        <w:bottom w:val="none" w:sz="0" w:space="0" w:color="auto"/>
        <w:right w:val="none" w:sz="0" w:space="0" w:color="auto"/>
      </w:divBdr>
    </w:div>
    <w:div w:id="835807097">
      <w:bodyDiv w:val="1"/>
      <w:marLeft w:val="0"/>
      <w:marRight w:val="0"/>
      <w:marTop w:val="0"/>
      <w:marBottom w:val="0"/>
      <w:divBdr>
        <w:top w:val="none" w:sz="0" w:space="0" w:color="auto"/>
        <w:left w:val="none" w:sz="0" w:space="0" w:color="auto"/>
        <w:bottom w:val="none" w:sz="0" w:space="0" w:color="auto"/>
        <w:right w:val="none" w:sz="0" w:space="0" w:color="auto"/>
      </w:divBdr>
    </w:div>
    <w:div w:id="836654465">
      <w:bodyDiv w:val="1"/>
      <w:marLeft w:val="0"/>
      <w:marRight w:val="0"/>
      <w:marTop w:val="0"/>
      <w:marBottom w:val="0"/>
      <w:divBdr>
        <w:top w:val="none" w:sz="0" w:space="0" w:color="auto"/>
        <w:left w:val="none" w:sz="0" w:space="0" w:color="auto"/>
        <w:bottom w:val="none" w:sz="0" w:space="0" w:color="auto"/>
        <w:right w:val="none" w:sz="0" w:space="0" w:color="auto"/>
      </w:divBdr>
    </w:div>
    <w:div w:id="837891550">
      <w:bodyDiv w:val="1"/>
      <w:marLeft w:val="0"/>
      <w:marRight w:val="0"/>
      <w:marTop w:val="0"/>
      <w:marBottom w:val="0"/>
      <w:divBdr>
        <w:top w:val="none" w:sz="0" w:space="0" w:color="auto"/>
        <w:left w:val="none" w:sz="0" w:space="0" w:color="auto"/>
        <w:bottom w:val="none" w:sz="0" w:space="0" w:color="auto"/>
        <w:right w:val="none" w:sz="0" w:space="0" w:color="auto"/>
      </w:divBdr>
    </w:div>
    <w:div w:id="839272036">
      <w:bodyDiv w:val="1"/>
      <w:marLeft w:val="0"/>
      <w:marRight w:val="0"/>
      <w:marTop w:val="0"/>
      <w:marBottom w:val="0"/>
      <w:divBdr>
        <w:top w:val="none" w:sz="0" w:space="0" w:color="auto"/>
        <w:left w:val="none" w:sz="0" w:space="0" w:color="auto"/>
        <w:bottom w:val="none" w:sz="0" w:space="0" w:color="auto"/>
        <w:right w:val="none" w:sz="0" w:space="0" w:color="auto"/>
      </w:divBdr>
    </w:div>
    <w:div w:id="840390335">
      <w:bodyDiv w:val="1"/>
      <w:marLeft w:val="0"/>
      <w:marRight w:val="0"/>
      <w:marTop w:val="0"/>
      <w:marBottom w:val="0"/>
      <w:divBdr>
        <w:top w:val="none" w:sz="0" w:space="0" w:color="auto"/>
        <w:left w:val="none" w:sz="0" w:space="0" w:color="auto"/>
        <w:bottom w:val="none" w:sz="0" w:space="0" w:color="auto"/>
        <w:right w:val="none" w:sz="0" w:space="0" w:color="auto"/>
      </w:divBdr>
    </w:div>
    <w:div w:id="840855767">
      <w:bodyDiv w:val="1"/>
      <w:marLeft w:val="0"/>
      <w:marRight w:val="0"/>
      <w:marTop w:val="0"/>
      <w:marBottom w:val="0"/>
      <w:divBdr>
        <w:top w:val="none" w:sz="0" w:space="0" w:color="auto"/>
        <w:left w:val="none" w:sz="0" w:space="0" w:color="auto"/>
        <w:bottom w:val="none" w:sz="0" w:space="0" w:color="auto"/>
        <w:right w:val="none" w:sz="0" w:space="0" w:color="auto"/>
      </w:divBdr>
    </w:div>
    <w:div w:id="841358593">
      <w:bodyDiv w:val="1"/>
      <w:marLeft w:val="0"/>
      <w:marRight w:val="0"/>
      <w:marTop w:val="0"/>
      <w:marBottom w:val="0"/>
      <w:divBdr>
        <w:top w:val="none" w:sz="0" w:space="0" w:color="auto"/>
        <w:left w:val="none" w:sz="0" w:space="0" w:color="auto"/>
        <w:bottom w:val="none" w:sz="0" w:space="0" w:color="auto"/>
        <w:right w:val="none" w:sz="0" w:space="0" w:color="auto"/>
      </w:divBdr>
    </w:div>
    <w:div w:id="842430570">
      <w:bodyDiv w:val="1"/>
      <w:marLeft w:val="0"/>
      <w:marRight w:val="0"/>
      <w:marTop w:val="0"/>
      <w:marBottom w:val="0"/>
      <w:divBdr>
        <w:top w:val="none" w:sz="0" w:space="0" w:color="auto"/>
        <w:left w:val="none" w:sz="0" w:space="0" w:color="auto"/>
        <w:bottom w:val="none" w:sz="0" w:space="0" w:color="auto"/>
        <w:right w:val="none" w:sz="0" w:space="0" w:color="auto"/>
      </w:divBdr>
    </w:div>
    <w:div w:id="843473959">
      <w:bodyDiv w:val="1"/>
      <w:marLeft w:val="0"/>
      <w:marRight w:val="0"/>
      <w:marTop w:val="0"/>
      <w:marBottom w:val="0"/>
      <w:divBdr>
        <w:top w:val="none" w:sz="0" w:space="0" w:color="auto"/>
        <w:left w:val="none" w:sz="0" w:space="0" w:color="auto"/>
        <w:bottom w:val="none" w:sz="0" w:space="0" w:color="auto"/>
        <w:right w:val="none" w:sz="0" w:space="0" w:color="auto"/>
      </w:divBdr>
    </w:div>
    <w:div w:id="843594656">
      <w:bodyDiv w:val="1"/>
      <w:marLeft w:val="0"/>
      <w:marRight w:val="0"/>
      <w:marTop w:val="0"/>
      <w:marBottom w:val="0"/>
      <w:divBdr>
        <w:top w:val="none" w:sz="0" w:space="0" w:color="auto"/>
        <w:left w:val="none" w:sz="0" w:space="0" w:color="auto"/>
        <w:bottom w:val="none" w:sz="0" w:space="0" w:color="auto"/>
        <w:right w:val="none" w:sz="0" w:space="0" w:color="auto"/>
      </w:divBdr>
    </w:div>
    <w:div w:id="846094995">
      <w:bodyDiv w:val="1"/>
      <w:marLeft w:val="0"/>
      <w:marRight w:val="0"/>
      <w:marTop w:val="0"/>
      <w:marBottom w:val="0"/>
      <w:divBdr>
        <w:top w:val="none" w:sz="0" w:space="0" w:color="auto"/>
        <w:left w:val="none" w:sz="0" w:space="0" w:color="auto"/>
        <w:bottom w:val="none" w:sz="0" w:space="0" w:color="auto"/>
        <w:right w:val="none" w:sz="0" w:space="0" w:color="auto"/>
      </w:divBdr>
    </w:div>
    <w:div w:id="849100721">
      <w:bodyDiv w:val="1"/>
      <w:marLeft w:val="0"/>
      <w:marRight w:val="0"/>
      <w:marTop w:val="0"/>
      <w:marBottom w:val="0"/>
      <w:divBdr>
        <w:top w:val="none" w:sz="0" w:space="0" w:color="auto"/>
        <w:left w:val="none" w:sz="0" w:space="0" w:color="auto"/>
        <w:bottom w:val="none" w:sz="0" w:space="0" w:color="auto"/>
        <w:right w:val="none" w:sz="0" w:space="0" w:color="auto"/>
      </w:divBdr>
    </w:div>
    <w:div w:id="849683659">
      <w:bodyDiv w:val="1"/>
      <w:marLeft w:val="0"/>
      <w:marRight w:val="0"/>
      <w:marTop w:val="0"/>
      <w:marBottom w:val="0"/>
      <w:divBdr>
        <w:top w:val="none" w:sz="0" w:space="0" w:color="auto"/>
        <w:left w:val="none" w:sz="0" w:space="0" w:color="auto"/>
        <w:bottom w:val="none" w:sz="0" w:space="0" w:color="auto"/>
        <w:right w:val="none" w:sz="0" w:space="0" w:color="auto"/>
      </w:divBdr>
    </w:div>
    <w:div w:id="850342304">
      <w:bodyDiv w:val="1"/>
      <w:marLeft w:val="0"/>
      <w:marRight w:val="0"/>
      <w:marTop w:val="0"/>
      <w:marBottom w:val="0"/>
      <w:divBdr>
        <w:top w:val="none" w:sz="0" w:space="0" w:color="auto"/>
        <w:left w:val="none" w:sz="0" w:space="0" w:color="auto"/>
        <w:bottom w:val="none" w:sz="0" w:space="0" w:color="auto"/>
        <w:right w:val="none" w:sz="0" w:space="0" w:color="auto"/>
      </w:divBdr>
    </w:div>
    <w:div w:id="851142003">
      <w:bodyDiv w:val="1"/>
      <w:marLeft w:val="0"/>
      <w:marRight w:val="0"/>
      <w:marTop w:val="0"/>
      <w:marBottom w:val="0"/>
      <w:divBdr>
        <w:top w:val="none" w:sz="0" w:space="0" w:color="auto"/>
        <w:left w:val="none" w:sz="0" w:space="0" w:color="auto"/>
        <w:bottom w:val="none" w:sz="0" w:space="0" w:color="auto"/>
        <w:right w:val="none" w:sz="0" w:space="0" w:color="auto"/>
      </w:divBdr>
    </w:div>
    <w:div w:id="851535021">
      <w:bodyDiv w:val="1"/>
      <w:marLeft w:val="0"/>
      <w:marRight w:val="0"/>
      <w:marTop w:val="0"/>
      <w:marBottom w:val="0"/>
      <w:divBdr>
        <w:top w:val="none" w:sz="0" w:space="0" w:color="auto"/>
        <w:left w:val="none" w:sz="0" w:space="0" w:color="auto"/>
        <w:bottom w:val="none" w:sz="0" w:space="0" w:color="auto"/>
        <w:right w:val="none" w:sz="0" w:space="0" w:color="auto"/>
      </w:divBdr>
    </w:div>
    <w:div w:id="852231787">
      <w:bodyDiv w:val="1"/>
      <w:marLeft w:val="0"/>
      <w:marRight w:val="0"/>
      <w:marTop w:val="0"/>
      <w:marBottom w:val="0"/>
      <w:divBdr>
        <w:top w:val="none" w:sz="0" w:space="0" w:color="auto"/>
        <w:left w:val="none" w:sz="0" w:space="0" w:color="auto"/>
        <w:bottom w:val="none" w:sz="0" w:space="0" w:color="auto"/>
        <w:right w:val="none" w:sz="0" w:space="0" w:color="auto"/>
      </w:divBdr>
    </w:div>
    <w:div w:id="852915774">
      <w:bodyDiv w:val="1"/>
      <w:marLeft w:val="0"/>
      <w:marRight w:val="0"/>
      <w:marTop w:val="0"/>
      <w:marBottom w:val="0"/>
      <w:divBdr>
        <w:top w:val="none" w:sz="0" w:space="0" w:color="auto"/>
        <w:left w:val="none" w:sz="0" w:space="0" w:color="auto"/>
        <w:bottom w:val="none" w:sz="0" w:space="0" w:color="auto"/>
        <w:right w:val="none" w:sz="0" w:space="0" w:color="auto"/>
      </w:divBdr>
    </w:div>
    <w:div w:id="853298858">
      <w:bodyDiv w:val="1"/>
      <w:marLeft w:val="0"/>
      <w:marRight w:val="0"/>
      <w:marTop w:val="0"/>
      <w:marBottom w:val="0"/>
      <w:divBdr>
        <w:top w:val="none" w:sz="0" w:space="0" w:color="auto"/>
        <w:left w:val="none" w:sz="0" w:space="0" w:color="auto"/>
        <w:bottom w:val="none" w:sz="0" w:space="0" w:color="auto"/>
        <w:right w:val="none" w:sz="0" w:space="0" w:color="auto"/>
      </w:divBdr>
    </w:div>
    <w:div w:id="853880039">
      <w:bodyDiv w:val="1"/>
      <w:marLeft w:val="0"/>
      <w:marRight w:val="0"/>
      <w:marTop w:val="0"/>
      <w:marBottom w:val="0"/>
      <w:divBdr>
        <w:top w:val="none" w:sz="0" w:space="0" w:color="auto"/>
        <w:left w:val="none" w:sz="0" w:space="0" w:color="auto"/>
        <w:bottom w:val="none" w:sz="0" w:space="0" w:color="auto"/>
        <w:right w:val="none" w:sz="0" w:space="0" w:color="auto"/>
      </w:divBdr>
    </w:div>
    <w:div w:id="854346904">
      <w:bodyDiv w:val="1"/>
      <w:marLeft w:val="0"/>
      <w:marRight w:val="0"/>
      <w:marTop w:val="0"/>
      <w:marBottom w:val="0"/>
      <w:divBdr>
        <w:top w:val="none" w:sz="0" w:space="0" w:color="auto"/>
        <w:left w:val="none" w:sz="0" w:space="0" w:color="auto"/>
        <w:bottom w:val="none" w:sz="0" w:space="0" w:color="auto"/>
        <w:right w:val="none" w:sz="0" w:space="0" w:color="auto"/>
      </w:divBdr>
    </w:div>
    <w:div w:id="857624145">
      <w:bodyDiv w:val="1"/>
      <w:marLeft w:val="0"/>
      <w:marRight w:val="0"/>
      <w:marTop w:val="0"/>
      <w:marBottom w:val="0"/>
      <w:divBdr>
        <w:top w:val="none" w:sz="0" w:space="0" w:color="auto"/>
        <w:left w:val="none" w:sz="0" w:space="0" w:color="auto"/>
        <w:bottom w:val="none" w:sz="0" w:space="0" w:color="auto"/>
        <w:right w:val="none" w:sz="0" w:space="0" w:color="auto"/>
      </w:divBdr>
    </w:div>
    <w:div w:id="858540531">
      <w:bodyDiv w:val="1"/>
      <w:marLeft w:val="0"/>
      <w:marRight w:val="0"/>
      <w:marTop w:val="0"/>
      <w:marBottom w:val="0"/>
      <w:divBdr>
        <w:top w:val="none" w:sz="0" w:space="0" w:color="auto"/>
        <w:left w:val="none" w:sz="0" w:space="0" w:color="auto"/>
        <w:bottom w:val="none" w:sz="0" w:space="0" w:color="auto"/>
        <w:right w:val="none" w:sz="0" w:space="0" w:color="auto"/>
      </w:divBdr>
    </w:div>
    <w:div w:id="858935810">
      <w:bodyDiv w:val="1"/>
      <w:marLeft w:val="0"/>
      <w:marRight w:val="0"/>
      <w:marTop w:val="0"/>
      <w:marBottom w:val="0"/>
      <w:divBdr>
        <w:top w:val="none" w:sz="0" w:space="0" w:color="auto"/>
        <w:left w:val="none" w:sz="0" w:space="0" w:color="auto"/>
        <w:bottom w:val="none" w:sz="0" w:space="0" w:color="auto"/>
        <w:right w:val="none" w:sz="0" w:space="0" w:color="auto"/>
      </w:divBdr>
    </w:div>
    <w:div w:id="859666258">
      <w:bodyDiv w:val="1"/>
      <w:marLeft w:val="0"/>
      <w:marRight w:val="0"/>
      <w:marTop w:val="0"/>
      <w:marBottom w:val="0"/>
      <w:divBdr>
        <w:top w:val="none" w:sz="0" w:space="0" w:color="auto"/>
        <w:left w:val="none" w:sz="0" w:space="0" w:color="auto"/>
        <w:bottom w:val="none" w:sz="0" w:space="0" w:color="auto"/>
        <w:right w:val="none" w:sz="0" w:space="0" w:color="auto"/>
      </w:divBdr>
    </w:div>
    <w:div w:id="859858711">
      <w:bodyDiv w:val="1"/>
      <w:marLeft w:val="0"/>
      <w:marRight w:val="0"/>
      <w:marTop w:val="0"/>
      <w:marBottom w:val="0"/>
      <w:divBdr>
        <w:top w:val="none" w:sz="0" w:space="0" w:color="auto"/>
        <w:left w:val="none" w:sz="0" w:space="0" w:color="auto"/>
        <w:bottom w:val="none" w:sz="0" w:space="0" w:color="auto"/>
        <w:right w:val="none" w:sz="0" w:space="0" w:color="auto"/>
      </w:divBdr>
    </w:div>
    <w:div w:id="860897003">
      <w:bodyDiv w:val="1"/>
      <w:marLeft w:val="0"/>
      <w:marRight w:val="0"/>
      <w:marTop w:val="0"/>
      <w:marBottom w:val="0"/>
      <w:divBdr>
        <w:top w:val="none" w:sz="0" w:space="0" w:color="auto"/>
        <w:left w:val="none" w:sz="0" w:space="0" w:color="auto"/>
        <w:bottom w:val="none" w:sz="0" w:space="0" w:color="auto"/>
        <w:right w:val="none" w:sz="0" w:space="0" w:color="auto"/>
      </w:divBdr>
    </w:div>
    <w:div w:id="861237237">
      <w:bodyDiv w:val="1"/>
      <w:marLeft w:val="0"/>
      <w:marRight w:val="0"/>
      <w:marTop w:val="0"/>
      <w:marBottom w:val="0"/>
      <w:divBdr>
        <w:top w:val="none" w:sz="0" w:space="0" w:color="auto"/>
        <w:left w:val="none" w:sz="0" w:space="0" w:color="auto"/>
        <w:bottom w:val="none" w:sz="0" w:space="0" w:color="auto"/>
        <w:right w:val="none" w:sz="0" w:space="0" w:color="auto"/>
      </w:divBdr>
    </w:div>
    <w:div w:id="861671192">
      <w:bodyDiv w:val="1"/>
      <w:marLeft w:val="0"/>
      <w:marRight w:val="0"/>
      <w:marTop w:val="0"/>
      <w:marBottom w:val="0"/>
      <w:divBdr>
        <w:top w:val="none" w:sz="0" w:space="0" w:color="auto"/>
        <w:left w:val="none" w:sz="0" w:space="0" w:color="auto"/>
        <w:bottom w:val="none" w:sz="0" w:space="0" w:color="auto"/>
        <w:right w:val="none" w:sz="0" w:space="0" w:color="auto"/>
      </w:divBdr>
    </w:div>
    <w:div w:id="862476768">
      <w:bodyDiv w:val="1"/>
      <w:marLeft w:val="0"/>
      <w:marRight w:val="0"/>
      <w:marTop w:val="0"/>
      <w:marBottom w:val="0"/>
      <w:divBdr>
        <w:top w:val="none" w:sz="0" w:space="0" w:color="auto"/>
        <w:left w:val="none" w:sz="0" w:space="0" w:color="auto"/>
        <w:bottom w:val="none" w:sz="0" w:space="0" w:color="auto"/>
        <w:right w:val="none" w:sz="0" w:space="0" w:color="auto"/>
      </w:divBdr>
    </w:div>
    <w:div w:id="863858907">
      <w:bodyDiv w:val="1"/>
      <w:marLeft w:val="0"/>
      <w:marRight w:val="0"/>
      <w:marTop w:val="0"/>
      <w:marBottom w:val="0"/>
      <w:divBdr>
        <w:top w:val="none" w:sz="0" w:space="0" w:color="auto"/>
        <w:left w:val="none" w:sz="0" w:space="0" w:color="auto"/>
        <w:bottom w:val="none" w:sz="0" w:space="0" w:color="auto"/>
        <w:right w:val="none" w:sz="0" w:space="0" w:color="auto"/>
      </w:divBdr>
    </w:div>
    <w:div w:id="864486944">
      <w:bodyDiv w:val="1"/>
      <w:marLeft w:val="0"/>
      <w:marRight w:val="0"/>
      <w:marTop w:val="0"/>
      <w:marBottom w:val="0"/>
      <w:divBdr>
        <w:top w:val="none" w:sz="0" w:space="0" w:color="auto"/>
        <w:left w:val="none" w:sz="0" w:space="0" w:color="auto"/>
        <w:bottom w:val="none" w:sz="0" w:space="0" w:color="auto"/>
        <w:right w:val="none" w:sz="0" w:space="0" w:color="auto"/>
      </w:divBdr>
    </w:div>
    <w:div w:id="865412013">
      <w:bodyDiv w:val="1"/>
      <w:marLeft w:val="0"/>
      <w:marRight w:val="0"/>
      <w:marTop w:val="0"/>
      <w:marBottom w:val="0"/>
      <w:divBdr>
        <w:top w:val="none" w:sz="0" w:space="0" w:color="auto"/>
        <w:left w:val="none" w:sz="0" w:space="0" w:color="auto"/>
        <w:bottom w:val="none" w:sz="0" w:space="0" w:color="auto"/>
        <w:right w:val="none" w:sz="0" w:space="0" w:color="auto"/>
      </w:divBdr>
    </w:div>
    <w:div w:id="865947674">
      <w:bodyDiv w:val="1"/>
      <w:marLeft w:val="0"/>
      <w:marRight w:val="0"/>
      <w:marTop w:val="0"/>
      <w:marBottom w:val="0"/>
      <w:divBdr>
        <w:top w:val="none" w:sz="0" w:space="0" w:color="auto"/>
        <w:left w:val="none" w:sz="0" w:space="0" w:color="auto"/>
        <w:bottom w:val="none" w:sz="0" w:space="0" w:color="auto"/>
        <w:right w:val="none" w:sz="0" w:space="0" w:color="auto"/>
      </w:divBdr>
    </w:div>
    <w:div w:id="867330990">
      <w:bodyDiv w:val="1"/>
      <w:marLeft w:val="0"/>
      <w:marRight w:val="0"/>
      <w:marTop w:val="0"/>
      <w:marBottom w:val="0"/>
      <w:divBdr>
        <w:top w:val="none" w:sz="0" w:space="0" w:color="auto"/>
        <w:left w:val="none" w:sz="0" w:space="0" w:color="auto"/>
        <w:bottom w:val="none" w:sz="0" w:space="0" w:color="auto"/>
        <w:right w:val="none" w:sz="0" w:space="0" w:color="auto"/>
      </w:divBdr>
    </w:div>
    <w:div w:id="867721241">
      <w:bodyDiv w:val="1"/>
      <w:marLeft w:val="0"/>
      <w:marRight w:val="0"/>
      <w:marTop w:val="0"/>
      <w:marBottom w:val="0"/>
      <w:divBdr>
        <w:top w:val="none" w:sz="0" w:space="0" w:color="auto"/>
        <w:left w:val="none" w:sz="0" w:space="0" w:color="auto"/>
        <w:bottom w:val="none" w:sz="0" w:space="0" w:color="auto"/>
        <w:right w:val="none" w:sz="0" w:space="0" w:color="auto"/>
      </w:divBdr>
    </w:div>
    <w:div w:id="867834446">
      <w:bodyDiv w:val="1"/>
      <w:marLeft w:val="0"/>
      <w:marRight w:val="0"/>
      <w:marTop w:val="0"/>
      <w:marBottom w:val="0"/>
      <w:divBdr>
        <w:top w:val="none" w:sz="0" w:space="0" w:color="auto"/>
        <w:left w:val="none" w:sz="0" w:space="0" w:color="auto"/>
        <w:bottom w:val="none" w:sz="0" w:space="0" w:color="auto"/>
        <w:right w:val="none" w:sz="0" w:space="0" w:color="auto"/>
      </w:divBdr>
    </w:div>
    <w:div w:id="867837858">
      <w:bodyDiv w:val="1"/>
      <w:marLeft w:val="0"/>
      <w:marRight w:val="0"/>
      <w:marTop w:val="0"/>
      <w:marBottom w:val="0"/>
      <w:divBdr>
        <w:top w:val="none" w:sz="0" w:space="0" w:color="auto"/>
        <w:left w:val="none" w:sz="0" w:space="0" w:color="auto"/>
        <w:bottom w:val="none" w:sz="0" w:space="0" w:color="auto"/>
        <w:right w:val="none" w:sz="0" w:space="0" w:color="auto"/>
      </w:divBdr>
    </w:div>
    <w:div w:id="868489889">
      <w:bodyDiv w:val="1"/>
      <w:marLeft w:val="0"/>
      <w:marRight w:val="0"/>
      <w:marTop w:val="0"/>
      <w:marBottom w:val="0"/>
      <w:divBdr>
        <w:top w:val="none" w:sz="0" w:space="0" w:color="auto"/>
        <w:left w:val="none" w:sz="0" w:space="0" w:color="auto"/>
        <w:bottom w:val="none" w:sz="0" w:space="0" w:color="auto"/>
        <w:right w:val="none" w:sz="0" w:space="0" w:color="auto"/>
      </w:divBdr>
    </w:div>
    <w:div w:id="869996646">
      <w:bodyDiv w:val="1"/>
      <w:marLeft w:val="0"/>
      <w:marRight w:val="0"/>
      <w:marTop w:val="0"/>
      <w:marBottom w:val="0"/>
      <w:divBdr>
        <w:top w:val="none" w:sz="0" w:space="0" w:color="auto"/>
        <w:left w:val="none" w:sz="0" w:space="0" w:color="auto"/>
        <w:bottom w:val="none" w:sz="0" w:space="0" w:color="auto"/>
        <w:right w:val="none" w:sz="0" w:space="0" w:color="auto"/>
      </w:divBdr>
    </w:div>
    <w:div w:id="870335736">
      <w:bodyDiv w:val="1"/>
      <w:marLeft w:val="0"/>
      <w:marRight w:val="0"/>
      <w:marTop w:val="0"/>
      <w:marBottom w:val="0"/>
      <w:divBdr>
        <w:top w:val="none" w:sz="0" w:space="0" w:color="auto"/>
        <w:left w:val="none" w:sz="0" w:space="0" w:color="auto"/>
        <w:bottom w:val="none" w:sz="0" w:space="0" w:color="auto"/>
        <w:right w:val="none" w:sz="0" w:space="0" w:color="auto"/>
      </w:divBdr>
    </w:div>
    <w:div w:id="870607848">
      <w:bodyDiv w:val="1"/>
      <w:marLeft w:val="0"/>
      <w:marRight w:val="0"/>
      <w:marTop w:val="0"/>
      <w:marBottom w:val="0"/>
      <w:divBdr>
        <w:top w:val="none" w:sz="0" w:space="0" w:color="auto"/>
        <w:left w:val="none" w:sz="0" w:space="0" w:color="auto"/>
        <w:bottom w:val="none" w:sz="0" w:space="0" w:color="auto"/>
        <w:right w:val="none" w:sz="0" w:space="0" w:color="auto"/>
      </w:divBdr>
    </w:div>
    <w:div w:id="870806680">
      <w:bodyDiv w:val="1"/>
      <w:marLeft w:val="0"/>
      <w:marRight w:val="0"/>
      <w:marTop w:val="0"/>
      <w:marBottom w:val="0"/>
      <w:divBdr>
        <w:top w:val="none" w:sz="0" w:space="0" w:color="auto"/>
        <w:left w:val="none" w:sz="0" w:space="0" w:color="auto"/>
        <w:bottom w:val="none" w:sz="0" w:space="0" w:color="auto"/>
        <w:right w:val="none" w:sz="0" w:space="0" w:color="auto"/>
      </w:divBdr>
    </w:div>
    <w:div w:id="872428756">
      <w:bodyDiv w:val="1"/>
      <w:marLeft w:val="0"/>
      <w:marRight w:val="0"/>
      <w:marTop w:val="0"/>
      <w:marBottom w:val="0"/>
      <w:divBdr>
        <w:top w:val="none" w:sz="0" w:space="0" w:color="auto"/>
        <w:left w:val="none" w:sz="0" w:space="0" w:color="auto"/>
        <w:bottom w:val="none" w:sz="0" w:space="0" w:color="auto"/>
        <w:right w:val="none" w:sz="0" w:space="0" w:color="auto"/>
      </w:divBdr>
    </w:div>
    <w:div w:id="872620737">
      <w:bodyDiv w:val="1"/>
      <w:marLeft w:val="0"/>
      <w:marRight w:val="0"/>
      <w:marTop w:val="0"/>
      <w:marBottom w:val="0"/>
      <w:divBdr>
        <w:top w:val="none" w:sz="0" w:space="0" w:color="auto"/>
        <w:left w:val="none" w:sz="0" w:space="0" w:color="auto"/>
        <w:bottom w:val="none" w:sz="0" w:space="0" w:color="auto"/>
        <w:right w:val="none" w:sz="0" w:space="0" w:color="auto"/>
      </w:divBdr>
    </w:div>
    <w:div w:id="872839826">
      <w:bodyDiv w:val="1"/>
      <w:marLeft w:val="0"/>
      <w:marRight w:val="0"/>
      <w:marTop w:val="0"/>
      <w:marBottom w:val="0"/>
      <w:divBdr>
        <w:top w:val="none" w:sz="0" w:space="0" w:color="auto"/>
        <w:left w:val="none" w:sz="0" w:space="0" w:color="auto"/>
        <w:bottom w:val="none" w:sz="0" w:space="0" w:color="auto"/>
        <w:right w:val="none" w:sz="0" w:space="0" w:color="auto"/>
      </w:divBdr>
    </w:div>
    <w:div w:id="872889445">
      <w:bodyDiv w:val="1"/>
      <w:marLeft w:val="0"/>
      <w:marRight w:val="0"/>
      <w:marTop w:val="0"/>
      <w:marBottom w:val="0"/>
      <w:divBdr>
        <w:top w:val="none" w:sz="0" w:space="0" w:color="auto"/>
        <w:left w:val="none" w:sz="0" w:space="0" w:color="auto"/>
        <w:bottom w:val="none" w:sz="0" w:space="0" w:color="auto"/>
        <w:right w:val="none" w:sz="0" w:space="0" w:color="auto"/>
      </w:divBdr>
    </w:div>
    <w:div w:id="875964814">
      <w:bodyDiv w:val="1"/>
      <w:marLeft w:val="0"/>
      <w:marRight w:val="0"/>
      <w:marTop w:val="0"/>
      <w:marBottom w:val="0"/>
      <w:divBdr>
        <w:top w:val="none" w:sz="0" w:space="0" w:color="auto"/>
        <w:left w:val="none" w:sz="0" w:space="0" w:color="auto"/>
        <w:bottom w:val="none" w:sz="0" w:space="0" w:color="auto"/>
        <w:right w:val="none" w:sz="0" w:space="0" w:color="auto"/>
      </w:divBdr>
    </w:div>
    <w:div w:id="876285000">
      <w:bodyDiv w:val="1"/>
      <w:marLeft w:val="0"/>
      <w:marRight w:val="0"/>
      <w:marTop w:val="0"/>
      <w:marBottom w:val="0"/>
      <w:divBdr>
        <w:top w:val="none" w:sz="0" w:space="0" w:color="auto"/>
        <w:left w:val="none" w:sz="0" w:space="0" w:color="auto"/>
        <w:bottom w:val="none" w:sz="0" w:space="0" w:color="auto"/>
        <w:right w:val="none" w:sz="0" w:space="0" w:color="auto"/>
      </w:divBdr>
    </w:div>
    <w:div w:id="877161634">
      <w:bodyDiv w:val="1"/>
      <w:marLeft w:val="0"/>
      <w:marRight w:val="0"/>
      <w:marTop w:val="0"/>
      <w:marBottom w:val="0"/>
      <w:divBdr>
        <w:top w:val="none" w:sz="0" w:space="0" w:color="auto"/>
        <w:left w:val="none" w:sz="0" w:space="0" w:color="auto"/>
        <w:bottom w:val="none" w:sz="0" w:space="0" w:color="auto"/>
        <w:right w:val="none" w:sz="0" w:space="0" w:color="auto"/>
      </w:divBdr>
    </w:div>
    <w:div w:id="877817819">
      <w:bodyDiv w:val="1"/>
      <w:marLeft w:val="0"/>
      <w:marRight w:val="0"/>
      <w:marTop w:val="0"/>
      <w:marBottom w:val="0"/>
      <w:divBdr>
        <w:top w:val="none" w:sz="0" w:space="0" w:color="auto"/>
        <w:left w:val="none" w:sz="0" w:space="0" w:color="auto"/>
        <w:bottom w:val="none" w:sz="0" w:space="0" w:color="auto"/>
        <w:right w:val="none" w:sz="0" w:space="0" w:color="auto"/>
      </w:divBdr>
    </w:div>
    <w:div w:id="878661411">
      <w:bodyDiv w:val="1"/>
      <w:marLeft w:val="0"/>
      <w:marRight w:val="0"/>
      <w:marTop w:val="0"/>
      <w:marBottom w:val="0"/>
      <w:divBdr>
        <w:top w:val="none" w:sz="0" w:space="0" w:color="auto"/>
        <w:left w:val="none" w:sz="0" w:space="0" w:color="auto"/>
        <w:bottom w:val="none" w:sz="0" w:space="0" w:color="auto"/>
        <w:right w:val="none" w:sz="0" w:space="0" w:color="auto"/>
      </w:divBdr>
    </w:div>
    <w:div w:id="879053419">
      <w:bodyDiv w:val="1"/>
      <w:marLeft w:val="0"/>
      <w:marRight w:val="0"/>
      <w:marTop w:val="0"/>
      <w:marBottom w:val="0"/>
      <w:divBdr>
        <w:top w:val="none" w:sz="0" w:space="0" w:color="auto"/>
        <w:left w:val="none" w:sz="0" w:space="0" w:color="auto"/>
        <w:bottom w:val="none" w:sz="0" w:space="0" w:color="auto"/>
        <w:right w:val="none" w:sz="0" w:space="0" w:color="auto"/>
      </w:divBdr>
    </w:div>
    <w:div w:id="879704872">
      <w:bodyDiv w:val="1"/>
      <w:marLeft w:val="0"/>
      <w:marRight w:val="0"/>
      <w:marTop w:val="0"/>
      <w:marBottom w:val="0"/>
      <w:divBdr>
        <w:top w:val="none" w:sz="0" w:space="0" w:color="auto"/>
        <w:left w:val="none" w:sz="0" w:space="0" w:color="auto"/>
        <w:bottom w:val="none" w:sz="0" w:space="0" w:color="auto"/>
        <w:right w:val="none" w:sz="0" w:space="0" w:color="auto"/>
      </w:divBdr>
    </w:div>
    <w:div w:id="880020566">
      <w:bodyDiv w:val="1"/>
      <w:marLeft w:val="0"/>
      <w:marRight w:val="0"/>
      <w:marTop w:val="0"/>
      <w:marBottom w:val="0"/>
      <w:divBdr>
        <w:top w:val="none" w:sz="0" w:space="0" w:color="auto"/>
        <w:left w:val="none" w:sz="0" w:space="0" w:color="auto"/>
        <w:bottom w:val="none" w:sz="0" w:space="0" w:color="auto"/>
        <w:right w:val="none" w:sz="0" w:space="0" w:color="auto"/>
      </w:divBdr>
    </w:div>
    <w:div w:id="881482284">
      <w:bodyDiv w:val="1"/>
      <w:marLeft w:val="0"/>
      <w:marRight w:val="0"/>
      <w:marTop w:val="0"/>
      <w:marBottom w:val="0"/>
      <w:divBdr>
        <w:top w:val="none" w:sz="0" w:space="0" w:color="auto"/>
        <w:left w:val="none" w:sz="0" w:space="0" w:color="auto"/>
        <w:bottom w:val="none" w:sz="0" w:space="0" w:color="auto"/>
        <w:right w:val="none" w:sz="0" w:space="0" w:color="auto"/>
      </w:divBdr>
    </w:div>
    <w:div w:id="882329811">
      <w:bodyDiv w:val="1"/>
      <w:marLeft w:val="0"/>
      <w:marRight w:val="0"/>
      <w:marTop w:val="0"/>
      <w:marBottom w:val="0"/>
      <w:divBdr>
        <w:top w:val="none" w:sz="0" w:space="0" w:color="auto"/>
        <w:left w:val="none" w:sz="0" w:space="0" w:color="auto"/>
        <w:bottom w:val="none" w:sz="0" w:space="0" w:color="auto"/>
        <w:right w:val="none" w:sz="0" w:space="0" w:color="auto"/>
      </w:divBdr>
    </w:div>
    <w:div w:id="882449571">
      <w:bodyDiv w:val="1"/>
      <w:marLeft w:val="0"/>
      <w:marRight w:val="0"/>
      <w:marTop w:val="0"/>
      <w:marBottom w:val="0"/>
      <w:divBdr>
        <w:top w:val="none" w:sz="0" w:space="0" w:color="auto"/>
        <w:left w:val="none" w:sz="0" w:space="0" w:color="auto"/>
        <w:bottom w:val="none" w:sz="0" w:space="0" w:color="auto"/>
        <w:right w:val="none" w:sz="0" w:space="0" w:color="auto"/>
      </w:divBdr>
    </w:div>
    <w:div w:id="883103618">
      <w:bodyDiv w:val="1"/>
      <w:marLeft w:val="0"/>
      <w:marRight w:val="0"/>
      <w:marTop w:val="0"/>
      <w:marBottom w:val="0"/>
      <w:divBdr>
        <w:top w:val="none" w:sz="0" w:space="0" w:color="auto"/>
        <w:left w:val="none" w:sz="0" w:space="0" w:color="auto"/>
        <w:bottom w:val="none" w:sz="0" w:space="0" w:color="auto"/>
        <w:right w:val="none" w:sz="0" w:space="0" w:color="auto"/>
      </w:divBdr>
    </w:div>
    <w:div w:id="883640593">
      <w:bodyDiv w:val="1"/>
      <w:marLeft w:val="0"/>
      <w:marRight w:val="0"/>
      <w:marTop w:val="0"/>
      <w:marBottom w:val="0"/>
      <w:divBdr>
        <w:top w:val="none" w:sz="0" w:space="0" w:color="auto"/>
        <w:left w:val="none" w:sz="0" w:space="0" w:color="auto"/>
        <w:bottom w:val="none" w:sz="0" w:space="0" w:color="auto"/>
        <w:right w:val="none" w:sz="0" w:space="0" w:color="auto"/>
      </w:divBdr>
    </w:div>
    <w:div w:id="885991239">
      <w:bodyDiv w:val="1"/>
      <w:marLeft w:val="0"/>
      <w:marRight w:val="0"/>
      <w:marTop w:val="0"/>
      <w:marBottom w:val="0"/>
      <w:divBdr>
        <w:top w:val="none" w:sz="0" w:space="0" w:color="auto"/>
        <w:left w:val="none" w:sz="0" w:space="0" w:color="auto"/>
        <w:bottom w:val="none" w:sz="0" w:space="0" w:color="auto"/>
        <w:right w:val="none" w:sz="0" w:space="0" w:color="auto"/>
      </w:divBdr>
    </w:div>
    <w:div w:id="886255505">
      <w:bodyDiv w:val="1"/>
      <w:marLeft w:val="0"/>
      <w:marRight w:val="0"/>
      <w:marTop w:val="0"/>
      <w:marBottom w:val="0"/>
      <w:divBdr>
        <w:top w:val="none" w:sz="0" w:space="0" w:color="auto"/>
        <w:left w:val="none" w:sz="0" w:space="0" w:color="auto"/>
        <w:bottom w:val="none" w:sz="0" w:space="0" w:color="auto"/>
        <w:right w:val="none" w:sz="0" w:space="0" w:color="auto"/>
      </w:divBdr>
    </w:div>
    <w:div w:id="886334653">
      <w:bodyDiv w:val="1"/>
      <w:marLeft w:val="0"/>
      <w:marRight w:val="0"/>
      <w:marTop w:val="0"/>
      <w:marBottom w:val="0"/>
      <w:divBdr>
        <w:top w:val="none" w:sz="0" w:space="0" w:color="auto"/>
        <w:left w:val="none" w:sz="0" w:space="0" w:color="auto"/>
        <w:bottom w:val="none" w:sz="0" w:space="0" w:color="auto"/>
        <w:right w:val="none" w:sz="0" w:space="0" w:color="auto"/>
      </w:divBdr>
    </w:div>
    <w:div w:id="888421925">
      <w:bodyDiv w:val="1"/>
      <w:marLeft w:val="0"/>
      <w:marRight w:val="0"/>
      <w:marTop w:val="0"/>
      <w:marBottom w:val="0"/>
      <w:divBdr>
        <w:top w:val="none" w:sz="0" w:space="0" w:color="auto"/>
        <w:left w:val="none" w:sz="0" w:space="0" w:color="auto"/>
        <w:bottom w:val="none" w:sz="0" w:space="0" w:color="auto"/>
        <w:right w:val="none" w:sz="0" w:space="0" w:color="auto"/>
      </w:divBdr>
    </w:div>
    <w:div w:id="888541344">
      <w:bodyDiv w:val="1"/>
      <w:marLeft w:val="0"/>
      <w:marRight w:val="0"/>
      <w:marTop w:val="0"/>
      <w:marBottom w:val="0"/>
      <w:divBdr>
        <w:top w:val="none" w:sz="0" w:space="0" w:color="auto"/>
        <w:left w:val="none" w:sz="0" w:space="0" w:color="auto"/>
        <w:bottom w:val="none" w:sz="0" w:space="0" w:color="auto"/>
        <w:right w:val="none" w:sz="0" w:space="0" w:color="auto"/>
      </w:divBdr>
    </w:div>
    <w:div w:id="888609051">
      <w:bodyDiv w:val="1"/>
      <w:marLeft w:val="0"/>
      <w:marRight w:val="0"/>
      <w:marTop w:val="0"/>
      <w:marBottom w:val="0"/>
      <w:divBdr>
        <w:top w:val="none" w:sz="0" w:space="0" w:color="auto"/>
        <w:left w:val="none" w:sz="0" w:space="0" w:color="auto"/>
        <w:bottom w:val="none" w:sz="0" w:space="0" w:color="auto"/>
        <w:right w:val="none" w:sz="0" w:space="0" w:color="auto"/>
      </w:divBdr>
    </w:div>
    <w:div w:id="889421560">
      <w:bodyDiv w:val="1"/>
      <w:marLeft w:val="0"/>
      <w:marRight w:val="0"/>
      <w:marTop w:val="0"/>
      <w:marBottom w:val="0"/>
      <w:divBdr>
        <w:top w:val="none" w:sz="0" w:space="0" w:color="auto"/>
        <w:left w:val="none" w:sz="0" w:space="0" w:color="auto"/>
        <w:bottom w:val="none" w:sz="0" w:space="0" w:color="auto"/>
        <w:right w:val="none" w:sz="0" w:space="0" w:color="auto"/>
      </w:divBdr>
    </w:div>
    <w:div w:id="889804121">
      <w:bodyDiv w:val="1"/>
      <w:marLeft w:val="0"/>
      <w:marRight w:val="0"/>
      <w:marTop w:val="0"/>
      <w:marBottom w:val="0"/>
      <w:divBdr>
        <w:top w:val="none" w:sz="0" w:space="0" w:color="auto"/>
        <w:left w:val="none" w:sz="0" w:space="0" w:color="auto"/>
        <w:bottom w:val="none" w:sz="0" w:space="0" w:color="auto"/>
        <w:right w:val="none" w:sz="0" w:space="0" w:color="auto"/>
      </w:divBdr>
    </w:div>
    <w:div w:id="889924816">
      <w:bodyDiv w:val="1"/>
      <w:marLeft w:val="0"/>
      <w:marRight w:val="0"/>
      <w:marTop w:val="0"/>
      <w:marBottom w:val="0"/>
      <w:divBdr>
        <w:top w:val="none" w:sz="0" w:space="0" w:color="auto"/>
        <w:left w:val="none" w:sz="0" w:space="0" w:color="auto"/>
        <w:bottom w:val="none" w:sz="0" w:space="0" w:color="auto"/>
        <w:right w:val="none" w:sz="0" w:space="0" w:color="auto"/>
      </w:divBdr>
    </w:div>
    <w:div w:id="890189269">
      <w:bodyDiv w:val="1"/>
      <w:marLeft w:val="0"/>
      <w:marRight w:val="0"/>
      <w:marTop w:val="0"/>
      <w:marBottom w:val="0"/>
      <w:divBdr>
        <w:top w:val="none" w:sz="0" w:space="0" w:color="auto"/>
        <w:left w:val="none" w:sz="0" w:space="0" w:color="auto"/>
        <w:bottom w:val="none" w:sz="0" w:space="0" w:color="auto"/>
        <w:right w:val="none" w:sz="0" w:space="0" w:color="auto"/>
      </w:divBdr>
    </w:div>
    <w:div w:id="890461914">
      <w:bodyDiv w:val="1"/>
      <w:marLeft w:val="0"/>
      <w:marRight w:val="0"/>
      <w:marTop w:val="0"/>
      <w:marBottom w:val="0"/>
      <w:divBdr>
        <w:top w:val="none" w:sz="0" w:space="0" w:color="auto"/>
        <w:left w:val="none" w:sz="0" w:space="0" w:color="auto"/>
        <w:bottom w:val="none" w:sz="0" w:space="0" w:color="auto"/>
        <w:right w:val="none" w:sz="0" w:space="0" w:color="auto"/>
      </w:divBdr>
    </w:div>
    <w:div w:id="890535906">
      <w:bodyDiv w:val="1"/>
      <w:marLeft w:val="0"/>
      <w:marRight w:val="0"/>
      <w:marTop w:val="0"/>
      <w:marBottom w:val="0"/>
      <w:divBdr>
        <w:top w:val="none" w:sz="0" w:space="0" w:color="auto"/>
        <w:left w:val="none" w:sz="0" w:space="0" w:color="auto"/>
        <w:bottom w:val="none" w:sz="0" w:space="0" w:color="auto"/>
        <w:right w:val="none" w:sz="0" w:space="0" w:color="auto"/>
      </w:divBdr>
    </w:div>
    <w:div w:id="892691112">
      <w:bodyDiv w:val="1"/>
      <w:marLeft w:val="0"/>
      <w:marRight w:val="0"/>
      <w:marTop w:val="0"/>
      <w:marBottom w:val="0"/>
      <w:divBdr>
        <w:top w:val="none" w:sz="0" w:space="0" w:color="auto"/>
        <w:left w:val="none" w:sz="0" w:space="0" w:color="auto"/>
        <w:bottom w:val="none" w:sz="0" w:space="0" w:color="auto"/>
        <w:right w:val="none" w:sz="0" w:space="0" w:color="auto"/>
      </w:divBdr>
    </w:div>
    <w:div w:id="892932380">
      <w:bodyDiv w:val="1"/>
      <w:marLeft w:val="0"/>
      <w:marRight w:val="0"/>
      <w:marTop w:val="0"/>
      <w:marBottom w:val="0"/>
      <w:divBdr>
        <w:top w:val="none" w:sz="0" w:space="0" w:color="auto"/>
        <w:left w:val="none" w:sz="0" w:space="0" w:color="auto"/>
        <w:bottom w:val="none" w:sz="0" w:space="0" w:color="auto"/>
        <w:right w:val="none" w:sz="0" w:space="0" w:color="auto"/>
      </w:divBdr>
    </w:div>
    <w:div w:id="897665396">
      <w:bodyDiv w:val="1"/>
      <w:marLeft w:val="0"/>
      <w:marRight w:val="0"/>
      <w:marTop w:val="0"/>
      <w:marBottom w:val="0"/>
      <w:divBdr>
        <w:top w:val="none" w:sz="0" w:space="0" w:color="auto"/>
        <w:left w:val="none" w:sz="0" w:space="0" w:color="auto"/>
        <w:bottom w:val="none" w:sz="0" w:space="0" w:color="auto"/>
        <w:right w:val="none" w:sz="0" w:space="0" w:color="auto"/>
      </w:divBdr>
    </w:div>
    <w:div w:id="898637506">
      <w:bodyDiv w:val="1"/>
      <w:marLeft w:val="0"/>
      <w:marRight w:val="0"/>
      <w:marTop w:val="0"/>
      <w:marBottom w:val="0"/>
      <w:divBdr>
        <w:top w:val="none" w:sz="0" w:space="0" w:color="auto"/>
        <w:left w:val="none" w:sz="0" w:space="0" w:color="auto"/>
        <w:bottom w:val="none" w:sz="0" w:space="0" w:color="auto"/>
        <w:right w:val="none" w:sz="0" w:space="0" w:color="auto"/>
      </w:divBdr>
    </w:div>
    <w:div w:id="899707622">
      <w:bodyDiv w:val="1"/>
      <w:marLeft w:val="0"/>
      <w:marRight w:val="0"/>
      <w:marTop w:val="0"/>
      <w:marBottom w:val="0"/>
      <w:divBdr>
        <w:top w:val="none" w:sz="0" w:space="0" w:color="auto"/>
        <w:left w:val="none" w:sz="0" w:space="0" w:color="auto"/>
        <w:bottom w:val="none" w:sz="0" w:space="0" w:color="auto"/>
        <w:right w:val="none" w:sz="0" w:space="0" w:color="auto"/>
      </w:divBdr>
    </w:div>
    <w:div w:id="901330807">
      <w:bodyDiv w:val="1"/>
      <w:marLeft w:val="0"/>
      <w:marRight w:val="0"/>
      <w:marTop w:val="0"/>
      <w:marBottom w:val="0"/>
      <w:divBdr>
        <w:top w:val="none" w:sz="0" w:space="0" w:color="auto"/>
        <w:left w:val="none" w:sz="0" w:space="0" w:color="auto"/>
        <w:bottom w:val="none" w:sz="0" w:space="0" w:color="auto"/>
        <w:right w:val="none" w:sz="0" w:space="0" w:color="auto"/>
      </w:divBdr>
    </w:div>
    <w:div w:id="901330956">
      <w:bodyDiv w:val="1"/>
      <w:marLeft w:val="0"/>
      <w:marRight w:val="0"/>
      <w:marTop w:val="0"/>
      <w:marBottom w:val="0"/>
      <w:divBdr>
        <w:top w:val="none" w:sz="0" w:space="0" w:color="auto"/>
        <w:left w:val="none" w:sz="0" w:space="0" w:color="auto"/>
        <w:bottom w:val="none" w:sz="0" w:space="0" w:color="auto"/>
        <w:right w:val="none" w:sz="0" w:space="0" w:color="auto"/>
      </w:divBdr>
    </w:div>
    <w:div w:id="902564326">
      <w:bodyDiv w:val="1"/>
      <w:marLeft w:val="0"/>
      <w:marRight w:val="0"/>
      <w:marTop w:val="0"/>
      <w:marBottom w:val="0"/>
      <w:divBdr>
        <w:top w:val="none" w:sz="0" w:space="0" w:color="auto"/>
        <w:left w:val="none" w:sz="0" w:space="0" w:color="auto"/>
        <w:bottom w:val="none" w:sz="0" w:space="0" w:color="auto"/>
        <w:right w:val="none" w:sz="0" w:space="0" w:color="auto"/>
      </w:divBdr>
    </w:div>
    <w:div w:id="902907215">
      <w:bodyDiv w:val="1"/>
      <w:marLeft w:val="0"/>
      <w:marRight w:val="0"/>
      <w:marTop w:val="0"/>
      <w:marBottom w:val="0"/>
      <w:divBdr>
        <w:top w:val="none" w:sz="0" w:space="0" w:color="auto"/>
        <w:left w:val="none" w:sz="0" w:space="0" w:color="auto"/>
        <w:bottom w:val="none" w:sz="0" w:space="0" w:color="auto"/>
        <w:right w:val="none" w:sz="0" w:space="0" w:color="auto"/>
      </w:divBdr>
    </w:div>
    <w:div w:id="905215702">
      <w:bodyDiv w:val="1"/>
      <w:marLeft w:val="0"/>
      <w:marRight w:val="0"/>
      <w:marTop w:val="0"/>
      <w:marBottom w:val="0"/>
      <w:divBdr>
        <w:top w:val="none" w:sz="0" w:space="0" w:color="auto"/>
        <w:left w:val="none" w:sz="0" w:space="0" w:color="auto"/>
        <w:bottom w:val="none" w:sz="0" w:space="0" w:color="auto"/>
        <w:right w:val="none" w:sz="0" w:space="0" w:color="auto"/>
      </w:divBdr>
    </w:div>
    <w:div w:id="907230177">
      <w:bodyDiv w:val="1"/>
      <w:marLeft w:val="0"/>
      <w:marRight w:val="0"/>
      <w:marTop w:val="0"/>
      <w:marBottom w:val="0"/>
      <w:divBdr>
        <w:top w:val="none" w:sz="0" w:space="0" w:color="auto"/>
        <w:left w:val="none" w:sz="0" w:space="0" w:color="auto"/>
        <w:bottom w:val="none" w:sz="0" w:space="0" w:color="auto"/>
        <w:right w:val="none" w:sz="0" w:space="0" w:color="auto"/>
      </w:divBdr>
    </w:div>
    <w:div w:id="907882226">
      <w:bodyDiv w:val="1"/>
      <w:marLeft w:val="0"/>
      <w:marRight w:val="0"/>
      <w:marTop w:val="0"/>
      <w:marBottom w:val="0"/>
      <w:divBdr>
        <w:top w:val="none" w:sz="0" w:space="0" w:color="auto"/>
        <w:left w:val="none" w:sz="0" w:space="0" w:color="auto"/>
        <w:bottom w:val="none" w:sz="0" w:space="0" w:color="auto"/>
        <w:right w:val="none" w:sz="0" w:space="0" w:color="auto"/>
      </w:divBdr>
    </w:div>
    <w:div w:id="908223704">
      <w:bodyDiv w:val="1"/>
      <w:marLeft w:val="0"/>
      <w:marRight w:val="0"/>
      <w:marTop w:val="0"/>
      <w:marBottom w:val="0"/>
      <w:divBdr>
        <w:top w:val="none" w:sz="0" w:space="0" w:color="auto"/>
        <w:left w:val="none" w:sz="0" w:space="0" w:color="auto"/>
        <w:bottom w:val="none" w:sz="0" w:space="0" w:color="auto"/>
        <w:right w:val="none" w:sz="0" w:space="0" w:color="auto"/>
      </w:divBdr>
    </w:div>
    <w:div w:id="908537958">
      <w:bodyDiv w:val="1"/>
      <w:marLeft w:val="0"/>
      <w:marRight w:val="0"/>
      <w:marTop w:val="0"/>
      <w:marBottom w:val="0"/>
      <w:divBdr>
        <w:top w:val="none" w:sz="0" w:space="0" w:color="auto"/>
        <w:left w:val="none" w:sz="0" w:space="0" w:color="auto"/>
        <w:bottom w:val="none" w:sz="0" w:space="0" w:color="auto"/>
        <w:right w:val="none" w:sz="0" w:space="0" w:color="auto"/>
      </w:divBdr>
    </w:div>
    <w:div w:id="909929274">
      <w:bodyDiv w:val="1"/>
      <w:marLeft w:val="0"/>
      <w:marRight w:val="0"/>
      <w:marTop w:val="0"/>
      <w:marBottom w:val="0"/>
      <w:divBdr>
        <w:top w:val="none" w:sz="0" w:space="0" w:color="auto"/>
        <w:left w:val="none" w:sz="0" w:space="0" w:color="auto"/>
        <w:bottom w:val="none" w:sz="0" w:space="0" w:color="auto"/>
        <w:right w:val="none" w:sz="0" w:space="0" w:color="auto"/>
      </w:divBdr>
    </w:div>
    <w:div w:id="910116020">
      <w:bodyDiv w:val="1"/>
      <w:marLeft w:val="0"/>
      <w:marRight w:val="0"/>
      <w:marTop w:val="0"/>
      <w:marBottom w:val="0"/>
      <w:divBdr>
        <w:top w:val="none" w:sz="0" w:space="0" w:color="auto"/>
        <w:left w:val="none" w:sz="0" w:space="0" w:color="auto"/>
        <w:bottom w:val="none" w:sz="0" w:space="0" w:color="auto"/>
        <w:right w:val="none" w:sz="0" w:space="0" w:color="auto"/>
      </w:divBdr>
    </w:div>
    <w:div w:id="910240962">
      <w:bodyDiv w:val="1"/>
      <w:marLeft w:val="0"/>
      <w:marRight w:val="0"/>
      <w:marTop w:val="0"/>
      <w:marBottom w:val="0"/>
      <w:divBdr>
        <w:top w:val="none" w:sz="0" w:space="0" w:color="auto"/>
        <w:left w:val="none" w:sz="0" w:space="0" w:color="auto"/>
        <w:bottom w:val="none" w:sz="0" w:space="0" w:color="auto"/>
        <w:right w:val="none" w:sz="0" w:space="0" w:color="auto"/>
      </w:divBdr>
    </w:div>
    <w:div w:id="911233080">
      <w:bodyDiv w:val="1"/>
      <w:marLeft w:val="0"/>
      <w:marRight w:val="0"/>
      <w:marTop w:val="0"/>
      <w:marBottom w:val="0"/>
      <w:divBdr>
        <w:top w:val="none" w:sz="0" w:space="0" w:color="auto"/>
        <w:left w:val="none" w:sz="0" w:space="0" w:color="auto"/>
        <w:bottom w:val="none" w:sz="0" w:space="0" w:color="auto"/>
        <w:right w:val="none" w:sz="0" w:space="0" w:color="auto"/>
      </w:divBdr>
    </w:div>
    <w:div w:id="911621066">
      <w:bodyDiv w:val="1"/>
      <w:marLeft w:val="0"/>
      <w:marRight w:val="0"/>
      <w:marTop w:val="0"/>
      <w:marBottom w:val="0"/>
      <w:divBdr>
        <w:top w:val="none" w:sz="0" w:space="0" w:color="auto"/>
        <w:left w:val="none" w:sz="0" w:space="0" w:color="auto"/>
        <w:bottom w:val="none" w:sz="0" w:space="0" w:color="auto"/>
        <w:right w:val="none" w:sz="0" w:space="0" w:color="auto"/>
      </w:divBdr>
    </w:div>
    <w:div w:id="913202306">
      <w:bodyDiv w:val="1"/>
      <w:marLeft w:val="0"/>
      <w:marRight w:val="0"/>
      <w:marTop w:val="0"/>
      <w:marBottom w:val="0"/>
      <w:divBdr>
        <w:top w:val="none" w:sz="0" w:space="0" w:color="auto"/>
        <w:left w:val="none" w:sz="0" w:space="0" w:color="auto"/>
        <w:bottom w:val="none" w:sz="0" w:space="0" w:color="auto"/>
        <w:right w:val="none" w:sz="0" w:space="0" w:color="auto"/>
      </w:divBdr>
    </w:div>
    <w:div w:id="913244460">
      <w:bodyDiv w:val="1"/>
      <w:marLeft w:val="0"/>
      <w:marRight w:val="0"/>
      <w:marTop w:val="0"/>
      <w:marBottom w:val="0"/>
      <w:divBdr>
        <w:top w:val="none" w:sz="0" w:space="0" w:color="auto"/>
        <w:left w:val="none" w:sz="0" w:space="0" w:color="auto"/>
        <w:bottom w:val="none" w:sz="0" w:space="0" w:color="auto"/>
        <w:right w:val="none" w:sz="0" w:space="0" w:color="auto"/>
      </w:divBdr>
    </w:div>
    <w:div w:id="914625570">
      <w:bodyDiv w:val="1"/>
      <w:marLeft w:val="0"/>
      <w:marRight w:val="0"/>
      <w:marTop w:val="0"/>
      <w:marBottom w:val="0"/>
      <w:divBdr>
        <w:top w:val="none" w:sz="0" w:space="0" w:color="auto"/>
        <w:left w:val="none" w:sz="0" w:space="0" w:color="auto"/>
        <w:bottom w:val="none" w:sz="0" w:space="0" w:color="auto"/>
        <w:right w:val="none" w:sz="0" w:space="0" w:color="auto"/>
      </w:divBdr>
    </w:div>
    <w:div w:id="914973794">
      <w:bodyDiv w:val="1"/>
      <w:marLeft w:val="0"/>
      <w:marRight w:val="0"/>
      <w:marTop w:val="0"/>
      <w:marBottom w:val="0"/>
      <w:divBdr>
        <w:top w:val="none" w:sz="0" w:space="0" w:color="auto"/>
        <w:left w:val="none" w:sz="0" w:space="0" w:color="auto"/>
        <w:bottom w:val="none" w:sz="0" w:space="0" w:color="auto"/>
        <w:right w:val="none" w:sz="0" w:space="0" w:color="auto"/>
      </w:divBdr>
    </w:div>
    <w:div w:id="915819724">
      <w:bodyDiv w:val="1"/>
      <w:marLeft w:val="0"/>
      <w:marRight w:val="0"/>
      <w:marTop w:val="0"/>
      <w:marBottom w:val="0"/>
      <w:divBdr>
        <w:top w:val="none" w:sz="0" w:space="0" w:color="auto"/>
        <w:left w:val="none" w:sz="0" w:space="0" w:color="auto"/>
        <w:bottom w:val="none" w:sz="0" w:space="0" w:color="auto"/>
        <w:right w:val="none" w:sz="0" w:space="0" w:color="auto"/>
      </w:divBdr>
    </w:div>
    <w:div w:id="917792401">
      <w:bodyDiv w:val="1"/>
      <w:marLeft w:val="0"/>
      <w:marRight w:val="0"/>
      <w:marTop w:val="0"/>
      <w:marBottom w:val="0"/>
      <w:divBdr>
        <w:top w:val="none" w:sz="0" w:space="0" w:color="auto"/>
        <w:left w:val="none" w:sz="0" w:space="0" w:color="auto"/>
        <w:bottom w:val="none" w:sz="0" w:space="0" w:color="auto"/>
        <w:right w:val="none" w:sz="0" w:space="0" w:color="auto"/>
      </w:divBdr>
    </w:div>
    <w:div w:id="918052836">
      <w:bodyDiv w:val="1"/>
      <w:marLeft w:val="0"/>
      <w:marRight w:val="0"/>
      <w:marTop w:val="0"/>
      <w:marBottom w:val="0"/>
      <w:divBdr>
        <w:top w:val="none" w:sz="0" w:space="0" w:color="auto"/>
        <w:left w:val="none" w:sz="0" w:space="0" w:color="auto"/>
        <w:bottom w:val="none" w:sz="0" w:space="0" w:color="auto"/>
        <w:right w:val="none" w:sz="0" w:space="0" w:color="auto"/>
      </w:divBdr>
    </w:div>
    <w:div w:id="918101634">
      <w:bodyDiv w:val="1"/>
      <w:marLeft w:val="0"/>
      <w:marRight w:val="0"/>
      <w:marTop w:val="0"/>
      <w:marBottom w:val="0"/>
      <w:divBdr>
        <w:top w:val="none" w:sz="0" w:space="0" w:color="auto"/>
        <w:left w:val="none" w:sz="0" w:space="0" w:color="auto"/>
        <w:bottom w:val="none" w:sz="0" w:space="0" w:color="auto"/>
        <w:right w:val="none" w:sz="0" w:space="0" w:color="auto"/>
      </w:divBdr>
    </w:div>
    <w:div w:id="918296357">
      <w:bodyDiv w:val="1"/>
      <w:marLeft w:val="0"/>
      <w:marRight w:val="0"/>
      <w:marTop w:val="0"/>
      <w:marBottom w:val="0"/>
      <w:divBdr>
        <w:top w:val="none" w:sz="0" w:space="0" w:color="auto"/>
        <w:left w:val="none" w:sz="0" w:space="0" w:color="auto"/>
        <w:bottom w:val="none" w:sz="0" w:space="0" w:color="auto"/>
        <w:right w:val="none" w:sz="0" w:space="0" w:color="auto"/>
      </w:divBdr>
    </w:div>
    <w:div w:id="918556597">
      <w:bodyDiv w:val="1"/>
      <w:marLeft w:val="0"/>
      <w:marRight w:val="0"/>
      <w:marTop w:val="0"/>
      <w:marBottom w:val="0"/>
      <w:divBdr>
        <w:top w:val="none" w:sz="0" w:space="0" w:color="auto"/>
        <w:left w:val="none" w:sz="0" w:space="0" w:color="auto"/>
        <w:bottom w:val="none" w:sz="0" w:space="0" w:color="auto"/>
        <w:right w:val="none" w:sz="0" w:space="0" w:color="auto"/>
      </w:divBdr>
    </w:div>
    <w:div w:id="920333051">
      <w:bodyDiv w:val="1"/>
      <w:marLeft w:val="0"/>
      <w:marRight w:val="0"/>
      <w:marTop w:val="0"/>
      <w:marBottom w:val="0"/>
      <w:divBdr>
        <w:top w:val="none" w:sz="0" w:space="0" w:color="auto"/>
        <w:left w:val="none" w:sz="0" w:space="0" w:color="auto"/>
        <w:bottom w:val="none" w:sz="0" w:space="0" w:color="auto"/>
        <w:right w:val="none" w:sz="0" w:space="0" w:color="auto"/>
      </w:divBdr>
    </w:div>
    <w:div w:id="920718354">
      <w:bodyDiv w:val="1"/>
      <w:marLeft w:val="0"/>
      <w:marRight w:val="0"/>
      <w:marTop w:val="0"/>
      <w:marBottom w:val="0"/>
      <w:divBdr>
        <w:top w:val="none" w:sz="0" w:space="0" w:color="auto"/>
        <w:left w:val="none" w:sz="0" w:space="0" w:color="auto"/>
        <w:bottom w:val="none" w:sz="0" w:space="0" w:color="auto"/>
        <w:right w:val="none" w:sz="0" w:space="0" w:color="auto"/>
      </w:divBdr>
    </w:div>
    <w:div w:id="920800383">
      <w:bodyDiv w:val="1"/>
      <w:marLeft w:val="0"/>
      <w:marRight w:val="0"/>
      <w:marTop w:val="0"/>
      <w:marBottom w:val="0"/>
      <w:divBdr>
        <w:top w:val="none" w:sz="0" w:space="0" w:color="auto"/>
        <w:left w:val="none" w:sz="0" w:space="0" w:color="auto"/>
        <w:bottom w:val="none" w:sz="0" w:space="0" w:color="auto"/>
        <w:right w:val="none" w:sz="0" w:space="0" w:color="auto"/>
      </w:divBdr>
    </w:div>
    <w:div w:id="920916130">
      <w:bodyDiv w:val="1"/>
      <w:marLeft w:val="0"/>
      <w:marRight w:val="0"/>
      <w:marTop w:val="0"/>
      <w:marBottom w:val="0"/>
      <w:divBdr>
        <w:top w:val="none" w:sz="0" w:space="0" w:color="auto"/>
        <w:left w:val="none" w:sz="0" w:space="0" w:color="auto"/>
        <w:bottom w:val="none" w:sz="0" w:space="0" w:color="auto"/>
        <w:right w:val="none" w:sz="0" w:space="0" w:color="auto"/>
      </w:divBdr>
    </w:div>
    <w:div w:id="922757959">
      <w:bodyDiv w:val="1"/>
      <w:marLeft w:val="0"/>
      <w:marRight w:val="0"/>
      <w:marTop w:val="0"/>
      <w:marBottom w:val="0"/>
      <w:divBdr>
        <w:top w:val="none" w:sz="0" w:space="0" w:color="auto"/>
        <w:left w:val="none" w:sz="0" w:space="0" w:color="auto"/>
        <w:bottom w:val="none" w:sz="0" w:space="0" w:color="auto"/>
        <w:right w:val="none" w:sz="0" w:space="0" w:color="auto"/>
      </w:divBdr>
    </w:div>
    <w:div w:id="923487661">
      <w:bodyDiv w:val="1"/>
      <w:marLeft w:val="0"/>
      <w:marRight w:val="0"/>
      <w:marTop w:val="0"/>
      <w:marBottom w:val="0"/>
      <w:divBdr>
        <w:top w:val="none" w:sz="0" w:space="0" w:color="auto"/>
        <w:left w:val="none" w:sz="0" w:space="0" w:color="auto"/>
        <w:bottom w:val="none" w:sz="0" w:space="0" w:color="auto"/>
        <w:right w:val="none" w:sz="0" w:space="0" w:color="auto"/>
      </w:divBdr>
    </w:div>
    <w:div w:id="924142751">
      <w:bodyDiv w:val="1"/>
      <w:marLeft w:val="0"/>
      <w:marRight w:val="0"/>
      <w:marTop w:val="0"/>
      <w:marBottom w:val="0"/>
      <w:divBdr>
        <w:top w:val="none" w:sz="0" w:space="0" w:color="auto"/>
        <w:left w:val="none" w:sz="0" w:space="0" w:color="auto"/>
        <w:bottom w:val="none" w:sz="0" w:space="0" w:color="auto"/>
        <w:right w:val="none" w:sz="0" w:space="0" w:color="auto"/>
      </w:divBdr>
    </w:div>
    <w:div w:id="924336150">
      <w:bodyDiv w:val="1"/>
      <w:marLeft w:val="0"/>
      <w:marRight w:val="0"/>
      <w:marTop w:val="0"/>
      <w:marBottom w:val="0"/>
      <w:divBdr>
        <w:top w:val="none" w:sz="0" w:space="0" w:color="auto"/>
        <w:left w:val="none" w:sz="0" w:space="0" w:color="auto"/>
        <w:bottom w:val="none" w:sz="0" w:space="0" w:color="auto"/>
        <w:right w:val="none" w:sz="0" w:space="0" w:color="auto"/>
      </w:divBdr>
    </w:div>
    <w:div w:id="924799843">
      <w:bodyDiv w:val="1"/>
      <w:marLeft w:val="0"/>
      <w:marRight w:val="0"/>
      <w:marTop w:val="0"/>
      <w:marBottom w:val="0"/>
      <w:divBdr>
        <w:top w:val="none" w:sz="0" w:space="0" w:color="auto"/>
        <w:left w:val="none" w:sz="0" w:space="0" w:color="auto"/>
        <w:bottom w:val="none" w:sz="0" w:space="0" w:color="auto"/>
        <w:right w:val="none" w:sz="0" w:space="0" w:color="auto"/>
      </w:divBdr>
    </w:div>
    <w:div w:id="926571586">
      <w:bodyDiv w:val="1"/>
      <w:marLeft w:val="0"/>
      <w:marRight w:val="0"/>
      <w:marTop w:val="0"/>
      <w:marBottom w:val="0"/>
      <w:divBdr>
        <w:top w:val="none" w:sz="0" w:space="0" w:color="auto"/>
        <w:left w:val="none" w:sz="0" w:space="0" w:color="auto"/>
        <w:bottom w:val="none" w:sz="0" w:space="0" w:color="auto"/>
        <w:right w:val="none" w:sz="0" w:space="0" w:color="auto"/>
      </w:divBdr>
    </w:div>
    <w:div w:id="927037523">
      <w:bodyDiv w:val="1"/>
      <w:marLeft w:val="0"/>
      <w:marRight w:val="0"/>
      <w:marTop w:val="0"/>
      <w:marBottom w:val="0"/>
      <w:divBdr>
        <w:top w:val="none" w:sz="0" w:space="0" w:color="auto"/>
        <w:left w:val="none" w:sz="0" w:space="0" w:color="auto"/>
        <w:bottom w:val="none" w:sz="0" w:space="0" w:color="auto"/>
        <w:right w:val="none" w:sz="0" w:space="0" w:color="auto"/>
      </w:divBdr>
    </w:div>
    <w:div w:id="927347020">
      <w:bodyDiv w:val="1"/>
      <w:marLeft w:val="0"/>
      <w:marRight w:val="0"/>
      <w:marTop w:val="0"/>
      <w:marBottom w:val="0"/>
      <w:divBdr>
        <w:top w:val="none" w:sz="0" w:space="0" w:color="auto"/>
        <w:left w:val="none" w:sz="0" w:space="0" w:color="auto"/>
        <w:bottom w:val="none" w:sz="0" w:space="0" w:color="auto"/>
        <w:right w:val="none" w:sz="0" w:space="0" w:color="auto"/>
      </w:divBdr>
    </w:div>
    <w:div w:id="928464398">
      <w:bodyDiv w:val="1"/>
      <w:marLeft w:val="0"/>
      <w:marRight w:val="0"/>
      <w:marTop w:val="0"/>
      <w:marBottom w:val="0"/>
      <w:divBdr>
        <w:top w:val="none" w:sz="0" w:space="0" w:color="auto"/>
        <w:left w:val="none" w:sz="0" w:space="0" w:color="auto"/>
        <w:bottom w:val="none" w:sz="0" w:space="0" w:color="auto"/>
        <w:right w:val="none" w:sz="0" w:space="0" w:color="auto"/>
      </w:divBdr>
    </w:div>
    <w:div w:id="928662494">
      <w:bodyDiv w:val="1"/>
      <w:marLeft w:val="0"/>
      <w:marRight w:val="0"/>
      <w:marTop w:val="0"/>
      <w:marBottom w:val="0"/>
      <w:divBdr>
        <w:top w:val="none" w:sz="0" w:space="0" w:color="auto"/>
        <w:left w:val="none" w:sz="0" w:space="0" w:color="auto"/>
        <w:bottom w:val="none" w:sz="0" w:space="0" w:color="auto"/>
        <w:right w:val="none" w:sz="0" w:space="0" w:color="auto"/>
      </w:divBdr>
    </w:div>
    <w:div w:id="929241237">
      <w:bodyDiv w:val="1"/>
      <w:marLeft w:val="0"/>
      <w:marRight w:val="0"/>
      <w:marTop w:val="0"/>
      <w:marBottom w:val="0"/>
      <w:divBdr>
        <w:top w:val="none" w:sz="0" w:space="0" w:color="auto"/>
        <w:left w:val="none" w:sz="0" w:space="0" w:color="auto"/>
        <w:bottom w:val="none" w:sz="0" w:space="0" w:color="auto"/>
        <w:right w:val="none" w:sz="0" w:space="0" w:color="auto"/>
      </w:divBdr>
    </w:div>
    <w:div w:id="929503226">
      <w:bodyDiv w:val="1"/>
      <w:marLeft w:val="0"/>
      <w:marRight w:val="0"/>
      <w:marTop w:val="0"/>
      <w:marBottom w:val="0"/>
      <w:divBdr>
        <w:top w:val="none" w:sz="0" w:space="0" w:color="auto"/>
        <w:left w:val="none" w:sz="0" w:space="0" w:color="auto"/>
        <w:bottom w:val="none" w:sz="0" w:space="0" w:color="auto"/>
        <w:right w:val="none" w:sz="0" w:space="0" w:color="auto"/>
      </w:divBdr>
    </w:div>
    <w:div w:id="929587360">
      <w:bodyDiv w:val="1"/>
      <w:marLeft w:val="0"/>
      <w:marRight w:val="0"/>
      <w:marTop w:val="0"/>
      <w:marBottom w:val="0"/>
      <w:divBdr>
        <w:top w:val="none" w:sz="0" w:space="0" w:color="auto"/>
        <w:left w:val="none" w:sz="0" w:space="0" w:color="auto"/>
        <w:bottom w:val="none" w:sz="0" w:space="0" w:color="auto"/>
        <w:right w:val="none" w:sz="0" w:space="0" w:color="auto"/>
      </w:divBdr>
    </w:div>
    <w:div w:id="929847766">
      <w:bodyDiv w:val="1"/>
      <w:marLeft w:val="0"/>
      <w:marRight w:val="0"/>
      <w:marTop w:val="0"/>
      <w:marBottom w:val="0"/>
      <w:divBdr>
        <w:top w:val="none" w:sz="0" w:space="0" w:color="auto"/>
        <w:left w:val="none" w:sz="0" w:space="0" w:color="auto"/>
        <w:bottom w:val="none" w:sz="0" w:space="0" w:color="auto"/>
        <w:right w:val="none" w:sz="0" w:space="0" w:color="auto"/>
      </w:divBdr>
    </w:div>
    <w:div w:id="929965335">
      <w:bodyDiv w:val="1"/>
      <w:marLeft w:val="0"/>
      <w:marRight w:val="0"/>
      <w:marTop w:val="0"/>
      <w:marBottom w:val="0"/>
      <w:divBdr>
        <w:top w:val="none" w:sz="0" w:space="0" w:color="auto"/>
        <w:left w:val="none" w:sz="0" w:space="0" w:color="auto"/>
        <w:bottom w:val="none" w:sz="0" w:space="0" w:color="auto"/>
        <w:right w:val="none" w:sz="0" w:space="0" w:color="auto"/>
      </w:divBdr>
    </w:div>
    <w:div w:id="931398942">
      <w:bodyDiv w:val="1"/>
      <w:marLeft w:val="0"/>
      <w:marRight w:val="0"/>
      <w:marTop w:val="0"/>
      <w:marBottom w:val="0"/>
      <w:divBdr>
        <w:top w:val="none" w:sz="0" w:space="0" w:color="auto"/>
        <w:left w:val="none" w:sz="0" w:space="0" w:color="auto"/>
        <w:bottom w:val="none" w:sz="0" w:space="0" w:color="auto"/>
        <w:right w:val="none" w:sz="0" w:space="0" w:color="auto"/>
      </w:divBdr>
    </w:div>
    <w:div w:id="931594969">
      <w:bodyDiv w:val="1"/>
      <w:marLeft w:val="0"/>
      <w:marRight w:val="0"/>
      <w:marTop w:val="0"/>
      <w:marBottom w:val="0"/>
      <w:divBdr>
        <w:top w:val="none" w:sz="0" w:space="0" w:color="auto"/>
        <w:left w:val="none" w:sz="0" w:space="0" w:color="auto"/>
        <w:bottom w:val="none" w:sz="0" w:space="0" w:color="auto"/>
        <w:right w:val="none" w:sz="0" w:space="0" w:color="auto"/>
      </w:divBdr>
    </w:div>
    <w:div w:id="931623070">
      <w:bodyDiv w:val="1"/>
      <w:marLeft w:val="0"/>
      <w:marRight w:val="0"/>
      <w:marTop w:val="0"/>
      <w:marBottom w:val="0"/>
      <w:divBdr>
        <w:top w:val="none" w:sz="0" w:space="0" w:color="auto"/>
        <w:left w:val="none" w:sz="0" w:space="0" w:color="auto"/>
        <w:bottom w:val="none" w:sz="0" w:space="0" w:color="auto"/>
        <w:right w:val="none" w:sz="0" w:space="0" w:color="auto"/>
      </w:divBdr>
    </w:div>
    <w:div w:id="933392908">
      <w:bodyDiv w:val="1"/>
      <w:marLeft w:val="0"/>
      <w:marRight w:val="0"/>
      <w:marTop w:val="0"/>
      <w:marBottom w:val="0"/>
      <w:divBdr>
        <w:top w:val="none" w:sz="0" w:space="0" w:color="auto"/>
        <w:left w:val="none" w:sz="0" w:space="0" w:color="auto"/>
        <w:bottom w:val="none" w:sz="0" w:space="0" w:color="auto"/>
        <w:right w:val="none" w:sz="0" w:space="0" w:color="auto"/>
      </w:divBdr>
    </w:div>
    <w:div w:id="933854521">
      <w:bodyDiv w:val="1"/>
      <w:marLeft w:val="0"/>
      <w:marRight w:val="0"/>
      <w:marTop w:val="0"/>
      <w:marBottom w:val="0"/>
      <w:divBdr>
        <w:top w:val="none" w:sz="0" w:space="0" w:color="auto"/>
        <w:left w:val="none" w:sz="0" w:space="0" w:color="auto"/>
        <w:bottom w:val="none" w:sz="0" w:space="0" w:color="auto"/>
        <w:right w:val="none" w:sz="0" w:space="0" w:color="auto"/>
      </w:divBdr>
    </w:div>
    <w:div w:id="935481396">
      <w:bodyDiv w:val="1"/>
      <w:marLeft w:val="0"/>
      <w:marRight w:val="0"/>
      <w:marTop w:val="0"/>
      <w:marBottom w:val="0"/>
      <w:divBdr>
        <w:top w:val="none" w:sz="0" w:space="0" w:color="auto"/>
        <w:left w:val="none" w:sz="0" w:space="0" w:color="auto"/>
        <w:bottom w:val="none" w:sz="0" w:space="0" w:color="auto"/>
        <w:right w:val="none" w:sz="0" w:space="0" w:color="auto"/>
      </w:divBdr>
    </w:div>
    <w:div w:id="936137532">
      <w:bodyDiv w:val="1"/>
      <w:marLeft w:val="0"/>
      <w:marRight w:val="0"/>
      <w:marTop w:val="0"/>
      <w:marBottom w:val="0"/>
      <w:divBdr>
        <w:top w:val="none" w:sz="0" w:space="0" w:color="auto"/>
        <w:left w:val="none" w:sz="0" w:space="0" w:color="auto"/>
        <w:bottom w:val="none" w:sz="0" w:space="0" w:color="auto"/>
        <w:right w:val="none" w:sz="0" w:space="0" w:color="auto"/>
      </w:divBdr>
    </w:div>
    <w:div w:id="936325589">
      <w:bodyDiv w:val="1"/>
      <w:marLeft w:val="0"/>
      <w:marRight w:val="0"/>
      <w:marTop w:val="0"/>
      <w:marBottom w:val="0"/>
      <w:divBdr>
        <w:top w:val="none" w:sz="0" w:space="0" w:color="auto"/>
        <w:left w:val="none" w:sz="0" w:space="0" w:color="auto"/>
        <w:bottom w:val="none" w:sz="0" w:space="0" w:color="auto"/>
        <w:right w:val="none" w:sz="0" w:space="0" w:color="auto"/>
      </w:divBdr>
    </w:div>
    <w:div w:id="936520895">
      <w:bodyDiv w:val="1"/>
      <w:marLeft w:val="0"/>
      <w:marRight w:val="0"/>
      <w:marTop w:val="0"/>
      <w:marBottom w:val="0"/>
      <w:divBdr>
        <w:top w:val="none" w:sz="0" w:space="0" w:color="auto"/>
        <w:left w:val="none" w:sz="0" w:space="0" w:color="auto"/>
        <w:bottom w:val="none" w:sz="0" w:space="0" w:color="auto"/>
        <w:right w:val="none" w:sz="0" w:space="0" w:color="auto"/>
      </w:divBdr>
    </w:div>
    <w:div w:id="937099353">
      <w:bodyDiv w:val="1"/>
      <w:marLeft w:val="0"/>
      <w:marRight w:val="0"/>
      <w:marTop w:val="0"/>
      <w:marBottom w:val="0"/>
      <w:divBdr>
        <w:top w:val="none" w:sz="0" w:space="0" w:color="auto"/>
        <w:left w:val="none" w:sz="0" w:space="0" w:color="auto"/>
        <w:bottom w:val="none" w:sz="0" w:space="0" w:color="auto"/>
        <w:right w:val="none" w:sz="0" w:space="0" w:color="auto"/>
      </w:divBdr>
    </w:div>
    <w:div w:id="940719928">
      <w:bodyDiv w:val="1"/>
      <w:marLeft w:val="0"/>
      <w:marRight w:val="0"/>
      <w:marTop w:val="0"/>
      <w:marBottom w:val="0"/>
      <w:divBdr>
        <w:top w:val="none" w:sz="0" w:space="0" w:color="auto"/>
        <w:left w:val="none" w:sz="0" w:space="0" w:color="auto"/>
        <w:bottom w:val="none" w:sz="0" w:space="0" w:color="auto"/>
        <w:right w:val="none" w:sz="0" w:space="0" w:color="auto"/>
      </w:divBdr>
    </w:div>
    <w:div w:id="941914230">
      <w:bodyDiv w:val="1"/>
      <w:marLeft w:val="0"/>
      <w:marRight w:val="0"/>
      <w:marTop w:val="0"/>
      <w:marBottom w:val="0"/>
      <w:divBdr>
        <w:top w:val="none" w:sz="0" w:space="0" w:color="auto"/>
        <w:left w:val="none" w:sz="0" w:space="0" w:color="auto"/>
        <w:bottom w:val="none" w:sz="0" w:space="0" w:color="auto"/>
        <w:right w:val="none" w:sz="0" w:space="0" w:color="auto"/>
      </w:divBdr>
    </w:div>
    <w:div w:id="943458079">
      <w:bodyDiv w:val="1"/>
      <w:marLeft w:val="0"/>
      <w:marRight w:val="0"/>
      <w:marTop w:val="0"/>
      <w:marBottom w:val="0"/>
      <w:divBdr>
        <w:top w:val="none" w:sz="0" w:space="0" w:color="auto"/>
        <w:left w:val="none" w:sz="0" w:space="0" w:color="auto"/>
        <w:bottom w:val="none" w:sz="0" w:space="0" w:color="auto"/>
        <w:right w:val="none" w:sz="0" w:space="0" w:color="auto"/>
      </w:divBdr>
    </w:div>
    <w:div w:id="945497932">
      <w:bodyDiv w:val="1"/>
      <w:marLeft w:val="0"/>
      <w:marRight w:val="0"/>
      <w:marTop w:val="0"/>
      <w:marBottom w:val="0"/>
      <w:divBdr>
        <w:top w:val="none" w:sz="0" w:space="0" w:color="auto"/>
        <w:left w:val="none" w:sz="0" w:space="0" w:color="auto"/>
        <w:bottom w:val="none" w:sz="0" w:space="0" w:color="auto"/>
        <w:right w:val="none" w:sz="0" w:space="0" w:color="auto"/>
      </w:divBdr>
    </w:div>
    <w:div w:id="945775216">
      <w:bodyDiv w:val="1"/>
      <w:marLeft w:val="0"/>
      <w:marRight w:val="0"/>
      <w:marTop w:val="0"/>
      <w:marBottom w:val="0"/>
      <w:divBdr>
        <w:top w:val="none" w:sz="0" w:space="0" w:color="auto"/>
        <w:left w:val="none" w:sz="0" w:space="0" w:color="auto"/>
        <w:bottom w:val="none" w:sz="0" w:space="0" w:color="auto"/>
        <w:right w:val="none" w:sz="0" w:space="0" w:color="auto"/>
      </w:divBdr>
    </w:div>
    <w:div w:id="946159009">
      <w:bodyDiv w:val="1"/>
      <w:marLeft w:val="0"/>
      <w:marRight w:val="0"/>
      <w:marTop w:val="0"/>
      <w:marBottom w:val="0"/>
      <w:divBdr>
        <w:top w:val="none" w:sz="0" w:space="0" w:color="auto"/>
        <w:left w:val="none" w:sz="0" w:space="0" w:color="auto"/>
        <w:bottom w:val="none" w:sz="0" w:space="0" w:color="auto"/>
        <w:right w:val="none" w:sz="0" w:space="0" w:color="auto"/>
      </w:divBdr>
    </w:div>
    <w:div w:id="948706396">
      <w:bodyDiv w:val="1"/>
      <w:marLeft w:val="0"/>
      <w:marRight w:val="0"/>
      <w:marTop w:val="0"/>
      <w:marBottom w:val="0"/>
      <w:divBdr>
        <w:top w:val="none" w:sz="0" w:space="0" w:color="auto"/>
        <w:left w:val="none" w:sz="0" w:space="0" w:color="auto"/>
        <w:bottom w:val="none" w:sz="0" w:space="0" w:color="auto"/>
        <w:right w:val="none" w:sz="0" w:space="0" w:color="auto"/>
      </w:divBdr>
    </w:div>
    <w:div w:id="951060999">
      <w:bodyDiv w:val="1"/>
      <w:marLeft w:val="0"/>
      <w:marRight w:val="0"/>
      <w:marTop w:val="0"/>
      <w:marBottom w:val="0"/>
      <w:divBdr>
        <w:top w:val="none" w:sz="0" w:space="0" w:color="auto"/>
        <w:left w:val="none" w:sz="0" w:space="0" w:color="auto"/>
        <w:bottom w:val="none" w:sz="0" w:space="0" w:color="auto"/>
        <w:right w:val="none" w:sz="0" w:space="0" w:color="auto"/>
      </w:divBdr>
    </w:div>
    <w:div w:id="951745278">
      <w:bodyDiv w:val="1"/>
      <w:marLeft w:val="0"/>
      <w:marRight w:val="0"/>
      <w:marTop w:val="0"/>
      <w:marBottom w:val="0"/>
      <w:divBdr>
        <w:top w:val="none" w:sz="0" w:space="0" w:color="auto"/>
        <w:left w:val="none" w:sz="0" w:space="0" w:color="auto"/>
        <w:bottom w:val="none" w:sz="0" w:space="0" w:color="auto"/>
        <w:right w:val="none" w:sz="0" w:space="0" w:color="auto"/>
      </w:divBdr>
    </w:div>
    <w:div w:id="951791691">
      <w:bodyDiv w:val="1"/>
      <w:marLeft w:val="0"/>
      <w:marRight w:val="0"/>
      <w:marTop w:val="0"/>
      <w:marBottom w:val="0"/>
      <w:divBdr>
        <w:top w:val="none" w:sz="0" w:space="0" w:color="auto"/>
        <w:left w:val="none" w:sz="0" w:space="0" w:color="auto"/>
        <w:bottom w:val="none" w:sz="0" w:space="0" w:color="auto"/>
        <w:right w:val="none" w:sz="0" w:space="0" w:color="auto"/>
      </w:divBdr>
    </w:div>
    <w:div w:id="952133706">
      <w:bodyDiv w:val="1"/>
      <w:marLeft w:val="0"/>
      <w:marRight w:val="0"/>
      <w:marTop w:val="0"/>
      <w:marBottom w:val="0"/>
      <w:divBdr>
        <w:top w:val="none" w:sz="0" w:space="0" w:color="auto"/>
        <w:left w:val="none" w:sz="0" w:space="0" w:color="auto"/>
        <w:bottom w:val="none" w:sz="0" w:space="0" w:color="auto"/>
        <w:right w:val="none" w:sz="0" w:space="0" w:color="auto"/>
      </w:divBdr>
    </w:div>
    <w:div w:id="952830100">
      <w:bodyDiv w:val="1"/>
      <w:marLeft w:val="0"/>
      <w:marRight w:val="0"/>
      <w:marTop w:val="0"/>
      <w:marBottom w:val="0"/>
      <w:divBdr>
        <w:top w:val="none" w:sz="0" w:space="0" w:color="auto"/>
        <w:left w:val="none" w:sz="0" w:space="0" w:color="auto"/>
        <w:bottom w:val="none" w:sz="0" w:space="0" w:color="auto"/>
        <w:right w:val="none" w:sz="0" w:space="0" w:color="auto"/>
      </w:divBdr>
    </w:div>
    <w:div w:id="953680302">
      <w:bodyDiv w:val="1"/>
      <w:marLeft w:val="0"/>
      <w:marRight w:val="0"/>
      <w:marTop w:val="0"/>
      <w:marBottom w:val="0"/>
      <w:divBdr>
        <w:top w:val="none" w:sz="0" w:space="0" w:color="auto"/>
        <w:left w:val="none" w:sz="0" w:space="0" w:color="auto"/>
        <w:bottom w:val="none" w:sz="0" w:space="0" w:color="auto"/>
        <w:right w:val="none" w:sz="0" w:space="0" w:color="auto"/>
      </w:divBdr>
    </w:div>
    <w:div w:id="955143325">
      <w:bodyDiv w:val="1"/>
      <w:marLeft w:val="0"/>
      <w:marRight w:val="0"/>
      <w:marTop w:val="0"/>
      <w:marBottom w:val="0"/>
      <w:divBdr>
        <w:top w:val="none" w:sz="0" w:space="0" w:color="auto"/>
        <w:left w:val="none" w:sz="0" w:space="0" w:color="auto"/>
        <w:bottom w:val="none" w:sz="0" w:space="0" w:color="auto"/>
        <w:right w:val="none" w:sz="0" w:space="0" w:color="auto"/>
      </w:divBdr>
    </w:div>
    <w:div w:id="956328724">
      <w:bodyDiv w:val="1"/>
      <w:marLeft w:val="0"/>
      <w:marRight w:val="0"/>
      <w:marTop w:val="0"/>
      <w:marBottom w:val="0"/>
      <w:divBdr>
        <w:top w:val="none" w:sz="0" w:space="0" w:color="auto"/>
        <w:left w:val="none" w:sz="0" w:space="0" w:color="auto"/>
        <w:bottom w:val="none" w:sz="0" w:space="0" w:color="auto"/>
        <w:right w:val="none" w:sz="0" w:space="0" w:color="auto"/>
      </w:divBdr>
    </w:div>
    <w:div w:id="956763811">
      <w:bodyDiv w:val="1"/>
      <w:marLeft w:val="0"/>
      <w:marRight w:val="0"/>
      <w:marTop w:val="0"/>
      <w:marBottom w:val="0"/>
      <w:divBdr>
        <w:top w:val="none" w:sz="0" w:space="0" w:color="auto"/>
        <w:left w:val="none" w:sz="0" w:space="0" w:color="auto"/>
        <w:bottom w:val="none" w:sz="0" w:space="0" w:color="auto"/>
        <w:right w:val="none" w:sz="0" w:space="0" w:color="auto"/>
      </w:divBdr>
    </w:div>
    <w:div w:id="957372168">
      <w:bodyDiv w:val="1"/>
      <w:marLeft w:val="0"/>
      <w:marRight w:val="0"/>
      <w:marTop w:val="0"/>
      <w:marBottom w:val="0"/>
      <w:divBdr>
        <w:top w:val="none" w:sz="0" w:space="0" w:color="auto"/>
        <w:left w:val="none" w:sz="0" w:space="0" w:color="auto"/>
        <w:bottom w:val="none" w:sz="0" w:space="0" w:color="auto"/>
        <w:right w:val="none" w:sz="0" w:space="0" w:color="auto"/>
      </w:divBdr>
    </w:div>
    <w:div w:id="957878757">
      <w:bodyDiv w:val="1"/>
      <w:marLeft w:val="0"/>
      <w:marRight w:val="0"/>
      <w:marTop w:val="0"/>
      <w:marBottom w:val="0"/>
      <w:divBdr>
        <w:top w:val="none" w:sz="0" w:space="0" w:color="auto"/>
        <w:left w:val="none" w:sz="0" w:space="0" w:color="auto"/>
        <w:bottom w:val="none" w:sz="0" w:space="0" w:color="auto"/>
        <w:right w:val="none" w:sz="0" w:space="0" w:color="auto"/>
      </w:divBdr>
    </w:div>
    <w:div w:id="958688336">
      <w:bodyDiv w:val="1"/>
      <w:marLeft w:val="0"/>
      <w:marRight w:val="0"/>
      <w:marTop w:val="0"/>
      <w:marBottom w:val="0"/>
      <w:divBdr>
        <w:top w:val="none" w:sz="0" w:space="0" w:color="auto"/>
        <w:left w:val="none" w:sz="0" w:space="0" w:color="auto"/>
        <w:bottom w:val="none" w:sz="0" w:space="0" w:color="auto"/>
        <w:right w:val="none" w:sz="0" w:space="0" w:color="auto"/>
      </w:divBdr>
    </w:div>
    <w:div w:id="958876230">
      <w:bodyDiv w:val="1"/>
      <w:marLeft w:val="0"/>
      <w:marRight w:val="0"/>
      <w:marTop w:val="0"/>
      <w:marBottom w:val="0"/>
      <w:divBdr>
        <w:top w:val="none" w:sz="0" w:space="0" w:color="auto"/>
        <w:left w:val="none" w:sz="0" w:space="0" w:color="auto"/>
        <w:bottom w:val="none" w:sz="0" w:space="0" w:color="auto"/>
        <w:right w:val="none" w:sz="0" w:space="0" w:color="auto"/>
      </w:divBdr>
    </w:div>
    <w:div w:id="958879941">
      <w:bodyDiv w:val="1"/>
      <w:marLeft w:val="0"/>
      <w:marRight w:val="0"/>
      <w:marTop w:val="0"/>
      <w:marBottom w:val="0"/>
      <w:divBdr>
        <w:top w:val="none" w:sz="0" w:space="0" w:color="auto"/>
        <w:left w:val="none" w:sz="0" w:space="0" w:color="auto"/>
        <w:bottom w:val="none" w:sz="0" w:space="0" w:color="auto"/>
        <w:right w:val="none" w:sz="0" w:space="0" w:color="auto"/>
      </w:divBdr>
    </w:div>
    <w:div w:id="959188044">
      <w:bodyDiv w:val="1"/>
      <w:marLeft w:val="0"/>
      <w:marRight w:val="0"/>
      <w:marTop w:val="0"/>
      <w:marBottom w:val="0"/>
      <w:divBdr>
        <w:top w:val="none" w:sz="0" w:space="0" w:color="auto"/>
        <w:left w:val="none" w:sz="0" w:space="0" w:color="auto"/>
        <w:bottom w:val="none" w:sz="0" w:space="0" w:color="auto"/>
        <w:right w:val="none" w:sz="0" w:space="0" w:color="auto"/>
      </w:divBdr>
    </w:div>
    <w:div w:id="959381702">
      <w:bodyDiv w:val="1"/>
      <w:marLeft w:val="0"/>
      <w:marRight w:val="0"/>
      <w:marTop w:val="0"/>
      <w:marBottom w:val="0"/>
      <w:divBdr>
        <w:top w:val="none" w:sz="0" w:space="0" w:color="auto"/>
        <w:left w:val="none" w:sz="0" w:space="0" w:color="auto"/>
        <w:bottom w:val="none" w:sz="0" w:space="0" w:color="auto"/>
        <w:right w:val="none" w:sz="0" w:space="0" w:color="auto"/>
      </w:divBdr>
    </w:div>
    <w:div w:id="959724726">
      <w:bodyDiv w:val="1"/>
      <w:marLeft w:val="0"/>
      <w:marRight w:val="0"/>
      <w:marTop w:val="0"/>
      <w:marBottom w:val="0"/>
      <w:divBdr>
        <w:top w:val="none" w:sz="0" w:space="0" w:color="auto"/>
        <w:left w:val="none" w:sz="0" w:space="0" w:color="auto"/>
        <w:bottom w:val="none" w:sz="0" w:space="0" w:color="auto"/>
        <w:right w:val="none" w:sz="0" w:space="0" w:color="auto"/>
      </w:divBdr>
    </w:div>
    <w:div w:id="960572646">
      <w:bodyDiv w:val="1"/>
      <w:marLeft w:val="0"/>
      <w:marRight w:val="0"/>
      <w:marTop w:val="0"/>
      <w:marBottom w:val="0"/>
      <w:divBdr>
        <w:top w:val="none" w:sz="0" w:space="0" w:color="auto"/>
        <w:left w:val="none" w:sz="0" w:space="0" w:color="auto"/>
        <w:bottom w:val="none" w:sz="0" w:space="0" w:color="auto"/>
        <w:right w:val="none" w:sz="0" w:space="0" w:color="auto"/>
      </w:divBdr>
    </w:div>
    <w:div w:id="960722752">
      <w:bodyDiv w:val="1"/>
      <w:marLeft w:val="0"/>
      <w:marRight w:val="0"/>
      <w:marTop w:val="0"/>
      <w:marBottom w:val="0"/>
      <w:divBdr>
        <w:top w:val="none" w:sz="0" w:space="0" w:color="auto"/>
        <w:left w:val="none" w:sz="0" w:space="0" w:color="auto"/>
        <w:bottom w:val="none" w:sz="0" w:space="0" w:color="auto"/>
        <w:right w:val="none" w:sz="0" w:space="0" w:color="auto"/>
      </w:divBdr>
    </w:div>
    <w:div w:id="961227531">
      <w:bodyDiv w:val="1"/>
      <w:marLeft w:val="0"/>
      <w:marRight w:val="0"/>
      <w:marTop w:val="0"/>
      <w:marBottom w:val="0"/>
      <w:divBdr>
        <w:top w:val="none" w:sz="0" w:space="0" w:color="auto"/>
        <w:left w:val="none" w:sz="0" w:space="0" w:color="auto"/>
        <w:bottom w:val="none" w:sz="0" w:space="0" w:color="auto"/>
        <w:right w:val="none" w:sz="0" w:space="0" w:color="auto"/>
      </w:divBdr>
    </w:div>
    <w:div w:id="961573311">
      <w:bodyDiv w:val="1"/>
      <w:marLeft w:val="0"/>
      <w:marRight w:val="0"/>
      <w:marTop w:val="0"/>
      <w:marBottom w:val="0"/>
      <w:divBdr>
        <w:top w:val="none" w:sz="0" w:space="0" w:color="auto"/>
        <w:left w:val="none" w:sz="0" w:space="0" w:color="auto"/>
        <w:bottom w:val="none" w:sz="0" w:space="0" w:color="auto"/>
        <w:right w:val="none" w:sz="0" w:space="0" w:color="auto"/>
      </w:divBdr>
    </w:div>
    <w:div w:id="963458948">
      <w:bodyDiv w:val="1"/>
      <w:marLeft w:val="0"/>
      <w:marRight w:val="0"/>
      <w:marTop w:val="0"/>
      <w:marBottom w:val="0"/>
      <w:divBdr>
        <w:top w:val="none" w:sz="0" w:space="0" w:color="auto"/>
        <w:left w:val="none" w:sz="0" w:space="0" w:color="auto"/>
        <w:bottom w:val="none" w:sz="0" w:space="0" w:color="auto"/>
        <w:right w:val="none" w:sz="0" w:space="0" w:color="auto"/>
      </w:divBdr>
    </w:div>
    <w:div w:id="963661476">
      <w:bodyDiv w:val="1"/>
      <w:marLeft w:val="0"/>
      <w:marRight w:val="0"/>
      <w:marTop w:val="0"/>
      <w:marBottom w:val="0"/>
      <w:divBdr>
        <w:top w:val="none" w:sz="0" w:space="0" w:color="auto"/>
        <w:left w:val="none" w:sz="0" w:space="0" w:color="auto"/>
        <w:bottom w:val="none" w:sz="0" w:space="0" w:color="auto"/>
        <w:right w:val="none" w:sz="0" w:space="0" w:color="auto"/>
      </w:divBdr>
    </w:div>
    <w:div w:id="965426210">
      <w:bodyDiv w:val="1"/>
      <w:marLeft w:val="0"/>
      <w:marRight w:val="0"/>
      <w:marTop w:val="0"/>
      <w:marBottom w:val="0"/>
      <w:divBdr>
        <w:top w:val="none" w:sz="0" w:space="0" w:color="auto"/>
        <w:left w:val="none" w:sz="0" w:space="0" w:color="auto"/>
        <w:bottom w:val="none" w:sz="0" w:space="0" w:color="auto"/>
        <w:right w:val="none" w:sz="0" w:space="0" w:color="auto"/>
      </w:divBdr>
    </w:div>
    <w:div w:id="965627591">
      <w:bodyDiv w:val="1"/>
      <w:marLeft w:val="0"/>
      <w:marRight w:val="0"/>
      <w:marTop w:val="0"/>
      <w:marBottom w:val="0"/>
      <w:divBdr>
        <w:top w:val="none" w:sz="0" w:space="0" w:color="auto"/>
        <w:left w:val="none" w:sz="0" w:space="0" w:color="auto"/>
        <w:bottom w:val="none" w:sz="0" w:space="0" w:color="auto"/>
        <w:right w:val="none" w:sz="0" w:space="0" w:color="auto"/>
      </w:divBdr>
    </w:div>
    <w:div w:id="967316889">
      <w:bodyDiv w:val="1"/>
      <w:marLeft w:val="0"/>
      <w:marRight w:val="0"/>
      <w:marTop w:val="0"/>
      <w:marBottom w:val="0"/>
      <w:divBdr>
        <w:top w:val="none" w:sz="0" w:space="0" w:color="auto"/>
        <w:left w:val="none" w:sz="0" w:space="0" w:color="auto"/>
        <w:bottom w:val="none" w:sz="0" w:space="0" w:color="auto"/>
        <w:right w:val="none" w:sz="0" w:space="0" w:color="auto"/>
      </w:divBdr>
    </w:div>
    <w:div w:id="967471327">
      <w:bodyDiv w:val="1"/>
      <w:marLeft w:val="0"/>
      <w:marRight w:val="0"/>
      <w:marTop w:val="0"/>
      <w:marBottom w:val="0"/>
      <w:divBdr>
        <w:top w:val="none" w:sz="0" w:space="0" w:color="auto"/>
        <w:left w:val="none" w:sz="0" w:space="0" w:color="auto"/>
        <w:bottom w:val="none" w:sz="0" w:space="0" w:color="auto"/>
        <w:right w:val="none" w:sz="0" w:space="0" w:color="auto"/>
      </w:divBdr>
    </w:div>
    <w:div w:id="967705164">
      <w:bodyDiv w:val="1"/>
      <w:marLeft w:val="0"/>
      <w:marRight w:val="0"/>
      <w:marTop w:val="0"/>
      <w:marBottom w:val="0"/>
      <w:divBdr>
        <w:top w:val="none" w:sz="0" w:space="0" w:color="auto"/>
        <w:left w:val="none" w:sz="0" w:space="0" w:color="auto"/>
        <w:bottom w:val="none" w:sz="0" w:space="0" w:color="auto"/>
        <w:right w:val="none" w:sz="0" w:space="0" w:color="auto"/>
      </w:divBdr>
    </w:div>
    <w:div w:id="968896138">
      <w:bodyDiv w:val="1"/>
      <w:marLeft w:val="0"/>
      <w:marRight w:val="0"/>
      <w:marTop w:val="0"/>
      <w:marBottom w:val="0"/>
      <w:divBdr>
        <w:top w:val="none" w:sz="0" w:space="0" w:color="auto"/>
        <w:left w:val="none" w:sz="0" w:space="0" w:color="auto"/>
        <w:bottom w:val="none" w:sz="0" w:space="0" w:color="auto"/>
        <w:right w:val="none" w:sz="0" w:space="0" w:color="auto"/>
      </w:divBdr>
    </w:div>
    <w:div w:id="969551471">
      <w:bodyDiv w:val="1"/>
      <w:marLeft w:val="0"/>
      <w:marRight w:val="0"/>
      <w:marTop w:val="0"/>
      <w:marBottom w:val="0"/>
      <w:divBdr>
        <w:top w:val="none" w:sz="0" w:space="0" w:color="auto"/>
        <w:left w:val="none" w:sz="0" w:space="0" w:color="auto"/>
        <w:bottom w:val="none" w:sz="0" w:space="0" w:color="auto"/>
        <w:right w:val="none" w:sz="0" w:space="0" w:color="auto"/>
      </w:divBdr>
    </w:div>
    <w:div w:id="969551853">
      <w:bodyDiv w:val="1"/>
      <w:marLeft w:val="0"/>
      <w:marRight w:val="0"/>
      <w:marTop w:val="0"/>
      <w:marBottom w:val="0"/>
      <w:divBdr>
        <w:top w:val="none" w:sz="0" w:space="0" w:color="auto"/>
        <w:left w:val="none" w:sz="0" w:space="0" w:color="auto"/>
        <w:bottom w:val="none" w:sz="0" w:space="0" w:color="auto"/>
        <w:right w:val="none" w:sz="0" w:space="0" w:color="auto"/>
      </w:divBdr>
    </w:div>
    <w:div w:id="970404310">
      <w:bodyDiv w:val="1"/>
      <w:marLeft w:val="0"/>
      <w:marRight w:val="0"/>
      <w:marTop w:val="0"/>
      <w:marBottom w:val="0"/>
      <w:divBdr>
        <w:top w:val="none" w:sz="0" w:space="0" w:color="auto"/>
        <w:left w:val="none" w:sz="0" w:space="0" w:color="auto"/>
        <w:bottom w:val="none" w:sz="0" w:space="0" w:color="auto"/>
        <w:right w:val="none" w:sz="0" w:space="0" w:color="auto"/>
      </w:divBdr>
    </w:div>
    <w:div w:id="970671452">
      <w:bodyDiv w:val="1"/>
      <w:marLeft w:val="0"/>
      <w:marRight w:val="0"/>
      <w:marTop w:val="0"/>
      <w:marBottom w:val="0"/>
      <w:divBdr>
        <w:top w:val="none" w:sz="0" w:space="0" w:color="auto"/>
        <w:left w:val="none" w:sz="0" w:space="0" w:color="auto"/>
        <w:bottom w:val="none" w:sz="0" w:space="0" w:color="auto"/>
        <w:right w:val="none" w:sz="0" w:space="0" w:color="auto"/>
      </w:divBdr>
    </w:div>
    <w:div w:id="971598848">
      <w:bodyDiv w:val="1"/>
      <w:marLeft w:val="0"/>
      <w:marRight w:val="0"/>
      <w:marTop w:val="0"/>
      <w:marBottom w:val="0"/>
      <w:divBdr>
        <w:top w:val="none" w:sz="0" w:space="0" w:color="auto"/>
        <w:left w:val="none" w:sz="0" w:space="0" w:color="auto"/>
        <w:bottom w:val="none" w:sz="0" w:space="0" w:color="auto"/>
        <w:right w:val="none" w:sz="0" w:space="0" w:color="auto"/>
      </w:divBdr>
    </w:div>
    <w:div w:id="971709430">
      <w:bodyDiv w:val="1"/>
      <w:marLeft w:val="0"/>
      <w:marRight w:val="0"/>
      <w:marTop w:val="0"/>
      <w:marBottom w:val="0"/>
      <w:divBdr>
        <w:top w:val="none" w:sz="0" w:space="0" w:color="auto"/>
        <w:left w:val="none" w:sz="0" w:space="0" w:color="auto"/>
        <w:bottom w:val="none" w:sz="0" w:space="0" w:color="auto"/>
        <w:right w:val="none" w:sz="0" w:space="0" w:color="auto"/>
      </w:divBdr>
    </w:div>
    <w:div w:id="972095773">
      <w:bodyDiv w:val="1"/>
      <w:marLeft w:val="0"/>
      <w:marRight w:val="0"/>
      <w:marTop w:val="0"/>
      <w:marBottom w:val="0"/>
      <w:divBdr>
        <w:top w:val="none" w:sz="0" w:space="0" w:color="auto"/>
        <w:left w:val="none" w:sz="0" w:space="0" w:color="auto"/>
        <w:bottom w:val="none" w:sz="0" w:space="0" w:color="auto"/>
        <w:right w:val="none" w:sz="0" w:space="0" w:color="auto"/>
      </w:divBdr>
    </w:div>
    <w:div w:id="972639399">
      <w:bodyDiv w:val="1"/>
      <w:marLeft w:val="0"/>
      <w:marRight w:val="0"/>
      <w:marTop w:val="0"/>
      <w:marBottom w:val="0"/>
      <w:divBdr>
        <w:top w:val="none" w:sz="0" w:space="0" w:color="auto"/>
        <w:left w:val="none" w:sz="0" w:space="0" w:color="auto"/>
        <w:bottom w:val="none" w:sz="0" w:space="0" w:color="auto"/>
        <w:right w:val="none" w:sz="0" w:space="0" w:color="auto"/>
      </w:divBdr>
    </w:div>
    <w:div w:id="973288551">
      <w:bodyDiv w:val="1"/>
      <w:marLeft w:val="0"/>
      <w:marRight w:val="0"/>
      <w:marTop w:val="0"/>
      <w:marBottom w:val="0"/>
      <w:divBdr>
        <w:top w:val="none" w:sz="0" w:space="0" w:color="auto"/>
        <w:left w:val="none" w:sz="0" w:space="0" w:color="auto"/>
        <w:bottom w:val="none" w:sz="0" w:space="0" w:color="auto"/>
        <w:right w:val="none" w:sz="0" w:space="0" w:color="auto"/>
      </w:divBdr>
    </w:div>
    <w:div w:id="974218924">
      <w:bodyDiv w:val="1"/>
      <w:marLeft w:val="0"/>
      <w:marRight w:val="0"/>
      <w:marTop w:val="0"/>
      <w:marBottom w:val="0"/>
      <w:divBdr>
        <w:top w:val="none" w:sz="0" w:space="0" w:color="auto"/>
        <w:left w:val="none" w:sz="0" w:space="0" w:color="auto"/>
        <w:bottom w:val="none" w:sz="0" w:space="0" w:color="auto"/>
        <w:right w:val="none" w:sz="0" w:space="0" w:color="auto"/>
      </w:divBdr>
    </w:div>
    <w:div w:id="975915989">
      <w:bodyDiv w:val="1"/>
      <w:marLeft w:val="0"/>
      <w:marRight w:val="0"/>
      <w:marTop w:val="0"/>
      <w:marBottom w:val="0"/>
      <w:divBdr>
        <w:top w:val="none" w:sz="0" w:space="0" w:color="auto"/>
        <w:left w:val="none" w:sz="0" w:space="0" w:color="auto"/>
        <w:bottom w:val="none" w:sz="0" w:space="0" w:color="auto"/>
        <w:right w:val="none" w:sz="0" w:space="0" w:color="auto"/>
      </w:divBdr>
    </w:div>
    <w:div w:id="976184494">
      <w:bodyDiv w:val="1"/>
      <w:marLeft w:val="0"/>
      <w:marRight w:val="0"/>
      <w:marTop w:val="0"/>
      <w:marBottom w:val="0"/>
      <w:divBdr>
        <w:top w:val="none" w:sz="0" w:space="0" w:color="auto"/>
        <w:left w:val="none" w:sz="0" w:space="0" w:color="auto"/>
        <w:bottom w:val="none" w:sz="0" w:space="0" w:color="auto"/>
        <w:right w:val="none" w:sz="0" w:space="0" w:color="auto"/>
      </w:divBdr>
    </w:div>
    <w:div w:id="976691071">
      <w:bodyDiv w:val="1"/>
      <w:marLeft w:val="0"/>
      <w:marRight w:val="0"/>
      <w:marTop w:val="0"/>
      <w:marBottom w:val="0"/>
      <w:divBdr>
        <w:top w:val="none" w:sz="0" w:space="0" w:color="auto"/>
        <w:left w:val="none" w:sz="0" w:space="0" w:color="auto"/>
        <w:bottom w:val="none" w:sz="0" w:space="0" w:color="auto"/>
        <w:right w:val="none" w:sz="0" w:space="0" w:color="auto"/>
      </w:divBdr>
    </w:div>
    <w:div w:id="978649229">
      <w:bodyDiv w:val="1"/>
      <w:marLeft w:val="0"/>
      <w:marRight w:val="0"/>
      <w:marTop w:val="0"/>
      <w:marBottom w:val="0"/>
      <w:divBdr>
        <w:top w:val="none" w:sz="0" w:space="0" w:color="auto"/>
        <w:left w:val="none" w:sz="0" w:space="0" w:color="auto"/>
        <w:bottom w:val="none" w:sz="0" w:space="0" w:color="auto"/>
        <w:right w:val="none" w:sz="0" w:space="0" w:color="auto"/>
      </w:divBdr>
    </w:div>
    <w:div w:id="979263611">
      <w:bodyDiv w:val="1"/>
      <w:marLeft w:val="0"/>
      <w:marRight w:val="0"/>
      <w:marTop w:val="0"/>
      <w:marBottom w:val="0"/>
      <w:divBdr>
        <w:top w:val="none" w:sz="0" w:space="0" w:color="auto"/>
        <w:left w:val="none" w:sz="0" w:space="0" w:color="auto"/>
        <w:bottom w:val="none" w:sz="0" w:space="0" w:color="auto"/>
        <w:right w:val="none" w:sz="0" w:space="0" w:color="auto"/>
      </w:divBdr>
    </w:div>
    <w:div w:id="979264803">
      <w:bodyDiv w:val="1"/>
      <w:marLeft w:val="0"/>
      <w:marRight w:val="0"/>
      <w:marTop w:val="0"/>
      <w:marBottom w:val="0"/>
      <w:divBdr>
        <w:top w:val="none" w:sz="0" w:space="0" w:color="auto"/>
        <w:left w:val="none" w:sz="0" w:space="0" w:color="auto"/>
        <w:bottom w:val="none" w:sz="0" w:space="0" w:color="auto"/>
        <w:right w:val="none" w:sz="0" w:space="0" w:color="auto"/>
      </w:divBdr>
    </w:div>
    <w:div w:id="979459037">
      <w:bodyDiv w:val="1"/>
      <w:marLeft w:val="0"/>
      <w:marRight w:val="0"/>
      <w:marTop w:val="0"/>
      <w:marBottom w:val="0"/>
      <w:divBdr>
        <w:top w:val="none" w:sz="0" w:space="0" w:color="auto"/>
        <w:left w:val="none" w:sz="0" w:space="0" w:color="auto"/>
        <w:bottom w:val="none" w:sz="0" w:space="0" w:color="auto"/>
        <w:right w:val="none" w:sz="0" w:space="0" w:color="auto"/>
      </w:divBdr>
    </w:div>
    <w:div w:id="979768092">
      <w:bodyDiv w:val="1"/>
      <w:marLeft w:val="0"/>
      <w:marRight w:val="0"/>
      <w:marTop w:val="0"/>
      <w:marBottom w:val="0"/>
      <w:divBdr>
        <w:top w:val="none" w:sz="0" w:space="0" w:color="auto"/>
        <w:left w:val="none" w:sz="0" w:space="0" w:color="auto"/>
        <w:bottom w:val="none" w:sz="0" w:space="0" w:color="auto"/>
        <w:right w:val="none" w:sz="0" w:space="0" w:color="auto"/>
      </w:divBdr>
    </w:div>
    <w:div w:id="980616805">
      <w:bodyDiv w:val="1"/>
      <w:marLeft w:val="0"/>
      <w:marRight w:val="0"/>
      <w:marTop w:val="0"/>
      <w:marBottom w:val="0"/>
      <w:divBdr>
        <w:top w:val="none" w:sz="0" w:space="0" w:color="auto"/>
        <w:left w:val="none" w:sz="0" w:space="0" w:color="auto"/>
        <w:bottom w:val="none" w:sz="0" w:space="0" w:color="auto"/>
        <w:right w:val="none" w:sz="0" w:space="0" w:color="auto"/>
      </w:divBdr>
    </w:div>
    <w:div w:id="981079799">
      <w:bodyDiv w:val="1"/>
      <w:marLeft w:val="0"/>
      <w:marRight w:val="0"/>
      <w:marTop w:val="0"/>
      <w:marBottom w:val="0"/>
      <w:divBdr>
        <w:top w:val="none" w:sz="0" w:space="0" w:color="auto"/>
        <w:left w:val="none" w:sz="0" w:space="0" w:color="auto"/>
        <w:bottom w:val="none" w:sz="0" w:space="0" w:color="auto"/>
        <w:right w:val="none" w:sz="0" w:space="0" w:color="auto"/>
      </w:divBdr>
    </w:div>
    <w:div w:id="981425466">
      <w:bodyDiv w:val="1"/>
      <w:marLeft w:val="0"/>
      <w:marRight w:val="0"/>
      <w:marTop w:val="0"/>
      <w:marBottom w:val="0"/>
      <w:divBdr>
        <w:top w:val="none" w:sz="0" w:space="0" w:color="auto"/>
        <w:left w:val="none" w:sz="0" w:space="0" w:color="auto"/>
        <w:bottom w:val="none" w:sz="0" w:space="0" w:color="auto"/>
        <w:right w:val="none" w:sz="0" w:space="0" w:color="auto"/>
      </w:divBdr>
    </w:div>
    <w:div w:id="982076233">
      <w:bodyDiv w:val="1"/>
      <w:marLeft w:val="0"/>
      <w:marRight w:val="0"/>
      <w:marTop w:val="0"/>
      <w:marBottom w:val="0"/>
      <w:divBdr>
        <w:top w:val="none" w:sz="0" w:space="0" w:color="auto"/>
        <w:left w:val="none" w:sz="0" w:space="0" w:color="auto"/>
        <w:bottom w:val="none" w:sz="0" w:space="0" w:color="auto"/>
        <w:right w:val="none" w:sz="0" w:space="0" w:color="auto"/>
      </w:divBdr>
    </w:div>
    <w:div w:id="982077095">
      <w:bodyDiv w:val="1"/>
      <w:marLeft w:val="0"/>
      <w:marRight w:val="0"/>
      <w:marTop w:val="0"/>
      <w:marBottom w:val="0"/>
      <w:divBdr>
        <w:top w:val="none" w:sz="0" w:space="0" w:color="auto"/>
        <w:left w:val="none" w:sz="0" w:space="0" w:color="auto"/>
        <w:bottom w:val="none" w:sz="0" w:space="0" w:color="auto"/>
        <w:right w:val="none" w:sz="0" w:space="0" w:color="auto"/>
      </w:divBdr>
    </w:div>
    <w:div w:id="982853027">
      <w:bodyDiv w:val="1"/>
      <w:marLeft w:val="0"/>
      <w:marRight w:val="0"/>
      <w:marTop w:val="0"/>
      <w:marBottom w:val="0"/>
      <w:divBdr>
        <w:top w:val="none" w:sz="0" w:space="0" w:color="auto"/>
        <w:left w:val="none" w:sz="0" w:space="0" w:color="auto"/>
        <w:bottom w:val="none" w:sz="0" w:space="0" w:color="auto"/>
        <w:right w:val="none" w:sz="0" w:space="0" w:color="auto"/>
      </w:divBdr>
    </w:div>
    <w:div w:id="982929422">
      <w:bodyDiv w:val="1"/>
      <w:marLeft w:val="0"/>
      <w:marRight w:val="0"/>
      <w:marTop w:val="0"/>
      <w:marBottom w:val="0"/>
      <w:divBdr>
        <w:top w:val="none" w:sz="0" w:space="0" w:color="auto"/>
        <w:left w:val="none" w:sz="0" w:space="0" w:color="auto"/>
        <w:bottom w:val="none" w:sz="0" w:space="0" w:color="auto"/>
        <w:right w:val="none" w:sz="0" w:space="0" w:color="auto"/>
      </w:divBdr>
    </w:div>
    <w:div w:id="984042497">
      <w:bodyDiv w:val="1"/>
      <w:marLeft w:val="0"/>
      <w:marRight w:val="0"/>
      <w:marTop w:val="0"/>
      <w:marBottom w:val="0"/>
      <w:divBdr>
        <w:top w:val="none" w:sz="0" w:space="0" w:color="auto"/>
        <w:left w:val="none" w:sz="0" w:space="0" w:color="auto"/>
        <w:bottom w:val="none" w:sz="0" w:space="0" w:color="auto"/>
        <w:right w:val="none" w:sz="0" w:space="0" w:color="auto"/>
      </w:divBdr>
    </w:div>
    <w:div w:id="984744841">
      <w:bodyDiv w:val="1"/>
      <w:marLeft w:val="0"/>
      <w:marRight w:val="0"/>
      <w:marTop w:val="0"/>
      <w:marBottom w:val="0"/>
      <w:divBdr>
        <w:top w:val="none" w:sz="0" w:space="0" w:color="auto"/>
        <w:left w:val="none" w:sz="0" w:space="0" w:color="auto"/>
        <w:bottom w:val="none" w:sz="0" w:space="0" w:color="auto"/>
        <w:right w:val="none" w:sz="0" w:space="0" w:color="auto"/>
      </w:divBdr>
    </w:div>
    <w:div w:id="985166894">
      <w:bodyDiv w:val="1"/>
      <w:marLeft w:val="0"/>
      <w:marRight w:val="0"/>
      <w:marTop w:val="0"/>
      <w:marBottom w:val="0"/>
      <w:divBdr>
        <w:top w:val="none" w:sz="0" w:space="0" w:color="auto"/>
        <w:left w:val="none" w:sz="0" w:space="0" w:color="auto"/>
        <w:bottom w:val="none" w:sz="0" w:space="0" w:color="auto"/>
        <w:right w:val="none" w:sz="0" w:space="0" w:color="auto"/>
      </w:divBdr>
    </w:div>
    <w:div w:id="985473433">
      <w:bodyDiv w:val="1"/>
      <w:marLeft w:val="0"/>
      <w:marRight w:val="0"/>
      <w:marTop w:val="0"/>
      <w:marBottom w:val="0"/>
      <w:divBdr>
        <w:top w:val="none" w:sz="0" w:space="0" w:color="auto"/>
        <w:left w:val="none" w:sz="0" w:space="0" w:color="auto"/>
        <w:bottom w:val="none" w:sz="0" w:space="0" w:color="auto"/>
        <w:right w:val="none" w:sz="0" w:space="0" w:color="auto"/>
      </w:divBdr>
    </w:div>
    <w:div w:id="985474036">
      <w:bodyDiv w:val="1"/>
      <w:marLeft w:val="0"/>
      <w:marRight w:val="0"/>
      <w:marTop w:val="0"/>
      <w:marBottom w:val="0"/>
      <w:divBdr>
        <w:top w:val="none" w:sz="0" w:space="0" w:color="auto"/>
        <w:left w:val="none" w:sz="0" w:space="0" w:color="auto"/>
        <w:bottom w:val="none" w:sz="0" w:space="0" w:color="auto"/>
        <w:right w:val="none" w:sz="0" w:space="0" w:color="auto"/>
      </w:divBdr>
    </w:div>
    <w:div w:id="986593819">
      <w:bodyDiv w:val="1"/>
      <w:marLeft w:val="0"/>
      <w:marRight w:val="0"/>
      <w:marTop w:val="0"/>
      <w:marBottom w:val="0"/>
      <w:divBdr>
        <w:top w:val="none" w:sz="0" w:space="0" w:color="auto"/>
        <w:left w:val="none" w:sz="0" w:space="0" w:color="auto"/>
        <w:bottom w:val="none" w:sz="0" w:space="0" w:color="auto"/>
        <w:right w:val="none" w:sz="0" w:space="0" w:color="auto"/>
      </w:divBdr>
    </w:div>
    <w:div w:id="987169607">
      <w:bodyDiv w:val="1"/>
      <w:marLeft w:val="0"/>
      <w:marRight w:val="0"/>
      <w:marTop w:val="0"/>
      <w:marBottom w:val="0"/>
      <w:divBdr>
        <w:top w:val="none" w:sz="0" w:space="0" w:color="auto"/>
        <w:left w:val="none" w:sz="0" w:space="0" w:color="auto"/>
        <w:bottom w:val="none" w:sz="0" w:space="0" w:color="auto"/>
        <w:right w:val="none" w:sz="0" w:space="0" w:color="auto"/>
      </w:divBdr>
    </w:div>
    <w:div w:id="987590353">
      <w:bodyDiv w:val="1"/>
      <w:marLeft w:val="0"/>
      <w:marRight w:val="0"/>
      <w:marTop w:val="0"/>
      <w:marBottom w:val="0"/>
      <w:divBdr>
        <w:top w:val="none" w:sz="0" w:space="0" w:color="auto"/>
        <w:left w:val="none" w:sz="0" w:space="0" w:color="auto"/>
        <w:bottom w:val="none" w:sz="0" w:space="0" w:color="auto"/>
        <w:right w:val="none" w:sz="0" w:space="0" w:color="auto"/>
      </w:divBdr>
    </w:div>
    <w:div w:id="987902319">
      <w:bodyDiv w:val="1"/>
      <w:marLeft w:val="0"/>
      <w:marRight w:val="0"/>
      <w:marTop w:val="0"/>
      <w:marBottom w:val="0"/>
      <w:divBdr>
        <w:top w:val="none" w:sz="0" w:space="0" w:color="auto"/>
        <w:left w:val="none" w:sz="0" w:space="0" w:color="auto"/>
        <w:bottom w:val="none" w:sz="0" w:space="0" w:color="auto"/>
        <w:right w:val="none" w:sz="0" w:space="0" w:color="auto"/>
      </w:divBdr>
    </w:div>
    <w:div w:id="988289662">
      <w:bodyDiv w:val="1"/>
      <w:marLeft w:val="0"/>
      <w:marRight w:val="0"/>
      <w:marTop w:val="0"/>
      <w:marBottom w:val="0"/>
      <w:divBdr>
        <w:top w:val="none" w:sz="0" w:space="0" w:color="auto"/>
        <w:left w:val="none" w:sz="0" w:space="0" w:color="auto"/>
        <w:bottom w:val="none" w:sz="0" w:space="0" w:color="auto"/>
        <w:right w:val="none" w:sz="0" w:space="0" w:color="auto"/>
      </w:divBdr>
    </w:div>
    <w:div w:id="988704083">
      <w:bodyDiv w:val="1"/>
      <w:marLeft w:val="0"/>
      <w:marRight w:val="0"/>
      <w:marTop w:val="0"/>
      <w:marBottom w:val="0"/>
      <w:divBdr>
        <w:top w:val="none" w:sz="0" w:space="0" w:color="auto"/>
        <w:left w:val="none" w:sz="0" w:space="0" w:color="auto"/>
        <w:bottom w:val="none" w:sz="0" w:space="0" w:color="auto"/>
        <w:right w:val="none" w:sz="0" w:space="0" w:color="auto"/>
      </w:divBdr>
    </w:div>
    <w:div w:id="988821780">
      <w:bodyDiv w:val="1"/>
      <w:marLeft w:val="0"/>
      <w:marRight w:val="0"/>
      <w:marTop w:val="0"/>
      <w:marBottom w:val="0"/>
      <w:divBdr>
        <w:top w:val="none" w:sz="0" w:space="0" w:color="auto"/>
        <w:left w:val="none" w:sz="0" w:space="0" w:color="auto"/>
        <w:bottom w:val="none" w:sz="0" w:space="0" w:color="auto"/>
        <w:right w:val="none" w:sz="0" w:space="0" w:color="auto"/>
      </w:divBdr>
    </w:div>
    <w:div w:id="989359274">
      <w:bodyDiv w:val="1"/>
      <w:marLeft w:val="0"/>
      <w:marRight w:val="0"/>
      <w:marTop w:val="0"/>
      <w:marBottom w:val="0"/>
      <w:divBdr>
        <w:top w:val="none" w:sz="0" w:space="0" w:color="auto"/>
        <w:left w:val="none" w:sz="0" w:space="0" w:color="auto"/>
        <w:bottom w:val="none" w:sz="0" w:space="0" w:color="auto"/>
        <w:right w:val="none" w:sz="0" w:space="0" w:color="auto"/>
      </w:divBdr>
    </w:div>
    <w:div w:id="989865883">
      <w:bodyDiv w:val="1"/>
      <w:marLeft w:val="0"/>
      <w:marRight w:val="0"/>
      <w:marTop w:val="0"/>
      <w:marBottom w:val="0"/>
      <w:divBdr>
        <w:top w:val="none" w:sz="0" w:space="0" w:color="auto"/>
        <w:left w:val="none" w:sz="0" w:space="0" w:color="auto"/>
        <w:bottom w:val="none" w:sz="0" w:space="0" w:color="auto"/>
        <w:right w:val="none" w:sz="0" w:space="0" w:color="auto"/>
      </w:divBdr>
    </w:div>
    <w:div w:id="991327035">
      <w:bodyDiv w:val="1"/>
      <w:marLeft w:val="0"/>
      <w:marRight w:val="0"/>
      <w:marTop w:val="0"/>
      <w:marBottom w:val="0"/>
      <w:divBdr>
        <w:top w:val="none" w:sz="0" w:space="0" w:color="auto"/>
        <w:left w:val="none" w:sz="0" w:space="0" w:color="auto"/>
        <w:bottom w:val="none" w:sz="0" w:space="0" w:color="auto"/>
        <w:right w:val="none" w:sz="0" w:space="0" w:color="auto"/>
      </w:divBdr>
    </w:div>
    <w:div w:id="991712159">
      <w:bodyDiv w:val="1"/>
      <w:marLeft w:val="0"/>
      <w:marRight w:val="0"/>
      <w:marTop w:val="0"/>
      <w:marBottom w:val="0"/>
      <w:divBdr>
        <w:top w:val="none" w:sz="0" w:space="0" w:color="auto"/>
        <w:left w:val="none" w:sz="0" w:space="0" w:color="auto"/>
        <w:bottom w:val="none" w:sz="0" w:space="0" w:color="auto"/>
        <w:right w:val="none" w:sz="0" w:space="0" w:color="auto"/>
      </w:divBdr>
    </w:div>
    <w:div w:id="991761712">
      <w:bodyDiv w:val="1"/>
      <w:marLeft w:val="0"/>
      <w:marRight w:val="0"/>
      <w:marTop w:val="0"/>
      <w:marBottom w:val="0"/>
      <w:divBdr>
        <w:top w:val="none" w:sz="0" w:space="0" w:color="auto"/>
        <w:left w:val="none" w:sz="0" w:space="0" w:color="auto"/>
        <w:bottom w:val="none" w:sz="0" w:space="0" w:color="auto"/>
        <w:right w:val="none" w:sz="0" w:space="0" w:color="auto"/>
      </w:divBdr>
    </w:div>
    <w:div w:id="991834037">
      <w:bodyDiv w:val="1"/>
      <w:marLeft w:val="0"/>
      <w:marRight w:val="0"/>
      <w:marTop w:val="0"/>
      <w:marBottom w:val="0"/>
      <w:divBdr>
        <w:top w:val="none" w:sz="0" w:space="0" w:color="auto"/>
        <w:left w:val="none" w:sz="0" w:space="0" w:color="auto"/>
        <w:bottom w:val="none" w:sz="0" w:space="0" w:color="auto"/>
        <w:right w:val="none" w:sz="0" w:space="0" w:color="auto"/>
      </w:divBdr>
    </w:div>
    <w:div w:id="992950343">
      <w:bodyDiv w:val="1"/>
      <w:marLeft w:val="0"/>
      <w:marRight w:val="0"/>
      <w:marTop w:val="0"/>
      <w:marBottom w:val="0"/>
      <w:divBdr>
        <w:top w:val="none" w:sz="0" w:space="0" w:color="auto"/>
        <w:left w:val="none" w:sz="0" w:space="0" w:color="auto"/>
        <w:bottom w:val="none" w:sz="0" w:space="0" w:color="auto"/>
        <w:right w:val="none" w:sz="0" w:space="0" w:color="auto"/>
      </w:divBdr>
    </w:div>
    <w:div w:id="993945301">
      <w:bodyDiv w:val="1"/>
      <w:marLeft w:val="0"/>
      <w:marRight w:val="0"/>
      <w:marTop w:val="0"/>
      <w:marBottom w:val="0"/>
      <w:divBdr>
        <w:top w:val="none" w:sz="0" w:space="0" w:color="auto"/>
        <w:left w:val="none" w:sz="0" w:space="0" w:color="auto"/>
        <w:bottom w:val="none" w:sz="0" w:space="0" w:color="auto"/>
        <w:right w:val="none" w:sz="0" w:space="0" w:color="auto"/>
      </w:divBdr>
    </w:div>
    <w:div w:id="994065100">
      <w:bodyDiv w:val="1"/>
      <w:marLeft w:val="0"/>
      <w:marRight w:val="0"/>
      <w:marTop w:val="0"/>
      <w:marBottom w:val="0"/>
      <w:divBdr>
        <w:top w:val="none" w:sz="0" w:space="0" w:color="auto"/>
        <w:left w:val="none" w:sz="0" w:space="0" w:color="auto"/>
        <w:bottom w:val="none" w:sz="0" w:space="0" w:color="auto"/>
        <w:right w:val="none" w:sz="0" w:space="0" w:color="auto"/>
      </w:divBdr>
    </w:div>
    <w:div w:id="994722318">
      <w:bodyDiv w:val="1"/>
      <w:marLeft w:val="0"/>
      <w:marRight w:val="0"/>
      <w:marTop w:val="0"/>
      <w:marBottom w:val="0"/>
      <w:divBdr>
        <w:top w:val="none" w:sz="0" w:space="0" w:color="auto"/>
        <w:left w:val="none" w:sz="0" w:space="0" w:color="auto"/>
        <w:bottom w:val="none" w:sz="0" w:space="0" w:color="auto"/>
        <w:right w:val="none" w:sz="0" w:space="0" w:color="auto"/>
      </w:divBdr>
    </w:div>
    <w:div w:id="994801431">
      <w:bodyDiv w:val="1"/>
      <w:marLeft w:val="0"/>
      <w:marRight w:val="0"/>
      <w:marTop w:val="0"/>
      <w:marBottom w:val="0"/>
      <w:divBdr>
        <w:top w:val="none" w:sz="0" w:space="0" w:color="auto"/>
        <w:left w:val="none" w:sz="0" w:space="0" w:color="auto"/>
        <w:bottom w:val="none" w:sz="0" w:space="0" w:color="auto"/>
        <w:right w:val="none" w:sz="0" w:space="0" w:color="auto"/>
      </w:divBdr>
    </w:div>
    <w:div w:id="996347352">
      <w:bodyDiv w:val="1"/>
      <w:marLeft w:val="0"/>
      <w:marRight w:val="0"/>
      <w:marTop w:val="0"/>
      <w:marBottom w:val="0"/>
      <w:divBdr>
        <w:top w:val="none" w:sz="0" w:space="0" w:color="auto"/>
        <w:left w:val="none" w:sz="0" w:space="0" w:color="auto"/>
        <w:bottom w:val="none" w:sz="0" w:space="0" w:color="auto"/>
        <w:right w:val="none" w:sz="0" w:space="0" w:color="auto"/>
      </w:divBdr>
    </w:div>
    <w:div w:id="997615701">
      <w:bodyDiv w:val="1"/>
      <w:marLeft w:val="0"/>
      <w:marRight w:val="0"/>
      <w:marTop w:val="0"/>
      <w:marBottom w:val="0"/>
      <w:divBdr>
        <w:top w:val="none" w:sz="0" w:space="0" w:color="auto"/>
        <w:left w:val="none" w:sz="0" w:space="0" w:color="auto"/>
        <w:bottom w:val="none" w:sz="0" w:space="0" w:color="auto"/>
        <w:right w:val="none" w:sz="0" w:space="0" w:color="auto"/>
      </w:divBdr>
    </w:div>
    <w:div w:id="997804575">
      <w:bodyDiv w:val="1"/>
      <w:marLeft w:val="0"/>
      <w:marRight w:val="0"/>
      <w:marTop w:val="0"/>
      <w:marBottom w:val="0"/>
      <w:divBdr>
        <w:top w:val="none" w:sz="0" w:space="0" w:color="auto"/>
        <w:left w:val="none" w:sz="0" w:space="0" w:color="auto"/>
        <w:bottom w:val="none" w:sz="0" w:space="0" w:color="auto"/>
        <w:right w:val="none" w:sz="0" w:space="0" w:color="auto"/>
      </w:divBdr>
    </w:div>
    <w:div w:id="998382382">
      <w:bodyDiv w:val="1"/>
      <w:marLeft w:val="0"/>
      <w:marRight w:val="0"/>
      <w:marTop w:val="0"/>
      <w:marBottom w:val="0"/>
      <w:divBdr>
        <w:top w:val="none" w:sz="0" w:space="0" w:color="auto"/>
        <w:left w:val="none" w:sz="0" w:space="0" w:color="auto"/>
        <w:bottom w:val="none" w:sz="0" w:space="0" w:color="auto"/>
        <w:right w:val="none" w:sz="0" w:space="0" w:color="auto"/>
      </w:divBdr>
    </w:div>
    <w:div w:id="999507883">
      <w:bodyDiv w:val="1"/>
      <w:marLeft w:val="0"/>
      <w:marRight w:val="0"/>
      <w:marTop w:val="0"/>
      <w:marBottom w:val="0"/>
      <w:divBdr>
        <w:top w:val="none" w:sz="0" w:space="0" w:color="auto"/>
        <w:left w:val="none" w:sz="0" w:space="0" w:color="auto"/>
        <w:bottom w:val="none" w:sz="0" w:space="0" w:color="auto"/>
        <w:right w:val="none" w:sz="0" w:space="0" w:color="auto"/>
      </w:divBdr>
    </w:div>
    <w:div w:id="1000155101">
      <w:bodyDiv w:val="1"/>
      <w:marLeft w:val="0"/>
      <w:marRight w:val="0"/>
      <w:marTop w:val="0"/>
      <w:marBottom w:val="0"/>
      <w:divBdr>
        <w:top w:val="none" w:sz="0" w:space="0" w:color="auto"/>
        <w:left w:val="none" w:sz="0" w:space="0" w:color="auto"/>
        <w:bottom w:val="none" w:sz="0" w:space="0" w:color="auto"/>
        <w:right w:val="none" w:sz="0" w:space="0" w:color="auto"/>
      </w:divBdr>
    </w:div>
    <w:div w:id="1000234514">
      <w:bodyDiv w:val="1"/>
      <w:marLeft w:val="0"/>
      <w:marRight w:val="0"/>
      <w:marTop w:val="0"/>
      <w:marBottom w:val="0"/>
      <w:divBdr>
        <w:top w:val="none" w:sz="0" w:space="0" w:color="auto"/>
        <w:left w:val="none" w:sz="0" w:space="0" w:color="auto"/>
        <w:bottom w:val="none" w:sz="0" w:space="0" w:color="auto"/>
        <w:right w:val="none" w:sz="0" w:space="0" w:color="auto"/>
      </w:divBdr>
    </w:div>
    <w:div w:id="1000429412">
      <w:bodyDiv w:val="1"/>
      <w:marLeft w:val="0"/>
      <w:marRight w:val="0"/>
      <w:marTop w:val="0"/>
      <w:marBottom w:val="0"/>
      <w:divBdr>
        <w:top w:val="none" w:sz="0" w:space="0" w:color="auto"/>
        <w:left w:val="none" w:sz="0" w:space="0" w:color="auto"/>
        <w:bottom w:val="none" w:sz="0" w:space="0" w:color="auto"/>
        <w:right w:val="none" w:sz="0" w:space="0" w:color="auto"/>
      </w:divBdr>
    </w:div>
    <w:div w:id="1000934206">
      <w:bodyDiv w:val="1"/>
      <w:marLeft w:val="0"/>
      <w:marRight w:val="0"/>
      <w:marTop w:val="0"/>
      <w:marBottom w:val="0"/>
      <w:divBdr>
        <w:top w:val="none" w:sz="0" w:space="0" w:color="auto"/>
        <w:left w:val="none" w:sz="0" w:space="0" w:color="auto"/>
        <w:bottom w:val="none" w:sz="0" w:space="0" w:color="auto"/>
        <w:right w:val="none" w:sz="0" w:space="0" w:color="auto"/>
      </w:divBdr>
    </w:div>
    <w:div w:id="1001129116">
      <w:bodyDiv w:val="1"/>
      <w:marLeft w:val="0"/>
      <w:marRight w:val="0"/>
      <w:marTop w:val="0"/>
      <w:marBottom w:val="0"/>
      <w:divBdr>
        <w:top w:val="none" w:sz="0" w:space="0" w:color="auto"/>
        <w:left w:val="none" w:sz="0" w:space="0" w:color="auto"/>
        <w:bottom w:val="none" w:sz="0" w:space="0" w:color="auto"/>
        <w:right w:val="none" w:sz="0" w:space="0" w:color="auto"/>
      </w:divBdr>
    </w:div>
    <w:div w:id="1002705700">
      <w:bodyDiv w:val="1"/>
      <w:marLeft w:val="0"/>
      <w:marRight w:val="0"/>
      <w:marTop w:val="0"/>
      <w:marBottom w:val="0"/>
      <w:divBdr>
        <w:top w:val="none" w:sz="0" w:space="0" w:color="auto"/>
        <w:left w:val="none" w:sz="0" w:space="0" w:color="auto"/>
        <w:bottom w:val="none" w:sz="0" w:space="0" w:color="auto"/>
        <w:right w:val="none" w:sz="0" w:space="0" w:color="auto"/>
      </w:divBdr>
    </w:div>
    <w:div w:id="1003816813">
      <w:bodyDiv w:val="1"/>
      <w:marLeft w:val="0"/>
      <w:marRight w:val="0"/>
      <w:marTop w:val="0"/>
      <w:marBottom w:val="0"/>
      <w:divBdr>
        <w:top w:val="none" w:sz="0" w:space="0" w:color="auto"/>
        <w:left w:val="none" w:sz="0" w:space="0" w:color="auto"/>
        <w:bottom w:val="none" w:sz="0" w:space="0" w:color="auto"/>
        <w:right w:val="none" w:sz="0" w:space="0" w:color="auto"/>
      </w:divBdr>
    </w:div>
    <w:div w:id="1003901233">
      <w:bodyDiv w:val="1"/>
      <w:marLeft w:val="0"/>
      <w:marRight w:val="0"/>
      <w:marTop w:val="0"/>
      <w:marBottom w:val="0"/>
      <w:divBdr>
        <w:top w:val="none" w:sz="0" w:space="0" w:color="auto"/>
        <w:left w:val="none" w:sz="0" w:space="0" w:color="auto"/>
        <w:bottom w:val="none" w:sz="0" w:space="0" w:color="auto"/>
        <w:right w:val="none" w:sz="0" w:space="0" w:color="auto"/>
      </w:divBdr>
    </w:div>
    <w:div w:id="1005018489">
      <w:bodyDiv w:val="1"/>
      <w:marLeft w:val="0"/>
      <w:marRight w:val="0"/>
      <w:marTop w:val="0"/>
      <w:marBottom w:val="0"/>
      <w:divBdr>
        <w:top w:val="none" w:sz="0" w:space="0" w:color="auto"/>
        <w:left w:val="none" w:sz="0" w:space="0" w:color="auto"/>
        <w:bottom w:val="none" w:sz="0" w:space="0" w:color="auto"/>
        <w:right w:val="none" w:sz="0" w:space="0" w:color="auto"/>
      </w:divBdr>
    </w:div>
    <w:div w:id="1006246928">
      <w:bodyDiv w:val="1"/>
      <w:marLeft w:val="0"/>
      <w:marRight w:val="0"/>
      <w:marTop w:val="0"/>
      <w:marBottom w:val="0"/>
      <w:divBdr>
        <w:top w:val="none" w:sz="0" w:space="0" w:color="auto"/>
        <w:left w:val="none" w:sz="0" w:space="0" w:color="auto"/>
        <w:bottom w:val="none" w:sz="0" w:space="0" w:color="auto"/>
        <w:right w:val="none" w:sz="0" w:space="0" w:color="auto"/>
      </w:divBdr>
    </w:div>
    <w:div w:id="1006329461">
      <w:bodyDiv w:val="1"/>
      <w:marLeft w:val="0"/>
      <w:marRight w:val="0"/>
      <w:marTop w:val="0"/>
      <w:marBottom w:val="0"/>
      <w:divBdr>
        <w:top w:val="none" w:sz="0" w:space="0" w:color="auto"/>
        <w:left w:val="none" w:sz="0" w:space="0" w:color="auto"/>
        <w:bottom w:val="none" w:sz="0" w:space="0" w:color="auto"/>
        <w:right w:val="none" w:sz="0" w:space="0" w:color="auto"/>
      </w:divBdr>
    </w:div>
    <w:div w:id="1007706367">
      <w:bodyDiv w:val="1"/>
      <w:marLeft w:val="0"/>
      <w:marRight w:val="0"/>
      <w:marTop w:val="0"/>
      <w:marBottom w:val="0"/>
      <w:divBdr>
        <w:top w:val="none" w:sz="0" w:space="0" w:color="auto"/>
        <w:left w:val="none" w:sz="0" w:space="0" w:color="auto"/>
        <w:bottom w:val="none" w:sz="0" w:space="0" w:color="auto"/>
        <w:right w:val="none" w:sz="0" w:space="0" w:color="auto"/>
      </w:divBdr>
    </w:div>
    <w:div w:id="1007825939">
      <w:bodyDiv w:val="1"/>
      <w:marLeft w:val="0"/>
      <w:marRight w:val="0"/>
      <w:marTop w:val="0"/>
      <w:marBottom w:val="0"/>
      <w:divBdr>
        <w:top w:val="none" w:sz="0" w:space="0" w:color="auto"/>
        <w:left w:val="none" w:sz="0" w:space="0" w:color="auto"/>
        <w:bottom w:val="none" w:sz="0" w:space="0" w:color="auto"/>
        <w:right w:val="none" w:sz="0" w:space="0" w:color="auto"/>
      </w:divBdr>
    </w:div>
    <w:div w:id="1008368000">
      <w:bodyDiv w:val="1"/>
      <w:marLeft w:val="0"/>
      <w:marRight w:val="0"/>
      <w:marTop w:val="0"/>
      <w:marBottom w:val="0"/>
      <w:divBdr>
        <w:top w:val="none" w:sz="0" w:space="0" w:color="auto"/>
        <w:left w:val="none" w:sz="0" w:space="0" w:color="auto"/>
        <w:bottom w:val="none" w:sz="0" w:space="0" w:color="auto"/>
        <w:right w:val="none" w:sz="0" w:space="0" w:color="auto"/>
      </w:divBdr>
    </w:div>
    <w:div w:id="1009407286">
      <w:bodyDiv w:val="1"/>
      <w:marLeft w:val="0"/>
      <w:marRight w:val="0"/>
      <w:marTop w:val="0"/>
      <w:marBottom w:val="0"/>
      <w:divBdr>
        <w:top w:val="none" w:sz="0" w:space="0" w:color="auto"/>
        <w:left w:val="none" w:sz="0" w:space="0" w:color="auto"/>
        <w:bottom w:val="none" w:sz="0" w:space="0" w:color="auto"/>
        <w:right w:val="none" w:sz="0" w:space="0" w:color="auto"/>
      </w:divBdr>
    </w:div>
    <w:div w:id="1009797493">
      <w:bodyDiv w:val="1"/>
      <w:marLeft w:val="0"/>
      <w:marRight w:val="0"/>
      <w:marTop w:val="0"/>
      <w:marBottom w:val="0"/>
      <w:divBdr>
        <w:top w:val="none" w:sz="0" w:space="0" w:color="auto"/>
        <w:left w:val="none" w:sz="0" w:space="0" w:color="auto"/>
        <w:bottom w:val="none" w:sz="0" w:space="0" w:color="auto"/>
        <w:right w:val="none" w:sz="0" w:space="0" w:color="auto"/>
      </w:divBdr>
    </w:div>
    <w:div w:id="1010520466">
      <w:bodyDiv w:val="1"/>
      <w:marLeft w:val="0"/>
      <w:marRight w:val="0"/>
      <w:marTop w:val="0"/>
      <w:marBottom w:val="0"/>
      <w:divBdr>
        <w:top w:val="none" w:sz="0" w:space="0" w:color="auto"/>
        <w:left w:val="none" w:sz="0" w:space="0" w:color="auto"/>
        <w:bottom w:val="none" w:sz="0" w:space="0" w:color="auto"/>
        <w:right w:val="none" w:sz="0" w:space="0" w:color="auto"/>
      </w:divBdr>
    </w:div>
    <w:div w:id="1011420628">
      <w:bodyDiv w:val="1"/>
      <w:marLeft w:val="0"/>
      <w:marRight w:val="0"/>
      <w:marTop w:val="0"/>
      <w:marBottom w:val="0"/>
      <w:divBdr>
        <w:top w:val="none" w:sz="0" w:space="0" w:color="auto"/>
        <w:left w:val="none" w:sz="0" w:space="0" w:color="auto"/>
        <w:bottom w:val="none" w:sz="0" w:space="0" w:color="auto"/>
        <w:right w:val="none" w:sz="0" w:space="0" w:color="auto"/>
      </w:divBdr>
    </w:div>
    <w:div w:id="1011491456">
      <w:bodyDiv w:val="1"/>
      <w:marLeft w:val="0"/>
      <w:marRight w:val="0"/>
      <w:marTop w:val="0"/>
      <w:marBottom w:val="0"/>
      <w:divBdr>
        <w:top w:val="none" w:sz="0" w:space="0" w:color="auto"/>
        <w:left w:val="none" w:sz="0" w:space="0" w:color="auto"/>
        <w:bottom w:val="none" w:sz="0" w:space="0" w:color="auto"/>
        <w:right w:val="none" w:sz="0" w:space="0" w:color="auto"/>
      </w:divBdr>
    </w:div>
    <w:div w:id="1012339202">
      <w:bodyDiv w:val="1"/>
      <w:marLeft w:val="0"/>
      <w:marRight w:val="0"/>
      <w:marTop w:val="0"/>
      <w:marBottom w:val="0"/>
      <w:divBdr>
        <w:top w:val="none" w:sz="0" w:space="0" w:color="auto"/>
        <w:left w:val="none" w:sz="0" w:space="0" w:color="auto"/>
        <w:bottom w:val="none" w:sz="0" w:space="0" w:color="auto"/>
        <w:right w:val="none" w:sz="0" w:space="0" w:color="auto"/>
      </w:divBdr>
    </w:div>
    <w:div w:id="1014039152">
      <w:bodyDiv w:val="1"/>
      <w:marLeft w:val="0"/>
      <w:marRight w:val="0"/>
      <w:marTop w:val="0"/>
      <w:marBottom w:val="0"/>
      <w:divBdr>
        <w:top w:val="none" w:sz="0" w:space="0" w:color="auto"/>
        <w:left w:val="none" w:sz="0" w:space="0" w:color="auto"/>
        <w:bottom w:val="none" w:sz="0" w:space="0" w:color="auto"/>
        <w:right w:val="none" w:sz="0" w:space="0" w:color="auto"/>
      </w:divBdr>
    </w:div>
    <w:div w:id="1015696428">
      <w:bodyDiv w:val="1"/>
      <w:marLeft w:val="0"/>
      <w:marRight w:val="0"/>
      <w:marTop w:val="0"/>
      <w:marBottom w:val="0"/>
      <w:divBdr>
        <w:top w:val="none" w:sz="0" w:space="0" w:color="auto"/>
        <w:left w:val="none" w:sz="0" w:space="0" w:color="auto"/>
        <w:bottom w:val="none" w:sz="0" w:space="0" w:color="auto"/>
        <w:right w:val="none" w:sz="0" w:space="0" w:color="auto"/>
      </w:divBdr>
    </w:div>
    <w:div w:id="1017853808">
      <w:bodyDiv w:val="1"/>
      <w:marLeft w:val="0"/>
      <w:marRight w:val="0"/>
      <w:marTop w:val="0"/>
      <w:marBottom w:val="0"/>
      <w:divBdr>
        <w:top w:val="none" w:sz="0" w:space="0" w:color="auto"/>
        <w:left w:val="none" w:sz="0" w:space="0" w:color="auto"/>
        <w:bottom w:val="none" w:sz="0" w:space="0" w:color="auto"/>
        <w:right w:val="none" w:sz="0" w:space="0" w:color="auto"/>
      </w:divBdr>
    </w:div>
    <w:div w:id="1019356729">
      <w:bodyDiv w:val="1"/>
      <w:marLeft w:val="0"/>
      <w:marRight w:val="0"/>
      <w:marTop w:val="0"/>
      <w:marBottom w:val="0"/>
      <w:divBdr>
        <w:top w:val="none" w:sz="0" w:space="0" w:color="auto"/>
        <w:left w:val="none" w:sz="0" w:space="0" w:color="auto"/>
        <w:bottom w:val="none" w:sz="0" w:space="0" w:color="auto"/>
        <w:right w:val="none" w:sz="0" w:space="0" w:color="auto"/>
      </w:divBdr>
    </w:div>
    <w:div w:id="1020275622">
      <w:bodyDiv w:val="1"/>
      <w:marLeft w:val="0"/>
      <w:marRight w:val="0"/>
      <w:marTop w:val="0"/>
      <w:marBottom w:val="0"/>
      <w:divBdr>
        <w:top w:val="none" w:sz="0" w:space="0" w:color="auto"/>
        <w:left w:val="none" w:sz="0" w:space="0" w:color="auto"/>
        <w:bottom w:val="none" w:sz="0" w:space="0" w:color="auto"/>
        <w:right w:val="none" w:sz="0" w:space="0" w:color="auto"/>
      </w:divBdr>
    </w:div>
    <w:div w:id="1020744897">
      <w:bodyDiv w:val="1"/>
      <w:marLeft w:val="0"/>
      <w:marRight w:val="0"/>
      <w:marTop w:val="0"/>
      <w:marBottom w:val="0"/>
      <w:divBdr>
        <w:top w:val="none" w:sz="0" w:space="0" w:color="auto"/>
        <w:left w:val="none" w:sz="0" w:space="0" w:color="auto"/>
        <w:bottom w:val="none" w:sz="0" w:space="0" w:color="auto"/>
        <w:right w:val="none" w:sz="0" w:space="0" w:color="auto"/>
      </w:divBdr>
    </w:div>
    <w:div w:id="1021013423">
      <w:bodyDiv w:val="1"/>
      <w:marLeft w:val="0"/>
      <w:marRight w:val="0"/>
      <w:marTop w:val="0"/>
      <w:marBottom w:val="0"/>
      <w:divBdr>
        <w:top w:val="none" w:sz="0" w:space="0" w:color="auto"/>
        <w:left w:val="none" w:sz="0" w:space="0" w:color="auto"/>
        <w:bottom w:val="none" w:sz="0" w:space="0" w:color="auto"/>
        <w:right w:val="none" w:sz="0" w:space="0" w:color="auto"/>
      </w:divBdr>
    </w:div>
    <w:div w:id="1021781505">
      <w:bodyDiv w:val="1"/>
      <w:marLeft w:val="0"/>
      <w:marRight w:val="0"/>
      <w:marTop w:val="0"/>
      <w:marBottom w:val="0"/>
      <w:divBdr>
        <w:top w:val="none" w:sz="0" w:space="0" w:color="auto"/>
        <w:left w:val="none" w:sz="0" w:space="0" w:color="auto"/>
        <w:bottom w:val="none" w:sz="0" w:space="0" w:color="auto"/>
        <w:right w:val="none" w:sz="0" w:space="0" w:color="auto"/>
      </w:divBdr>
    </w:div>
    <w:div w:id="1022324498">
      <w:bodyDiv w:val="1"/>
      <w:marLeft w:val="0"/>
      <w:marRight w:val="0"/>
      <w:marTop w:val="0"/>
      <w:marBottom w:val="0"/>
      <w:divBdr>
        <w:top w:val="none" w:sz="0" w:space="0" w:color="auto"/>
        <w:left w:val="none" w:sz="0" w:space="0" w:color="auto"/>
        <w:bottom w:val="none" w:sz="0" w:space="0" w:color="auto"/>
        <w:right w:val="none" w:sz="0" w:space="0" w:color="auto"/>
      </w:divBdr>
    </w:div>
    <w:div w:id="1023824842">
      <w:bodyDiv w:val="1"/>
      <w:marLeft w:val="0"/>
      <w:marRight w:val="0"/>
      <w:marTop w:val="0"/>
      <w:marBottom w:val="0"/>
      <w:divBdr>
        <w:top w:val="none" w:sz="0" w:space="0" w:color="auto"/>
        <w:left w:val="none" w:sz="0" w:space="0" w:color="auto"/>
        <w:bottom w:val="none" w:sz="0" w:space="0" w:color="auto"/>
        <w:right w:val="none" w:sz="0" w:space="0" w:color="auto"/>
      </w:divBdr>
    </w:div>
    <w:div w:id="1024330778">
      <w:bodyDiv w:val="1"/>
      <w:marLeft w:val="0"/>
      <w:marRight w:val="0"/>
      <w:marTop w:val="0"/>
      <w:marBottom w:val="0"/>
      <w:divBdr>
        <w:top w:val="none" w:sz="0" w:space="0" w:color="auto"/>
        <w:left w:val="none" w:sz="0" w:space="0" w:color="auto"/>
        <w:bottom w:val="none" w:sz="0" w:space="0" w:color="auto"/>
        <w:right w:val="none" w:sz="0" w:space="0" w:color="auto"/>
      </w:divBdr>
    </w:div>
    <w:div w:id="1024595871">
      <w:bodyDiv w:val="1"/>
      <w:marLeft w:val="0"/>
      <w:marRight w:val="0"/>
      <w:marTop w:val="0"/>
      <w:marBottom w:val="0"/>
      <w:divBdr>
        <w:top w:val="none" w:sz="0" w:space="0" w:color="auto"/>
        <w:left w:val="none" w:sz="0" w:space="0" w:color="auto"/>
        <w:bottom w:val="none" w:sz="0" w:space="0" w:color="auto"/>
        <w:right w:val="none" w:sz="0" w:space="0" w:color="auto"/>
      </w:divBdr>
    </w:div>
    <w:div w:id="1025668070">
      <w:bodyDiv w:val="1"/>
      <w:marLeft w:val="0"/>
      <w:marRight w:val="0"/>
      <w:marTop w:val="0"/>
      <w:marBottom w:val="0"/>
      <w:divBdr>
        <w:top w:val="none" w:sz="0" w:space="0" w:color="auto"/>
        <w:left w:val="none" w:sz="0" w:space="0" w:color="auto"/>
        <w:bottom w:val="none" w:sz="0" w:space="0" w:color="auto"/>
        <w:right w:val="none" w:sz="0" w:space="0" w:color="auto"/>
      </w:divBdr>
    </w:div>
    <w:div w:id="1025670248">
      <w:bodyDiv w:val="1"/>
      <w:marLeft w:val="0"/>
      <w:marRight w:val="0"/>
      <w:marTop w:val="0"/>
      <w:marBottom w:val="0"/>
      <w:divBdr>
        <w:top w:val="none" w:sz="0" w:space="0" w:color="auto"/>
        <w:left w:val="none" w:sz="0" w:space="0" w:color="auto"/>
        <w:bottom w:val="none" w:sz="0" w:space="0" w:color="auto"/>
        <w:right w:val="none" w:sz="0" w:space="0" w:color="auto"/>
      </w:divBdr>
    </w:div>
    <w:div w:id="1025985821">
      <w:bodyDiv w:val="1"/>
      <w:marLeft w:val="0"/>
      <w:marRight w:val="0"/>
      <w:marTop w:val="0"/>
      <w:marBottom w:val="0"/>
      <w:divBdr>
        <w:top w:val="none" w:sz="0" w:space="0" w:color="auto"/>
        <w:left w:val="none" w:sz="0" w:space="0" w:color="auto"/>
        <w:bottom w:val="none" w:sz="0" w:space="0" w:color="auto"/>
        <w:right w:val="none" w:sz="0" w:space="0" w:color="auto"/>
      </w:divBdr>
    </w:div>
    <w:div w:id="1027489537">
      <w:bodyDiv w:val="1"/>
      <w:marLeft w:val="0"/>
      <w:marRight w:val="0"/>
      <w:marTop w:val="0"/>
      <w:marBottom w:val="0"/>
      <w:divBdr>
        <w:top w:val="none" w:sz="0" w:space="0" w:color="auto"/>
        <w:left w:val="none" w:sz="0" w:space="0" w:color="auto"/>
        <w:bottom w:val="none" w:sz="0" w:space="0" w:color="auto"/>
        <w:right w:val="none" w:sz="0" w:space="0" w:color="auto"/>
      </w:divBdr>
    </w:div>
    <w:div w:id="1029380074">
      <w:bodyDiv w:val="1"/>
      <w:marLeft w:val="0"/>
      <w:marRight w:val="0"/>
      <w:marTop w:val="0"/>
      <w:marBottom w:val="0"/>
      <w:divBdr>
        <w:top w:val="none" w:sz="0" w:space="0" w:color="auto"/>
        <w:left w:val="none" w:sz="0" w:space="0" w:color="auto"/>
        <w:bottom w:val="none" w:sz="0" w:space="0" w:color="auto"/>
        <w:right w:val="none" w:sz="0" w:space="0" w:color="auto"/>
      </w:divBdr>
    </w:div>
    <w:div w:id="1029916795">
      <w:bodyDiv w:val="1"/>
      <w:marLeft w:val="0"/>
      <w:marRight w:val="0"/>
      <w:marTop w:val="0"/>
      <w:marBottom w:val="0"/>
      <w:divBdr>
        <w:top w:val="none" w:sz="0" w:space="0" w:color="auto"/>
        <w:left w:val="none" w:sz="0" w:space="0" w:color="auto"/>
        <w:bottom w:val="none" w:sz="0" w:space="0" w:color="auto"/>
        <w:right w:val="none" w:sz="0" w:space="0" w:color="auto"/>
      </w:divBdr>
    </w:div>
    <w:div w:id="1030839628">
      <w:bodyDiv w:val="1"/>
      <w:marLeft w:val="0"/>
      <w:marRight w:val="0"/>
      <w:marTop w:val="0"/>
      <w:marBottom w:val="0"/>
      <w:divBdr>
        <w:top w:val="none" w:sz="0" w:space="0" w:color="auto"/>
        <w:left w:val="none" w:sz="0" w:space="0" w:color="auto"/>
        <w:bottom w:val="none" w:sz="0" w:space="0" w:color="auto"/>
        <w:right w:val="none" w:sz="0" w:space="0" w:color="auto"/>
      </w:divBdr>
    </w:div>
    <w:div w:id="1032733367">
      <w:bodyDiv w:val="1"/>
      <w:marLeft w:val="0"/>
      <w:marRight w:val="0"/>
      <w:marTop w:val="0"/>
      <w:marBottom w:val="0"/>
      <w:divBdr>
        <w:top w:val="none" w:sz="0" w:space="0" w:color="auto"/>
        <w:left w:val="none" w:sz="0" w:space="0" w:color="auto"/>
        <w:bottom w:val="none" w:sz="0" w:space="0" w:color="auto"/>
        <w:right w:val="none" w:sz="0" w:space="0" w:color="auto"/>
      </w:divBdr>
    </w:div>
    <w:div w:id="1034697567">
      <w:bodyDiv w:val="1"/>
      <w:marLeft w:val="0"/>
      <w:marRight w:val="0"/>
      <w:marTop w:val="0"/>
      <w:marBottom w:val="0"/>
      <w:divBdr>
        <w:top w:val="none" w:sz="0" w:space="0" w:color="auto"/>
        <w:left w:val="none" w:sz="0" w:space="0" w:color="auto"/>
        <w:bottom w:val="none" w:sz="0" w:space="0" w:color="auto"/>
        <w:right w:val="none" w:sz="0" w:space="0" w:color="auto"/>
      </w:divBdr>
    </w:div>
    <w:div w:id="1035275719">
      <w:bodyDiv w:val="1"/>
      <w:marLeft w:val="0"/>
      <w:marRight w:val="0"/>
      <w:marTop w:val="0"/>
      <w:marBottom w:val="0"/>
      <w:divBdr>
        <w:top w:val="none" w:sz="0" w:space="0" w:color="auto"/>
        <w:left w:val="none" w:sz="0" w:space="0" w:color="auto"/>
        <w:bottom w:val="none" w:sz="0" w:space="0" w:color="auto"/>
        <w:right w:val="none" w:sz="0" w:space="0" w:color="auto"/>
      </w:divBdr>
    </w:div>
    <w:div w:id="1035470719">
      <w:bodyDiv w:val="1"/>
      <w:marLeft w:val="0"/>
      <w:marRight w:val="0"/>
      <w:marTop w:val="0"/>
      <w:marBottom w:val="0"/>
      <w:divBdr>
        <w:top w:val="none" w:sz="0" w:space="0" w:color="auto"/>
        <w:left w:val="none" w:sz="0" w:space="0" w:color="auto"/>
        <w:bottom w:val="none" w:sz="0" w:space="0" w:color="auto"/>
        <w:right w:val="none" w:sz="0" w:space="0" w:color="auto"/>
      </w:divBdr>
    </w:div>
    <w:div w:id="1035740817">
      <w:bodyDiv w:val="1"/>
      <w:marLeft w:val="0"/>
      <w:marRight w:val="0"/>
      <w:marTop w:val="0"/>
      <w:marBottom w:val="0"/>
      <w:divBdr>
        <w:top w:val="none" w:sz="0" w:space="0" w:color="auto"/>
        <w:left w:val="none" w:sz="0" w:space="0" w:color="auto"/>
        <w:bottom w:val="none" w:sz="0" w:space="0" w:color="auto"/>
        <w:right w:val="none" w:sz="0" w:space="0" w:color="auto"/>
      </w:divBdr>
    </w:div>
    <w:div w:id="1035891998">
      <w:bodyDiv w:val="1"/>
      <w:marLeft w:val="0"/>
      <w:marRight w:val="0"/>
      <w:marTop w:val="0"/>
      <w:marBottom w:val="0"/>
      <w:divBdr>
        <w:top w:val="none" w:sz="0" w:space="0" w:color="auto"/>
        <w:left w:val="none" w:sz="0" w:space="0" w:color="auto"/>
        <w:bottom w:val="none" w:sz="0" w:space="0" w:color="auto"/>
        <w:right w:val="none" w:sz="0" w:space="0" w:color="auto"/>
      </w:divBdr>
    </w:div>
    <w:div w:id="1036811026">
      <w:bodyDiv w:val="1"/>
      <w:marLeft w:val="0"/>
      <w:marRight w:val="0"/>
      <w:marTop w:val="0"/>
      <w:marBottom w:val="0"/>
      <w:divBdr>
        <w:top w:val="none" w:sz="0" w:space="0" w:color="auto"/>
        <w:left w:val="none" w:sz="0" w:space="0" w:color="auto"/>
        <w:bottom w:val="none" w:sz="0" w:space="0" w:color="auto"/>
        <w:right w:val="none" w:sz="0" w:space="0" w:color="auto"/>
      </w:divBdr>
    </w:div>
    <w:div w:id="1038629012">
      <w:bodyDiv w:val="1"/>
      <w:marLeft w:val="0"/>
      <w:marRight w:val="0"/>
      <w:marTop w:val="0"/>
      <w:marBottom w:val="0"/>
      <w:divBdr>
        <w:top w:val="none" w:sz="0" w:space="0" w:color="auto"/>
        <w:left w:val="none" w:sz="0" w:space="0" w:color="auto"/>
        <w:bottom w:val="none" w:sz="0" w:space="0" w:color="auto"/>
        <w:right w:val="none" w:sz="0" w:space="0" w:color="auto"/>
      </w:divBdr>
    </w:div>
    <w:div w:id="1038776337">
      <w:bodyDiv w:val="1"/>
      <w:marLeft w:val="0"/>
      <w:marRight w:val="0"/>
      <w:marTop w:val="0"/>
      <w:marBottom w:val="0"/>
      <w:divBdr>
        <w:top w:val="none" w:sz="0" w:space="0" w:color="auto"/>
        <w:left w:val="none" w:sz="0" w:space="0" w:color="auto"/>
        <w:bottom w:val="none" w:sz="0" w:space="0" w:color="auto"/>
        <w:right w:val="none" w:sz="0" w:space="0" w:color="auto"/>
      </w:divBdr>
    </w:div>
    <w:div w:id="1039359437">
      <w:bodyDiv w:val="1"/>
      <w:marLeft w:val="0"/>
      <w:marRight w:val="0"/>
      <w:marTop w:val="0"/>
      <w:marBottom w:val="0"/>
      <w:divBdr>
        <w:top w:val="none" w:sz="0" w:space="0" w:color="auto"/>
        <w:left w:val="none" w:sz="0" w:space="0" w:color="auto"/>
        <w:bottom w:val="none" w:sz="0" w:space="0" w:color="auto"/>
        <w:right w:val="none" w:sz="0" w:space="0" w:color="auto"/>
      </w:divBdr>
    </w:div>
    <w:div w:id="1039819359">
      <w:bodyDiv w:val="1"/>
      <w:marLeft w:val="0"/>
      <w:marRight w:val="0"/>
      <w:marTop w:val="0"/>
      <w:marBottom w:val="0"/>
      <w:divBdr>
        <w:top w:val="none" w:sz="0" w:space="0" w:color="auto"/>
        <w:left w:val="none" w:sz="0" w:space="0" w:color="auto"/>
        <w:bottom w:val="none" w:sz="0" w:space="0" w:color="auto"/>
        <w:right w:val="none" w:sz="0" w:space="0" w:color="auto"/>
      </w:divBdr>
    </w:div>
    <w:div w:id="1040712566">
      <w:bodyDiv w:val="1"/>
      <w:marLeft w:val="0"/>
      <w:marRight w:val="0"/>
      <w:marTop w:val="0"/>
      <w:marBottom w:val="0"/>
      <w:divBdr>
        <w:top w:val="none" w:sz="0" w:space="0" w:color="auto"/>
        <w:left w:val="none" w:sz="0" w:space="0" w:color="auto"/>
        <w:bottom w:val="none" w:sz="0" w:space="0" w:color="auto"/>
        <w:right w:val="none" w:sz="0" w:space="0" w:color="auto"/>
      </w:divBdr>
    </w:div>
    <w:div w:id="1041243026">
      <w:bodyDiv w:val="1"/>
      <w:marLeft w:val="0"/>
      <w:marRight w:val="0"/>
      <w:marTop w:val="0"/>
      <w:marBottom w:val="0"/>
      <w:divBdr>
        <w:top w:val="none" w:sz="0" w:space="0" w:color="auto"/>
        <w:left w:val="none" w:sz="0" w:space="0" w:color="auto"/>
        <w:bottom w:val="none" w:sz="0" w:space="0" w:color="auto"/>
        <w:right w:val="none" w:sz="0" w:space="0" w:color="auto"/>
      </w:divBdr>
    </w:div>
    <w:div w:id="1041589366">
      <w:bodyDiv w:val="1"/>
      <w:marLeft w:val="0"/>
      <w:marRight w:val="0"/>
      <w:marTop w:val="0"/>
      <w:marBottom w:val="0"/>
      <w:divBdr>
        <w:top w:val="none" w:sz="0" w:space="0" w:color="auto"/>
        <w:left w:val="none" w:sz="0" w:space="0" w:color="auto"/>
        <w:bottom w:val="none" w:sz="0" w:space="0" w:color="auto"/>
        <w:right w:val="none" w:sz="0" w:space="0" w:color="auto"/>
      </w:divBdr>
    </w:div>
    <w:div w:id="1042637847">
      <w:bodyDiv w:val="1"/>
      <w:marLeft w:val="0"/>
      <w:marRight w:val="0"/>
      <w:marTop w:val="0"/>
      <w:marBottom w:val="0"/>
      <w:divBdr>
        <w:top w:val="none" w:sz="0" w:space="0" w:color="auto"/>
        <w:left w:val="none" w:sz="0" w:space="0" w:color="auto"/>
        <w:bottom w:val="none" w:sz="0" w:space="0" w:color="auto"/>
        <w:right w:val="none" w:sz="0" w:space="0" w:color="auto"/>
      </w:divBdr>
    </w:div>
    <w:div w:id="1043098170">
      <w:bodyDiv w:val="1"/>
      <w:marLeft w:val="0"/>
      <w:marRight w:val="0"/>
      <w:marTop w:val="0"/>
      <w:marBottom w:val="0"/>
      <w:divBdr>
        <w:top w:val="none" w:sz="0" w:space="0" w:color="auto"/>
        <w:left w:val="none" w:sz="0" w:space="0" w:color="auto"/>
        <w:bottom w:val="none" w:sz="0" w:space="0" w:color="auto"/>
        <w:right w:val="none" w:sz="0" w:space="0" w:color="auto"/>
      </w:divBdr>
    </w:div>
    <w:div w:id="1044211666">
      <w:bodyDiv w:val="1"/>
      <w:marLeft w:val="0"/>
      <w:marRight w:val="0"/>
      <w:marTop w:val="0"/>
      <w:marBottom w:val="0"/>
      <w:divBdr>
        <w:top w:val="none" w:sz="0" w:space="0" w:color="auto"/>
        <w:left w:val="none" w:sz="0" w:space="0" w:color="auto"/>
        <w:bottom w:val="none" w:sz="0" w:space="0" w:color="auto"/>
        <w:right w:val="none" w:sz="0" w:space="0" w:color="auto"/>
      </w:divBdr>
    </w:div>
    <w:div w:id="1045177178">
      <w:bodyDiv w:val="1"/>
      <w:marLeft w:val="0"/>
      <w:marRight w:val="0"/>
      <w:marTop w:val="0"/>
      <w:marBottom w:val="0"/>
      <w:divBdr>
        <w:top w:val="none" w:sz="0" w:space="0" w:color="auto"/>
        <w:left w:val="none" w:sz="0" w:space="0" w:color="auto"/>
        <w:bottom w:val="none" w:sz="0" w:space="0" w:color="auto"/>
        <w:right w:val="none" w:sz="0" w:space="0" w:color="auto"/>
      </w:divBdr>
    </w:div>
    <w:div w:id="1045645352">
      <w:bodyDiv w:val="1"/>
      <w:marLeft w:val="0"/>
      <w:marRight w:val="0"/>
      <w:marTop w:val="0"/>
      <w:marBottom w:val="0"/>
      <w:divBdr>
        <w:top w:val="none" w:sz="0" w:space="0" w:color="auto"/>
        <w:left w:val="none" w:sz="0" w:space="0" w:color="auto"/>
        <w:bottom w:val="none" w:sz="0" w:space="0" w:color="auto"/>
        <w:right w:val="none" w:sz="0" w:space="0" w:color="auto"/>
      </w:divBdr>
    </w:div>
    <w:div w:id="1046216932">
      <w:bodyDiv w:val="1"/>
      <w:marLeft w:val="0"/>
      <w:marRight w:val="0"/>
      <w:marTop w:val="0"/>
      <w:marBottom w:val="0"/>
      <w:divBdr>
        <w:top w:val="none" w:sz="0" w:space="0" w:color="auto"/>
        <w:left w:val="none" w:sz="0" w:space="0" w:color="auto"/>
        <w:bottom w:val="none" w:sz="0" w:space="0" w:color="auto"/>
        <w:right w:val="none" w:sz="0" w:space="0" w:color="auto"/>
      </w:divBdr>
    </w:div>
    <w:div w:id="1046683394">
      <w:bodyDiv w:val="1"/>
      <w:marLeft w:val="0"/>
      <w:marRight w:val="0"/>
      <w:marTop w:val="0"/>
      <w:marBottom w:val="0"/>
      <w:divBdr>
        <w:top w:val="none" w:sz="0" w:space="0" w:color="auto"/>
        <w:left w:val="none" w:sz="0" w:space="0" w:color="auto"/>
        <w:bottom w:val="none" w:sz="0" w:space="0" w:color="auto"/>
        <w:right w:val="none" w:sz="0" w:space="0" w:color="auto"/>
      </w:divBdr>
    </w:div>
    <w:div w:id="1047143159">
      <w:bodyDiv w:val="1"/>
      <w:marLeft w:val="0"/>
      <w:marRight w:val="0"/>
      <w:marTop w:val="0"/>
      <w:marBottom w:val="0"/>
      <w:divBdr>
        <w:top w:val="none" w:sz="0" w:space="0" w:color="auto"/>
        <w:left w:val="none" w:sz="0" w:space="0" w:color="auto"/>
        <w:bottom w:val="none" w:sz="0" w:space="0" w:color="auto"/>
        <w:right w:val="none" w:sz="0" w:space="0" w:color="auto"/>
      </w:divBdr>
    </w:div>
    <w:div w:id="1047602480">
      <w:bodyDiv w:val="1"/>
      <w:marLeft w:val="0"/>
      <w:marRight w:val="0"/>
      <w:marTop w:val="0"/>
      <w:marBottom w:val="0"/>
      <w:divBdr>
        <w:top w:val="none" w:sz="0" w:space="0" w:color="auto"/>
        <w:left w:val="none" w:sz="0" w:space="0" w:color="auto"/>
        <w:bottom w:val="none" w:sz="0" w:space="0" w:color="auto"/>
        <w:right w:val="none" w:sz="0" w:space="0" w:color="auto"/>
      </w:divBdr>
    </w:div>
    <w:div w:id="1048144927">
      <w:bodyDiv w:val="1"/>
      <w:marLeft w:val="0"/>
      <w:marRight w:val="0"/>
      <w:marTop w:val="0"/>
      <w:marBottom w:val="0"/>
      <w:divBdr>
        <w:top w:val="none" w:sz="0" w:space="0" w:color="auto"/>
        <w:left w:val="none" w:sz="0" w:space="0" w:color="auto"/>
        <w:bottom w:val="none" w:sz="0" w:space="0" w:color="auto"/>
        <w:right w:val="none" w:sz="0" w:space="0" w:color="auto"/>
      </w:divBdr>
    </w:div>
    <w:div w:id="1048844704">
      <w:bodyDiv w:val="1"/>
      <w:marLeft w:val="0"/>
      <w:marRight w:val="0"/>
      <w:marTop w:val="0"/>
      <w:marBottom w:val="0"/>
      <w:divBdr>
        <w:top w:val="none" w:sz="0" w:space="0" w:color="auto"/>
        <w:left w:val="none" w:sz="0" w:space="0" w:color="auto"/>
        <w:bottom w:val="none" w:sz="0" w:space="0" w:color="auto"/>
        <w:right w:val="none" w:sz="0" w:space="0" w:color="auto"/>
      </w:divBdr>
    </w:div>
    <w:div w:id="1049257662">
      <w:bodyDiv w:val="1"/>
      <w:marLeft w:val="0"/>
      <w:marRight w:val="0"/>
      <w:marTop w:val="0"/>
      <w:marBottom w:val="0"/>
      <w:divBdr>
        <w:top w:val="none" w:sz="0" w:space="0" w:color="auto"/>
        <w:left w:val="none" w:sz="0" w:space="0" w:color="auto"/>
        <w:bottom w:val="none" w:sz="0" w:space="0" w:color="auto"/>
        <w:right w:val="none" w:sz="0" w:space="0" w:color="auto"/>
      </w:divBdr>
    </w:div>
    <w:div w:id="1049643999">
      <w:bodyDiv w:val="1"/>
      <w:marLeft w:val="0"/>
      <w:marRight w:val="0"/>
      <w:marTop w:val="0"/>
      <w:marBottom w:val="0"/>
      <w:divBdr>
        <w:top w:val="none" w:sz="0" w:space="0" w:color="auto"/>
        <w:left w:val="none" w:sz="0" w:space="0" w:color="auto"/>
        <w:bottom w:val="none" w:sz="0" w:space="0" w:color="auto"/>
        <w:right w:val="none" w:sz="0" w:space="0" w:color="auto"/>
      </w:divBdr>
    </w:div>
    <w:div w:id="1049961837">
      <w:bodyDiv w:val="1"/>
      <w:marLeft w:val="0"/>
      <w:marRight w:val="0"/>
      <w:marTop w:val="0"/>
      <w:marBottom w:val="0"/>
      <w:divBdr>
        <w:top w:val="none" w:sz="0" w:space="0" w:color="auto"/>
        <w:left w:val="none" w:sz="0" w:space="0" w:color="auto"/>
        <w:bottom w:val="none" w:sz="0" w:space="0" w:color="auto"/>
        <w:right w:val="none" w:sz="0" w:space="0" w:color="auto"/>
      </w:divBdr>
    </w:div>
    <w:div w:id="1051268377">
      <w:bodyDiv w:val="1"/>
      <w:marLeft w:val="0"/>
      <w:marRight w:val="0"/>
      <w:marTop w:val="0"/>
      <w:marBottom w:val="0"/>
      <w:divBdr>
        <w:top w:val="none" w:sz="0" w:space="0" w:color="auto"/>
        <w:left w:val="none" w:sz="0" w:space="0" w:color="auto"/>
        <w:bottom w:val="none" w:sz="0" w:space="0" w:color="auto"/>
        <w:right w:val="none" w:sz="0" w:space="0" w:color="auto"/>
      </w:divBdr>
    </w:div>
    <w:div w:id="1051661153">
      <w:bodyDiv w:val="1"/>
      <w:marLeft w:val="0"/>
      <w:marRight w:val="0"/>
      <w:marTop w:val="0"/>
      <w:marBottom w:val="0"/>
      <w:divBdr>
        <w:top w:val="none" w:sz="0" w:space="0" w:color="auto"/>
        <w:left w:val="none" w:sz="0" w:space="0" w:color="auto"/>
        <w:bottom w:val="none" w:sz="0" w:space="0" w:color="auto"/>
        <w:right w:val="none" w:sz="0" w:space="0" w:color="auto"/>
      </w:divBdr>
    </w:div>
    <w:div w:id="1053385511">
      <w:bodyDiv w:val="1"/>
      <w:marLeft w:val="0"/>
      <w:marRight w:val="0"/>
      <w:marTop w:val="0"/>
      <w:marBottom w:val="0"/>
      <w:divBdr>
        <w:top w:val="none" w:sz="0" w:space="0" w:color="auto"/>
        <w:left w:val="none" w:sz="0" w:space="0" w:color="auto"/>
        <w:bottom w:val="none" w:sz="0" w:space="0" w:color="auto"/>
        <w:right w:val="none" w:sz="0" w:space="0" w:color="auto"/>
      </w:divBdr>
    </w:div>
    <w:div w:id="1053506526">
      <w:bodyDiv w:val="1"/>
      <w:marLeft w:val="0"/>
      <w:marRight w:val="0"/>
      <w:marTop w:val="0"/>
      <w:marBottom w:val="0"/>
      <w:divBdr>
        <w:top w:val="none" w:sz="0" w:space="0" w:color="auto"/>
        <w:left w:val="none" w:sz="0" w:space="0" w:color="auto"/>
        <w:bottom w:val="none" w:sz="0" w:space="0" w:color="auto"/>
        <w:right w:val="none" w:sz="0" w:space="0" w:color="auto"/>
      </w:divBdr>
    </w:div>
    <w:div w:id="1054890534">
      <w:bodyDiv w:val="1"/>
      <w:marLeft w:val="0"/>
      <w:marRight w:val="0"/>
      <w:marTop w:val="0"/>
      <w:marBottom w:val="0"/>
      <w:divBdr>
        <w:top w:val="none" w:sz="0" w:space="0" w:color="auto"/>
        <w:left w:val="none" w:sz="0" w:space="0" w:color="auto"/>
        <w:bottom w:val="none" w:sz="0" w:space="0" w:color="auto"/>
        <w:right w:val="none" w:sz="0" w:space="0" w:color="auto"/>
      </w:divBdr>
    </w:div>
    <w:div w:id="1056129323">
      <w:bodyDiv w:val="1"/>
      <w:marLeft w:val="0"/>
      <w:marRight w:val="0"/>
      <w:marTop w:val="0"/>
      <w:marBottom w:val="0"/>
      <w:divBdr>
        <w:top w:val="none" w:sz="0" w:space="0" w:color="auto"/>
        <w:left w:val="none" w:sz="0" w:space="0" w:color="auto"/>
        <w:bottom w:val="none" w:sz="0" w:space="0" w:color="auto"/>
        <w:right w:val="none" w:sz="0" w:space="0" w:color="auto"/>
      </w:divBdr>
    </w:div>
    <w:div w:id="1056899092">
      <w:bodyDiv w:val="1"/>
      <w:marLeft w:val="0"/>
      <w:marRight w:val="0"/>
      <w:marTop w:val="0"/>
      <w:marBottom w:val="0"/>
      <w:divBdr>
        <w:top w:val="none" w:sz="0" w:space="0" w:color="auto"/>
        <w:left w:val="none" w:sz="0" w:space="0" w:color="auto"/>
        <w:bottom w:val="none" w:sz="0" w:space="0" w:color="auto"/>
        <w:right w:val="none" w:sz="0" w:space="0" w:color="auto"/>
      </w:divBdr>
    </w:div>
    <w:div w:id="1057507776">
      <w:bodyDiv w:val="1"/>
      <w:marLeft w:val="0"/>
      <w:marRight w:val="0"/>
      <w:marTop w:val="0"/>
      <w:marBottom w:val="0"/>
      <w:divBdr>
        <w:top w:val="none" w:sz="0" w:space="0" w:color="auto"/>
        <w:left w:val="none" w:sz="0" w:space="0" w:color="auto"/>
        <w:bottom w:val="none" w:sz="0" w:space="0" w:color="auto"/>
        <w:right w:val="none" w:sz="0" w:space="0" w:color="auto"/>
      </w:divBdr>
    </w:div>
    <w:div w:id="1058479313">
      <w:bodyDiv w:val="1"/>
      <w:marLeft w:val="0"/>
      <w:marRight w:val="0"/>
      <w:marTop w:val="0"/>
      <w:marBottom w:val="0"/>
      <w:divBdr>
        <w:top w:val="none" w:sz="0" w:space="0" w:color="auto"/>
        <w:left w:val="none" w:sz="0" w:space="0" w:color="auto"/>
        <w:bottom w:val="none" w:sz="0" w:space="0" w:color="auto"/>
        <w:right w:val="none" w:sz="0" w:space="0" w:color="auto"/>
      </w:divBdr>
    </w:div>
    <w:div w:id="1059521039">
      <w:bodyDiv w:val="1"/>
      <w:marLeft w:val="0"/>
      <w:marRight w:val="0"/>
      <w:marTop w:val="0"/>
      <w:marBottom w:val="0"/>
      <w:divBdr>
        <w:top w:val="none" w:sz="0" w:space="0" w:color="auto"/>
        <w:left w:val="none" w:sz="0" w:space="0" w:color="auto"/>
        <w:bottom w:val="none" w:sz="0" w:space="0" w:color="auto"/>
        <w:right w:val="none" w:sz="0" w:space="0" w:color="auto"/>
      </w:divBdr>
    </w:div>
    <w:div w:id="1059522687">
      <w:bodyDiv w:val="1"/>
      <w:marLeft w:val="0"/>
      <w:marRight w:val="0"/>
      <w:marTop w:val="0"/>
      <w:marBottom w:val="0"/>
      <w:divBdr>
        <w:top w:val="none" w:sz="0" w:space="0" w:color="auto"/>
        <w:left w:val="none" w:sz="0" w:space="0" w:color="auto"/>
        <w:bottom w:val="none" w:sz="0" w:space="0" w:color="auto"/>
        <w:right w:val="none" w:sz="0" w:space="0" w:color="auto"/>
      </w:divBdr>
    </w:div>
    <w:div w:id="1059672696">
      <w:bodyDiv w:val="1"/>
      <w:marLeft w:val="0"/>
      <w:marRight w:val="0"/>
      <w:marTop w:val="0"/>
      <w:marBottom w:val="0"/>
      <w:divBdr>
        <w:top w:val="none" w:sz="0" w:space="0" w:color="auto"/>
        <w:left w:val="none" w:sz="0" w:space="0" w:color="auto"/>
        <w:bottom w:val="none" w:sz="0" w:space="0" w:color="auto"/>
        <w:right w:val="none" w:sz="0" w:space="0" w:color="auto"/>
      </w:divBdr>
    </w:div>
    <w:div w:id="1060176720">
      <w:bodyDiv w:val="1"/>
      <w:marLeft w:val="0"/>
      <w:marRight w:val="0"/>
      <w:marTop w:val="0"/>
      <w:marBottom w:val="0"/>
      <w:divBdr>
        <w:top w:val="none" w:sz="0" w:space="0" w:color="auto"/>
        <w:left w:val="none" w:sz="0" w:space="0" w:color="auto"/>
        <w:bottom w:val="none" w:sz="0" w:space="0" w:color="auto"/>
        <w:right w:val="none" w:sz="0" w:space="0" w:color="auto"/>
      </w:divBdr>
    </w:div>
    <w:div w:id="1060667019">
      <w:bodyDiv w:val="1"/>
      <w:marLeft w:val="0"/>
      <w:marRight w:val="0"/>
      <w:marTop w:val="0"/>
      <w:marBottom w:val="0"/>
      <w:divBdr>
        <w:top w:val="none" w:sz="0" w:space="0" w:color="auto"/>
        <w:left w:val="none" w:sz="0" w:space="0" w:color="auto"/>
        <w:bottom w:val="none" w:sz="0" w:space="0" w:color="auto"/>
        <w:right w:val="none" w:sz="0" w:space="0" w:color="auto"/>
      </w:divBdr>
    </w:div>
    <w:div w:id="1061439671">
      <w:bodyDiv w:val="1"/>
      <w:marLeft w:val="0"/>
      <w:marRight w:val="0"/>
      <w:marTop w:val="0"/>
      <w:marBottom w:val="0"/>
      <w:divBdr>
        <w:top w:val="none" w:sz="0" w:space="0" w:color="auto"/>
        <w:left w:val="none" w:sz="0" w:space="0" w:color="auto"/>
        <w:bottom w:val="none" w:sz="0" w:space="0" w:color="auto"/>
        <w:right w:val="none" w:sz="0" w:space="0" w:color="auto"/>
      </w:divBdr>
    </w:div>
    <w:div w:id="1061558987">
      <w:bodyDiv w:val="1"/>
      <w:marLeft w:val="0"/>
      <w:marRight w:val="0"/>
      <w:marTop w:val="0"/>
      <w:marBottom w:val="0"/>
      <w:divBdr>
        <w:top w:val="none" w:sz="0" w:space="0" w:color="auto"/>
        <w:left w:val="none" w:sz="0" w:space="0" w:color="auto"/>
        <w:bottom w:val="none" w:sz="0" w:space="0" w:color="auto"/>
        <w:right w:val="none" w:sz="0" w:space="0" w:color="auto"/>
      </w:divBdr>
    </w:div>
    <w:div w:id="1061947318">
      <w:bodyDiv w:val="1"/>
      <w:marLeft w:val="0"/>
      <w:marRight w:val="0"/>
      <w:marTop w:val="0"/>
      <w:marBottom w:val="0"/>
      <w:divBdr>
        <w:top w:val="none" w:sz="0" w:space="0" w:color="auto"/>
        <w:left w:val="none" w:sz="0" w:space="0" w:color="auto"/>
        <w:bottom w:val="none" w:sz="0" w:space="0" w:color="auto"/>
        <w:right w:val="none" w:sz="0" w:space="0" w:color="auto"/>
      </w:divBdr>
    </w:div>
    <w:div w:id="1063213125">
      <w:bodyDiv w:val="1"/>
      <w:marLeft w:val="0"/>
      <w:marRight w:val="0"/>
      <w:marTop w:val="0"/>
      <w:marBottom w:val="0"/>
      <w:divBdr>
        <w:top w:val="none" w:sz="0" w:space="0" w:color="auto"/>
        <w:left w:val="none" w:sz="0" w:space="0" w:color="auto"/>
        <w:bottom w:val="none" w:sz="0" w:space="0" w:color="auto"/>
        <w:right w:val="none" w:sz="0" w:space="0" w:color="auto"/>
      </w:divBdr>
    </w:div>
    <w:div w:id="1063791106">
      <w:bodyDiv w:val="1"/>
      <w:marLeft w:val="0"/>
      <w:marRight w:val="0"/>
      <w:marTop w:val="0"/>
      <w:marBottom w:val="0"/>
      <w:divBdr>
        <w:top w:val="none" w:sz="0" w:space="0" w:color="auto"/>
        <w:left w:val="none" w:sz="0" w:space="0" w:color="auto"/>
        <w:bottom w:val="none" w:sz="0" w:space="0" w:color="auto"/>
        <w:right w:val="none" w:sz="0" w:space="0" w:color="auto"/>
      </w:divBdr>
    </w:div>
    <w:div w:id="1065953136">
      <w:bodyDiv w:val="1"/>
      <w:marLeft w:val="0"/>
      <w:marRight w:val="0"/>
      <w:marTop w:val="0"/>
      <w:marBottom w:val="0"/>
      <w:divBdr>
        <w:top w:val="none" w:sz="0" w:space="0" w:color="auto"/>
        <w:left w:val="none" w:sz="0" w:space="0" w:color="auto"/>
        <w:bottom w:val="none" w:sz="0" w:space="0" w:color="auto"/>
        <w:right w:val="none" w:sz="0" w:space="0" w:color="auto"/>
      </w:divBdr>
    </w:div>
    <w:div w:id="1066103791">
      <w:bodyDiv w:val="1"/>
      <w:marLeft w:val="0"/>
      <w:marRight w:val="0"/>
      <w:marTop w:val="0"/>
      <w:marBottom w:val="0"/>
      <w:divBdr>
        <w:top w:val="none" w:sz="0" w:space="0" w:color="auto"/>
        <w:left w:val="none" w:sz="0" w:space="0" w:color="auto"/>
        <w:bottom w:val="none" w:sz="0" w:space="0" w:color="auto"/>
        <w:right w:val="none" w:sz="0" w:space="0" w:color="auto"/>
      </w:divBdr>
    </w:div>
    <w:div w:id="1066342438">
      <w:bodyDiv w:val="1"/>
      <w:marLeft w:val="0"/>
      <w:marRight w:val="0"/>
      <w:marTop w:val="0"/>
      <w:marBottom w:val="0"/>
      <w:divBdr>
        <w:top w:val="none" w:sz="0" w:space="0" w:color="auto"/>
        <w:left w:val="none" w:sz="0" w:space="0" w:color="auto"/>
        <w:bottom w:val="none" w:sz="0" w:space="0" w:color="auto"/>
        <w:right w:val="none" w:sz="0" w:space="0" w:color="auto"/>
      </w:divBdr>
    </w:div>
    <w:div w:id="1066950285">
      <w:bodyDiv w:val="1"/>
      <w:marLeft w:val="0"/>
      <w:marRight w:val="0"/>
      <w:marTop w:val="0"/>
      <w:marBottom w:val="0"/>
      <w:divBdr>
        <w:top w:val="none" w:sz="0" w:space="0" w:color="auto"/>
        <w:left w:val="none" w:sz="0" w:space="0" w:color="auto"/>
        <w:bottom w:val="none" w:sz="0" w:space="0" w:color="auto"/>
        <w:right w:val="none" w:sz="0" w:space="0" w:color="auto"/>
      </w:divBdr>
    </w:div>
    <w:div w:id="1067531899">
      <w:bodyDiv w:val="1"/>
      <w:marLeft w:val="0"/>
      <w:marRight w:val="0"/>
      <w:marTop w:val="0"/>
      <w:marBottom w:val="0"/>
      <w:divBdr>
        <w:top w:val="none" w:sz="0" w:space="0" w:color="auto"/>
        <w:left w:val="none" w:sz="0" w:space="0" w:color="auto"/>
        <w:bottom w:val="none" w:sz="0" w:space="0" w:color="auto"/>
        <w:right w:val="none" w:sz="0" w:space="0" w:color="auto"/>
      </w:divBdr>
    </w:div>
    <w:div w:id="1068843074">
      <w:bodyDiv w:val="1"/>
      <w:marLeft w:val="0"/>
      <w:marRight w:val="0"/>
      <w:marTop w:val="0"/>
      <w:marBottom w:val="0"/>
      <w:divBdr>
        <w:top w:val="none" w:sz="0" w:space="0" w:color="auto"/>
        <w:left w:val="none" w:sz="0" w:space="0" w:color="auto"/>
        <w:bottom w:val="none" w:sz="0" w:space="0" w:color="auto"/>
        <w:right w:val="none" w:sz="0" w:space="0" w:color="auto"/>
      </w:divBdr>
    </w:div>
    <w:div w:id="1069302960">
      <w:bodyDiv w:val="1"/>
      <w:marLeft w:val="0"/>
      <w:marRight w:val="0"/>
      <w:marTop w:val="0"/>
      <w:marBottom w:val="0"/>
      <w:divBdr>
        <w:top w:val="none" w:sz="0" w:space="0" w:color="auto"/>
        <w:left w:val="none" w:sz="0" w:space="0" w:color="auto"/>
        <w:bottom w:val="none" w:sz="0" w:space="0" w:color="auto"/>
        <w:right w:val="none" w:sz="0" w:space="0" w:color="auto"/>
      </w:divBdr>
    </w:div>
    <w:div w:id="1069378281">
      <w:bodyDiv w:val="1"/>
      <w:marLeft w:val="0"/>
      <w:marRight w:val="0"/>
      <w:marTop w:val="0"/>
      <w:marBottom w:val="0"/>
      <w:divBdr>
        <w:top w:val="none" w:sz="0" w:space="0" w:color="auto"/>
        <w:left w:val="none" w:sz="0" w:space="0" w:color="auto"/>
        <w:bottom w:val="none" w:sz="0" w:space="0" w:color="auto"/>
        <w:right w:val="none" w:sz="0" w:space="0" w:color="auto"/>
      </w:divBdr>
    </w:div>
    <w:div w:id="1069888543">
      <w:bodyDiv w:val="1"/>
      <w:marLeft w:val="0"/>
      <w:marRight w:val="0"/>
      <w:marTop w:val="0"/>
      <w:marBottom w:val="0"/>
      <w:divBdr>
        <w:top w:val="none" w:sz="0" w:space="0" w:color="auto"/>
        <w:left w:val="none" w:sz="0" w:space="0" w:color="auto"/>
        <w:bottom w:val="none" w:sz="0" w:space="0" w:color="auto"/>
        <w:right w:val="none" w:sz="0" w:space="0" w:color="auto"/>
      </w:divBdr>
    </w:div>
    <w:div w:id="1069957080">
      <w:bodyDiv w:val="1"/>
      <w:marLeft w:val="0"/>
      <w:marRight w:val="0"/>
      <w:marTop w:val="0"/>
      <w:marBottom w:val="0"/>
      <w:divBdr>
        <w:top w:val="none" w:sz="0" w:space="0" w:color="auto"/>
        <w:left w:val="none" w:sz="0" w:space="0" w:color="auto"/>
        <w:bottom w:val="none" w:sz="0" w:space="0" w:color="auto"/>
        <w:right w:val="none" w:sz="0" w:space="0" w:color="auto"/>
      </w:divBdr>
    </w:div>
    <w:div w:id="1070272136">
      <w:bodyDiv w:val="1"/>
      <w:marLeft w:val="0"/>
      <w:marRight w:val="0"/>
      <w:marTop w:val="0"/>
      <w:marBottom w:val="0"/>
      <w:divBdr>
        <w:top w:val="none" w:sz="0" w:space="0" w:color="auto"/>
        <w:left w:val="none" w:sz="0" w:space="0" w:color="auto"/>
        <w:bottom w:val="none" w:sz="0" w:space="0" w:color="auto"/>
        <w:right w:val="none" w:sz="0" w:space="0" w:color="auto"/>
      </w:divBdr>
    </w:div>
    <w:div w:id="1070419691">
      <w:bodyDiv w:val="1"/>
      <w:marLeft w:val="0"/>
      <w:marRight w:val="0"/>
      <w:marTop w:val="0"/>
      <w:marBottom w:val="0"/>
      <w:divBdr>
        <w:top w:val="none" w:sz="0" w:space="0" w:color="auto"/>
        <w:left w:val="none" w:sz="0" w:space="0" w:color="auto"/>
        <w:bottom w:val="none" w:sz="0" w:space="0" w:color="auto"/>
        <w:right w:val="none" w:sz="0" w:space="0" w:color="auto"/>
      </w:divBdr>
    </w:div>
    <w:div w:id="1072310538">
      <w:bodyDiv w:val="1"/>
      <w:marLeft w:val="0"/>
      <w:marRight w:val="0"/>
      <w:marTop w:val="0"/>
      <w:marBottom w:val="0"/>
      <w:divBdr>
        <w:top w:val="none" w:sz="0" w:space="0" w:color="auto"/>
        <w:left w:val="none" w:sz="0" w:space="0" w:color="auto"/>
        <w:bottom w:val="none" w:sz="0" w:space="0" w:color="auto"/>
        <w:right w:val="none" w:sz="0" w:space="0" w:color="auto"/>
      </w:divBdr>
    </w:div>
    <w:div w:id="1072504255">
      <w:bodyDiv w:val="1"/>
      <w:marLeft w:val="0"/>
      <w:marRight w:val="0"/>
      <w:marTop w:val="0"/>
      <w:marBottom w:val="0"/>
      <w:divBdr>
        <w:top w:val="none" w:sz="0" w:space="0" w:color="auto"/>
        <w:left w:val="none" w:sz="0" w:space="0" w:color="auto"/>
        <w:bottom w:val="none" w:sz="0" w:space="0" w:color="auto"/>
        <w:right w:val="none" w:sz="0" w:space="0" w:color="auto"/>
      </w:divBdr>
    </w:div>
    <w:div w:id="1072847686">
      <w:bodyDiv w:val="1"/>
      <w:marLeft w:val="0"/>
      <w:marRight w:val="0"/>
      <w:marTop w:val="0"/>
      <w:marBottom w:val="0"/>
      <w:divBdr>
        <w:top w:val="none" w:sz="0" w:space="0" w:color="auto"/>
        <w:left w:val="none" w:sz="0" w:space="0" w:color="auto"/>
        <w:bottom w:val="none" w:sz="0" w:space="0" w:color="auto"/>
        <w:right w:val="none" w:sz="0" w:space="0" w:color="auto"/>
      </w:divBdr>
    </w:div>
    <w:div w:id="1073550596">
      <w:bodyDiv w:val="1"/>
      <w:marLeft w:val="0"/>
      <w:marRight w:val="0"/>
      <w:marTop w:val="0"/>
      <w:marBottom w:val="0"/>
      <w:divBdr>
        <w:top w:val="none" w:sz="0" w:space="0" w:color="auto"/>
        <w:left w:val="none" w:sz="0" w:space="0" w:color="auto"/>
        <w:bottom w:val="none" w:sz="0" w:space="0" w:color="auto"/>
        <w:right w:val="none" w:sz="0" w:space="0" w:color="auto"/>
      </w:divBdr>
    </w:div>
    <w:div w:id="1073620953">
      <w:bodyDiv w:val="1"/>
      <w:marLeft w:val="0"/>
      <w:marRight w:val="0"/>
      <w:marTop w:val="0"/>
      <w:marBottom w:val="0"/>
      <w:divBdr>
        <w:top w:val="none" w:sz="0" w:space="0" w:color="auto"/>
        <w:left w:val="none" w:sz="0" w:space="0" w:color="auto"/>
        <w:bottom w:val="none" w:sz="0" w:space="0" w:color="auto"/>
        <w:right w:val="none" w:sz="0" w:space="0" w:color="auto"/>
      </w:divBdr>
    </w:div>
    <w:div w:id="1074011141">
      <w:bodyDiv w:val="1"/>
      <w:marLeft w:val="0"/>
      <w:marRight w:val="0"/>
      <w:marTop w:val="0"/>
      <w:marBottom w:val="0"/>
      <w:divBdr>
        <w:top w:val="none" w:sz="0" w:space="0" w:color="auto"/>
        <w:left w:val="none" w:sz="0" w:space="0" w:color="auto"/>
        <w:bottom w:val="none" w:sz="0" w:space="0" w:color="auto"/>
        <w:right w:val="none" w:sz="0" w:space="0" w:color="auto"/>
      </w:divBdr>
    </w:div>
    <w:div w:id="1074662516">
      <w:bodyDiv w:val="1"/>
      <w:marLeft w:val="0"/>
      <w:marRight w:val="0"/>
      <w:marTop w:val="0"/>
      <w:marBottom w:val="0"/>
      <w:divBdr>
        <w:top w:val="none" w:sz="0" w:space="0" w:color="auto"/>
        <w:left w:val="none" w:sz="0" w:space="0" w:color="auto"/>
        <w:bottom w:val="none" w:sz="0" w:space="0" w:color="auto"/>
        <w:right w:val="none" w:sz="0" w:space="0" w:color="auto"/>
      </w:divBdr>
    </w:div>
    <w:div w:id="1075978383">
      <w:bodyDiv w:val="1"/>
      <w:marLeft w:val="0"/>
      <w:marRight w:val="0"/>
      <w:marTop w:val="0"/>
      <w:marBottom w:val="0"/>
      <w:divBdr>
        <w:top w:val="none" w:sz="0" w:space="0" w:color="auto"/>
        <w:left w:val="none" w:sz="0" w:space="0" w:color="auto"/>
        <w:bottom w:val="none" w:sz="0" w:space="0" w:color="auto"/>
        <w:right w:val="none" w:sz="0" w:space="0" w:color="auto"/>
      </w:divBdr>
    </w:div>
    <w:div w:id="1076898043">
      <w:bodyDiv w:val="1"/>
      <w:marLeft w:val="0"/>
      <w:marRight w:val="0"/>
      <w:marTop w:val="0"/>
      <w:marBottom w:val="0"/>
      <w:divBdr>
        <w:top w:val="none" w:sz="0" w:space="0" w:color="auto"/>
        <w:left w:val="none" w:sz="0" w:space="0" w:color="auto"/>
        <w:bottom w:val="none" w:sz="0" w:space="0" w:color="auto"/>
        <w:right w:val="none" w:sz="0" w:space="0" w:color="auto"/>
      </w:divBdr>
    </w:div>
    <w:div w:id="1076980385">
      <w:bodyDiv w:val="1"/>
      <w:marLeft w:val="0"/>
      <w:marRight w:val="0"/>
      <w:marTop w:val="0"/>
      <w:marBottom w:val="0"/>
      <w:divBdr>
        <w:top w:val="none" w:sz="0" w:space="0" w:color="auto"/>
        <w:left w:val="none" w:sz="0" w:space="0" w:color="auto"/>
        <w:bottom w:val="none" w:sz="0" w:space="0" w:color="auto"/>
        <w:right w:val="none" w:sz="0" w:space="0" w:color="auto"/>
      </w:divBdr>
    </w:div>
    <w:div w:id="1077216034">
      <w:bodyDiv w:val="1"/>
      <w:marLeft w:val="0"/>
      <w:marRight w:val="0"/>
      <w:marTop w:val="0"/>
      <w:marBottom w:val="0"/>
      <w:divBdr>
        <w:top w:val="none" w:sz="0" w:space="0" w:color="auto"/>
        <w:left w:val="none" w:sz="0" w:space="0" w:color="auto"/>
        <w:bottom w:val="none" w:sz="0" w:space="0" w:color="auto"/>
        <w:right w:val="none" w:sz="0" w:space="0" w:color="auto"/>
      </w:divBdr>
    </w:div>
    <w:div w:id="1077555985">
      <w:bodyDiv w:val="1"/>
      <w:marLeft w:val="0"/>
      <w:marRight w:val="0"/>
      <w:marTop w:val="0"/>
      <w:marBottom w:val="0"/>
      <w:divBdr>
        <w:top w:val="none" w:sz="0" w:space="0" w:color="auto"/>
        <w:left w:val="none" w:sz="0" w:space="0" w:color="auto"/>
        <w:bottom w:val="none" w:sz="0" w:space="0" w:color="auto"/>
        <w:right w:val="none" w:sz="0" w:space="0" w:color="auto"/>
      </w:divBdr>
    </w:div>
    <w:div w:id="1079598836">
      <w:bodyDiv w:val="1"/>
      <w:marLeft w:val="0"/>
      <w:marRight w:val="0"/>
      <w:marTop w:val="0"/>
      <w:marBottom w:val="0"/>
      <w:divBdr>
        <w:top w:val="none" w:sz="0" w:space="0" w:color="auto"/>
        <w:left w:val="none" w:sz="0" w:space="0" w:color="auto"/>
        <w:bottom w:val="none" w:sz="0" w:space="0" w:color="auto"/>
        <w:right w:val="none" w:sz="0" w:space="0" w:color="auto"/>
      </w:divBdr>
    </w:div>
    <w:div w:id="1080912200">
      <w:bodyDiv w:val="1"/>
      <w:marLeft w:val="0"/>
      <w:marRight w:val="0"/>
      <w:marTop w:val="0"/>
      <w:marBottom w:val="0"/>
      <w:divBdr>
        <w:top w:val="none" w:sz="0" w:space="0" w:color="auto"/>
        <w:left w:val="none" w:sz="0" w:space="0" w:color="auto"/>
        <w:bottom w:val="none" w:sz="0" w:space="0" w:color="auto"/>
        <w:right w:val="none" w:sz="0" w:space="0" w:color="auto"/>
      </w:divBdr>
    </w:div>
    <w:div w:id="1081097343">
      <w:bodyDiv w:val="1"/>
      <w:marLeft w:val="0"/>
      <w:marRight w:val="0"/>
      <w:marTop w:val="0"/>
      <w:marBottom w:val="0"/>
      <w:divBdr>
        <w:top w:val="none" w:sz="0" w:space="0" w:color="auto"/>
        <w:left w:val="none" w:sz="0" w:space="0" w:color="auto"/>
        <w:bottom w:val="none" w:sz="0" w:space="0" w:color="auto"/>
        <w:right w:val="none" w:sz="0" w:space="0" w:color="auto"/>
      </w:divBdr>
    </w:div>
    <w:div w:id="1081951893">
      <w:bodyDiv w:val="1"/>
      <w:marLeft w:val="0"/>
      <w:marRight w:val="0"/>
      <w:marTop w:val="0"/>
      <w:marBottom w:val="0"/>
      <w:divBdr>
        <w:top w:val="none" w:sz="0" w:space="0" w:color="auto"/>
        <w:left w:val="none" w:sz="0" w:space="0" w:color="auto"/>
        <w:bottom w:val="none" w:sz="0" w:space="0" w:color="auto"/>
        <w:right w:val="none" w:sz="0" w:space="0" w:color="auto"/>
      </w:divBdr>
    </w:div>
    <w:div w:id="1082873081">
      <w:bodyDiv w:val="1"/>
      <w:marLeft w:val="0"/>
      <w:marRight w:val="0"/>
      <w:marTop w:val="0"/>
      <w:marBottom w:val="0"/>
      <w:divBdr>
        <w:top w:val="none" w:sz="0" w:space="0" w:color="auto"/>
        <w:left w:val="none" w:sz="0" w:space="0" w:color="auto"/>
        <w:bottom w:val="none" w:sz="0" w:space="0" w:color="auto"/>
        <w:right w:val="none" w:sz="0" w:space="0" w:color="auto"/>
      </w:divBdr>
    </w:div>
    <w:div w:id="1082989627">
      <w:bodyDiv w:val="1"/>
      <w:marLeft w:val="0"/>
      <w:marRight w:val="0"/>
      <w:marTop w:val="0"/>
      <w:marBottom w:val="0"/>
      <w:divBdr>
        <w:top w:val="none" w:sz="0" w:space="0" w:color="auto"/>
        <w:left w:val="none" w:sz="0" w:space="0" w:color="auto"/>
        <w:bottom w:val="none" w:sz="0" w:space="0" w:color="auto"/>
        <w:right w:val="none" w:sz="0" w:space="0" w:color="auto"/>
      </w:divBdr>
    </w:div>
    <w:div w:id="1084840467">
      <w:bodyDiv w:val="1"/>
      <w:marLeft w:val="0"/>
      <w:marRight w:val="0"/>
      <w:marTop w:val="0"/>
      <w:marBottom w:val="0"/>
      <w:divBdr>
        <w:top w:val="none" w:sz="0" w:space="0" w:color="auto"/>
        <w:left w:val="none" w:sz="0" w:space="0" w:color="auto"/>
        <w:bottom w:val="none" w:sz="0" w:space="0" w:color="auto"/>
        <w:right w:val="none" w:sz="0" w:space="0" w:color="auto"/>
      </w:divBdr>
    </w:div>
    <w:div w:id="1085804855">
      <w:bodyDiv w:val="1"/>
      <w:marLeft w:val="0"/>
      <w:marRight w:val="0"/>
      <w:marTop w:val="0"/>
      <w:marBottom w:val="0"/>
      <w:divBdr>
        <w:top w:val="none" w:sz="0" w:space="0" w:color="auto"/>
        <w:left w:val="none" w:sz="0" w:space="0" w:color="auto"/>
        <w:bottom w:val="none" w:sz="0" w:space="0" w:color="auto"/>
        <w:right w:val="none" w:sz="0" w:space="0" w:color="auto"/>
      </w:divBdr>
    </w:div>
    <w:div w:id="1086927613">
      <w:bodyDiv w:val="1"/>
      <w:marLeft w:val="0"/>
      <w:marRight w:val="0"/>
      <w:marTop w:val="0"/>
      <w:marBottom w:val="0"/>
      <w:divBdr>
        <w:top w:val="none" w:sz="0" w:space="0" w:color="auto"/>
        <w:left w:val="none" w:sz="0" w:space="0" w:color="auto"/>
        <w:bottom w:val="none" w:sz="0" w:space="0" w:color="auto"/>
        <w:right w:val="none" w:sz="0" w:space="0" w:color="auto"/>
      </w:divBdr>
    </w:div>
    <w:div w:id="1087388707">
      <w:bodyDiv w:val="1"/>
      <w:marLeft w:val="0"/>
      <w:marRight w:val="0"/>
      <w:marTop w:val="0"/>
      <w:marBottom w:val="0"/>
      <w:divBdr>
        <w:top w:val="none" w:sz="0" w:space="0" w:color="auto"/>
        <w:left w:val="none" w:sz="0" w:space="0" w:color="auto"/>
        <w:bottom w:val="none" w:sz="0" w:space="0" w:color="auto"/>
        <w:right w:val="none" w:sz="0" w:space="0" w:color="auto"/>
      </w:divBdr>
    </w:div>
    <w:div w:id="1088187268">
      <w:bodyDiv w:val="1"/>
      <w:marLeft w:val="0"/>
      <w:marRight w:val="0"/>
      <w:marTop w:val="0"/>
      <w:marBottom w:val="0"/>
      <w:divBdr>
        <w:top w:val="none" w:sz="0" w:space="0" w:color="auto"/>
        <w:left w:val="none" w:sz="0" w:space="0" w:color="auto"/>
        <w:bottom w:val="none" w:sz="0" w:space="0" w:color="auto"/>
        <w:right w:val="none" w:sz="0" w:space="0" w:color="auto"/>
      </w:divBdr>
    </w:div>
    <w:div w:id="1088624137">
      <w:bodyDiv w:val="1"/>
      <w:marLeft w:val="0"/>
      <w:marRight w:val="0"/>
      <w:marTop w:val="0"/>
      <w:marBottom w:val="0"/>
      <w:divBdr>
        <w:top w:val="none" w:sz="0" w:space="0" w:color="auto"/>
        <w:left w:val="none" w:sz="0" w:space="0" w:color="auto"/>
        <w:bottom w:val="none" w:sz="0" w:space="0" w:color="auto"/>
        <w:right w:val="none" w:sz="0" w:space="0" w:color="auto"/>
      </w:divBdr>
    </w:div>
    <w:div w:id="1089422616">
      <w:bodyDiv w:val="1"/>
      <w:marLeft w:val="0"/>
      <w:marRight w:val="0"/>
      <w:marTop w:val="0"/>
      <w:marBottom w:val="0"/>
      <w:divBdr>
        <w:top w:val="none" w:sz="0" w:space="0" w:color="auto"/>
        <w:left w:val="none" w:sz="0" w:space="0" w:color="auto"/>
        <w:bottom w:val="none" w:sz="0" w:space="0" w:color="auto"/>
        <w:right w:val="none" w:sz="0" w:space="0" w:color="auto"/>
      </w:divBdr>
    </w:div>
    <w:div w:id="1090394608">
      <w:bodyDiv w:val="1"/>
      <w:marLeft w:val="0"/>
      <w:marRight w:val="0"/>
      <w:marTop w:val="0"/>
      <w:marBottom w:val="0"/>
      <w:divBdr>
        <w:top w:val="none" w:sz="0" w:space="0" w:color="auto"/>
        <w:left w:val="none" w:sz="0" w:space="0" w:color="auto"/>
        <w:bottom w:val="none" w:sz="0" w:space="0" w:color="auto"/>
        <w:right w:val="none" w:sz="0" w:space="0" w:color="auto"/>
      </w:divBdr>
    </w:div>
    <w:div w:id="1090660338">
      <w:bodyDiv w:val="1"/>
      <w:marLeft w:val="0"/>
      <w:marRight w:val="0"/>
      <w:marTop w:val="0"/>
      <w:marBottom w:val="0"/>
      <w:divBdr>
        <w:top w:val="none" w:sz="0" w:space="0" w:color="auto"/>
        <w:left w:val="none" w:sz="0" w:space="0" w:color="auto"/>
        <w:bottom w:val="none" w:sz="0" w:space="0" w:color="auto"/>
        <w:right w:val="none" w:sz="0" w:space="0" w:color="auto"/>
      </w:divBdr>
    </w:div>
    <w:div w:id="1090732657">
      <w:bodyDiv w:val="1"/>
      <w:marLeft w:val="0"/>
      <w:marRight w:val="0"/>
      <w:marTop w:val="0"/>
      <w:marBottom w:val="0"/>
      <w:divBdr>
        <w:top w:val="none" w:sz="0" w:space="0" w:color="auto"/>
        <w:left w:val="none" w:sz="0" w:space="0" w:color="auto"/>
        <w:bottom w:val="none" w:sz="0" w:space="0" w:color="auto"/>
        <w:right w:val="none" w:sz="0" w:space="0" w:color="auto"/>
      </w:divBdr>
    </w:div>
    <w:div w:id="1091047919">
      <w:bodyDiv w:val="1"/>
      <w:marLeft w:val="0"/>
      <w:marRight w:val="0"/>
      <w:marTop w:val="0"/>
      <w:marBottom w:val="0"/>
      <w:divBdr>
        <w:top w:val="none" w:sz="0" w:space="0" w:color="auto"/>
        <w:left w:val="none" w:sz="0" w:space="0" w:color="auto"/>
        <w:bottom w:val="none" w:sz="0" w:space="0" w:color="auto"/>
        <w:right w:val="none" w:sz="0" w:space="0" w:color="auto"/>
      </w:divBdr>
    </w:div>
    <w:div w:id="1092043803">
      <w:bodyDiv w:val="1"/>
      <w:marLeft w:val="0"/>
      <w:marRight w:val="0"/>
      <w:marTop w:val="0"/>
      <w:marBottom w:val="0"/>
      <w:divBdr>
        <w:top w:val="none" w:sz="0" w:space="0" w:color="auto"/>
        <w:left w:val="none" w:sz="0" w:space="0" w:color="auto"/>
        <w:bottom w:val="none" w:sz="0" w:space="0" w:color="auto"/>
        <w:right w:val="none" w:sz="0" w:space="0" w:color="auto"/>
      </w:divBdr>
    </w:div>
    <w:div w:id="1096250407">
      <w:bodyDiv w:val="1"/>
      <w:marLeft w:val="0"/>
      <w:marRight w:val="0"/>
      <w:marTop w:val="0"/>
      <w:marBottom w:val="0"/>
      <w:divBdr>
        <w:top w:val="none" w:sz="0" w:space="0" w:color="auto"/>
        <w:left w:val="none" w:sz="0" w:space="0" w:color="auto"/>
        <w:bottom w:val="none" w:sz="0" w:space="0" w:color="auto"/>
        <w:right w:val="none" w:sz="0" w:space="0" w:color="auto"/>
      </w:divBdr>
    </w:div>
    <w:div w:id="1096945204">
      <w:bodyDiv w:val="1"/>
      <w:marLeft w:val="0"/>
      <w:marRight w:val="0"/>
      <w:marTop w:val="0"/>
      <w:marBottom w:val="0"/>
      <w:divBdr>
        <w:top w:val="none" w:sz="0" w:space="0" w:color="auto"/>
        <w:left w:val="none" w:sz="0" w:space="0" w:color="auto"/>
        <w:bottom w:val="none" w:sz="0" w:space="0" w:color="auto"/>
        <w:right w:val="none" w:sz="0" w:space="0" w:color="auto"/>
      </w:divBdr>
    </w:div>
    <w:div w:id="1097746955">
      <w:bodyDiv w:val="1"/>
      <w:marLeft w:val="0"/>
      <w:marRight w:val="0"/>
      <w:marTop w:val="0"/>
      <w:marBottom w:val="0"/>
      <w:divBdr>
        <w:top w:val="none" w:sz="0" w:space="0" w:color="auto"/>
        <w:left w:val="none" w:sz="0" w:space="0" w:color="auto"/>
        <w:bottom w:val="none" w:sz="0" w:space="0" w:color="auto"/>
        <w:right w:val="none" w:sz="0" w:space="0" w:color="auto"/>
      </w:divBdr>
    </w:div>
    <w:div w:id="1098716596">
      <w:bodyDiv w:val="1"/>
      <w:marLeft w:val="0"/>
      <w:marRight w:val="0"/>
      <w:marTop w:val="0"/>
      <w:marBottom w:val="0"/>
      <w:divBdr>
        <w:top w:val="none" w:sz="0" w:space="0" w:color="auto"/>
        <w:left w:val="none" w:sz="0" w:space="0" w:color="auto"/>
        <w:bottom w:val="none" w:sz="0" w:space="0" w:color="auto"/>
        <w:right w:val="none" w:sz="0" w:space="0" w:color="auto"/>
      </w:divBdr>
    </w:div>
    <w:div w:id="1101872917">
      <w:bodyDiv w:val="1"/>
      <w:marLeft w:val="0"/>
      <w:marRight w:val="0"/>
      <w:marTop w:val="0"/>
      <w:marBottom w:val="0"/>
      <w:divBdr>
        <w:top w:val="none" w:sz="0" w:space="0" w:color="auto"/>
        <w:left w:val="none" w:sz="0" w:space="0" w:color="auto"/>
        <w:bottom w:val="none" w:sz="0" w:space="0" w:color="auto"/>
        <w:right w:val="none" w:sz="0" w:space="0" w:color="auto"/>
      </w:divBdr>
    </w:div>
    <w:div w:id="1101990419">
      <w:bodyDiv w:val="1"/>
      <w:marLeft w:val="0"/>
      <w:marRight w:val="0"/>
      <w:marTop w:val="0"/>
      <w:marBottom w:val="0"/>
      <w:divBdr>
        <w:top w:val="none" w:sz="0" w:space="0" w:color="auto"/>
        <w:left w:val="none" w:sz="0" w:space="0" w:color="auto"/>
        <w:bottom w:val="none" w:sz="0" w:space="0" w:color="auto"/>
        <w:right w:val="none" w:sz="0" w:space="0" w:color="auto"/>
      </w:divBdr>
    </w:div>
    <w:div w:id="1103376990">
      <w:bodyDiv w:val="1"/>
      <w:marLeft w:val="0"/>
      <w:marRight w:val="0"/>
      <w:marTop w:val="0"/>
      <w:marBottom w:val="0"/>
      <w:divBdr>
        <w:top w:val="none" w:sz="0" w:space="0" w:color="auto"/>
        <w:left w:val="none" w:sz="0" w:space="0" w:color="auto"/>
        <w:bottom w:val="none" w:sz="0" w:space="0" w:color="auto"/>
        <w:right w:val="none" w:sz="0" w:space="0" w:color="auto"/>
      </w:divBdr>
    </w:div>
    <w:div w:id="1104497462">
      <w:bodyDiv w:val="1"/>
      <w:marLeft w:val="0"/>
      <w:marRight w:val="0"/>
      <w:marTop w:val="0"/>
      <w:marBottom w:val="0"/>
      <w:divBdr>
        <w:top w:val="none" w:sz="0" w:space="0" w:color="auto"/>
        <w:left w:val="none" w:sz="0" w:space="0" w:color="auto"/>
        <w:bottom w:val="none" w:sz="0" w:space="0" w:color="auto"/>
        <w:right w:val="none" w:sz="0" w:space="0" w:color="auto"/>
      </w:divBdr>
    </w:div>
    <w:div w:id="1106844843">
      <w:bodyDiv w:val="1"/>
      <w:marLeft w:val="0"/>
      <w:marRight w:val="0"/>
      <w:marTop w:val="0"/>
      <w:marBottom w:val="0"/>
      <w:divBdr>
        <w:top w:val="none" w:sz="0" w:space="0" w:color="auto"/>
        <w:left w:val="none" w:sz="0" w:space="0" w:color="auto"/>
        <w:bottom w:val="none" w:sz="0" w:space="0" w:color="auto"/>
        <w:right w:val="none" w:sz="0" w:space="0" w:color="auto"/>
      </w:divBdr>
    </w:div>
    <w:div w:id="1107505117">
      <w:bodyDiv w:val="1"/>
      <w:marLeft w:val="0"/>
      <w:marRight w:val="0"/>
      <w:marTop w:val="0"/>
      <w:marBottom w:val="0"/>
      <w:divBdr>
        <w:top w:val="none" w:sz="0" w:space="0" w:color="auto"/>
        <w:left w:val="none" w:sz="0" w:space="0" w:color="auto"/>
        <w:bottom w:val="none" w:sz="0" w:space="0" w:color="auto"/>
        <w:right w:val="none" w:sz="0" w:space="0" w:color="auto"/>
      </w:divBdr>
    </w:div>
    <w:div w:id="1108040895">
      <w:bodyDiv w:val="1"/>
      <w:marLeft w:val="0"/>
      <w:marRight w:val="0"/>
      <w:marTop w:val="0"/>
      <w:marBottom w:val="0"/>
      <w:divBdr>
        <w:top w:val="none" w:sz="0" w:space="0" w:color="auto"/>
        <w:left w:val="none" w:sz="0" w:space="0" w:color="auto"/>
        <w:bottom w:val="none" w:sz="0" w:space="0" w:color="auto"/>
        <w:right w:val="none" w:sz="0" w:space="0" w:color="auto"/>
      </w:divBdr>
    </w:div>
    <w:div w:id="1108041318">
      <w:bodyDiv w:val="1"/>
      <w:marLeft w:val="0"/>
      <w:marRight w:val="0"/>
      <w:marTop w:val="0"/>
      <w:marBottom w:val="0"/>
      <w:divBdr>
        <w:top w:val="none" w:sz="0" w:space="0" w:color="auto"/>
        <w:left w:val="none" w:sz="0" w:space="0" w:color="auto"/>
        <w:bottom w:val="none" w:sz="0" w:space="0" w:color="auto"/>
        <w:right w:val="none" w:sz="0" w:space="0" w:color="auto"/>
      </w:divBdr>
    </w:div>
    <w:div w:id="1108544913">
      <w:bodyDiv w:val="1"/>
      <w:marLeft w:val="0"/>
      <w:marRight w:val="0"/>
      <w:marTop w:val="0"/>
      <w:marBottom w:val="0"/>
      <w:divBdr>
        <w:top w:val="none" w:sz="0" w:space="0" w:color="auto"/>
        <w:left w:val="none" w:sz="0" w:space="0" w:color="auto"/>
        <w:bottom w:val="none" w:sz="0" w:space="0" w:color="auto"/>
        <w:right w:val="none" w:sz="0" w:space="0" w:color="auto"/>
      </w:divBdr>
    </w:div>
    <w:div w:id="1109163369">
      <w:bodyDiv w:val="1"/>
      <w:marLeft w:val="0"/>
      <w:marRight w:val="0"/>
      <w:marTop w:val="0"/>
      <w:marBottom w:val="0"/>
      <w:divBdr>
        <w:top w:val="none" w:sz="0" w:space="0" w:color="auto"/>
        <w:left w:val="none" w:sz="0" w:space="0" w:color="auto"/>
        <w:bottom w:val="none" w:sz="0" w:space="0" w:color="auto"/>
        <w:right w:val="none" w:sz="0" w:space="0" w:color="auto"/>
      </w:divBdr>
    </w:div>
    <w:div w:id="1109542483">
      <w:bodyDiv w:val="1"/>
      <w:marLeft w:val="0"/>
      <w:marRight w:val="0"/>
      <w:marTop w:val="0"/>
      <w:marBottom w:val="0"/>
      <w:divBdr>
        <w:top w:val="none" w:sz="0" w:space="0" w:color="auto"/>
        <w:left w:val="none" w:sz="0" w:space="0" w:color="auto"/>
        <w:bottom w:val="none" w:sz="0" w:space="0" w:color="auto"/>
        <w:right w:val="none" w:sz="0" w:space="0" w:color="auto"/>
      </w:divBdr>
    </w:div>
    <w:div w:id="1111557353">
      <w:bodyDiv w:val="1"/>
      <w:marLeft w:val="0"/>
      <w:marRight w:val="0"/>
      <w:marTop w:val="0"/>
      <w:marBottom w:val="0"/>
      <w:divBdr>
        <w:top w:val="none" w:sz="0" w:space="0" w:color="auto"/>
        <w:left w:val="none" w:sz="0" w:space="0" w:color="auto"/>
        <w:bottom w:val="none" w:sz="0" w:space="0" w:color="auto"/>
        <w:right w:val="none" w:sz="0" w:space="0" w:color="auto"/>
      </w:divBdr>
    </w:div>
    <w:div w:id="1111782048">
      <w:bodyDiv w:val="1"/>
      <w:marLeft w:val="0"/>
      <w:marRight w:val="0"/>
      <w:marTop w:val="0"/>
      <w:marBottom w:val="0"/>
      <w:divBdr>
        <w:top w:val="none" w:sz="0" w:space="0" w:color="auto"/>
        <w:left w:val="none" w:sz="0" w:space="0" w:color="auto"/>
        <w:bottom w:val="none" w:sz="0" w:space="0" w:color="auto"/>
        <w:right w:val="none" w:sz="0" w:space="0" w:color="auto"/>
      </w:divBdr>
    </w:div>
    <w:div w:id="1112894587">
      <w:bodyDiv w:val="1"/>
      <w:marLeft w:val="0"/>
      <w:marRight w:val="0"/>
      <w:marTop w:val="0"/>
      <w:marBottom w:val="0"/>
      <w:divBdr>
        <w:top w:val="none" w:sz="0" w:space="0" w:color="auto"/>
        <w:left w:val="none" w:sz="0" w:space="0" w:color="auto"/>
        <w:bottom w:val="none" w:sz="0" w:space="0" w:color="auto"/>
        <w:right w:val="none" w:sz="0" w:space="0" w:color="auto"/>
      </w:divBdr>
    </w:div>
    <w:div w:id="1113095151">
      <w:bodyDiv w:val="1"/>
      <w:marLeft w:val="0"/>
      <w:marRight w:val="0"/>
      <w:marTop w:val="0"/>
      <w:marBottom w:val="0"/>
      <w:divBdr>
        <w:top w:val="none" w:sz="0" w:space="0" w:color="auto"/>
        <w:left w:val="none" w:sz="0" w:space="0" w:color="auto"/>
        <w:bottom w:val="none" w:sz="0" w:space="0" w:color="auto"/>
        <w:right w:val="none" w:sz="0" w:space="0" w:color="auto"/>
      </w:divBdr>
    </w:div>
    <w:div w:id="1116289105">
      <w:bodyDiv w:val="1"/>
      <w:marLeft w:val="0"/>
      <w:marRight w:val="0"/>
      <w:marTop w:val="0"/>
      <w:marBottom w:val="0"/>
      <w:divBdr>
        <w:top w:val="none" w:sz="0" w:space="0" w:color="auto"/>
        <w:left w:val="none" w:sz="0" w:space="0" w:color="auto"/>
        <w:bottom w:val="none" w:sz="0" w:space="0" w:color="auto"/>
        <w:right w:val="none" w:sz="0" w:space="0" w:color="auto"/>
      </w:divBdr>
    </w:div>
    <w:div w:id="1117985352">
      <w:bodyDiv w:val="1"/>
      <w:marLeft w:val="0"/>
      <w:marRight w:val="0"/>
      <w:marTop w:val="0"/>
      <w:marBottom w:val="0"/>
      <w:divBdr>
        <w:top w:val="none" w:sz="0" w:space="0" w:color="auto"/>
        <w:left w:val="none" w:sz="0" w:space="0" w:color="auto"/>
        <w:bottom w:val="none" w:sz="0" w:space="0" w:color="auto"/>
        <w:right w:val="none" w:sz="0" w:space="0" w:color="auto"/>
      </w:divBdr>
    </w:div>
    <w:div w:id="1118256798">
      <w:bodyDiv w:val="1"/>
      <w:marLeft w:val="0"/>
      <w:marRight w:val="0"/>
      <w:marTop w:val="0"/>
      <w:marBottom w:val="0"/>
      <w:divBdr>
        <w:top w:val="none" w:sz="0" w:space="0" w:color="auto"/>
        <w:left w:val="none" w:sz="0" w:space="0" w:color="auto"/>
        <w:bottom w:val="none" w:sz="0" w:space="0" w:color="auto"/>
        <w:right w:val="none" w:sz="0" w:space="0" w:color="auto"/>
      </w:divBdr>
    </w:div>
    <w:div w:id="1119177068">
      <w:bodyDiv w:val="1"/>
      <w:marLeft w:val="0"/>
      <w:marRight w:val="0"/>
      <w:marTop w:val="0"/>
      <w:marBottom w:val="0"/>
      <w:divBdr>
        <w:top w:val="none" w:sz="0" w:space="0" w:color="auto"/>
        <w:left w:val="none" w:sz="0" w:space="0" w:color="auto"/>
        <w:bottom w:val="none" w:sz="0" w:space="0" w:color="auto"/>
        <w:right w:val="none" w:sz="0" w:space="0" w:color="auto"/>
      </w:divBdr>
    </w:div>
    <w:div w:id="1119641381">
      <w:bodyDiv w:val="1"/>
      <w:marLeft w:val="0"/>
      <w:marRight w:val="0"/>
      <w:marTop w:val="0"/>
      <w:marBottom w:val="0"/>
      <w:divBdr>
        <w:top w:val="none" w:sz="0" w:space="0" w:color="auto"/>
        <w:left w:val="none" w:sz="0" w:space="0" w:color="auto"/>
        <w:bottom w:val="none" w:sz="0" w:space="0" w:color="auto"/>
        <w:right w:val="none" w:sz="0" w:space="0" w:color="auto"/>
      </w:divBdr>
    </w:div>
    <w:div w:id="1120033561">
      <w:bodyDiv w:val="1"/>
      <w:marLeft w:val="0"/>
      <w:marRight w:val="0"/>
      <w:marTop w:val="0"/>
      <w:marBottom w:val="0"/>
      <w:divBdr>
        <w:top w:val="none" w:sz="0" w:space="0" w:color="auto"/>
        <w:left w:val="none" w:sz="0" w:space="0" w:color="auto"/>
        <w:bottom w:val="none" w:sz="0" w:space="0" w:color="auto"/>
        <w:right w:val="none" w:sz="0" w:space="0" w:color="auto"/>
      </w:divBdr>
    </w:div>
    <w:div w:id="1120537192">
      <w:bodyDiv w:val="1"/>
      <w:marLeft w:val="0"/>
      <w:marRight w:val="0"/>
      <w:marTop w:val="0"/>
      <w:marBottom w:val="0"/>
      <w:divBdr>
        <w:top w:val="none" w:sz="0" w:space="0" w:color="auto"/>
        <w:left w:val="none" w:sz="0" w:space="0" w:color="auto"/>
        <w:bottom w:val="none" w:sz="0" w:space="0" w:color="auto"/>
        <w:right w:val="none" w:sz="0" w:space="0" w:color="auto"/>
      </w:divBdr>
    </w:div>
    <w:div w:id="1121610084">
      <w:bodyDiv w:val="1"/>
      <w:marLeft w:val="0"/>
      <w:marRight w:val="0"/>
      <w:marTop w:val="0"/>
      <w:marBottom w:val="0"/>
      <w:divBdr>
        <w:top w:val="none" w:sz="0" w:space="0" w:color="auto"/>
        <w:left w:val="none" w:sz="0" w:space="0" w:color="auto"/>
        <w:bottom w:val="none" w:sz="0" w:space="0" w:color="auto"/>
        <w:right w:val="none" w:sz="0" w:space="0" w:color="auto"/>
      </w:divBdr>
    </w:div>
    <w:div w:id="1122573610">
      <w:bodyDiv w:val="1"/>
      <w:marLeft w:val="0"/>
      <w:marRight w:val="0"/>
      <w:marTop w:val="0"/>
      <w:marBottom w:val="0"/>
      <w:divBdr>
        <w:top w:val="none" w:sz="0" w:space="0" w:color="auto"/>
        <w:left w:val="none" w:sz="0" w:space="0" w:color="auto"/>
        <w:bottom w:val="none" w:sz="0" w:space="0" w:color="auto"/>
        <w:right w:val="none" w:sz="0" w:space="0" w:color="auto"/>
      </w:divBdr>
    </w:div>
    <w:div w:id="1123114831">
      <w:bodyDiv w:val="1"/>
      <w:marLeft w:val="0"/>
      <w:marRight w:val="0"/>
      <w:marTop w:val="0"/>
      <w:marBottom w:val="0"/>
      <w:divBdr>
        <w:top w:val="none" w:sz="0" w:space="0" w:color="auto"/>
        <w:left w:val="none" w:sz="0" w:space="0" w:color="auto"/>
        <w:bottom w:val="none" w:sz="0" w:space="0" w:color="auto"/>
        <w:right w:val="none" w:sz="0" w:space="0" w:color="auto"/>
      </w:divBdr>
    </w:div>
    <w:div w:id="1124036759">
      <w:bodyDiv w:val="1"/>
      <w:marLeft w:val="0"/>
      <w:marRight w:val="0"/>
      <w:marTop w:val="0"/>
      <w:marBottom w:val="0"/>
      <w:divBdr>
        <w:top w:val="none" w:sz="0" w:space="0" w:color="auto"/>
        <w:left w:val="none" w:sz="0" w:space="0" w:color="auto"/>
        <w:bottom w:val="none" w:sz="0" w:space="0" w:color="auto"/>
        <w:right w:val="none" w:sz="0" w:space="0" w:color="auto"/>
      </w:divBdr>
    </w:div>
    <w:div w:id="1125660781">
      <w:bodyDiv w:val="1"/>
      <w:marLeft w:val="0"/>
      <w:marRight w:val="0"/>
      <w:marTop w:val="0"/>
      <w:marBottom w:val="0"/>
      <w:divBdr>
        <w:top w:val="none" w:sz="0" w:space="0" w:color="auto"/>
        <w:left w:val="none" w:sz="0" w:space="0" w:color="auto"/>
        <w:bottom w:val="none" w:sz="0" w:space="0" w:color="auto"/>
        <w:right w:val="none" w:sz="0" w:space="0" w:color="auto"/>
      </w:divBdr>
    </w:div>
    <w:div w:id="1126583403">
      <w:bodyDiv w:val="1"/>
      <w:marLeft w:val="0"/>
      <w:marRight w:val="0"/>
      <w:marTop w:val="0"/>
      <w:marBottom w:val="0"/>
      <w:divBdr>
        <w:top w:val="none" w:sz="0" w:space="0" w:color="auto"/>
        <w:left w:val="none" w:sz="0" w:space="0" w:color="auto"/>
        <w:bottom w:val="none" w:sz="0" w:space="0" w:color="auto"/>
        <w:right w:val="none" w:sz="0" w:space="0" w:color="auto"/>
      </w:divBdr>
    </w:div>
    <w:div w:id="1126899225">
      <w:bodyDiv w:val="1"/>
      <w:marLeft w:val="0"/>
      <w:marRight w:val="0"/>
      <w:marTop w:val="0"/>
      <w:marBottom w:val="0"/>
      <w:divBdr>
        <w:top w:val="none" w:sz="0" w:space="0" w:color="auto"/>
        <w:left w:val="none" w:sz="0" w:space="0" w:color="auto"/>
        <w:bottom w:val="none" w:sz="0" w:space="0" w:color="auto"/>
        <w:right w:val="none" w:sz="0" w:space="0" w:color="auto"/>
      </w:divBdr>
    </w:div>
    <w:div w:id="1127358278">
      <w:bodyDiv w:val="1"/>
      <w:marLeft w:val="0"/>
      <w:marRight w:val="0"/>
      <w:marTop w:val="0"/>
      <w:marBottom w:val="0"/>
      <w:divBdr>
        <w:top w:val="none" w:sz="0" w:space="0" w:color="auto"/>
        <w:left w:val="none" w:sz="0" w:space="0" w:color="auto"/>
        <w:bottom w:val="none" w:sz="0" w:space="0" w:color="auto"/>
        <w:right w:val="none" w:sz="0" w:space="0" w:color="auto"/>
      </w:divBdr>
    </w:div>
    <w:div w:id="1129202052">
      <w:bodyDiv w:val="1"/>
      <w:marLeft w:val="0"/>
      <w:marRight w:val="0"/>
      <w:marTop w:val="0"/>
      <w:marBottom w:val="0"/>
      <w:divBdr>
        <w:top w:val="none" w:sz="0" w:space="0" w:color="auto"/>
        <w:left w:val="none" w:sz="0" w:space="0" w:color="auto"/>
        <w:bottom w:val="none" w:sz="0" w:space="0" w:color="auto"/>
        <w:right w:val="none" w:sz="0" w:space="0" w:color="auto"/>
      </w:divBdr>
    </w:div>
    <w:div w:id="1129206295">
      <w:bodyDiv w:val="1"/>
      <w:marLeft w:val="0"/>
      <w:marRight w:val="0"/>
      <w:marTop w:val="0"/>
      <w:marBottom w:val="0"/>
      <w:divBdr>
        <w:top w:val="none" w:sz="0" w:space="0" w:color="auto"/>
        <w:left w:val="none" w:sz="0" w:space="0" w:color="auto"/>
        <w:bottom w:val="none" w:sz="0" w:space="0" w:color="auto"/>
        <w:right w:val="none" w:sz="0" w:space="0" w:color="auto"/>
      </w:divBdr>
    </w:div>
    <w:div w:id="1130052435">
      <w:bodyDiv w:val="1"/>
      <w:marLeft w:val="0"/>
      <w:marRight w:val="0"/>
      <w:marTop w:val="0"/>
      <w:marBottom w:val="0"/>
      <w:divBdr>
        <w:top w:val="none" w:sz="0" w:space="0" w:color="auto"/>
        <w:left w:val="none" w:sz="0" w:space="0" w:color="auto"/>
        <w:bottom w:val="none" w:sz="0" w:space="0" w:color="auto"/>
        <w:right w:val="none" w:sz="0" w:space="0" w:color="auto"/>
      </w:divBdr>
    </w:div>
    <w:div w:id="1130169616">
      <w:bodyDiv w:val="1"/>
      <w:marLeft w:val="0"/>
      <w:marRight w:val="0"/>
      <w:marTop w:val="0"/>
      <w:marBottom w:val="0"/>
      <w:divBdr>
        <w:top w:val="none" w:sz="0" w:space="0" w:color="auto"/>
        <w:left w:val="none" w:sz="0" w:space="0" w:color="auto"/>
        <w:bottom w:val="none" w:sz="0" w:space="0" w:color="auto"/>
        <w:right w:val="none" w:sz="0" w:space="0" w:color="auto"/>
      </w:divBdr>
    </w:div>
    <w:div w:id="1132098701">
      <w:bodyDiv w:val="1"/>
      <w:marLeft w:val="0"/>
      <w:marRight w:val="0"/>
      <w:marTop w:val="0"/>
      <w:marBottom w:val="0"/>
      <w:divBdr>
        <w:top w:val="none" w:sz="0" w:space="0" w:color="auto"/>
        <w:left w:val="none" w:sz="0" w:space="0" w:color="auto"/>
        <w:bottom w:val="none" w:sz="0" w:space="0" w:color="auto"/>
        <w:right w:val="none" w:sz="0" w:space="0" w:color="auto"/>
      </w:divBdr>
    </w:div>
    <w:div w:id="1132138132">
      <w:bodyDiv w:val="1"/>
      <w:marLeft w:val="0"/>
      <w:marRight w:val="0"/>
      <w:marTop w:val="0"/>
      <w:marBottom w:val="0"/>
      <w:divBdr>
        <w:top w:val="none" w:sz="0" w:space="0" w:color="auto"/>
        <w:left w:val="none" w:sz="0" w:space="0" w:color="auto"/>
        <w:bottom w:val="none" w:sz="0" w:space="0" w:color="auto"/>
        <w:right w:val="none" w:sz="0" w:space="0" w:color="auto"/>
      </w:divBdr>
    </w:div>
    <w:div w:id="1132333891">
      <w:bodyDiv w:val="1"/>
      <w:marLeft w:val="0"/>
      <w:marRight w:val="0"/>
      <w:marTop w:val="0"/>
      <w:marBottom w:val="0"/>
      <w:divBdr>
        <w:top w:val="none" w:sz="0" w:space="0" w:color="auto"/>
        <w:left w:val="none" w:sz="0" w:space="0" w:color="auto"/>
        <w:bottom w:val="none" w:sz="0" w:space="0" w:color="auto"/>
        <w:right w:val="none" w:sz="0" w:space="0" w:color="auto"/>
      </w:divBdr>
    </w:div>
    <w:div w:id="1132363235">
      <w:bodyDiv w:val="1"/>
      <w:marLeft w:val="0"/>
      <w:marRight w:val="0"/>
      <w:marTop w:val="0"/>
      <w:marBottom w:val="0"/>
      <w:divBdr>
        <w:top w:val="none" w:sz="0" w:space="0" w:color="auto"/>
        <w:left w:val="none" w:sz="0" w:space="0" w:color="auto"/>
        <w:bottom w:val="none" w:sz="0" w:space="0" w:color="auto"/>
        <w:right w:val="none" w:sz="0" w:space="0" w:color="auto"/>
      </w:divBdr>
    </w:div>
    <w:div w:id="1133332486">
      <w:bodyDiv w:val="1"/>
      <w:marLeft w:val="0"/>
      <w:marRight w:val="0"/>
      <w:marTop w:val="0"/>
      <w:marBottom w:val="0"/>
      <w:divBdr>
        <w:top w:val="none" w:sz="0" w:space="0" w:color="auto"/>
        <w:left w:val="none" w:sz="0" w:space="0" w:color="auto"/>
        <w:bottom w:val="none" w:sz="0" w:space="0" w:color="auto"/>
        <w:right w:val="none" w:sz="0" w:space="0" w:color="auto"/>
      </w:divBdr>
    </w:div>
    <w:div w:id="1134133179">
      <w:bodyDiv w:val="1"/>
      <w:marLeft w:val="0"/>
      <w:marRight w:val="0"/>
      <w:marTop w:val="0"/>
      <w:marBottom w:val="0"/>
      <w:divBdr>
        <w:top w:val="none" w:sz="0" w:space="0" w:color="auto"/>
        <w:left w:val="none" w:sz="0" w:space="0" w:color="auto"/>
        <w:bottom w:val="none" w:sz="0" w:space="0" w:color="auto"/>
        <w:right w:val="none" w:sz="0" w:space="0" w:color="auto"/>
      </w:divBdr>
    </w:div>
    <w:div w:id="1134906976">
      <w:bodyDiv w:val="1"/>
      <w:marLeft w:val="0"/>
      <w:marRight w:val="0"/>
      <w:marTop w:val="0"/>
      <w:marBottom w:val="0"/>
      <w:divBdr>
        <w:top w:val="none" w:sz="0" w:space="0" w:color="auto"/>
        <w:left w:val="none" w:sz="0" w:space="0" w:color="auto"/>
        <w:bottom w:val="none" w:sz="0" w:space="0" w:color="auto"/>
        <w:right w:val="none" w:sz="0" w:space="0" w:color="auto"/>
      </w:divBdr>
    </w:div>
    <w:div w:id="1135181729">
      <w:bodyDiv w:val="1"/>
      <w:marLeft w:val="0"/>
      <w:marRight w:val="0"/>
      <w:marTop w:val="0"/>
      <w:marBottom w:val="0"/>
      <w:divBdr>
        <w:top w:val="none" w:sz="0" w:space="0" w:color="auto"/>
        <w:left w:val="none" w:sz="0" w:space="0" w:color="auto"/>
        <w:bottom w:val="none" w:sz="0" w:space="0" w:color="auto"/>
        <w:right w:val="none" w:sz="0" w:space="0" w:color="auto"/>
      </w:divBdr>
    </w:div>
    <w:div w:id="1136753461">
      <w:bodyDiv w:val="1"/>
      <w:marLeft w:val="0"/>
      <w:marRight w:val="0"/>
      <w:marTop w:val="0"/>
      <w:marBottom w:val="0"/>
      <w:divBdr>
        <w:top w:val="none" w:sz="0" w:space="0" w:color="auto"/>
        <w:left w:val="none" w:sz="0" w:space="0" w:color="auto"/>
        <w:bottom w:val="none" w:sz="0" w:space="0" w:color="auto"/>
        <w:right w:val="none" w:sz="0" w:space="0" w:color="auto"/>
      </w:divBdr>
    </w:div>
    <w:div w:id="1137186795">
      <w:bodyDiv w:val="1"/>
      <w:marLeft w:val="0"/>
      <w:marRight w:val="0"/>
      <w:marTop w:val="0"/>
      <w:marBottom w:val="0"/>
      <w:divBdr>
        <w:top w:val="none" w:sz="0" w:space="0" w:color="auto"/>
        <w:left w:val="none" w:sz="0" w:space="0" w:color="auto"/>
        <w:bottom w:val="none" w:sz="0" w:space="0" w:color="auto"/>
        <w:right w:val="none" w:sz="0" w:space="0" w:color="auto"/>
      </w:divBdr>
    </w:div>
    <w:div w:id="1137801268">
      <w:bodyDiv w:val="1"/>
      <w:marLeft w:val="0"/>
      <w:marRight w:val="0"/>
      <w:marTop w:val="0"/>
      <w:marBottom w:val="0"/>
      <w:divBdr>
        <w:top w:val="none" w:sz="0" w:space="0" w:color="auto"/>
        <w:left w:val="none" w:sz="0" w:space="0" w:color="auto"/>
        <w:bottom w:val="none" w:sz="0" w:space="0" w:color="auto"/>
        <w:right w:val="none" w:sz="0" w:space="0" w:color="auto"/>
      </w:divBdr>
    </w:div>
    <w:div w:id="1138033316">
      <w:bodyDiv w:val="1"/>
      <w:marLeft w:val="0"/>
      <w:marRight w:val="0"/>
      <w:marTop w:val="0"/>
      <w:marBottom w:val="0"/>
      <w:divBdr>
        <w:top w:val="none" w:sz="0" w:space="0" w:color="auto"/>
        <w:left w:val="none" w:sz="0" w:space="0" w:color="auto"/>
        <w:bottom w:val="none" w:sz="0" w:space="0" w:color="auto"/>
        <w:right w:val="none" w:sz="0" w:space="0" w:color="auto"/>
      </w:divBdr>
    </w:div>
    <w:div w:id="1138110197">
      <w:bodyDiv w:val="1"/>
      <w:marLeft w:val="0"/>
      <w:marRight w:val="0"/>
      <w:marTop w:val="0"/>
      <w:marBottom w:val="0"/>
      <w:divBdr>
        <w:top w:val="none" w:sz="0" w:space="0" w:color="auto"/>
        <w:left w:val="none" w:sz="0" w:space="0" w:color="auto"/>
        <w:bottom w:val="none" w:sz="0" w:space="0" w:color="auto"/>
        <w:right w:val="none" w:sz="0" w:space="0" w:color="auto"/>
      </w:divBdr>
    </w:div>
    <w:div w:id="1140803495">
      <w:bodyDiv w:val="1"/>
      <w:marLeft w:val="0"/>
      <w:marRight w:val="0"/>
      <w:marTop w:val="0"/>
      <w:marBottom w:val="0"/>
      <w:divBdr>
        <w:top w:val="none" w:sz="0" w:space="0" w:color="auto"/>
        <w:left w:val="none" w:sz="0" w:space="0" w:color="auto"/>
        <w:bottom w:val="none" w:sz="0" w:space="0" w:color="auto"/>
        <w:right w:val="none" w:sz="0" w:space="0" w:color="auto"/>
      </w:divBdr>
    </w:div>
    <w:div w:id="1140998783">
      <w:bodyDiv w:val="1"/>
      <w:marLeft w:val="0"/>
      <w:marRight w:val="0"/>
      <w:marTop w:val="0"/>
      <w:marBottom w:val="0"/>
      <w:divBdr>
        <w:top w:val="none" w:sz="0" w:space="0" w:color="auto"/>
        <w:left w:val="none" w:sz="0" w:space="0" w:color="auto"/>
        <w:bottom w:val="none" w:sz="0" w:space="0" w:color="auto"/>
        <w:right w:val="none" w:sz="0" w:space="0" w:color="auto"/>
      </w:divBdr>
    </w:div>
    <w:div w:id="1140999443">
      <w:bodyDiv w:val="1"/>
      <w:marLeft w:val="0"/>
      <w:marRight w:val="0"/>
      <w:marTop w:val="0"/>
      <w:marBottom w:val="0"/>
      <w:divBdr>
        <w:top w:val="none" w:sz="0" w:space="0" w:color="auto"/>
        <w:left w:val="none" w:sz="0" w:space="0" w:color="auto"/>
        <w:bottom w:val="none" w:sz="0" w:space="0" w:color="auto"/>
        <w:right w:val="none" w:sz="0" w:space="0" w:color="auto"/>
      </w:divBdr>
    </w:div>
    <w:div w:id="1141465856">
      <w:bodyDiv w:val="1"/>
      <w:marLeft w:val="0"/>
      <w:marRight w:val="0"/>
      <w:marTop w:val="0"/>
      <w:marBottom w:val="0"/>
      <w:divBdr>
        <w:top w:val="none" w:sz="0" w:space="0" w:color="auto"/>
        <w:left w:val="none" w:sz="0" w:space="0" w:color="auto"/>
        <w:bottom w:val="none" w:sz="0" w:space="0" w:color="auto"/>
        <w:right w:val="none" w:sz="0" w:space="0" w:color="auto"/>
      </w:divBdr>
    </w:div>
    <w:div w:id="1141533148">
      <w:bodyDiv w:val="1"/>
      <w:marLeft w:val="0"/>
      <w:marRight w:val="0"/>
      <w:marTop w:val="0"/>
      <w:marBottom w:val="0"/>
      <w:divBdr>
        <w:top w:val="none" w:sz="0" w:space="0" w:color="auto"/>
        <w:left w:val="none" w:sz="0" w:space="0" w:color="auto"/>
        <w:bottom w:val="none" w:sz="0" w:space="0" w:color="auto"/>
        <w:right w:val="none" w:sz="0" w:space="0" w:color="auto"/>
      </w:divBdr>
    </w:div>
    <w:div w:id="1141925953">
      <w:bodyDiv w:val="1"/>
      <w:marLeft w:val="0"/>
      <w:marRight w:val="0"/>
      <w:marTop w:val="0"/>
      <w:marBottom w:val="0"/>
      <w:divBdr>
        <w:top w:val="none" w:sz="0" w:space="0" w:color="auto"/>
        <w:left w:val="none" w:sz="0" w:space="0" w:color="auto"/>
        <w:bottom w:val="none" w:sz="0" w:space="0" w:color="auto"/>
        <w:right w:val="none" w:sz="0" w:space="0" w:color="auto"/>
      </w:divBdr>
    </w:div>
    <w:div w:id="1142505028">
      <w:bodyDiv w:val="1"/>
      <w:marLeft w:val="0"/>
      <w:marRight w:val="0"/>
      <w:marTop w:val="0"/>
      <w:marBottom w:val="0"/>
      <w:divBdr>
        <w:top w:val="none" w:sz="0" w:space="0" w:color="auto"/>
        <w:left w:val="none" w:sz="0" w:space="0" w:color="auto"/>
        <w:bottom w:val="none" w:sz="0" w:space="0" w:color="auto"/>
        <w:right w:val="none" w:sz="0" w:space="0" w:color="auto"/>
      </w:divBdr>
    </w:div>
    <w:div w:id="1142651261">
      <w:bodyDiv w:val="1"/>
      <w:marLeft w:val="0"/>
      <w:marRight w:val="0"/>
      <w:marTop w:val="0"/>
      <w:marBottom w:val="0"/>
      <w:divBdr>
        <w:top w:val="none" w:sz="0" w:space="0" w:color="auto"/>
        <w:left w:val="none" w:sz="0" w:space="0" w:color="auto"/>
        <w:bottom w:val="none" w:sz="0" w:space="0" w:color="auto"/>
        <w:right w:val="none" w:sz="0" w:space="0" w:color="auto"/>
      </w:divBdr>
    </w:div>
    <w:div w:id="1143235515">
      <w:bodyDiv w:val="1"/>
      <w:marLeft w:val="0"/>
      <w:marRight w:val="0"/>
      <w:marTop w:val="0"/>
      <w:marBottom w:val="0"/>
      <w:divBdr>
        <w:top w:val="none" w:sz="0" w:space="0" w:color="auto"/>
        <w:left w:val="none" w:sz="0" w:space="0" w:color="auto"/>
        <w:bottom w:val="none" w:sz="0" w:space="0" w:color="auto"/>
        <w:right w:val="none" w:sz="0" w:space="0" w:color="auto"/>
      </w:divBdr>
    </w:div>
    <w:div w:id="1144542993">
      <w:bodyDiv w:val="1"/>
      <w:marLeft w:val="0"/>
      <w:marRight w:val="0"/>
      <w:marTop w:val="0"/>
      <w:marBottom w:val="0"/>
      <w:divBdr>
        <w:top w:val="none" w:sz="0" w:space="0" w:color="auto"/>
        <w:left w:val="none" w:sz="0" w:space="0" w:color="auto"/>
        <w:bottom w:val="none" w:sz="0" w:space="0" w:color="auto"/>
        <w:right w:val="none" w:sz="0" w:space="0" w:color="auto"/>
      </w:divBdr>
    </w:div>
    <w:div w:id="1145512805">
      <w:bodyDiv w:val="1"/>
      <w:marLeft w:val="0"/>
      <w:marRight w:val="0"/>
      <w:marTop w:val="0"/>
      <w:marBottom w:val="0"/>
      <w:divBdr>
        <w:top w:val="none" w:sz="0" w:space="0" w:color="auto"/>
        <w:left w:val="none" w:sz="0" w:space="0" w:color="auto"/>
        <w:bottom w:val="none" w:sz="0" w:space="0" w:color="auto"/>
        <w:right w:val="none" w:sz="0" w:space="0" w:color="auto"/>
      </w:divBdr>
    </w:div>
    <w:div w:id="1145732979">
      <w:bodyDiv w:val="1"/>
      <w:marLeft w:val="0"/>
      <w:marRight w:val="0"/>
      <w:marTop w:val="0"/>
      <w:marBottom w:val="0"/>
      <w:divBdr>
        <w:top w:val="none" w:sz="0" w:space="0" w:color="auto"/>
        <w:left w:val="none" w:sz="0" w:space="0" w:color="auto"/>
        <w:bottom w:val="none" w:sz="0" w:space="0" w:color="auto"/>
        <w:right w:val="none" w:sz="0" w:space="0" w:color="auto"/>
      </w:divBdr>
    </w:div>
    <w:div w:id="1147163701">
      <w:bodyDiv w:val="1"/>
      <w:marLeft w:val="0"/>
      <w:marRight w:val="0"/>
      <w:marTop w:val="0"/>
      <w:marBottom w:val="0"/>
      <w:divBdr>
        <w:top w:val="none" w:sz="0" w:space="0" w:color="auto"/>
        <w:left w:val="none" w:sz="0" w:space="0" w:color="auto"/>
        <w:bottom w:val="none" w:sz="0" w:space="0" w:color="auto"/>
        <w:right w:val="none" w:sz="0" w:space="0" w:color="auto"/>
      </w:divBdr>
    </w:div>
    <w:div w:id="1147287690">
      <w:bodyDiv w:val="1"/>
      <w:marLeft w:val="0"/>
      <w:marRight w:val="0"/>
      <w:marTop w:val="0"/>
      <w:marBottom w:val="0"/>
      <w:divBdr>
        <w:top w:val="none" w:sz="0" w:space="0" w:color="auto"/>
        <w:left w:val="none" w:sz="0" w:space="0" w:color="auto"/>
        <w:bottom w:val="none" w:sz="0" w:space="0" w:color="auto"/>
        <w:right w:val="none" w:sz="0" w:space="0" w:color="auto"/>
      </w:divBdr>
    </w:div>
    <w:div w:id="1148715248">
      <w:bodyDiv w:val="1"/>
      <w:marLeft w:val="0"/>
      <w:marRight w:val="0"/>
      <w:marTop w:val="0"/>
      <w:marBottom w:val="0"/>
      <w:divBdr>
        <w:top w:val="none" w:sz="0" w:space="0" w:color="auto"/>
        <w:left w:val="none" w:sz="0" w:space="0" w:color="auto"/>
        <w:bottom w:val="none" w:sz="0" w:space="0" w:color="auto"/>
        <w:right w:val="none" w:sz="0" w:space="0" w:color="auto"/>
      </w:divBdr>
    </w:div>
    <w:div w:id="1148741119">
      <w:bodyDiv w:val="1"/>
      <w:marLeft w:val="0"/>
      <w:marRight w:val="0"/>
      <w:marTop w:val="0"/>
      <w:marBottom w:val="0"/>
      <w:divBdr>
        <w:top w:val="none" w:sz="0" w:space="0" w:color="auto"/>
        <w:left w:val="none" w:sz="0" w:space="0" w:color="auto"/>
        <w:bottom w:val="none" w:sz="0" w:space="0" w:color="auto"/>
        <w:right w:val="none" w:sz="0" w:space="0" w:color="auto"/>
      </w:divBdr>
    </w:div>
    <w:div w:id="1148979026">
      <w:bodyDiv w:val="1"/>
      <w:marLeft w:val="0"/>
      <w:marRight w:val="0"/>
      <w:marTop w:val="0"/>
      <w:marBottom w:val="0"/>
      <w:divBdr>
        <w:top w:val="none" w:sz="0" w:space="0" w:color="auto"/>
        <w:left w:val="none" w:sz="0" w:space="0" w:color="auto"/>
        <w:bottom w:val="none" w:sz="0" w:space="0" w:color="auto"/>
        <w:right w:val="none" w:sz="0" w:space="0" w:color="auto"/>
      </w:divBdr>
    </w:div>
    <w:div w:id="1149135794">
      <w:bodyDiv w:val="1"/>
      <w:marLeft w:val="0"/>
      <w:marRight w:val="0"/>
      <w:marTop w:val="0"/>
      <w:marBottom w:val="0"/>
      <w:divBdr>
        <w:top w:val="none" w:sz="0" w:space="0" w:color="auto"/>
        <w:left w:val="none" w:sz="0" w:space="0" w:color="auto"/>
        <w:bottom w:val="none" w:sz="0" w:space="0" w:color="auto"/>
        <w:right w:val="none" w:sz="0" w:space="0" w:color="auto"/>
      </w:divBdr>
    </w:div>
    <w:div w:id="1149438443">
      <w:bodyDiv w:val="1"/>
      <w:marLeft w:val="0"/>
      <w:marRight w:val="0"/>
      <w:marTop w:val="0"/>
      <w:marBottom w:val="0"/>
      <w:divBdr>
        <w:top w:val="none" w:sz="0" w:space="0" w:color="auto"/>
        <w:left w:val="none" w:sz="0" w:space="0" w:color="auto"/>
        <w:bottom w:val="none" w:sz="0" w:space="0" w:color="auto"/>
        <w:right w:val="none" w:sz="0" w:space="0" w:color="auto"/>
      </w:divBdr>
    </w:div>
    <w:div w:id="1150636362">
      <w:bodyDiv w:val="1"/>
      <w:marLeft w:val="0"/>
      <w:marRight w:val="0"/>
      <w:marTop w:val="0"/>
      <w:marBottom w:val="0"/>
      <w:divBdr>
        <w:top w:val="none" w:sz="0" w:space="0" w:color="auto"/>
        <w:left w:val="none" w:sz="0" w:space="0" w:color="auto"/>
        <w:bottom w:val="none" w:sz="0" w:space="0" w:color="auto"/>
        <w:right w:val="none" w:sz="0" w:space="0" w:color="auto"/>
      </w:divBdr>
    </w:div>
    <w:div w:id="1150830635">
      <w:bodyDiv w:val="1"/>
      <w:marLeft w:val="0"/>
      <w:marRight w:val="0"/>
      <w:marTop w:val="0"/>
      <w:marBottom w:val="0"/>
      <w:divBdr>
        <w:top w:val="none" w:sz="0" w:space="0" w:color="auto"/>
        <w:left w:val="none" w:sz="0" w:space="0" w:color="auto"/>
        <w:bottom w:val="none" w:sz="0" w:space="0" w:color="auto"/>
        <w:right w:val="none" w:sz="0" w:space="0" w:color="auto"/>
      </w:divBdr>
    </w:div>
    <w:div w:id="1151171671">
      <w:bodyDiv w:val="1"/>
      <w:marLeft w:val="0"/>
      <w:marRight w:val="0"/>
      <w:marTop w:val="0"/>
      <w:marBottom w:val="0"/>
      <w:divBdr>
        <w:top w:val="none" w:sz="0" w:space="0" w:color="auto"/>
        <w:left w:val="none" w:sz="0" w:space="0" w:color="auto"/>
        <w:bottom w:val="none" w:sz="0" w:space="0" w:color="auto"/>
        <w:right w:val="none" w:sz="0" w:space="0" w:color="auto"/>
      </w:divBdr>
    </w:div>
    <w:div w:id="1153184677">
      <w:bodyDiv w:val="1"/>
      <w:marLeft w:val="0"/>
      <w:marRight w:val="0"/>
      <w:marTop w:val="0"/>
      <w:marBottom w:val="0"/>
      <w:divBdr>
        <w:top w:val="none" w:sz="0" w:space="0" w:color="auto"/>
        <w:left w:val="none" w:sz="0" w:space="0" w:color="auto"/>
        <w:bottom w:val="none" w:sz="0" w:space="0" w:color="auto"/>
        <w:right w:val="none" w:sz="0" w:space="0" w:color="auto"/>
      </w:divBdr>
    </w:div>
    <w:div w:id="1154298439">
      <w:bodyDiv w:val="1"/>
      <w:marLeft w:val="0"/>
      <w:marRight w:val="0"/>
      <w:marTop w:val="0"/>
      <w:marBottom w:val="0"/>
      <w:divBdr>
        <w:top w:val="none" w:sz="0" w:space="0" w:color="auto"/>
        <w:left w:val="none" w:sz="0" w:space="0" w:color="auto"/>
        <w:bottom w:val="none" w:sz="0" w:space="0" w:color="auto"/>
        <w:right w:val="none" w:sz="0" w:space="0" w:color="auto"/>
      </w:divBdr>
    </w:div>
    <w:div w:id="1154832158">
      <w:bodyDiv w:val="1"/>
      <w:marLeft w:val="0"/>
      <w:marRight w:val="0"/>
      <w:marTop w:val="0"/>
      <w:marBottom w:val="0"/>
      <w:divBdr>
        <w:top w:val="none" w:sz="0" w:space="0" w:color="auto"/>
        <w:left w:val="none" w:sz="0" w:space="0" w:color="auto"/>
        <w:bottom w:val="none" w:sz="0" w:space="0" w:color="auto"/>
        <w:right w:val="none" w:sz="0" w:space="0" w:color="auto"/>
      </w:divBdr>
    </w:div>
    <w:div w:id="1155334822">
      <w:bodyDiv w:val="1"/>
      <w:marLeft w:val="0"/>
      <w:marRight w:val="0"/>
      <w:marTop w:val="0"/>
      <w:marBottom w:val="0"/>
      <w:divBdr>
        <w:top w:val="none" w:sz="0" w:space="0" w:color="auto"/>
        <w:left w:val="none" w:sz="0" w:space="0" w:color="auto"/>
        <w:bottom w:val="none" w:sz="0" w:space="0" w:color="auto"/>
        <w:right w:val="none" w:sz="0" w:space="0" w:color="auto"/>
      </w:divBdr>
    </w:div>
    <w:div w:id="1155342340">
      <w:bodyDiv w:val="1"/>
      <w:marLeft w:val="0"/>
      <w:marRight w:val="0"/>
      <w:marTop w:val="0"/>
      <w:marBottom w:val="0"/>
      <w:divBdr>
        <w:top w:val="none" w:sz="0" w:space="0" w:color="auto"/>
        <w:left w:val="none" w:sz="0" w:space="0" w:color="auto"/>
        <w:bottom w:val="none" w:sz="0" w:space="0" w:color="auto"/>
        <w:right w:val="none" w:sz="0" w:space="0" w:color="auto"/>
      </w:divBdr>
    </w:div>
    <w:div w:id="1155800640">
      <w:bodyDiv w:val="1"/>
      <w:marLeft w:val="0"/>
      <w:marRight w:val="0"/>
      <w:marTop w:val="0"/>
      <w:marBottom w:val="0"/>
      <w:divBdr>
        <w:top w:val="none" w:sz="0" w:space="0" w:color="auto"/>
        <w:left w:val="none" w:sz="0" w:space="0" w:color="auto"/>
        <w:bottom w:val="none" w:sz="0" w:space="0" w:color="auto"/>
        <w:right w:val="none" w:sz="0" w:space="0" w:color="auto"/>
      </w:divBdr>
    </w:div>
    <w:div w:id="1156603904">
      <w:bodyDiv w:val="1"/>
      <w:marLeft w:val="0"/>
      <w:marRight w:val="0"/>
      <w:marTop w:val="0"/>
      <w:marBottom w:val="0"/>
      <w:divBdr>
        <w:top w:val="none" w:sz="0" w:space="0" w:color="auto"/>
        <w:left w:val="none" w:sz="0" w:space="0" w:color="auto"/>
        <w:bottom w:val="none" w:sz="0" w:space="0" w:color="auto"/>
        <w:right w:val="none" w:sz="0" w:space="0" w:color="auto"/>
      </w:divBdr>
    </w:div>
    <w:div w:id="1156605340">
      <w:bodyDiv w:val="1"/>
      <w:marLeft w:val="0"/>
      <w:marRight w:val="0"/>
      <w:marTop w:val="0"/>
      <w:marBottom w:val="0"/>
      <w:divBdr>
        <w:top w:val="none" w:sz="0" w:space="0" w:color="auto"/>
        <w:left w:val="none" w:sz="0" w:space="0" w:color="auto"/>
        <w:bottom w:val="none" w:sz="0" w:space="0" w:color="auto"/>
        <w:right w:val="none" w:sz="0" w:space="0" w:color="auto"/>
      </w:divBdr>
    </w:div>
    <w:div w:id="1157306941">
      <w:bodyDiv w:val="1"/>
      <w:marLeft w:val="0"/>
      <w:marRight w:val="0"/>
      <w:marTop w:val="0"/>
      <w:marBottom w:val="0"/>
      <w:divBdr>
        <w:top w:val="none" w:sz="0" w:space="0" w:color="auto"/>
        <w:left w:val="none" w:sz="0" w:space="0" w:color="auto"/>
        <w:bottom w:val="none" w:sz="0" w:space="0" w:color="auto"/>
        <w:right w:val="none" w:sz="0" w:space="0" w:color="auto"/>
      </w:divBdr>
    </w:div>
    <w:div w:id="1157500238">
      <w:bodyDiv w:val="1"/>
      <w:marLeft w:val="0"/>
      <w:marRight w:val="0"/>
      <w:marTop w:val="0"/>
      <w:marBottom w:val="0"/>
      <w:divBdr>
        <w:top w:val="none" w:sz="0" w:space="0" w:color="auto"/>
        <w:left w:val="none" w:sz="0" w:space="0" w:color="auto"/>
        <w:bottom w:val="none" w:sz="0" w:space="0" w:color="auto"/>
        <w:right w:val="none" w:sz="0" w:space="0" w:color="auto"/>
      </w:divBdr>
    </w:div>
    <w:div w:id="1158032769">
      <w:bodyDiv w:val="1"/>
      <w:marLeft w:val="0"/>
      <w:marRight w:val="0"/>
      <w:marTop w:val="0"/>
      <w:marBottom w:val="0"/>
      <w:divBdr>
        <w:top w:val="none" w:sz="0" w:space="0" w:color="auto"/>
        <w:left w:val="none" w:sz="0" w:space="0" w:color="auto"/>
        <w:bottom w:val="none" w:sz="0" w:space="0" w:color="auto"/>
        <w:right w:val="none" w:sz="0" w:space="0" w:color="auto"/>
      </w:divBdr>
    </w:div>
    <w:div w:id="1158039568">
      <w:bodyDiv w:val="1"/>
      <w:marLeft w:val="0"/>
      <w:marRight w:val="0"/>
      <w:marTop w:val="0"/>
      <w:marBottom w:val="0"/>
      <w:divBdr>
        <w:top w:val="none" w:sz="0" w:space="0" w:color="auto"/>
        <w:left w:val="none" w:sz="0" w:space="0" w:color="auto"/>
        <w:bottom w:val="none" w:sz="0" w:space="0" w:color="auto"/>
        <w:right w:val="none" w:sz="0" w:space="0" w:color="auto"/>
      </w:divBdr>
    </w:div>
    <w:div w:id="1158422913">
      <w:bodyDiv w:val="1"/>
      <w:marLeft w:val="0"/>
      <w:marRight w:val="0"/>
      <w:marTop w:val="0"/>
      <w:marBottom w:val="0"/>
      <w:divBdr>
        <w:top w:val="none" w:sz="0" w:space="0" w:color="auto"/>
        <w:left w:val="none" w:sz="0" w:space="0" w:color="auto"/>
        <w:bottom w:val="none" w:sz="0" w:space="0" w:color="auto"/>
        <w:right w:val="none" w:sz="0" w:space="0" w:color="auto"/>
      </w:divBdr>
    </w:div>
    <w:div w:id="1159270013">
      <w:bodyDiv w:val="1"/>
      <w:marLeft w:val="0"/>
      <w:marRight w:val="0"/>
      <w:marTop w:val="0"/>
      <w:marBottom w:val="0"/>
      <w:divBdr>
        <w:top w:val="none" w:sz="0" w:space="0" w:color="auto"/>
        <w:left w:val="none" w:sz="0" w:space="0" w:color="auto"/>
        <w:bottom w:val="none" w:sz="0" w:space="0" w:color="auto"/>
        <w:right w:val="none" w:sz="0" w:space="0" w:color="auto"/>
      </w:divBdr>
    </w:div>
    <w:div w:id="1159350075">
      <w:bodyDiv w:val="1"/>
      <w:marLeft w:val="0"/>
      <w:marRight w:val="0"/>
      <w:marTop w:val="0"/>
      <w:marBottom w:val="0"/>
      <w:divBdr>
        <w:top w:val="none" w:sz="0" w:space="0" w:color="auto"/>
        <w:left w:val="none" w:sz="0" w:space="0" w:color="auto"/>
        <w:bottom w:val="none" w:sz="0" w:space="0" w:color="auto"/>
        <w:right w:val="none" w:sz="0" w:space="0" w:color="auto"/>
      </w:divBdr>
    </w:div>
    <w:div w:id="1159464954">
      <w:bodyDiv w:val="1"/>
      <w:marLeft w:val="0"/>
      <w:marRight w:val="0"/>
      <w:marTop w:val="0"/>
      <w:marBottom w:val="0"/>
      <w:divBdr>
        <w:top w:val="none" w:sz="0" w:space="0" w:color="auto"/>
        <w:left w:val="none" w:sz="0" w:space="0" w:color="auto"/>
        <w:bottom w:val="none" w:sz="0" w:space="0" w:color="auto"/>
        <w:right w:val="none" w:sz="0" w:space="0" w:color="auto"/>
      </w:divBdr>
    </w:div>
    <w:div w:id="1159613640">
      <w:bodyDiv w:val="1"/>
      <w:marLeft w:val="0"/>
      <w:marRight w:val="0"/>
      <w:marTop w:val="0"/>
      <w:marBottom w:val="0"/>
      <w:divBdr>
        <w:top w:val="none" w:sz="0" w:space="0" w:color="auto"/>
        <w:left w:val="none" w:sz="0" w:space="0" w:color="auto"/>
        <w:bottom w:val="none" w:sz="0" w:space="0" w:color="auto"/>
        <w:right w:val="none" w:sz="0" w:space="0" w:color="auto"/>
      </w:divBdr>
    </w:div>
    <w:div w:id="1159619159">
      <w:bodyDiv w:val="1"/>
      <w:marLeft w:val="0"/>
      <w:marRight w:val="0"/>
      <w:marTop w:val="0"/>
      <w:marBottom w:val="0"/>
      <w:divBdr>
        <w:top w:val="none" w:sz="0" w:space="0" w:color="auto"/>
        <w:left w:val="none" w:sz="0" w:space="0" w:color="auto"/>
        <w:bottom w:val="none" w:sz="0" w:space="0" w:color="auto"/>
        <w:right w:val="none" w:sz="0" w:space="0" w:color="auto"/>
      </w:divBdr>
    </w:div>
    <w:div w:id="1160728162">
      <w:bodyDiv w:val="1"/>
      <w:marLeft w:val="0"/>
      <w:marRight w:val="0"/>
      <w:marTop w:val="0"/>
      <w:marBottom w:val="0"/>
      <w:divBdr>
        <w:top w:val="none" w:sz="0" w:space="0" w:color="auto"/>
        <w:left w:val="none" w:sz="0" w:space="0" w:color="auto"/>
        <w:bottom w:val="none" w:sz="0" w:space="0" w:color="auto"/>
        <w:right w:val="none" w:sz="0" w:space="0" w:color="auto"/>
      </w:divBdr>
    </w:div>
    <w:div w:id="1161000731">
      <w:bodyDiv w:val="1"/>
      <w:marLeft w:val="0"/>
      <w:marRight w:val="0"/>
      <w:marTop w:val="0"/>
      <w:marBottom w:val="0"/>
      <w:divBdr>
        <w:top w:val="none" w:sz="0" w:space="0" w:color="auto"/>
        <w:left w:val="none" w:sz="0" w:space="0" w:color="auto"/>
        <w:bottom w:val="none" w:sz="0" w:space="0" w:color="auto"/>
        <w:right w:val="none" w:sz="0" w:space="0" w:color="auto"/>
      </w:divBdr>
    </w:div>
    <w:div w:id="1161628485">
      <w:bodyDiv w:val="1"/>
      <w:marLeft w:val="0"/>
      <w:marRight w:val="0"/>
      <w:marTop w:val="0"/>
      <w:marBottom w:val="0"/>
      <w:divBdr>
        <w:top w:val="none" w:sz="0" w:space="0" w:color="auto"/>
        <w:left w:val="none" w:sz="0" w:space="0" w:color="auto"/>
        <w:bottom w:val="none" w:sz="0" w:space="0" w:color="auto"/>
        <w:right w:val="none" w:sz="0" w:space="0" w:color="auto"/>
      </w:divBdr>
    </w:div>
    <w:div w:id="1162237348">
      <w:bodyDiv w:val="1"/>
      <w:marLeft w:val="0"/>
      <w:marRight w:val="0"/>
      <w:marTop w:val="0"/>
      <w:marBottom w:val="0"/>
      <w:divBdr>
        <w:top w:val="none" w:sz="0" w:space="0" w:color="auto"/>
        <w:left w:val="none" w:sz="0" w:space="0" w:color="auto"/>
        <w:bottom w:val="none" w:sz="0" w:space="0" w:color="auto"/>
        <w:right w:val="none" w:sz="0" w:space="0" w:color="auto"/>
      </w:divBdr>
    </w:div>
    <w:div w:id="1162350787">
      <w:bodyDiv w:val="1"/>
      <w:marLeft w:val="0"/>
      <w:marRight w:val="0"/>
      <w:marTop w:val="0"/>
      <w:marBottom w:val="0"/>
      <w:divBdr>
        <w:top w:val="none" w:sz="0" w:space="0" w:color="auto"/>
        <w:left w:val="none" w:sz="0" w:space="0" w:color="auto"/>
        <w:bottom w:val="none" w:sz="0" w:space="0" w:color="auto"/>
        <w:right w:val="none" w:sz="0" w:space="0" w:color="auto"/>
      </w:divBdr>
    </w:div>
    <w:div w:id="1163667558">
      <w:bodyDiv w:val="1"/>
      <w:marLeft w:val="0"/>
      <w:marRight w:val="0"/>
      <w:marTop w:val="0"/>
      <w:marBottom w:val="0"/>
      <w:divBdr>
        <w:top w:val="none" w:sz="0" w:space="0" w:color="auto"/>
        <w:left w:val="none" w:sz="0" w:space="0" w:color="auto"/>
        <w:bottom w:val="none" w:sz="0" w:space="0" w:color="auto"/>
        <w:right w:val="none" w:sz="0" w:space="0" w:color="auto"/>
      </w:divBdr>
    </w:div>
    <w:div w:id="1164276564">
      <w:bodyDiv w:val="1"/>
      <w:marLeft w:val="0"/>
      <w:marRight w:val="0"/>
      <w:marTop w:val="0"/>
      <w:marBottom w:val="0"/>
      <w:divBdr>
        <w:top w:val="none" w:sz="0" w:space="0" w:color="auto"/>
        <w:left w:val="none" w:sz="0" w:space="0" w:color="auto"/>
        <w:bottom w:val="none" w:sz="0" w:space="0" w:color="auto"/>
        <w:right w:val="none" w:sz="0" w:space="0" w:color="auto"/>
      </w:divBdr>
    </w:div>
    <w:div w:id="1165172647">
      <w:bodyDiv w:val="1"/>
      <w:marLeft w:val="0"/>
      <w:marRight w:val="0"/>
      <w:marTop w:val="0"/>
      <w:marBottom w:val="0"/>
      <w:divBdr>
        <w:top w:val="none" w:sz="0" w:space="0" w:color="auto"/>
        <w:left w:val="none" w:sz="0" w:space="0" w:color="auto"/>
        <w:bottom w:val="none" w:sz="0" w:space="0" w:color="auto"/>
        <w:right w:val="none" w:sz="0" w:space="0" w:color="auto"/>
      </w:divBdr>
    </w:div>
    <w:div w:id="1165322728">
      <w:bodyDiv w:val="1"/>
      <w:marLeft w:val="0"/>
      <w:marRight w:val="0"/>
      <w:marTop w:val="0"/>
      <w:marBottom w:val="0"/>
      <w:divBdr>
        <w:top w:val="none" w:sz="0" w:space="0" w:color="auto"/>
        <w:left w:val="none" w:sz="0" w:space="0" w:color="auto"/>
        <w:bottom w:val="none" w:sz="0" w:space="0" w:color="auto"/>
        <w:right w:val="none" w:sz="0" w:space="0" w:color="auto"/>
      </w:divBdr>
    </w:div>
    <w:div w:id="1165897594">
      <w:bodyDiv w:val="1"/>
      <w:marLeft w:val="0"/>
      <w:marRight w:val="0"/>
      <w:marTop w:val="0"/>
      <w:marBottom w:val="0"/>
      <w:divBdr>
        <w:top w:val="none" w:sz="0" w:space="0" w:color="auto"/>
        <w:left w:val="none" w:sz="0" w:space="0" w:color="auto"/>
        <w:bottom w:val="none" w:sz="0" w:space="0" w:color="auto"/>
        <w:right w:val="none" w:sz="0" w:space="0" w:color="auto"/>
      </w:divBdr>
    </w:div>
    <w:div w:id="1168060890">
      <w:bodyDiv w:val="1"/>
      <w:marLeft w:val="0"/>
      <w:marRight w:val="0"/>
      <w:marTop w:val="0"/>
      <w:marBottom w:val="0"/>
      <w:divBdr>
        <w:top w:val="none" w:sz="0" w:space="0" w:color="auto"/>
        <w:left w:val="none" w:sz="0" w:space="0" w:color="auto"/>
        <w:bottom w:val="none" w:sz="0" w:space="0" w:color="auto"/>
        <w:right w:val="none" w:sz="0" w:space="0" w:color="auto"/>
      </w:divBdr>
    </w:div>
    <w:div w:id="1169558120">
      <w:bodyDiv w:val="1"/>
      <w:marLeft w:val="0"/>
      <w:marRight w:val="0"/>
      <w:marTop w:val="0"/>
      <w:marBottom w:val="0"/>
      <w:divBdr>
        <w:top w:val="none" w:sz="0" w:space="0" w:color="auto"/>
        <w:left w:val="none" w:sz="0" w:space="0" w:color="auto"/>
        <w:bottom w:val="none" w:sz="0" w:space="0" w:color="auto"/>
        <w:right w:val="none" w:sz="0" w:space="0" w:color="auto"/>
      </w:divBdr>
    </w:div>
    <w:div w:id="1170562750">
      <w:bodyDiv w:val="1"/>
      <w:marLeft w:val="0"/>
      <w:marRight w:val="0"/>
      <w:marTop w:val="0"/>
      <w:marBottom w:val="0"/>
      <w:divBdr>
        <w:top w:val="none" w:sz="0" w:space="0" w:color="auto"/>
        <w:left w:val="none" w:sz="0" w:space="0" w:color="auto"/>
        <w:bottom w:val="none" w:sz="0" w:space="0" w:color="auto"/>
        <w:right w:val="none" w:sz="0" w:space="0" w:color="auto"/>
      </w:divBdr>
    </w:div>
    <w:div w:id="1173305057">
      <w:bodyDiv w:val="1"/>
      <w:marLeft w:val="0"/>
      <w:marRight w:val="0"/>
      <w:marTop w:val="0"/>
      <w:marBottom w:val="0"/>
      <w:divBdr>
        <w:top w:val="none" w:sz="0" w:space="0" w:color="auto"/>
        <w:left w:val="none" w:sz="0" w:space="0" w:color="auto"/>
        <w:bottom w:val="none" w:sz="0" w:space="0" w:color="auto"/>
        <w:right w:val="none" w:sz="0" w:space="0" w:color="auto"/>
      </w:divBdr>
    </w:div>
    <w:div w:id="1173684408">
      <w:bodyDiv w:val="1"/>
      <w:marLeft w:val="0"/>
      <w:marRight w:val="0"/>
      <w:marTop w:val="0"/>
      <w:marBottom w:val="0"/>
      <w:divBdr>
        <w:top w:val="none" w:sz="0" w:space="0" w:color="auto"/>
        <w:left w:val="none" w:sz="0" w:space="0" w:color="auto"/>
        <w:bottom w:val="none" w:sz="0" w:space="0" w:color="auto"/>
        <w:right w:val="none" w:sz="0" w:space="0" w:color="auto"/>
      </w:divBdr>
    </w:div>
    <w:div w:id="1173885040">
      <w:bodyDiv w:val="1"/>
      <w:marLeft w:val="0"/>
      <w:marRight w:val="0"/>
      <w:marTop w:val="0"/>
      <w:marBottom w:val="0"/>
      <w:divBdr>
        <w:top w:val="none" w:sz="0" w:space="0" w:color="auto"/>
        <w:left w:val="none" w:sz="0" w:space="0" w:color="auto"/>
        <w:bottom w:val="none" w:sz="0" w:space="0" w:color="auto"/>
        <w:right w:val="none" w:sz="0" w:space="0" w:color="auto"/>
      </w:divBdr>
    </w:div>
    <w:div w:id="1176070293">
      <w:bodyDiv w:val="1"/>
      <w:marLeft w:val="0"/>
      <w:marRight w:val="0"/>
      <w:marTop w:val="0"/>
      <w:marBottom w:val="0"/>
      <w:divBdr>
        <w:top w:val="none" w:sz="0" w:space="0" w:color="auto"/>
        <w:left w:val="none" w:sz="0" w:space="0" w:color="auto"/>
        <w:bottom w:val="none" w:sz="0" w:space="0" w:color="auto"/>
        <w:right w:val="none" w:sz="0" w:space="0" w:color="auto"/>
      </w:divBdr>
    </w:div>
    <w:div w:id="1176192230">
      <w:bodyDiv w:val="1"/>
      <w:marLeft w:val="0"/>
      <w:marRight w:val="0"/>
      <w:marTop w:val="0"/>
      <w:marBottom w:val="0"/>
      <w:divBdr>
        <w:top w:val="none" w:sz="0" w:space="0" w:color="auto"/>
        <w:left w:val="none" w:sz="0" w:space="0" w:color="auto"/>
        <w:bottom w:val="none" w:sz="0" w:space="0" w:color="auto"/>
        <w:right w:val="none" w:sz="0" w:space="0" w:color="auto"/>
      </w:divBdr>
    </w:div>
    <w:div w:id="1177503069">
      <w:bodyDiv w:val="1"/>
      <w:marLeft w:val="0"/>
      <w:marRight w:val="0"/>
      <w:marTop w:val="0"/>
      <w:marBottom w:val="0"/>
      <w:divBdr>
        <w:top w:val="none" w:sz="0" w:space="0" w:color="auto"/>
        <w:left w:val="none" w:sz="0" w:space="0" w:color="auto"/>
        <w:bottom w:val="none" w:sz="0" w:space="0" w:color="auto"/>
        <w:right w:val="none" w:sz="0" w:space="0" w:color="auto"/>
      </w:divBdr>
    </w:div>
    <w:div w:id="1179125373">
      <w:bodyDiv w:val="1"/>
      <w:marLeft w:val="0"/>
      <w:marRight w:val="0"/>
      <w:marTop w:val="0"/>
      <w:marBottom w:val="0"/>
      <w:divBdr>
        <w:top w:val="none" w:sz="0" w:space="0" w:color="auto"/>
        <w:left w:val="none" w:sz="0" w:space="0" w:color="auto"/>
        <w:bottom w:val="none" w:sz="0" w:space="0" w:color="auto"/>
        <w:right w:val="none" w:sz="0" w:space="0" w:color="auto"/>
      </w:divBdr>
    </w:div>
    <w:div w:id="1179732451">
      <w:bodyDiv w:val="1"/>
      <w:marLeft w:val="0"/>
      <w:marRight w:val="0"/>
      <w:marTop w:val="0"/>
      <w:marBottom w:val="0"/>
      <w:divBdr>
        <w:top w:val="none" w:sz="0" w:space="0" w:color="auto"/>
        <w:left w:val="none" w:sz="0" w:space="0" w:color="auto"/>
        <w:bottom w:val="none" w:sz="0" w:space="0" w:color="auto"/>
        <w:right w:val="none" w:sz="0" w:space="0" w:color="auto"/>
      </w:divBdr>
    </w:div>
    <w:div w:id="1180046857">
      <w:bodyDiv w:val="1"/>
      <w:marLeft w:val="0"/>
      <w:marRight w:val="0"/>
      <w:marTop w:val="0"/>
      <w:marBottom w:val="0"/>
      <w:divBdr>
        <w:top w:val="none" w:sz="0" w:space="0" w:color="auto"/>
        <w:left w:val="none" w:sz="0" w:space="0" w:color="auto"/>
        <w:bottom w:val="none" w:sz="0" w:space="0" w:color="auto"/>
        <w:right w:val="none" w:sz="0" w:space="0" w:color="auto"/>
      </w:divBdr>
    </w:div>
    <w:div w:id="1180315295">
      <w:bodyDiv w:val="1"/>
      <w:marLeft w:val="0"/>
      <w:marRight w:val="0"/>
      <w:marTop w:val="0"/>
      <w:marBottom w:val="0"/>
      <w:divBdr>
        <w:top w:val="none" w:sz="0" w:space="0" w:color="auto"/>
        <w:left w:val="none" w:sz="0" w:space="0" w:color="auto"/>
        <w:bottom w:val="none" w:sz="0" w:space="0" w:color="auto"/>
        <w:right w:val="none" w:sz="0" w:space="0" w:color="auto"/>
      </w:divBdr>
    </w:div>
    <w:div w:id="1180506130">
      <w:bodyDiv w:val="1"/>
      <w:marLeft w:val="0"/>
      <w:marRight w:val="0"/>
      <w:marTop w:val="0"/>
      <w:marBottom w:val="0"/>
      <w:divBdr>
        <w:top w:val="none" w:sz="0" w:space="0" w:color="auto"/>
        <w:left w:val="none" w:sz="0" w:space="0" w:color="auto"/>
        <w:bottom w:val="none" w:sz="0" w:space="0" w:color="auto"/>
        <w:right w:val="none" w:sz="0" w:space="0" w:color="auto"/>
      </w:divBdr>
    </w:div>
    <w:div w:id="1180776983">
      <w:bodyDiv w:val="1"/>
      <w:marLeft w:val="0"/>
      <w:marRight w:val="0"/>
      <w:marTop w:val="0"/>
      <w:marBottom w:val="0"/>
      <w:divBdr>
        <w:top w:val="none" w:sz="0" w:space="0" w:color="auto"/>
        <w:left w:val="none" w:sz="0" w:space="0" w:color="auto"/>
        <w:bottom w:val="none" w:sz="0" w:space="0" w:color="auto"/>
        <w:right w:val="none" w:sz="0" w:space="0" w:color="auto"/>
      </w:divBdr>
    </w:div>
    <w:div w:id="1183393549">
      <w:bodyDiv w:val="1"/>
      <w:marLeft w:val="0"/>
      <w:marRight w:val="0"/>
      <w:marTop w:val="0"/>
      <w:marBottom w:val="0"/>
      <w:divBdr>
        <w:top w:val="none" w:sz="0" w:space="0" w:color="auto"/>
        <w:left w:val="none" w:sz="0" w:space="0" w:color="auto"/>
        <w:bottom w:val="none" w:sz="0" w:space="0" w:color="auto"/>
        <w:right w:val="none" w:sz="0" w:space="0" w:color="auto"/>
      </w:divBdr>
    </w:div>
    <w:div w:id="1183401095">
      <w:bodyDiv w:val="1"/>
      <w:marLeft w:val="0"/>
      <w:marRight w:val="0"/>
      <w:marTop w:val="0"/>
      <w:marBottom w:val="0"/>
      <w:divBdr>
        <w:top w:val="none" w:sz="0" w:space="0" w:color="auto"/>
        <w:left w:val="none" w:sz="0" w:space="0" w:color="auto"/>
        <w:bottom w:val="none" w:sz="0" w:space="0" w:color="auto"/>
        <w:right w:val="none" w:sz="0" w:space="0" w:color="auto"/>
      </w:divBdr>
    </w:div>
    <w:div w:id="1187479371">
      <w:bodyDiv w:val="1"/>
      <w:marLeft w:val="0"/>
      <w:marRight w:val="0"/>
      <w:marTop w:val="0"/>
      <w:marBottom w:val="0"/>
      <w:divBdr>
        <w:top w:val="none" w:sz="0" w:space="0" w:color="auto"/>
        <w:left w:val="none" w:sz="0" w:space="0" w:color="auto"/>
        <w:bottom w:val="none" w:sz="0" w:space="0" w:color="auto"/>
        <w:right w:val="none" w:sz="0" w:space="0" w:color="auto"/>
      </w:divBdr>
    </w:div>
    <w:div w:id="1187713663">
      <w:bodyDiv w:val="1"/>
      <w:marLeft w:val="0"/>
      <w:marRight w:val="0"/>
      <w:marTop w:val="0"/>
      <w:marBottom w:val="0"/>
      <w:divBdr>
        <w:top w:val="none" w:sz="0" w:space="0" w:color="auto"/>
        <w:left w:val="none" w:sz="0" w:space="0" w:color="auto"/>
        <w:bottom w:val="none" w:sz="0" w:space="0" w:color="auto"/>
        <w:right w:val="none" w:sz="0" w:space="0" w:color="auto"/>
      </w:divBdr>
    </w:div>
    <w:div w:id="1187721219">
      <w:bodyDiv w:val="1"/>
      <w:marLeft w:val="0"/>
      <w:marRight w:val="0"/>
      <w:marTop w:val="0"/>
      <w:marBottom w:val="0"/>
      <w:divBdr>
        <w:top w:val="none" w:sz="0" w:space="0" w:color="auto"/>
        <w:left w:val="none" w:sz="0" w:space="0" w:color="auto"/>
        <w:bottom w:val="none" w:sz="0" w:space="0" w:color="auto"/>
        <w:right w:val="none" w:sz="0" w:space="0" w:color="auto"/>
      </w:divBdr>
    </w:div>
    <w:div w:id="1188173914">
      <w:bodyDiv w:val="1"/>
      <w:marLeft w:val="0"/>
      <w:marRight w:val="0"/>
      <w:marTop w:val="0"/>
      <w:marBottom w:val="0"/>
      <w:divBdr>
        <w:top w:val="none" w:sz="0" w:space="0" w:color="auto"/>
        <w:left w:val="none" w:sz="0" w:space="0" w:color="auto"/>
        <w:bottom w:val="none" w:sz="0" w:space="0" w:color="auto"/>
        <w:right w:val="none" w:sz="0" w:space="0" w:color="auto"/>
      </w:divBdr>
    </w:div>
    <w:div w:id="1188253267">
      <w:bodyDiv w:val="1"/>
      <w:marLeft w:val="0"/>
      <w:marRight w:val="0"/>
      <w:marTop w:val="0"/>
      <w:marBottom w:val="0"/>
      <w:divBdr>
        <w:top w:val="none" w:sz="0" w:space="0" w:color="auto"/>
        <w:left w:val="none" w:sz="0" w:space="0" w:color="auto"/>
        <w:bottom w:val="none" w:sz="0" w:space="0" w:color="auto"/>
        <w:right w:val="none" w:sz="0" w:space="0" w:color="auto"/>
      </w:divBdr>
    </w:div>
    <w:div w:id="1188638829">
      <w:bodyDiv w:val="1"/>
      <w:marLeft w:val="0"/>
      <w:marRight w:val="0"/>
      <w:marTop w:val="0"/>
      <w:marBottom w:val="0"/>
      <w:divBdr>
        <w:top w:val="none" w:sz="0" w:space="0" w:color="auto"/>
        <w:left w:val="none" w:sz="0" w:space="0" w:color="auto"/>
        <w:bottom w:val="none" w:sz="0" w:space="0" w:color="auto"/>
        <w:right w:val="none" w:sz="0" w:space="0" w:color="auto"/>
      </w:divBdr>
    </w:div>
    <w:div w:id="1189030332">
      <w:bodyDiv w:val="1"/>
      <w:marLeft w:val="0"/>
      <w:marRight w:val="0"/>
      <w:marTop w:val="0"/>
      <w:marBottom w:val="0"/>
      <w:divBdr>
        <w:top w:val="none" w:sz="0" w:space="0" w:color="auto"/>
        <w:left w:val="none" w:sz="0" w:space="0" w:color="auto"/>
        <w:bottom w:val="none" w:sz="0" w:space="0" w:color="auto"/>
        <w:right w:val="none" w:sz="0" w:space="0" w:color="auto"/>
      </w:divBdr>
    </w:div>
    <w:div w:id="1189217921">
      <w:bodyDiv w:val="1"/>
      <w:marLeft w:val="0"/>
      <w:marRight w:val="0"/>
      <w:marTop w:val="0"/>
      <w:marBottom w:val="0"/>
      <w:divBdr>
        <w:top w:val="none" w:sz="0" w:space="0" w:color="auto"/>
        <w:left w:val="none" w:sz="0" w:space="0" w:color="auto"/>
        <w:bottom w:val="none" w:sz="0" w:space="0" w:color="auto"/>
        <w:right w:val="none" w:sz="0" w:space="0" w:color="auto"/>
      </w:divBdr>
    </w:div>
    <w:div w:id="1190487332">
      <w:bodyDiv w:val="1"/>
      <w:marLeft w:val="0"/>
      <w:marRight w:val="0"/>
      <w:marTop w:val="0"/>
      <w:marBottom w:val="0"/>
      <w:divBdr>
        <w:top w:val="none" w:sz="0" w:space="0" w:color="auto"/>
        <w:left w:val="none" w:sz="0" w:space="0" w:color="auto"/>
        <w:bottom w:val="none" w:sz="0" w:space="0" w:color="auto"/>
        <w:right w:val="none" w:sz="0" w:space="0" w:color="auto"/>
      </w:divBdr>
    </w:div>
    <w:div w:id="1190997014">
      <w:bodyDiv w:val="1"/>
      <w:marLeft w:val="0"/>
      <w:marRight w:val="0"/>
      <w:marTop w:val="0"/>
      <w:marBottom w:val="0"/>
      <w:divBdr>
        <w:top w:val="none" w:sz="0" w:space="0" w:color="auto"/>
        <w:left w:val="none" w:sz="0" w:space="0" w:color="auto"/>
        <w:bottom w:val="none" w:sz="0" w:space="0" w:color="auto"/>
        <w:right w:val="none" w:sz="0" w:space="0" w:color="auto"/>
      </w:divBdr>
    </w:div>
    <w:div w:id="1191262727">
      <w:bodyDiv w:val="1"/>
      <w:marLeft w:val="0"/>
      <w:marRight w:val="0"/>
      <w:marTop w:val="0"/>
      <w:marBottom w:val="0"/>
      <w:divBdr>
        <w:top w:val="none" w:sz="0" w:space="0" w:color="auto"/>
        <w:left w:val="none" w:sz="0" w:space="0" w:color="auto"/>
        <w:bottom w:val="none" w:sz="0" w:space="0" w:color="auto"/>
        <w:right w:val="none" w:sz="0" w:space="0" w:color="auto"/>
      </w:divBdr>
    </w:div>
    <w:div w:id="1193415744">
      <w:bodyDiv w:val="1"/>
      <w:marLeft w:val="0"/>
      <w:marRight w:val="0"/>
      <w:marTop w:val="0"/>
      <w:marBottom w:val="0"/>
      <w:divBdr>
        <w:top w:val="none" w:sz="0" w:space="0" w:color="auto"/>
        <w:left w:val="none" w:sz="0" w:space="0" w:color="auto"/>
        <w:bottom w:val="none" w:sz="0" w:space="0" w:color="auto"/>
        <w:right w:val="none" w:sz="0" w:space="0" w:color="auto"/>
      </w:divBdr>
    </w:div>
    <w:div w:id="1193691545">
      <w:bodyDiv w:val="1"/>
      <w:marLeft w:val="0"/>
      <w:marRight w:val="0"/>
      <w:marTop w:val="0"/>
      <w:marBottom w:val="0"/>
      <w:divBdr>
        <w:top w:val="none" w:sz="0" w:space="0" w:color="auto"/>
        <w:left w:val="none" w:sz="0" w:space="0" w:color="auto"/>
        <w:bottom w:val="none" w:sz="0" w:space="0" w:color="auto"/>
        <w:right w:val="none" w:sz="0" w:space="0" w:color="auto"/>
      </w:divBdr>
    </w:div>
    <w:div w:id="1195078193">
      <w:bodyDiv w:val="1"/>
      <w:marLeft w:val="0"/>
      <w:marRight w:val="0"/>
      <w:marTop w:val="0"/>
      <w:marBottom w:val="0"/>
      <w:divBdr>
        <w:top w:val="none" w:sz="0" w:space="0" w:color="auto"/>
        <w:left w:val="none" w:sz="0" w:space="0" w:color="auto"/>
        <w:bottom w:val="none" w:sz="0" w:space="0" w:color="auto"/>
        <w:right w:val="none" w:sz="0" w:space="0" w:color="auto"/>
      </w:divBdr>
    </w:div>
    <w:div w:id="1195730540">
      <w:bodyDiv w:val="1"/>
      <w:marLeft w:val="0"/>
      <w:marRight w:val="0"/>
      <w:marTop w:val="0"/>
      <w:marBottom w:val="0"/>
      <w:divBdr>
        <w:top w:val="none" w:sz="0" w:space="0" w:color="auto"/>
        <w:left w:val="none" w:sz="0" w:space="0" w:color="auto"/>
        <w:bottom w:val="none" w:sz="0" w:space="0" w:color="auto"/>
        <w:right w:val="none" w:sz="0" w:space="0" w:color="auto"/>
      </w:divBdr>
    </w:div>
    <w:div w:id="1196694631">
      <w:bodyDiv w:val="1"/>
      <w:marLeft w:val="0"/>
      <w:marRight w:val="0"/>
      <w:marTop w:val="0"/>
      <w:marBottom w:val="0"/>
      <w:divBdr>
        <w:top w:val="none" w:sz="0" w:space="0" w:color="auto"/>
        <w:left w:val="none" w:sz="0" w:space="0" w:color="auto"/>
        <w:bottom w:val="none" w:sz="0" w:space="0" w:color="auto"/>
        <w:right w:val="none" w:sz="0" w:space="0" w:color="auto"/>
      </w:divBdr>
    </w:div>
    <w:div w:id="1196963034">
      <w:bodyDiv w:val="1"/>
      <w:marLeft w:val="0"/>
      <w:marRight w:val="0"/>
      <w:marTop w:val="0"/>
      <w:marBottom w:val="0"/>
      <w:divBdr>
        <w:top w:val="none" w:sz="0" w:space="0" w:color="auto"/>
        <w:left w:val="none" w:sz="0" w:space="0" w:color="auto"/>
        <w:bottom w:val="none" w:sz="0" w:space="0" w:color="auto"/>
        <w:right w:val="none" w:sz="0" w:space="0" w:color="auto"/>
      </w:divBdr>
    </w:div>
    <w:div w:id="1197231752">
      <w:bodyDiv w:val="1"/>
      <w:marLeft w:val="0"/>
      <w:marRight w:val="0"/>
      <w:marTop w:val="0"/>
      <w:marBottom w:val="0"/>
      <w:divBdr>
        <w:top w:val="none" w:sz="0" w:space="0" w:color="auto"/>
        <w:left w:val="none" w:sz="0" w:space="0" w:color="auto"/>
        <w:bottom w:val="none" w:sz="0" w:space="0" w:color="auto"/>
        <w:right w:val="none" w:sz="0" w:space="0" w:color="auto"/>
      </w:divBdr>
    </w:div>
    <w:div w:id="1198203310">
      <w:bodyDiv w:val="1"/>
      <w:marLeft w:val="0"/>
      <w:marRight w:val="0"/>
      <w:marTop w:val="0"/>
      <w:marBottom w:val="0"/>
      <w:divBdr>
        <w:top w:val="none" w:sz="0" w:space="0" w:color="auto"/>
        <w:left w:val="none" w:sz="0" w:space="0" w:color="auto"/>
        <w:bottom w:val="none" w:sz="0" w:space="0" w:color="auto"/>
        <w:right w:val="none" w:sz="0" w:space="0" w:color="auto"/>
      </w:divBdr>
    </w:div>
    <w:div w:id="1198272204">
      <w:bodyDiv w:val="1"/>
      <w:marLeft w:val="0"/>
      <w:marRight w:val="0"/>
      <w:marTop w:val="0"/>
      <w:marBottom w:val="0"/>
      <w:divBdr>
        <w:top w:val="none" w:sz="0" w:space="0" w:color="auto"/>
        <w:left w:val="none" w:sz="0" w:space="0" w:color="auto"/>
        <w:bottom w:val="none" w:sz="0" w:space="0" w:color="auto"/>
        <w:right w:val="none" w:sz="0" w:space="0" w:color="auto"/>
      </w:divBdr>
    </w:div>
    <w:div w:id="1198589907">
      <w:bodyDiv w:val="1"/>
      <w:marLeft w:val="0"/>
      <w:marRight w:val="0"/>
      <w:marTop w:val="0"/>
      <w:marBottom w:val="0"/>
      <w:divBdr>
        <w:top w:val="none" w:sz="0" w:space="0" w:color="auto"/>
        <w:left w:val="none" w:sz="0" w:space="0" w:color="auto"/>
        <w:bottom w:val="none" w:sz="0" w:space="0" w:color="auto"/>
        <w:right w:val="none" w:sz="0" w:space="0" w:color="auto"/>
      </w:divBdr>
    </w:div>
    <w:div w:id="1198930064">
      <w:bodyDiv w:val="1"/>
      <w:marLeft w:val="0"/>
      <w:marRight w:val="0"/>
      <w:marTop w:val="0"/>
      <w:marBottom w:val="0"/>
      <w:divBdr>
        <w:top w:val="none" w:sz="0" w:space="0" w:color="auto"/>
        <w:left w:val="none" w:sz="0" w:space="0" w:color="auto"/>
        <w:bottom w:val="none" w:sz="0" w:space="0" w:color="auto"/>
        <w:right w:val="none" w:sz="0" w:space="0" w:color="auto"/>
      </w:divBdr>
    </w:div>
    <w:div w:id="1199273393">
      <w:bodyDiv w:val="1"/>
      <w:marLeft w:val="0"/>
      <w:marRight w:val="0"/>
      <w:marTop w:val="0"/>
      <w:marBottom w:val="0"/>
      <w:divBdr>
        <w:top w:val="none" w:sz="0" w:space="0" w:color="auto"/>
        <w:left w:val="none" w:sz="0" w:space="0" w:color="auto"/>
        <w:bottom w:val="none" w:sz="0" w:space="0" w:color="auto"/>
        <w:right w:val="none" w:sz="0" w:space="0" w:color="auto"/>
      </w:divBdr>
    </w:div>
    <w:div w:id="1199782141">
      <w:bodyDiv w:val="1"/>
      <w:marLeft w:val="0"/>
      <w:marRight w:val="0"/>
      <w:marTop w:val="0"/>
      <w:marBottom w:val="0"/>
      <w:divBdr>
        <w:top w:val="none" w:sz="0" w:space="0" w:color="auto"/>
        <w:left w:val="none" w:sz="0" w:space="0" w:color="auto"/>
        <w:bottom w:val="none" w:sz="0" w:space="0" w:color="auto"/>
        <w:right w:val="none" w:sz="0" w:space="0" w:color="auto"/>
      </w:divBdr>
    </w:div>
    <w:div w:id="1199969288">
      <w:bodyDiv w:val="1"/>
      <w:marLeft w:val="0"/>
      <w:marRight w:val="0"/>
      <w:marTop w:val="0"/>
      <w:marBottom w:val="0"/>
      <w:divBdr>
        <w:top w:val="none" w:sz="0" w:space="0" w:color="auto"/>
        <w:left w:val="none" w:sz="0" w:space="0" w:color="auto"/>
        <w:bottom w:val="none" w:sz="0" w:space="0" w:color="auto"/>
        <w:right w:val="none" w:sz="0" w:space="0" w:color="auto"/>
      </w:divBdr>
    </w:div>
    <w:div w:id="1201280300">
      <w:bodyDiv w:val="1"/>
      <w:marLeft w:val="0"/>
      <w:marRight w:val="0"/>
      <w:marTop w:val="0"/>
      <w:marBottom w:val="0"/>
      <w:divBdr>
        <w:top w:val="none" w:sz="0" w:space="0" w:color="auto"/>
        <w:left w:val="none" w:sz="0" w:space="0" w:color="auto"/>
        <w:bottom w:val="none" w:sz="0" w:space="0" w:color="auto"/>
        <w:right w:val="none" w:sz="0" w:space="0" w:color="auto"/>
      </w:divBdr>
    </w:div>
    <w:div w:id="1202938406">
      <w:bodyDiv w:val="1"/>
      <w:marLeft w:val="0"/>
      <w:marRight w:val="0"/>
      <w:marTop w:val="0"/>
      <w:marBottom w:val="0"/>
      <w:divBdr>
        <w:top w:val="none" w:sz="0" w:space="0" w:color="auto"/>
        <w:left w:val="none" w:sz="0" w:space="0" w:color="auto"/>
        <w:bottom w:val="none" w:sz="0" w:space="0" w:color="auto"/>
        <w:right w:val="none" w:sz="0" w:space="0" w:color="auto"/>
      </w:divBdr>
    </w:div>
    <w:div w:id="1202940937">
      <w:bodyDiv w:val="1"/>
      <w:marLeft w:val="0"/>
      <w:marRight w:val="0"/>
      <w:marTop w:val="0"/>
      <w:marBottom w:val="0"/>
      <w:divBdr>
        <w:top w:val="none" w:sz="0" w:space="0" w:color="auto"/>
        <w:left w:val="none" w:sz="0" w:space="0" w:color="auto"/>
        <w:bottom w:val="none" w:sz="0" w:space="0" w:color="auto"/>
        <w:right w:val="none" w:sz="0" w:space="0" w:color="auto"/>
      </w:divBdr>
    </w:div>
    <w:div w:id="1205217403">
      <w:bodyDiv w:val="1"/>
      <w:marLeft w:val="0"/>
      <w:marRight w:val="0"/>
      <w:marTop w:val="0"/>
      <w:marBottom w:val="0"/>
      <w:divBdr>
        <w:top w:val="none" w:sz="0" w:space="0" w:color="auto"/>
        <w:left w:val="none" w:sz="0" w:space="0" w:color="auto"/>
        <w:bottom w:val="none" w:sz="0" w:space="0" w:color="auto"/>
        <w:right w:val="none" w:sz="0" w:space="0" w:color="auto"/>
      </w:divBdr>
    </w:div>
    <w:div w:id="1205944354">
      <w:bodyDiv w:val="1"/>
      <w:marLeft w:val="0"/>
      <w:marRight w:val="0"/>
      <w:marTop w:val="0"/>
      <w:marBottom w:val="0"/>
      <w:divBdr>
        <w:top w:val="none" w:sz="0" w:space="0" w:color="auto"/>
        <w:left w:val="none" w:sz="0" w:space="0" w:color="auto"/>
        <w:bottom w:val="none" w:sz="0" w:space="0" w:color="auto"/>
        <w:right w:val="none" w:sz="0" w:space="0" w:color="auto"/>
      </w:divBdr>
    </w:div>
    <w:div w:id="1206678471">
      <w:bodyDiv w:val="1"/>
      <w:marLeft w:val="0"/>
      <w:marRight w:val="0"/>
      <w:marTop w:val="0"/>
      <w:marBottom w:val="0"/>
      <w:divBdr>
        <w:top w:val="none" w:sz="0" w:space="0" w:color="auto"/>
        <w:left w:val="none" w:sz="0" w:space="0" w:color="auto"/>
        <w:bottom w:val="none" w:sz="0" w:space="0" w:color="auto"/>
        <w:right w:val="none" w:sz="0" w:space="0" w:color="auto"/>
      </w:divBdr>
    </w:div>
    <w:div w:id="1207059378">
      <w:bodyDiv w:val="1"/>
      <w:marLeft w:val="0"/>
      <w:marRight w:val="0"/>
      <w:marTop w:val="0"/>
      <w:marBottom w:val="0"/>
      <w:divBdr>
        <w:top w:val="none" w:sz="0" w:space="0" w:color="auto"/>
        <w:left w:val="none" w:sz="0" w:space="0" w:color="auto"/>
        <w:bottom w:val="none" w:sz="0" w:space="0" w:color="auto"/>
        <w:right w:val="none" w:sz="0" w:space="0" w:color="auto"/>
      </w:divBdr>
    </w:div>
    <w:div w:id="1208755459">
      <w:bodyDiv w:val="1"/>
      <w:marLeft w:val="0"/>
      <w:marRight w:val="0"/>
      <w:marTop w:val="0"/>
      <w:marBottom w:val="0"/>
      <w:divBdr>
        <w:top w:val="none" w:sz="0" w:space="0" w:color="auto"/>
        <w:left w:val="none" w:sz="0" w:space="0" w:color="auto"/>
        <w:bottom w:val="none" w:sz="0" w:space="0" w:color="auto"/>
        <w:right w:val="none" w:sz="0" w:space="0" w:color="auto"/>
      </w:divBdr>
    </w:div>
    <w:div w:id="1209024344">
      <w:bodyDiv w:val="1"/>
      <w:marLeft w:val="0"/>
      <w:marRight w:val="0"/>
      <w:marTop w:val="0"/>
      <w:marBottom w:val="0"/>
      <w:divBdr>
        <w:top w:val="none" w:sz="0" w:space="0" w:color="auto"/>
        <w:left w:val="none" w:sz="0" w:space="0" w:color="auto"/>
        <w:bottom w:val="none" w:sz="0" w:space="0" w:color="auto"/>
        <w:right w:val="none" w:sz="0" w:space="0" w:color="auto"/>
      </w:divBdr>
    </w:div>
    <w:div w:id="1209147958">
      <w:bodyDiv w:val="1"/>
      <w:marLeft w:val="0"/>
      <w:marRight w:val="0"/>
      <w:marTop w:val="0"/>
      <w:marBottom w:val="0"/>
      <w:divBdr>
        <w:top w:val="none" w:sz="0" w:space="0" w:color="auto"/>
        <w:left w:val="none" w:sz="0" w:space="0" w:color="auto"/>
        <w:bottom w:val="none" w:sz="0" w:space="0" w:color="auto"/>
        <w:right w:val="none" w:sz="0" w:space="0" w:color="auto"/>
      </w:divBdr>
    </w:div>
    <w:div w:id="1209223864">
      <w:bodyDiv w:val="1"/>
      <w:marLeft w:val="0"/>
      <w:marRight w:val="0"/>
      <w:marTop w:val="0"/>
      <w:marBottom w:val="0"/>
      <w:divBdr>
        <w:top w:val="none" w:sz="0" w:space="0" w:color="auto"/>
        <w:left w:val="none" w:sz="0" w:space="0" w:color="auto"/>
        <w:bottom w:val="none" w:sz="0" w:space="0" w:color="auto"/>
        <w:right w:val="none" w:sz="0" w:space="0" w:color="auto"/>
      </w:divBdr>
    </w:div>
    <w:div w:id="1209680354">
      <w:bodyDiv w:val="1"/>
      <w:marLeft w:val="0"/>
      <w:marRight w:val="0"/>
      <w:marTop w:val="0"/>
      <w:marBottom w:val="0"/>
      <w:divBdr>
        <w:top w:val="none" w:sz="0" w:space="0" w:color="auto"/>
        <w:left w:val="none" w:sz="0" w:space="0" w:color="auto"/>
        <w:bottom w:val="none" w:sz="0" w:space="0" w:color="auto"/>
        <w:right w:val="none" w:sz="0" w:space="0" w:color="auto"/>
      </w:divBdr>
    </w:div>
    <w:div w:id="1209998525">
      <w:bodyDiv w:val="1"/>
      <w:marLeft w:val="0"/>
      <w:marRight w:val="0"/>
      <w:marTop w:val="0"/>
      <w:marBottom w:val="0"/>
      <w:divBdr>
        <w:top w:val="none" w:sz="0" w:space="0" w:color="auto"/>
        <w:left w:val="none" w:sz="0" w:space="0" w:color="auto"/>
        <w:bottom w:val="none" w:sz="0" w:space="0" w:color="auto"/>
        <w:right w:val="none" w:sz="0" w:space="0" w:color="auto"/>
      </w:divBdr>
    </w:div>
    <w:div w:id="1210923710">
      <w:bodyDiv w:val="1"/>
      <w:marLeft w:val="0"/>
      <w:marRight w:val="0"/>
      <w:marTop w:val="0"/>
      <w:marBottom w:val="0"/>
      <w:divBdr>
        <w:top w:val="none" w:sz="0" w:space="0" w:color="auto"/>
        <w:left w:val="none" w:sz="0" w:space="0" w:color="auto"/>
        <w:bottom w:val="none" w:sz="0" w:space="0" w:color="auto"/>
        <w:right w:val="none" w:sz="0" w:space="0" w:color="auto"/>
      </w:divBdr>
    </w:div>
    <w:div w:id="1212888166">
      <w:bodyDiv w:val="1"/>
      <w:marLeft w:val="0"/>
      <w:marRight w:val="0"/>
      <w:marTop w:val="0"/>
      <w:marBottom w:val="0"/>
      <w:divBdr>
        <w:top w:val="none" w:sz="0" w:space="0" w:color="auto"/>
        <w:left w:val="none" w:sz="0" w:space="0" w:color="auto"/>
        <w:bottom w:val="none" w:sz="0" w:space="0" w:color="auto"/>
        <w:right w:val="none" w:sz="0" w:space="0" w:color="auto"/>
      </w:divBdr>
    </w:div>
    <w:div w:id="1213662887">
      <w:bodyDiv w:val="1"/>
      <w:marLeft w:val="0"/>
      <w:marRight w:val="0"/>
      <w:marTop w:val="0"/>
      <w:marBottom w:val="0"/>
      <w:divBdr>
        <w:top w:val="none" w:sz="0" w:space="0" w:color="auto"/>
        <w:left w:val="none" w:sz="0" w:space="0" w:color="auto"/>
        <w:bottom w:val="none" w:sz="0" w:space="0" w:color="auto"/>
        <w:right w:val="none" w:sz="0" w:space="0" w:color="auto"/>
      </w:divBdr>
    </w:div>
    <w:div w:id="1213687875">
      <w:bodyDiv w:val="1"/>
      <w:marLeft w:val="0"/>
      <w:marRight w:val="0"/>
      <w:marTop w:val="0"/>
      <w:marBottom w:val="0"/>
      <w:divBdr>
        <w:top w:val="none" w:sz="0" w:space="0" w:color="auto"/>
        <w:left w:val="none" w:sz="0" w:space="0" w:color="auto"/>
        <w:bottom w:val="none" w:sz="0" w:space="0" w:color="auto"/>
        <w:right w:val="none" w:sz="0" w:space="0" w:color="auto"/>
      </w:divBdr>
    </w:div>
    <w:div w:id="1213735815">
      <w:bodyDiv w:val="1"/>
      <w:marLeft w:val="0"/>
      <w:marRight w:val="0"/>
      <w:marTop w:val="0"/>
      <w:marBottom w:val="0"/>
      <w:divBdr>
        <w:top w:val="none" w:sz="0" w:space="0" w:color="auto"/>
        <w:left w:val="none" w:sz="0" w:space="0" w:color="auto"/>
        <w:bottom w:val="none" w:sz="0" w:space="0" w:color="auto"/>
        <w:right w:val="none" w:sz="0" w:space="0" w:color="auto"/>
      </w:divBdr>
    </w:div>
    <w:div w:id="1214660795">
      <w:bodyDiv w:val="1"/>
      <w:marLeft w:val="0"/>
      <w:marRight w:val="0"/>
      <w:marTop w:val="0"/>
      <w:marBottom w:val="0"/>
      <w:divBdr>
        <w:top w:val="none" w:sz="0" w:space="0" w:color="auto"/>
        <w:left w:val="none" w:sz="0" w:space="0" w:color="auto"/>
        <w:bottom w:val="none" w:sz="0" w:space="0" w:color="auto"/>
        <w:right w:val="none" w:sz="0" w:space="0" w:color="auto"/>
      </w:divBdr>
    </w:div>
    <w:div w:id="1216357457">
      <w:bodyDiv w:val="1"/>
      <w:marLeft w:val="0"/>
      <w:marRight w:val="0"/>
      <w:marTop w:val="0"/>
      <w:marBottom w:val="0"/>
      <w:divBdr>
        <w:top w:val="none" w:sz="0" w:space="0" w:color="auto"/>
        <w:left w:val="none" w:sz="0" w:space="0" w:color="auto"/>
        <w:bottom w:val="none" w:sz="0" w:space="0" w:color="auto"/>
        <w:right w:val="none" w:sz="0" w:space="0" w:color="auto"/>
      </w:divBdr>
    </w:div>
    <w:div w:id="1217161777">
      <w:bodyDiv w:val="1"/>
      <w:marLeft w:val="0"/>
      <w:marRight w:val="0"/>
      <w:marTop w:val="0"/>
      <w:marBottom w:val="0"/>
      <w:divBdr>
        <w:top w:val="none" w:sz="0" w:space="0" w:color="auto"/>
        <w:left w:val="none" w:sz="0" w:space="0" w:color="auto"/>
        <w:bottom w:val="none" w:sz="0" w:space="0" w:color="auto"/>
        <w:right w:val="none" w:sz="0" w:space="0" w:color="auto"/>
      </w:divBdr>
    </w:div>
    <w:div w:id="1217428856">
      <w:bodyDiv w:val="1"/>
      <w:marLeft w:val="0"/>
      <w:marRight w:val="0"/>
      <w:marTop w:val="0"/>
      <w:marBottom w:val="0"/>
      <w:divBdr>
        <w:top w:val="none" w:sz="0" w:space="0" w:color="auto"/>
        <w:left w:val="none" w:sz="0" w:space="0" w:color="auto"/>
        <w:bottom w:val="none" w:sz="0" w:space="0" w:color="auto"/>
        <w:right w:val="none" w:sz="0" w:space="0" w:color="auto"/>
      </w:divBdr>
    </w:div>
    <w:div w:id="1217817679">
      <w:bodyDiv w:val="1"/>
      <w:marLeft w:val="0"/>
      <w:marRight w:val="0"/>
      <w:marTop w:val="0"/>
      <w:marBottom w:val="0"/>
      <w:divBdr>
        <w:top w:val="none" w:sz="0" w:space="0" w:color="auto"/>
        <w:left w:val="none" w:sz="0" w:space="0" w:color="auto"/>
        <w:bottom w:val="none" w:sz="0" w:space="0" w:color="auto"/>
        <w:right w:val="none" w:sz="0" w:space="0" w:color="auto"/>
      </w:divBdr>
    </w:div>
    <w:div w:id="1218006059">
      <w:bodyDiv w:val="1"/>
      <w:marLeft w:val="0"/>
      <w:marRight w:val="0"/>
      <w:marTop w:val="0"/>
      <w:marBottom w:val="0"/>
      <w:divBdr>
        <w:top w:val="none" w:sz="0" w:space="0" w:color="auto"/>
        <w:left w:val="none" w:sz="0" w:space="0" w:color="auto"/>
        <w:bottom w:val="none" w:sz="0" w:space="0" w:color="auto"/>
        <w:right w:val="none" w:sz="0" w:space="0" w:color="auto"/>
      </w:divBdr>
    </w:div>
    <w:div w:id="1219247531">
      <w:bodyDiv w:val="1"/>
      <w:marLeft w:val="0"/>
      <w:marRight w:val="0"/>
      <w:marTop w:val="0"/>
      <w:marBottom w:val="0"/>
      <w:divBdr>
        <w:top w:val="none" w:sz="0" w:space="0" w:color="auto"/>
        <w:left w:val="none" w:sz="0" w:space="0" w:color="auto"/>
        <w:bottom w:val="none" w:sz="0" w:space="0" w:color="auto"/>
        <w:right w:val="none" w:sz="0" w:space="0" w:color="auto"/>
      </w:divBdr>
    </w:div>
    <w:div w:id="1219511989">
      <w:bodyDiv w:val="1"/>
      <w:marLeft w:val="0"/>
      <w:marRight w:val="0"/>
      <w:marTop w:val="0"/>
      <w:marBottom w:val="0"/>
      <w:divBdr>
        <w:top w:val="none" w:sz="0" w:space="0" w:color="auto"/>
        <w:left w:val="none" w:sz="0" w:space="0" w:color="auto"/>
        <w:bottom w:val="none" w:sz="0" w:space="0" w:color="auto"/>
        <w:right w:val="none" w:sz="0" w:space="0" w:color="auto"/>
      </w:divBdr>
    </w:div>
    <w:div w:id="1220046457">
      <w:bodyDiv w:val="1"/>
      <w:marLeft w:val="0"/>
      <w:marRight w:val="0"/>
      <w:marTop w:val="0"/>
      <w:marBottom w:val="0"/>
      <w:divBdr>
        <w:top w:val="none" w:sz="0" w:space="0" w:color="auto"/>
        <w:left w:val="none" w:sz="0" w:space="0" w:color="auto"/>
        <w:bottom w:val="none" w:sz="0" w:space="0" w:color="auto"/>
        <w:right w:val="none" w:sz="0" w:space="0" w:color="auto"/>
      </w:divBdr>
    </w:div>
    <w:div w:id="1220359906">
      <w:bodyDiv w:val="1"/>
      <w:marLeft w:val="0"/>
      <w:marRight w:val="0"/>
      <w:marTop w:val="0"/>
      <w:marBottom w:val="0"/>
      <w:divBdr>
        <w:top w:val="none" w:sz="0" w:space="0" w:color="auto"/>
        <w:left w:val="none" w:sz="0" w:space="0" w:color="auto"/>
        <w:bottom w:val="none" w:sz="0" w:space="0" w:color="auto"/>
        <w:right w:val="none" w:sz="0" w:space="0" w:color="auto"/>
      </w:divBdr>
    </w:div>
    <w:div w:id="1220630948">
      <w:bodyDiv w:val="1"/>
      <w:marLeft w:val="0"/>
      <w:marRight w:val="0"/>
      <w:marTop w:val="0"/>
      <w:marBottom w:val="0"/>
      <w:divBdr>
        <w:top w:val="none" w:sz="0" w:space="0" w:color="auto"/>
        <w:left w:val="none" w:sz="0" w:space="0" w:color="auto"/>
        <w:bottom w:val="none" w:sz="0" w:space="0" w:color="auto"/>
        <w:right w:val="none" w:sz="0" w:space="0" w:color="auto"/>
      </w:divBdr>
    </w:div>
    <w:div w:id="1221332925">
      <w:bodyDiv w:val="1"/>
      <w:marLeft w:val="0"/>
      <w:marRight w:val="0"/>
      <w:marTop w:val="0"/>
      <w:marBottom w:val="0"/>
      <w:divBdr>
        <w:top w:val="none" w:sz="0" w:space="0" w:color="auto"/>
        <w:left w:val="none" w:sz="0" w:space="0" w:color="auto"/>
        <w:bottom w:val="none" w:sz="0" w:space="0" w:color="auto"/>
        <w:right w:val="none" w:sz="0" w:space="0" w:color="auto"/>
      </w:divBdr>
    </w:div>
    <w:div w:id="1223372729">
      <w:bodyDiv w:val="1"/>
      <w:marLeft w:val="0"/>
      <w:marRight w:val="0"/>
      <w:marTop w:val="0"/>
      <w:marBottom w:val="0"/>
      <w:divBdr>
        <w:top w:val="none" w:sz="0" w:space="0" w:color="auto"/>
        <w:left w:val="none" w:sz="0" w:space="0" w:color="auto"/>
        <w:bottom w:val="none" w:sz="0" w:space="0" w:color="auto"/>
        <w:right w:val="none" w:sz="0" w:space="0" w:color="auto"/>
      </w:divBdr>
    </w:div>
    <w:div w:id="1223831817">
      <w:bodyDiv w:val="1"/>
      <w:marLeft w:val="0"/>
      <w:marRight w:val="0"/>
      <w:marTop w:val="0"/>
      <w:marBottom w:val="0"/>
      <w:divBdr>
        <w:top w:val="none" w:sz="0" w:space="0" w:color="auto"/>
        <w:left w:val="none" w:sz="0" w:space="0" w:color="auto"/>
        <w:bottom w:val="none" w:sz="0" w:space="0" w:color="auto"/>
        <w:right w:val="none" w:sz="0" w:space="0" w:color="auto"/>
      </w:divBdr>
    </w:div>
    <w:div w:id="1224756820">
      <w:bodyDiv w:val="1"/>
      <w:marLeft w:val="0"/>
      <w:marRight w:val="0"/>
      <w:marTop w:val="0"/>
      <w:marBottom w:val="0"/>
      <w:divBdr>
        <w:top w:val="none" w:sz="0" w:space="0" w:color="auto"/>
        <w:left w:val="none" w:sz="0" w:space="0" w:color="auto"/>
        <w:bottom w:val="none" w:sz="0" w:space="0" w:color="auto"/>
        <w:right w:val="none" w:sz="0" w:space="0" w:color="auto"/>
      </w:divBdr>
    </w:div>
    <w:div w:id="1224945365">
      <w:bodyDiv w:val="1"/>
      <w:marLeft w:val="0"/>
      <w:marRight w:val="0"/>
      <w:marTop w:val="0"/>
      <w:marBottom w:val="0"/>
      <w:divBdr>
        <w:top w:val="none" w:sz="0" w:space="0" w:color="auto"/>
        <w:left w:val="none" w:sz="0" w:space="0" w:color="auto"/>
        <w:bottom w:val="none" w:sz="0" w:space="0" w:color="auto"/>
        <w:right w:val="none" w:sz="0" w:space="0" w:color="auto"/>
      </w:divBdr>
    </w:div>
    <w:div w:id="1226644332">
      <w:bodyDiv w:val="1"/>
      <w:marLeft w:val="0"/>
      <w:marRight w:val="0"/>
      <w:marTop w:val="0"/>
      <w:marBottom w:val="0"/>
      <w:divBdr>
        <w:top w:val="none" w:sz="0" w:space="0" w:color="auto"/>
        <w:left w:val="none" w:sz="0" w:space="0" w:color="auto"/>
        <w:bottom w:val="none" w:sz="0" w:space="0" w:color="auto"/>
        <w:right w:val="none" w:sz="0" w:space="0" w:color="auto"/>
      </w:divBdr>
    </w:div>
    <w:div w:id="1226840838">
      <w:bodyDiv w:val="1"/>
      <w:marLeft w:val="0"/>
      <w:marRight w:val="0"/>
      <w:marTop w:val="0"/>
      <w:marBottom w:val="0"/>
      <w:divBdr>
        <w:top w:val="none" w:sz="0" w:space="0" w:color="auto"/>
        <w:left w:val="none" w:sz="0" w:space="0" w:color="auto"/>
        <w:bottom w:val="none" w:sz="0" w:space="0" w:color="auto"/>
        <w:right w:val="none" w:sz="0" w:space="0" w:color="auto"/>
      </w:divBdr>
    </w:div>
    <w:div w:id="1226912026">
      <w:bodyDiv w:val="1"/>
      <w:marLeft w:val="0"/>
      <w:marRight w:val="0"/>
      <w:marTop w:val="0"/>
      <w:marBottom w:val="0"/>
      <w:divBdr>
        <w:top w:val="none" w:sz="0" w:space="0" w:color="auto"/>
        <w:left w:val="none" w:sz="0" w:space="0" w:color="auto"/>
        <w:bottom w:val="none" w:sz="0" w:space="0" w:color="auto"/>
        <w:right w:val="none" w:sz="0" w:space="0" w:color="auto"/>
      </w:divBdr>
    </w:div>
    <w:div w:id="1226913687">
      <w:bodyDiv w:val="1"/>
      <w:marLeft w:val="0"/>
      <w:marRight w:val="0"/>
      <w:marTop w:val="0"/>
      <w:marBottom w:val="0"/>
      <w:divBdr>
        <w:top w:val="none" w:sz="0" w:space="0" w:color="auto"/>
        <w:left w:val="none" w:sz="0" w:space="0" w:color="auto"/>
        <w:bottom w:val="none" w:sz="0" w:space="0" w:color="auto"/>
        <w:right w:val="none" w:sz="0" w:space="0" w:color="auto"/>
      </w:divBdr>
    </w:div>
    <w:div w:id="1227959785">
      <w:bodyDiv w:val="1"/>
      <w:marLeft w:val="0"/>
      <w:marRight w:val="0"/>
      <w:marTop w:val="0"/>
      <w:marBottom w:val="0"/>
      <w:divBdr>
        <w:top w:val="none" w:sz="0" w:space="0" w:color="auto"/>
        <w:left w:val="none" w:sz="0" w:space="0" w:color="auto"/>
        <w:bottom w:val="none" w:sz="0" w:space="0" w:color="auto"/>
        <w:right w:val="none" w:sz="0" w:space="0" w:color="auto"/>
      </w:divBdr>
    </w:div>
    <w:div w:id="1228028848">
      <w:bodyDiv w:val="1"/>
      <w:marLeft w:val="0"/>
      <w:marRight w:val="0"/>
      <w:marTop w:val="0"/>
      <w:marBottom w:val="0"/>
      <w:divBdr>
        <w:top w:val="none" w:sz="0" w:space="0" w:color="auto"/>
        <w:left w:val="none" w:sz="0" w:space="0" w:color="auto"/>
        <w:bottom w:val="none" w:sz="0" w:space="0" w:color="auto"/>
        <w:right w:val="none" w:sz="0" w:space="0" w:color="auto"/>
      </w:divBdr>
    </w:div>
    <w:div w:id="1228493475">
      <w:bodyDiv w:val="1"/>
      <w:marLeft w:val="0"/>
      <w:marRight w:val="0"/>
      <w:marTop w:val="0"/>
      <w:marBottom w:val="0"/>
      <w:divBdr>
        <w:top w:val="none" w:sz="0" w:space="0" w:color="auto"/>
        <w:left w:val="none" w:sz="0" w:space="0" w:color="auto"/>
        <w:bottom w:val="none" w:sz="0" w:space="0" w:color="auto"/>
        <w:right w:val="none" w:sz="0" w:space="0" w:color="auto"/>
      </w:divBdr>
    </w:div>
    <w:div w:id="1228881908">
      <w:bodyDiv w:val="1"/>
      <w:marLeft w:val="0"/>
      <w:marRight w:val="0"/>
      <w:marTop w:val="0"/>
      <w:marBottom w:val="0"/>
      <w:divBdr>
        <w:top w:val="none" w:sz="0" w:space="0" w:color="auto"/>
        <w:left w:val="none" w:sz="0" w:space="0" w:color="auto"/>
        <w:bottom w:val="none" w:sz="0" w:space="0" w:color="auto"/>
        <w:right w:val="none" w:sz="0" w:space="0" w:color="auto"/>
      </w:divBdr>
    </w:div>
    <w:div w:id="1228951380">
      <w:bodyDiv w:val="1"/>
      <w:marLeft w:val="0"/>
      <w:marRight w:val="0"/>
      <w:marTop w:val="0"/>
      <w:marBottom w:val="0"/>
      <w:divBdr>
        <w:top w:val="none" w:sz="0" w:space="0" w:color="auto"/>
        <w:left w:val="none" w:sz="0" w:space="0" w:color="auto"/>
        <w:bottom w:val="none" w:sz="0" w:space="0" w:color="auto"/>
        <w:right w:val="none" w:sz="0" w:space="0" w:color="auto"/>
      </w:divBdr>
    </w:div>
    <w:div w:id="1229341924">
      <w:bodyDiv w:val="1"/>
      <w:marLeft w:val="0"/>
      <w:marRight w:val="0"/>
      <w:marTop w:val="0"/>
      <w:marBottom w:val="0"/>
      <w:divBdr>
        <w:top w:val="none" w:sz="0" w:space="0" w:color="auto"/>
        <w:left w:val="none" w:sz="0" w:space="0" w:color="auto"/>
        <w:bottom w:val="none" w:sz="0" w:space="0" w:color="auto"/>
        <w:right w:val="none" w:sz="0" w:space="0" w:color="auto"/>
      </w:divBdr>
    </w:div>
    <w:div w:id="1229875157">
      <w:bodyDiv w:val="1"/>
      <w:marLeft w:val="0"/>
      <w:marRight w:val="0"/>
      <w:marTop w:val="0"/>
      <w:marBottom w:val="0"/>
      <w:divBdr>
        <w:top w:val="none" w:sz="0" w:space="0" w:color="auto"/>
        <w:left w:val="none" w:sz="0" w:space="0" w:color="auto"/>
        <w:bottom w:val="none" w:sz="0" w:space="0" w:color="auto"/>
        <w:right w:val="none" w:sz="0" w:space="0" w:color="auto"/>
      </w:divBdr>
    </w:div>
    <w:div w:id="1229917705">
      <w:bodyDiv w:val="1"/>
      <w:marLeft w:val="0"/>
      <w:marRight w:val="0"/>
      <w:marTop w:val="0"/>
      <w:marBottom w:val="0"/>
      <w:divBdr>
        <w:top w:val="none" w:sz="0" w:space="0" w:color="auto"/>
        <w:left w:val="none" w:sz="0" w:space="0" w:color="auto"/>
        <w:bottom w:val="none" w:sz="0" w:space="0" w:color="auto"/>
        <w:right w:val="none" w:sz="0" w:space="0" w:color="auto"/>
      </w:divBdr>
    </w:div>
    <w:div w:id="1231967324">
      <w:bodyDiv w:val="1"/>
      <w:marLeft w:val="0"/>
      <w:marRight w:val="0"/>
      <w:marTop w:val="0"/>
      <w:marBottom w:val="0"/>
      <w:divBdr>
        <w:top w:val="none" w:sz="0" w:space="0" w:color="auto"/>
        <w:left w:val="none" w:sz="0" w:space="0" w:color="auto"/>
        <w:bottom w:val="none" w:sz="0" w:space="0" w:color="auto"/>
        <w:right w:val="none" w:sz="0" w:space="0" w:color="auto"/>
      </w:divBdr>
    </w:div>
    <w:div w:id="1233353871">
      <w:bodyDiv w:val="1"/>
      <w:marLeft w:val="0"/>
      <w:marRight w:val="0"/>
      <w:marTop w:val="0"/>
      <w:marBottom w:val="0"/>
      <w:divBdr>
        <w:top w:val="none" w:sz="0" w:space="0" w:color="auto"/>
        <w:left w:val="none" w:sz="0" w:space="0" w:color="auto"/>
        <w:bottom w:val="none" w:sz="0" w:space="0" w:color="auto"/>
        <w:right w:val="none" w:sz="0" w:space="0" w:color="auto"/>
      </w:divBdr>
    </w:div>
    <w:div w:id="1234318405">
      <w:bodyDiv w:val="1"/>
      <w:marLeft w:val="0"/>
      <w:marRight w:val="0"/>
      <w:marTop w:val="0"/>
      <w:marBottom w:val="0"/>
      <w:divBdr>
        <w:top w:val="none" w:sz="0" w:space="0" w:color="auto"/>
        <w:left w:val="none" w:sz="0" w:space="0" w:color="auto"/>
        <w:bottom w:val="none" w:sz="0" w:space="0" w:color="auto"/>
        <w:right w:val="none" w:sz="0" w:space="0" w:color="auto"/>
      </w:divBdr>
    </w:div>
    <w:div w:id="1234585038">
      <w:bodyDiv w:val="1"/>
      <w:marLeft w:val="0"/>
      <w:marRight w:val="0"/>
      <w:marTop w:val="0"/>
      <w:marBottom w:val="0"/>
      <w:divBdr>
        <w:top w:val="none" w:sz="0" w:space="0" w:color="auto"/>
        <w:left w:val="none" w:sz="0" w:space="0" w:color="auto"/>
        <w:bottom w:val="none" w:sz="0" w:space="0" w:color="auto"/>
        <w:right w:val="none" w:sz="0" w:space="0" w:color="auto"/>
      </w:divBdr>
    </w:div>
    <w:div w:id="1234588582">
      <w:bodyDiv w:val="1"/>
      <w:marLeft w:val="0"/>
      <w:marRight w:val="0"/>
      <w:marTop w:val="0"/>
      <w:marBottom w:val="0"/>
      <w:divBdr>
        <w:top w:val="none" w:sz="0" w:space="0" w:color="auto"/>
        <w:left w:val="none" w:sz="0" w:space="0" w:color="auto"/>
        <w:bottom w:val="none" w:sz="0" w:space="0" w:color="auto"/>
        <w:right w:val="none" w:sz="0" w:space="0" w:color="auto"/>
      </w:divBdr>
    </w:div>
    <w:div w:id="1235703030">
      <w:bodyDiv w:val="1"/>
      <w:marLeft w:val="0"/>
      <w:marRight w:val="0"/>
      <w:marTop w:val="0"/>
      <w:marBottom w:val="0"/>
      <w:divBdr>
        <w:top w:val="none" w:sz="0" w:space="0" w:color="auto"/>
        <w:left w:val="none" w:sz="0" w:space="0" w:color="auto"/>
        <w:bottom w:val="none" w:sz="0" w:space="0" w:color="auto"/>
        <w:right w:val="none" w:sz="0" w:space="0" w:color="auto"/>
      </w:divBdr>
    </w:div>
    <w:div w:id="1235973336">
      <w:bodyDiv w:val="1"/>
      <w:marLeft w:val="0"/>
      <w:marRight w:val="0"/>
      <w:marTop w:val="0"/>
      <w:marBottom w:val="0"/>
      <w:divBdr>
        <w:top w:val="none" w:sz="0" w:space="0" w:color="auto"/>
        <w:left w:val="none" w:sz="0" w:space="0" w:color="auto"/>
        <w:bottom w:val="none" w:sz="0" w:space="0" w:color="auto"/>
        <w:right w:val="none" w:sz="0" w:space="0" w:color="auto"/>
      </w:divBdr>
    </w:div>
    <w:div w:id="1236091180">
      <w:bodyDiv w:val="1"/>
      <w:marLeft w:val="0"/>
      <w:marRight w:val="0"/>
      <w:marTop w:val="0"/>
      <w:marBottom w:val="0"/>
      <w:divBdr>
        <w:top w:val="none" w:sz="0" w:space="0" w:color="auto"/>
        <w:left w:val="none" w:sz="0" w:space="0" w:color="auto"/>
        <w:bottom w:val="none" w:sz="0" w:space="0" w:color="auto"/>
        <w:right w:val="none" w:sz="0" w:space="0" w:color="auto"/>
      </w:divBdr>
    </w:div>
    <w:div w:id="1236475795">
      <w:bodyDiv w:val="1"/>
      <w:marLeft w:val="0"/>
      <w:marRight w:val="0"/>
      <w:marTop w:val="0"/>
      <w:marBottom w:val="0"/>
      <w:divBdr>
        <w:top w:val="none" w:sz="0" w:space="0" w:color="auto"/>
        <w:left w:val="none" w:sz="0" w:space="0" w:color="auto"/>
        <w:bottom w:val="none" w:sz="0" w:space="0" w:color="auto"/>
        <w:right w:val="none" w:sz="0" w:space="0" w:color="auto"/>
      </w:divBdr>
    </w:div>
    <w:div w:id="1237283591">
      <w:bodyDiv w:val="1"/>
      <w:marLeft w:val="0"/>
      <w:marRight w:val="0"/>
      <w:marTop w:val="0"/>
      <w:marBottom w:val="0"/>
      <w:divBdr>
        <w:top w:val="none" w:sz="0" w:space="0" w:color="auto"/>
        <w:left w:val="none" w:sz="0" w:space="0" w:color="auto"/>
        <w:bottom w:val="none" w:sz="0" w:space="0" w:color="auto"/>
        <w:right w:val="none" w:sz="0" w:space="0" w:color="auto"/>
      </w:divBdr>
    </w:div>
    <w:div w:id="1237520087">
      <w:bodyDiv w:val="1"/>
      <w:marLeft w:val="0"/>
      <w:marRight w:val="0"/>
      <w:marTop w:val="0"/>
      <w:marBottom w:val="0"/>
      <w:divBdr>
        <w:top w:val="none" w:sz="0" w:space="0" w:color="auto"/>
        <w:left w:val="none" w:sz="0" w:space="0" w:color="auto"/>
        <w:bottom w:val="none" w:sz="0" w:space="0" w:color="auto"/>
        <w:right w:val="none" w:sz="0" w:space="0" w:color="auto"/>
      </w:divBdr>
    </w:div>
    <w:div w:id="1239754924">
      <w:bodyDiv w:val="1"/>
      <w:marLeft w:val="0"/>
      <w:marRight w:val="0"/>
      <w:marTop w:val="0"/>
      <w:marBottom w:val="0"/>
      <w:divBdr>
        <w:top w:val="none" w:sz="0" w:space="0" w:color="auto"/>
        <w:left w:val="none" w:sz="0" w:space="0" w:color="auto"/>
        <w:bottom w:val="none" w:sz="0" w:space="0" w:color="auto"/>
        <w:right w:val="none" w:sz="0" w:space="0" w:color="auto"/>
      </w:divBdr>
    </w:div>
    <w:div w:id="1241258982">
      <w:bodyDiv w:val="1"/>
      <w:marLeft w:val="0"/>
      <w:marRight w:val="0"/>
      <w:marTop w:val="0"/>
      <w:marBottom w:val="0"/>
      <w:divBdr>
        <w:top w:val="none" w:sz="0" w:space="0" w:color="auto"/>
        <w:left w:val="none" w:sz="0" w:space="0" w:color="auto"/>
        <w:bottom w:val="none" w:sz="0" w:space="0" w:color="auto"/>
        <w:right w:val="none" w:sz="0" w:space="0" w:color="auto"/>
      </w:divBdr>
    </w:div>
    <w:div w:id="1241597445">
      <w:bodyDiv w:val="1"/>
      <w:marLeft w:val="0"/>
      <w:marRight w:val="0"/>
      <w:marTop w:val="0"/>
      <w:marBottom w:val="0"/>
      <w:divBdr>
        <w:top w:val="none" w:sz="0" w:space="0" w:color="auto"/>
        <w:left w:val="none" w:sz="0" w:space="0" w:color="auto"/>
        <w:bottom w:val="none" w:sz="0" w:space="0" w:color="auto"/>
        <w:right w:val="none" w:sz="0" w:space="0" w:color="auto"/>
      </w:divBdr>
    </w:div>
    <w:div w:id="1241670734">
      <w:bodyDiv w:val="1"/>
      <w:marLeft w:val="0"/>
      <w:marRight w:val="0"/>
      <w:marTop w:val="0"/>
      <w:marBottom w:val="0"/>
      <w:divBdr>
        <w:top w:val="none" w:sz="0" w:space="0" w:color="auto"/>
        <w:left w:val="none" w:sz="0" w:space="0" w:color="auto"/>
        <w:bottom w:val="none" w:sz="0" w:space="0" w:color="auto"/>
        <w:right w:val="none" w:sz="0" w:space="0" w:color="auto"/>
      </w:divBdr>
    </w:div>
    <w:div w:id="1241983252">
      <w:bodyDiv w:val="1"/>
      <w:marLeft w:val="0"/>
      <w:marRight w:val="0"/>
      <w:marTop w:val="0"/>
      <w:marBottom w:val="0"/>
      <w:divBdr>
        <w:top w:val="none" w:sz="0" w:space="0" w:color="auto"/>
        <w:left w:val="none" w:sz="0" w:space="0" w:color="auto"/>
        <w:bottom w:val="none" w:sz="0" w:space="0" w:color="auto"/>
        <w:right w:val="none" w:sz="0" w:space="0" w:color="auto"/>
      </w:divBdr>
    </w:div>
    <w:div w:id="1242059633">
      <w:bodyDiv w:val="1"/>
      <w:marLeft w:val="0"/>
      <w:marRight w:val="0"/>
      <w:marTop w:val="0"/>
      <w:marBottom w:val="0"/>
      <w:divBdr>
        <w:top w:val="none" w:sz="0" w:space="0" w:color="auto"/>
        <w:left w:val="none" w:sz="0" w:space="0" w:color="auto"/>
        <w:bottom w:val="none" w:sz="0" w:space="0" w:color="auto"/>
        <w:right w:val="none" w:sz="0" w:space="0" w:color="auto"/>
      </w:divBdr>
    </w:div>
    <w:div w:id="1242831309">
      <w:bodyDiv w:val="1"/>
      <w:marLeft w:val="0"/>
      <w:marRight w:val="0"/>
      <w:marTop w:val="0"/>
      <w:marBottom w:val="0"/>
      <w:divBdr>
        <w:top w:val="none" w:sz="0" w:space="0" w:color="auto"/>
        <w:left w:val="none" w:sz="0" w:space="0" w:color="auto"/>
        <w:bottom w:val="none" w:sz="0" w:space="0" w:color="auto"/>
        <w:right w:val="none" w:sz="0" w:space="0" w:color="auto"/>
      </w:divBdr>
    </w:div>
    <w:div w:id="1243173812">
      <w:bodyDiv w:val="1"/>
      <w:marLeft w:val="0"/>
      <w:marRight w:val="0"/>
      <w:marTop w:val="0"/>
      <w:marBottom w:val="0"/>
      <w:divBdr>
        <w:top w:val="none" w:sz="0" w:space="0" w:color="auto"/>
        <w:left w:val="none" w:sz="0" w:space="0" w:color="auto"/>
        <w:bottom w:val="none" w:sz="0" w:space="0" w:color="auto"/>
        <w:right w:val="none" w:sz="0" w:space="0" w:color="auto"/>
      </w:divBdr>
    </w:div>
    <w:div w:id="1243566172">
      <w:bodyDiv w:val="1"/>
      <w:marLeft w:val="0"/>
      <w:marRight w:val="0"/>
      <w:marTop w:val="0"/>
      <w:marBottom w:val="0"/>
      <w:divBdr>
        <w:top w:val="none" w:sz="0" w:space="0" w:color="auto"/>
        <w:left w:val="none" w:sz="0" w:space="0" w:color="auto"/>
        <w:bottom w:val="none" w:sz="0" w:space="0" w:color="auto"/>
        <w:right w:val="none" w:sz="0" w:space="0" w:color="auto"/>
      </w:divBdr>
    </w:div>
    <w:div w:id="1244149058">
      <w:bodyDiv w:val="1"/>
      <w:marLeft w:val="0"/>
      <w:marRight w:val="0"/>
      <w:marTop w:val="0"/>
      <w:marBottom w:val="0"/>
      <w:divBdr>
        <w:top w:val="none" w:sz="0" w:space="0" w:color="auto"/>
        <w:left w:val="none" w:sz="0" w:space="0" w:color="auto"/>
        <w:bottom w:val="none" w:sz="0" w:space="0" w:color="auto"/>
        <w:right w:val="none" w:sz="0" w:space="0" w:color="auto"/>
      </w:divBdr>
    </w:div>
    <w:div w:id="1244341002">
      <w:bodyDiv w:val="1"/>
      <w:marLeft w:val="0"/>
      <w:marRight w:val="0"/>
      <w:marTop w:val="0"/>
      <w:marBottom w:val="0"/>
      <w:divBdr>
        <w:top w:val="none" w:sz="0" w:space="0" w:color="auto"/>
        <w:left w:val="none" w:sz="0" w:space="0" w:color="auto"/>
        <w:bottom w:val="none" w:sz="0" w:space="0" w:color="auto"/>
        <w:right w:val="none" w:sz="0" w:space="0" w:color="auto"/>
      </w:divBdr>
    </w:div>
    <w:div w:id="1244796195">
      <w:bodyDiv w:val="1"/>
      <w:marLeft w:val="0"/>
      <w:marRight w:val="0"/>
      <w:marTop w:val="0"/>
      <w:marBottom w:val="0"/>
      <w:divBdr>
        <w:top w:val="none" w:sz="0" w:space="0" w:color="auto"/>
        <w:left w:val="none" w:sz="0" w:space="0" w:color="auto"/>
        <w:bottom w:val="none" w:sz="0" w:space="0" w:color="auto"/>
        <w:right w:val="none" w:sz="0" w:space="0" w:color="auto"/>
      </w:divBdr>
    </w:div>
    <w:div w:id="1247809319">
      <w:bodyDiv w:val="1"/>
      <w:marLeft w:val="0"/>
      <w:marRight w:val="0"/>
      <w:marTop w:val="0"/>
      <w:marBottom w:val="0"/>
      <w:divBdr>
        <w:top w:val="none" w:sz="0" w:space="0" w:color="auto"/>
        <w:left w:val="none" w:sz="0" w:space="0" w:color="auto"/>
        <w:bottom w:val="none" w:sz="0" w:space="0" w:color="auto"/>
        <w:right w:val="none" w:sz="0" w:space="0" w:color="auto"/>
      </w:divBdr>
    </w:div>
    <w:div w:id="1248416901">
      <w:bodyDiv w:val="1"/>
      <w:marLeft w:val="0"/>
      <w:marRight w:val="0"/>
      <w:marTop w:val="0"/>
      <w:marBottom w:val="0"/>
      <w:divBdr>
        <w:top w:val="none" w:sz="0" w:space="0" w:color="auto"/>
        <w:left w:val="none" w:sz="0" w:space="0" w:color="auto"/>
        <w:bottom w:val="none" w:sz="0" w:space="0" w:color="auto"/>
        <w:right w:val="none" w:sz="0" w:space="0" w:color="auto"/>
      </w:divBdr>
    </w:div>
    <w:div w:id="1248807717">
      <w:bodyDiv w:val="1"/>
      <w:marLeft w:val="0"/>
      <w:marRight w:val="0"/>
      <w:marTop w:val="0"/>
      <w:marBottom w:val="0"/>
      <w:divBdr>
        <w:top w:val="none" w:sz="0" w:space="0" w:color="auto"/>
        <w:left w:val="none" w:sz="0" w:space="0" w:color="auto"/>
        <w:bottom w:val="none" w:sz="0" w:space="0" w:color="auto"/>
        <w:right w:val="none" w:sz="0" w:space="0" w:color="auto"/>
      </w:divBdr>
    </w:div>
    <w:div w:id="1248811014">
      <w:bodyDiv w:val="1"/>
      <w:marLeft w:val="0"/>
      <w:marRight w:val="0"/>
      <w:marTop w:val="0"/>
      <w:marBottom w:val="0"/>
      <w:divBdr>
        <w:top w:val="none" w:sz="0" w:space="0" w:color="auto"/>
        <w:left w:val="none" w:sz="0" w:space="0" w:color="auto"/>
        <w:bottom w:val="none" w:sz="0" w:space="0" w:color="auto"/>
        <w:right w:val="none" w:sz="0" w:space="0" w:color="auto"/>
      </w:divBdr>
    </w:div>
    <w:div w:id="1249458348">
      <w:bodyDiv w:val="1"/>
      <w:marLeft w:val="0"/>
      <w:marRight w:val="0"/>
      <w:marTop w:val="0"/>
      <w:marBottom w:val="0"/>
      <w:divBdr>
        <w:top w:val="none" w:sz="0" w:space="0" w:color="auto"/>
        <w:left w:val="none" w:sz="0" w:space="0" w:color="auto"/>
        <w:bottom w:val="none" w:sz="0" w:space="0" w:color="auto"/>
        <w:right w:val="none" w:sz="0" w:space="0" w:color="auto"/>
      </w:divBdr>
    </w:div>
    <w:div w:id="1252012209">
      <w:bodyDiv w:val="1"/>
      <w:marLeft w:val="0"/>
      <w:marRight w:val="0"/>
      <w:marTop w:val="0"/>
      <w:marBottom w:val="0"/>
      <w:divBdr>
        <w:top w:val="none" w:sz="0" w:space="0" w:color="auto"/>
        <w:left w:val="none" w:sz="0" w:space="0" w:color="auto"/>
        <w:bottom w:val="none" w:sz="0" w:space="0" w:color="auto"/>
        <w:right w:val="none" w:sz="0" w:space="0" w:color="auto"/>
      </w:divBdr>
    </w:div>
    <w:div w:id="1253465851">
      <w:bodyDiv w:val="1"/>
      <w:marLeft w:val="0"/>
      <w:marRight w:val="0"/>
      <w:marTop w:val="0"/>
      <w:marBottom w:val="0"/>
      <w:divBdr>
        <w:top w:val="none" w:sz="0" w:space="0" w:color="auto"/>
        <w:left w:val="none" w:sz="0" w:space="0" w:color="auto"/>
        <w:bottom w:val="none" w:sz="0" w:space="0" w:color="auto"/>
        <w:right w:val="none" w:sz="0" w:space="0" w:color="auto"/>
      </w:divBdr>
    </w:div>
    <w:div w:id="1254170166">
      <w:bodyDiv w:val="1"/>
      <w:marLeft w:val="0"/>
      <w:marRight w:val="0"/>
      <w:marTop w:val="0"/>
      <w:marBottom w:val="0"/>
      <w:divBdr>
        <w:top w:val="none" w:sz="0" w:space="0" w:color="auto"/>
        <w:left w:val="none" w:sz="0" w:space="0" w:color="auto"/>
        <w:bottom w:val="none" w:sz="0" w:space="0" w:color="auto"/>
        <w:right w:val="none" w:sz="0" w:space="0" w:color="auto"/>
      </w:divBdr>
    </w:div>
    <w:div w:id="1254171575">
      <w:bodyDiv w:val="1"/>
      <w:marLeft w:val="0"/>
      <w:marRight w:val="0"/>
      <w:marTop w:val="0"/>
      <w:marBottom w:val="0"/>
      <w:divBdr>
        <w:top w:val="none" w:sz="0" w:space="0" w:color="auto"/>
        <w:left w:val="none" w:sz="0" w:space="0" w:color="auto"/>
        <w:bottom w:val="none" w:sz="0" w:space="0" w:color="auto"/>
        <w:right w:val="none" w:sz="0" w:space="0" w:color="auto"/>
      </w:divBdr>
    </w:div>
    <w:div w:id="1254515167">
      <w:bodyDiv w:val="1"/>
      <w:marLeft w:val="0"/>
      <w:marRight w:val="0"/>
      <w:marTop w:val="0"/>
      <w:marBottom w:val="0"/>
      <w:divBdr>
        <w:top w:val="none" w:sz="0" w:space="0" w:color="auto"/>
        <w:left w:val="none" w:sz="0" w:space="0" w:color="auto"/>
        <w:bottom w:val="none" w:sz="0" w:space="0" w:color="auto"/>
        <w:right w:val="none" w:sz="0" w:space="0" w:color="auto"/>
      </w:divBdr>
    </w:div>
    <w:div w:id="1254778328">
      <w:bodyDiv w:val="1"/>
      <w:marLeft w:val="0"/>
      <w:marRight w:val="0"/>
      <w:marTop w:val="0"/>
      <w:marBottom w:val="0"/>
      <w:divBdr>
        <w:top w:val="none" w:sz="0" w:space="0" w:color="auto"/>
        <w:left w:val="none" w:sz="0" w:space="0" w:color="auto"/>
        <w:bottom w:val="none" w:sz="0" w:space="0" w:color="auto"/>
        <w:right w:val="none" w:sz="0" w:space="0" w:color="auto"/>
      </w:divBdr>
    </w:div>
    <w:div w:id="1255163078">
      <w:bodyDiv w:val="1"/>
      <w:marLeft w:val="0"/>
      <w:marRight w:val="0"/>
      <w:marTop w:val="0"/>
      <w:marBottom w:val="0"/>
      <w:divBdr>
        <w:top w:val="none" w:sz="0" w:space="0" w:color="auto"/>
        <w:left w:val="none" w:sz="0" w:space="0" w:color="auto"/>
        <w:bottom w:val="none" w:sz="0" w:space="0" w:color="auto"/>
        <w:right w:val="none" w:sz="0" w:space="0" w:color="auto"/>
      </w:divBdr>
    </w:div>
    <w:div w:id="1255626096">
      <w:bodyDiv w:val="1"/>
      <w:marLeft w:val="0"/>
      <w:marRight w:val="0"/>
      <w:marTop w:val="0"/>
      <w:marBottom w:val="0"/>
      <w:divBdr>
        <w:top w:val="none" w:sz="0" w:space="0" w:color="auto"/>
        <w:left w:val="none" w:sz="0" w:space="0" w:color="auto"/>
        <w:bottom w:val="none" w:sz="0" w:space="0" w:color="auto"/>
        <w:right w:val="none" w:sz="0" w:space="0" w:color="auto"/>
      </w:divBdr>
    </w:div>
    <w:div w:id="1255702515">
      <w:bodyDiv w:val="1"/>
      <w:marLeft w:val="0"/>
      <w:marRight w:val="0"/>
      <w:marTop w:val="0"/>
      <w:marBottom w:val="0"/>
      <w:divBdr>
        <w:top w:val="none" w:sz="0" w:space="0" w:color="auto"/>
        <w:left w:val="none" w:sz="0" w:space="0" w:color="auto"/>
        <w:bottom w:val="none" w:sz="0" w:space="0" w:color="auto"/>
        <w:right w:val="none" w:sz="0" w:space="0" w:color="auto"/>
      </w:divBdr>
    </w:div>
    <w:div w:id="1257665196">
      <w:bodyDiv w:val="1"/>
      <w:marLeft w:val="0"/>
      <w:marRight w:val="0"/>
      <w:marTop w:val="0"/>
      <w:marBottom w:val="0"/>
      <w:divBdr>
        <w:top w:val="none" w:sz="0" w:space="0" w:color="auto"/>
        <w:left w:val="none" w:sz="0" w:space="0" w:color="auto"/>
        <w:bottom w:val="none" w:sz="0" w:space="0" w:color="auto"/>
        <w:right w:val="none" w:sz="0" w:space="0" w:color="auto"/>
      </w:divBdr>
    </w:div>
    <w:div w:id="1258514296">
      <w:bodyDiv w:val="1"/>
      <w:marLeft w:val="0"/>
      <w:marRight w:val="0"/>
      <w:marTop w:val="0"/>
      <w:marBottom w:val="0"/>
      <w:divBdr>
        <w:top w:val="none" w:sz="0" w:space="0" w:color="auto"/>
        <w:left w:val="none" w:sz="0" w:space="0" w:color="auto"/>
        <w:bottom w:val="none" w:sz="0" w:space="0" w:color="auto"/>
        <w:right w:val="none" w:sz="0" w:space="0" w:color="auto"/>
      </w:divBdr>
    </w:div>
    <w:div w:id="1258709539">
      <w:bodyDiv w:val="1"/>
      <w:marLeft w:val="0"/>
      <w:marRight w:val="0"/>
      <w:marTop w:val="0"/>
      <w:marBottom w:val="0"/>
      <w:divBdr>
        <w:top w:val="none" w:sz="0" w:space="0" w:color="auto"/>
        <w:left w:val="none" w:sz="0" w:space="0" w:color="auto"/>
        <w:bottom w:val="none" w:sz="0" w:space="0" w:color="auto"/>
        <w:right w:val="none" w:sz="0" w:space="0" w:color="auto"/>
      </w:divBdr>
    </w:div>
    <w:div w:id="1258754365">
      <w:bodyDiv w:val="1"/>
      <w:marLeft w:val="0"/>
      <w:marRight w:val="0"/>
      <w:marTop w:val="0"/>
      <w:marBottom w:val="0"/>
      <w:divBdr>
        <w:top w:val="none" w:sz="0" w:space="0" w:color="auto"/>
        <w:left w:val="none" w:sz="0" w:space="0" w:color="auto"/>
        <w:bottom w:val="none" w:sz="0" w:space="0" w:color="auto"/>
        <w:right w:val="none" w:sz="0" w:space="0" w:color="auto"/>
      </w:divBdr>
    </w:div>
    <w:div w:id="1258978358">
      <w:bodyDiv w:val="1"/>
      <w:marLeft w:val="0"/>
      <w:marRight w:val="0"/>
      <w:marTop w:val="0"/>
      <w:marBottom w:val="0"/>
      <w:divBdr>
        <w:top w:val="none" w:sz="0" w:space="0" w:color="auto"/>
        <w:left w:val="none" w:sz="0" w:space="0" w:color="auto"/>
        <w:bottom w:val="none" w:sz="0" w:space="0" w:color="auto"/>
        <w:right w:val="none" w:sz="0" w:space="0" w:color="auto"/>
      </w:divBdr>
    </w:div>
    <w:div w:id="1259172066">
      <w:bodyDiv w:val="1"/>
      <w:marLeft w:val="0"/>
      <w:marRight w:val="0"/>
      <w:marTop w:val="0"/>
      <w:marBottom w:val="0"/>
      <w:divBdr>
        <w:top w:val="none" w:sz="0" w:space="0" w:color="auto"/>
        <w:left w:val="none" w:sz="0" w:space="0" w:color="auto"/>
        <w:bottom w:val="none" w:sz="0" w:space="0" w:color="auto"/>
        <w:right w:val="none" w:sz="0" w:space="0" w:color="auto"/>
      </w:divBdr>
    </w:div>
    <w:div w:id="1259287587">
      <w:bodyDiv w:val="1"/>
      <w:marLeft w:val="0"/>
      <w:marRight w:val="0"/>
      <w:marTop w:val="0"/>
      <w:marBottom w:val="0"/>
      <w:divBdr>
        <w:top w:val="none" w:sz="0" w:space="0" w:color="auto"/>
        <w:left w:val="none" w:sz="0" w:space="0" w:color="auto"/>
        <w:bottom w:val="none" w:sz="0" w:space="0" w:color="auto"/>
        <w:right w:val="none" w:sz="0" w:space="0" w:color="auto"/>
      </w:divBdr>
    </w:div>
    <w:div w:id="1259405503">
      <w:bodyDiv w:val="1"/>
      <w:marLeft w:val="0"/>
      <w:marRight w:val="0"/>
      <w:marTop w:val="0"/>
      <w:marBottom w:val="0"/>
      <w:divBdr>
        <w:top w:val="none" w:sz="0" w:space="0" w:color="auto"/>
        <w:left w:val="none" w:sz="0" w:space="0" w:color="auto"/>
        <w:bottom w:val="none" w:sz="0" w:space="0" w:color="auto"/>
        <w:right w:val="none" w:sz="0" w:space="0" w:color="auto"/>
      </w:divBdr>
    </w:div>
    <w:div w:id="1259564273">
      <w:bodyDiv w:val="1"/>
      <w:marLeft w:val="0"/>
      <w:marRight w:val="0"/>
      <w:marTop w:val="0"/>
      <w:marBottom w:val="0"/>
      <w:divBdr>
        <w:top w:val="none" w:sz="0" w:space="0" w:color="auto"/>
        <w:left w:val="none" w:sz="0" w:space="0" w:color="auto"/>
        <w:bottom w:val="none" w:sz="0" w:space="0" w:color="auto"/>
        <w:right w:val="none" w:sz="0" w:space="0" w:color="auto"/>
      </w:divBdr>
    </w:div>
    <w:div w:id="1260218763">
      <w:bodyDiv w:val="1"/>
      <w:marLeft w:val="0"/>
      <w:marRight w:val="0"/>
      <w:marTop w:val="0"/>
      <w:marBottom w:val="0"/>
      <w:divBdr>
        <w:top w:val="none" w:sz="0" w:space="0" w:color="auto"/>
        <w:left w:val="none" w:sz="0" w:space="0" w:color="auto"/>
        <w:bottom w:val="none" w:sz="0" w:space="0" w:color="auto"/>
        <w:right w:val="none" w:sz="0" w:space="0" w:color="auto"/>
      </w:divBdr>
    </w:div>
    <w:div w:id="1260597303">
      <w:bodyDiv w:val="1"/>
      <w:marLeft w:val="0"/>
      <w:marRight w:val="0"/>
      <w:marTop w:val="0"/>
      <w:marBottom w:val="0"/>
      <w:divBdr>
        <w:top w:val="none" w:sz="0" w:space="0" w:color="auto"/>
        <w:left w:val="none" w:sz="0" w:space="0" w:color="auto"/>
        <w:bottom w:val="none" w:sz="0" w:space="0" w:color="auto"/>
        <w:right w:val="none" w:sz="0" w:space="0" w:color="auto"/>
      </w:divBdr>
    </w:div>
    <w:div w:id="1261983673">
      <w:bodyDiv w:val="1"/>
      <w:marLeft w:val="0"/>
      <w:marRight w:val="0"/>
      <w:marTop w:val="0"/>
      <w:marBottom w:val="0"/>
      <w:divBdr>
        <w:top w:val="none" w:sz="0" w:space="0" w:color="auto"/>
        <w:left w:val="none" w:sz="0" w:space="0" w:color="auto"/>
        <w:bottom w:val="none" w:sz="0" w:space="0" w:color="auto"/>
        <w:right w:val="none" w:sz="0" w:space="0" w:color="auto"/>
      </w:divBdr>
    </w:div>
    <w:div w:id="1262763131">
      <w:bodyDiv w:val="1"/>
      <w:marLeft w:val="0"/>
      <w:marRight w:val="0"/>
      <w:marTop w:val="0"/>
      <w:marBottom w:val="0"/>
      <w:divBdr>
        <w:top w:val="none" w:sz="0" w:space="0" w:color="auto"/>
        <w:left w:val="none" w:sz="0" w:space="0" w:color="auto"/>
        <w:bottom w:val="none" w:sz="0" w:space="0" w:color="auto"/>
        <w:right w:val="none" w:sz="0" w:space="0" w:color="auto"/>
      </w:divBdr>
    </w:div>
    <w:div w:id="1264916115">
      <w:bodyDiv w:val="1"/>
      <w:marLeft w:val="0"/>
      <w:marRight w:val="0"/>
      <w:marTop w:val="0"/>
      <w:marBottom w:val="0"/>
      <w:divBdr>
        <w:top w:val="none" w:sz="0" w:space="0" w:color="auto"/>
        <w:left w:val="none" w:sz="0" w:space="0" w:color="auto"/>
        <w:bottom w:val="none" w:sz="0" w:space="0" w:color="auto"/>
        <w:right w:val="none" w:sz="0" w:space="0" w:color="auto"/>
      </w:divBdr>
    </w:div>
    <w:div w:id="1265844582">
      <w:bodyDiv w:val="1"/>
      <w:marLeft w:val="0"/>
      <w:marRight w:val="0"/>
      <w:marTop w:val="0"/>
      <w:marBottom w:val="0"/>
      <w:divBdr>
        <w:top w:val="none" w:sz="0" w:space="0" w:color="auto"/>
        <w:left w:val="none" w:sz="0" w:space="0" w:color="auto"/>
        <w:bottom w:val="none" w:sz="0" w:space="0" w:color="auto"/>
        <w:right w:val="none" w:sz="0" w:space="0" w:color="auto"/>
      </w:divBdr>
    </w:div>
    <w:div w:id="1266689471">
      <w:bodyDiv w:val="1"/>
      <w:marLeft w:val="0"/>
      <w:marRight w:val="0"/>
      <w:marTop w:val="0"/>
      <w:marBottom w:val="0"/>
      <w:divBdr>
        <w:top w:val="none" w:sz="0" w:space="0" w:color="auto"/>
        <w:left w:val="none" w:sz="0" w:space="0" w:color="auto"/>
        <w:bottom w:val="none" w:sz="0" w:space="0" w:color="auto"/>
        <w:right w:val="none" w:sz="0" w:space="0" w:color="auto"/>
      </w:divBdr>
    </w:div>
    <w:div w:id="1267495625">
      <w:bodyDiv w:val="1"/>
      <w:marLeft w:val="0"/>
      <w:marRight w:val="0"/>
      <w:marTop w:val="0"/>
      <w:marBottom w:val="0"/>
      <w:divBdr>
        <w:top w:val="none" w:sz="0" w:space="0" w:color="auto"/>
        <w:left w:val="none" w:sz="0" w:space="0" w:color="auto"/>
        <w:bottom w:val="none" w:sz="0" w:space="0" w:color="auto"/>
        <w:right w:val="none" w:sz="0" w:space="0" w:color="auto"/>
      </w:divBdr>
    </w:div>
    <w:div w:id="1267810877">
      <w:bodyDiv w:val="1"/>
      <w:marLeft w:val="0"/>
      <w:marRight w:val="0"/>
      <w:marTop w:val="0"/>
      <w:marBottom w:val="0"/>
      <w:divBdr>
        <w:top w:val="none" w:sz="0" w:space="0" w:color="auto"/>
        <w:left w:val="none" w:sz="0" w:space="0" w:color="auto"/>
        <w:bottom w:val="none" w:sz="0" w:space="0" w:color="auto"/>
        <w:right w:val="none" w:sz="0" w:space="0" w:color="auto"/>
      </w:divBdr>
    </w:div>
    <w:div w:id="1268123302">
      <w:bodyDiv w:val="1"/>
      <w:marLeft w:val="0"/>
      <w:marRight w:val="0"/>
      <w:marTop w:val="0"/>
      <w:marBottom w:val="0"/>
      <w:divBdr>
        <w:top w:val="none" w:sz="0" w:space="0" w:color="auto"/>
        <w:left w:val="none" w:sz="0" w:space="0" w:color="auto"/>
        <w:bottom w:val="none" w:sz="0" w:space="0" w:color="auto"/>
        <w:right w:val="none" w:sz="0" w:space="0" w:color="auto"/>
      </w:divBdr>
    </w:div>
    <w:div w:id="1268349744">
      <w:bodyDiv w:val="1"/>
      <w:marLeft w:val="0"/>
      <w:marRight w:val="0"/>
      <w:marTop w:val="0"/>
      <w:marBottom w:val="0"/>
      <w:divBdr>
        <w:top w:val="none" w:sz="0" w:space="0" w:color="auto"/>
        <w:left w:val="none" w:sz="0" w:space="0" w:color="auto"/>
        <w:bottom w:val="none" w:sz="0" w:space="0" w:color="auto"/>
        <w:right w:val="none" w:sz="0" w:space="0" w:color="auto"/>
      </w:divBdr>
    </w:div>
    <w:div w:id="1268847479">
      <w:bodyDiv w:val="1"/>
      <w:marLeft w:val="0"/>
      <w:marRight w:val="0"/>
      <w:marTop w:val="0"/>
      <w:marBottom w:val="0"/>
      <w:divBdr>
        <w:top w:val="none" w:sz="0" w:space="0" w:color="auto"/>
        <w:left w:val="none" w:sz="0" w:space="0" w:color="auto"/>
        <w:bottom w:val="none" w:sz="0" w:space="0" w:color="auto"/>
        <w:right w:val="none" w:sz="0" w:space="0" w:color="auto"/>
      </w:divBdr>
    </w:div>
    <w:div w:id="1269043238">
      <w:bodyDiv w:val="1"/>
      <w:marLeft w:val="0"/>
      <w:marRight w:val="0"/>
      <w:marTop w:val="0"/>
      <w:marBottom w:val="0"/>
      <w:divBdr>
        <w:top w:val="none" w:sz="0" w:space="0" w:color="auto"/>
        <w:left w:val="none" w:sz="0" w:space="0" w:color="auto"/>
        <w:bottom w:val="none" w:sz="0" w:space="0" w:color="auto"/>
        <w:right w:val="none" w:sz="0" w:space="0" w:color="auto"/>
      </w:divBdr>
    </w:div>
    <w:div w:id="1269242138">
      <w:bodyDiv w:val="1"/>
      <w:marLeft w:val="0"/>
      <w:marRight w:val="0"/>
      <w:marTop w:val="0"/>
      <w:marBottom w:val="0"/>
      <w:divBdr>
        <w:top w:val="none" w:sz="0" w:space="0" w:color="auto"/>
        <w:left w:val="none" w:sz="0" w:space="0" w:color="auto"/>
        <w:bottom w:val="none" w:sz="0" w:space="0" w:color="auto"/>
        <w:right w:val="none" w:sz="0" w:space="0" w:color="auto"/>
      </w:divBdr>
    </w:div>
    <w:div w:id="1269773273">
      <w:bodyDiv w:val="1"/>
      <w:marLeft w:val="0"/>
      <w:marRight w:val="0"/>
      <w:marTop w:val="0"/>
      <w:marBottom w:val="0"/>
      <w:divBdr>
        <w:top w:val="none" w:sz="0" w:space="0" w:color="auto"/>
        <w:left w:val="none" w:sz="0" w:space="0" w:color="auto"/>
        <w:bottom w:val="none" w:sz="0" w:space="0" w:color="auto"/>
        <w:right w:val="none" w:sz="0" w:space="0" w:color="auto"/>
      </w:divBdr>
    </w:div>
    <w:div w:id="1270891219">
      <w:bodyDiv w:val="1"/>
      <w:marLeft w:val="0"/>
      <w:marRight w:val="0"/>
      <w:marTop w:val="0"/>
      <w:marBottom w:val="0"/>
      <w:divBdr>
        <w:top w:val="none" w:sz="0" w:space="0" w:color="auto"/>
        <w:left w:val="none" w:sz="0" w:space="0" w:color="auto"/>
        <w:bottom w:val="none" w:sz="0" w:space="0" w:color="auto"/>
        <w:right w:val="none" w:sz="0" w:space="0" w:color="auto"/>
      </w:divBdr>
    </w:div>
    <w:div w:id="1271006937">
      <w:bodyDiv w:val="1"/>
      <w:marLeft w:val="0"/>
      <w:marRight w:val="0"/>
      <w:marTop w:val="0"/>
      <w:marBottom w:val="0"/>
      <w:divBdr>
        <w:top w:val="none" w:sz="0" w:space="0" w:color="auto"/>
        <w:left w:val="none" w:sz="0" w:space="0" w:color="auto"/>
        <w:bottom w:val="none" w:sz="0" w:space="0" w:color="auto"/>
        <w:right w:val="none" w:sz="0" w:space="0" w:color="auto"/>
      </w:divBdr>
    </w:div>
    <w:div w:id="1271429622">
      <w:bodyDiv w:val="1"/>
      <w:marLeft w:val="0"/>
      <w:marRight w:val="0"/>
      <w:marTop w:val="0"/>
      <w:marBottom w:val="0"/>
      <w:divBdr>
        <w:top w:val="none" w:sz="0" w:space="0" w:color="auto"/>
        <w:left w:val="none" w:sz="0" w:space="0" w:color="auto"/>
        <w:bottom w:val="none" w:sz="0" w:space="0" w:color="auto"/>
        <w:right w:val="none" w:sz="0" w:space="0" w:color="auto"/>
      </w:divBdr>
    </w:div>
    <w:div w:id="1271862577">
      <w:bodyDiv w:val="1"/>
      <w:marLeft w:val="0"/>
      <w:marRight w:val="0"/>
      <w:marTop w:val="0"/>
      <w:marBottom w:val="0"/>
      <w:divBdr>
        <w:top w:val="none" w:sz="0" w:space="0" w:color="auto"/>
        <w:left w:val="none" w:sz="0" w:space="0" w:color="auto"/>
        <w:bottom w:val="none" w:sz="0" w:space="0" w:color="auto"/>
        <w:right w:val="none" w:sz="0" w:space="0" w:color="auto"/>
      </w:divBdr>
    </w:div>
    <w:div w:id="1272276969">
      <w:bodyDiv w:val="1"/>
      <w:marLeft w:val="0"/>
      <w:marRight w:val="0"/>
      <w:marTop w:val="0"/>
      <w:marBottom w:val="0"/>
      <w:divBdr>
        <w:top w:val="none" w:sz="0" w:space="0" w:color="auto"/>
        <w:left w:val="none" w:sz="0" w:space="0" w:color="auto"/>
        <w:bottom w:val="none" w:sz="0" w:space="0" w:color="auto"/>
        <w:right w:val="none" w:sz="0" w:space="0" w:color="auto"/>
      </w:divBdr>
    </w:div>
    <w:div w:id="1272278897">
      <w:bodyDiv w:val="1"/>
      <w:marLeft w:val="0"/>
      <w:marRight w:val="0"/>
      <w:marTop w:val="0"/>
      <w:marBottom w:val="0"/>
      <w:divBdr>
        <w:top w:val="none" w:sz="0" w:space="0" w:color="auto"/>
        <w:left w:val="none" w:sz="0" w:space="0" w:color="auto"/>
        <w:bottom w:val="none" w:sz="0" w:space="0" w:color="auto"/>
        <w:right w:val="none" w:sz="0" w:space="0" w:color="auto"/>
      </w:divBdr>
    </w:div>
    <w:div w:id="1273710356">
      <w:bodyDiv w:val="1"/>
      <w:marLeft w:val="0"/>
      <w:marRight w:val="0"/>
      <w:marTop w:val="0"/>
      <w:marBottom w:val="0"/>
      <w:divBdr>
        <w:top w:val="none" w:sz="0" w:space="0" w:color="auto"/>
        <w:left w:val="none" w:sz="0" w:space="0" w:color="auto"/>
        <w:bottom w:val="none" w:sz="0" w:space="0" w:color="auto"/>
        <w:right w:val="none" w:sz="0" w:space="0" w:color="auto"/>
      </w:divBdr>
    </w:div>
    <w:div w:id="1273977755">
      <w:bodyDiv w:val="1"/>
      <w:marLeft w:val="0"/>
      <w:marRight w:val="0"/>
      <w:marTop w:val="0"/>
      <w:marBottom w:val="0"/>
      <w:divBdr>
        <w:top w:val="none" w:sz="0" w:space="0" w:color="auto"/>
        <w:left w:val="none" w:sz="0" w:space="0" w:color="auto"/>
        <w:bottom w:val="none" w:sz="0" w:space="0" w:color="auto"/>
        <w:right w:val="none" w:sz="0" w:space="0" w:color="auto"/>
      </w:divBdr>
    </w:div>
    <w:div w:id="1274435901">
      <w:bodyDiv w:val="1"/>
      <w:marLeft w:val="0"/>
      <w:marRight w:val="0"/>
      <w:marTop w:val="0"/>
      <w:marBottom w:val="0"/>
      <w:divBdr>
        <w:top w:val="none" w:sz="0" w:space="0" w:color="auto"/>
        <w:left w:val="none" w:sz="0" w:space="0" w:color="auto"/>
        <w:bottom w:val="none" w:sz="0" w:space="0" w:color="auto"/>
        <w:right w:val="none" w:sz="0" w:space="0" w:color="auto"/>
      </w:divBdr>
    </w:div>
    <w:div w:id="1274705736">
      <w:bodyDiv w:val="1"/>
      <w:marLeft w:val="0"/>
      <w:marRight w:val="0"/>
      <w:marTop w:val="0"/>
      <w:marBottom w:val="0"/>
      <w:divBdr>
        <w:top w:val="none" w:sz="0" w:space="0" w:color="auto"/>
        <w:left w:val="none" w:sz="0" w:space="0" w:color="auto"/>
        <w:bottom w:val="none" w:sz="0" w:space="0" w:color="auto"/>
        <w:right w:val="none" w:sz="0" w:space="0" w:color="auto"/>
      </w:divBdr>
    </w:div>
    <w:div w:id="1275870424">
      <w:bodyDiv w:val="1"/>
      <w:marLeft w:val="0"/>
      <w:marRight w:val="0"/>
      <w:marTop w:val="0"/>
      <w:marBottom w:val="0"/>
      <w:divBdr>
        <w:top w:val="none" w:sz="0" w:space="0" w:color="auto"/>
        <w:left w:val="none" w:sz="0" w:space="0" w:color="auto"/>
        <w:bottom w:val="none" w:sz="0" w:space="0" w:color="auto"/>
        <w:right w:val="none" w:sz="0" w:space="0" w:color="auto"/>
      </w:divBdr>
    </w:div>
    <w:div w:id="1276598911">
      <w:bodyDiv w:val="1"/>
      <w:marLeft w:val="0"/>
      <w:marRight w:val="0"/>
      <w:marTop w:val="0"/>
      <w:marBottom w:val="0"/>
      <w:divBdr>
        <w:top w:val="none" w:sz="0" w:space="0" w:color="auto"/>
        <w:left w:val="none" w:sz="0" w:space="0" w:color="auto"/>
        <w:bottom w:val="none" w:sz="0" w:space="0" w:color="auto"/>
        <w:right w:val="none" w:sz="0" w:space="0" w:color="auto"/>
      </w:divBdr>
    </w:div>
    <w:div w:id="1276981712">
      <w:bodyDiv w:val="1"/>
      <w:marLeft w:val="0"/>
      <w:marRight w:val="0"/>
      <w:marTop w:val="0"/>
      <w:marBottom w:val="0"/>
      <w:divBdr>
        <w:top w:val="none" w:sz="0" w:space="0" w:color="auto"/>
        <w:left w:val="none" w:sz="0" w:space="0" w:color="auto"/>
        <w:bottom w:val="none" w:sz="0" w:space="0" w:color="auto"/>
        <w:right w:val="none" w:sz="0" w:space="0" w:color="auto"/>
      </w:divBdr>
    </w:div>
    <w:div w:id="1279146711">
      <w:bodyDiv w:val="1"/>
      <w:marLeft w:val="0"/>
      <w:marRight w:val="0"/>
      <w:marTop w:val="0"/>
      <w:marBottom w:val="0"/>
      <w:divBdr>
        <w:top w:val="none" w:sz="0" w:space="0" w:color="auto"/>
        <w:left w:val="none" w:sz="0" w:space="0" w:color="auto"/>
        <w:bottom w:val="none" w:sz="0" w:space="0" w:color="auto"/>
        <w:right w:val="none" w:sz="0" w:space="0" w:color="auto"/>
      </w:divBdr>
    </w:div>
    <w:div w:id="1279408515">
      <w:bodyDiv w:val="1"/>
      <w:marLeft w:val="0"/>
      <w:marRight w:val="0"/>
      <w:marTop w:val="0"/>
      <w:marBottom w:val="0"/>
      <w:divBdr>
        <w:top w:val="none" w:sz="0" w:space="0" w:color="auto"/>
        <w:left w:val="none" w:sz="0" w:space="0" w:color="auto"/>
        <w:bottom w:val="none" w:sz="0" w:space="0" w:color="auto"/>
        <w:right w:val="none" w:sz="0" w:space="0" w:color="auto"/>
      </w:divBdr>
    </w:div>
    <w:div w:id="1280378985">
      <w:bodyDiv w:val="1"/>
      <w:marLeft w:val="0"/>
      <w:marRight w:val="0"/>
      <w:marTop w:val="0"/>
      <w:marBottom w:val="0"/>
      <w:divBdr>
        <w:top w:val="none" w:sz="0" w:space="0" w:color="auto"/>
        <w:left w:val="none" w:sz="0" w:space="0" w:color="auto"/>
        <w:bottom w:val="none" w:sz="0" w:space="0" w:color="auto"/>
        <w:right w:val="none" w:sz="0" w:space="0" w:color="auto"/>
      </w:divBdr>
    </w:div>
    <w:div w:id="1284995001">
      <w:bodyDiv w:val="1"/>
      <w:marLeft w:val="0"/>
      <w:marRight w:val="0"/>
      <w:marTop w:val="0"/>
      <w:marBottom w:val="0"/>
      <w:divBdr>
        <w:top w:val="none" w:sz="0" w:space="0" w:color="auto"/>
        <w:left w:val="none" w:sz="0" w:space="0" w:color="auto"/>
        <w:bottom w:val="none" w:sz="0" w:space="0" w:color="auto"/>
        <w:right w:val="none" w:sz="0" w:space="0" w:color="auto"/>
      </w:divBdr>
    </w:div>
    <w:div w:id="1285499825">
      <w:bodyDiv w:val="1"/>
      <w:marLeft w:val="0"/>
      <w:marRight w:val="0"/>
      <w:marTop w:val="0"/>
      <w:marBottom w:val="0"/>
      <w:divBdr>
        <w:top w:val="none" w:sz="0" w:space="0" w:color="auto"/>
        <w:left w:val="none" w:sz="0" w:space="0" w:color="auto"/>
        <w:bottom w:val="none" w:sz="0" w:space="0" w:color="auto"/>
        <w:right w:val="none" w:sz="0" w:space="0" w:color="auto"/>
      </w:divBdr>
    </w:div>
    <w:div w:id="1286306069">
      <w:bodyDiv w:val="1"/>
      <w:marLeft w:val="0"/>
      <w:marRight w:val="0"/>
      <w:marTop w:val="0"/>
      <w:marBottom w:val="0"/>
      <w:divBdr>
        <w:top w:val="none" w:sz="0" w:space="0" w:color="auto"/>
        <w:left w:val="none" w:sz="0" w:space="0" w:color="auto"/>
        <w:bottom w:val="none" w:sz="0" w:space="0" w:color="auto"/>
        <w:right w:val="none" w:sz="0" w:space="0" w:color="auto"/>
      </w:divBdr>
    </w:div>
    <w:div w:id="1286501364">
      <w:bodyDiv w:val="1"/>
      <w:marLeft w:val="0"/>
      <w:marRight w:val="0"/>
      <w:marTop w:val="0"/>
      <w:marBottom w:val="0"/>
      <w:divBdr>
        <w:top w:val="none" w:sz="0" w:space="0" w:color="auto"/>
        <w:left w:val="none" w:sz="0" w:space="0" w:color="auto"/>
        <w:bottom w:val="none" w:sz="0" w:space="0" w:color="auto"/>
        <w:right w:val="none" w:sz="0" w:space="0" w:color="auto"/>
      </w:divBdr>
    </w:div>
    <w:div w:id="1286623861">
      <w:bodyDiv w:val="1"/>
      <w:marLeft w:val="0"/>
      <w:marRight w:val="0"/>
      <w:marTop w:val="0"/>
      <w:marBottom w:val="0"/>
      <w:divBdr>
        <w:top w:val="none" w:sz="0" w:space="0" w:color="auto"/>
        <w:left w:val="none" w:sz="0" w:space="0" w:color="auto"/>
        <w:bottom w:val="none" w:sz="0" w:space="0" w:color="auto"/>
        <w:right w:val="none" w:sz="0" w:space="0" w:color="auto"/>
      </w:divBdr>
    </w:div>
    <w:div w:id="1288507924">
      <w:bodyDiv w:val="1"/>
      <w:marLeft w:val="0"/>
      <w:marRight w:val="0"/>
      <w:marTop w:val="0"/>
      <w:marBottom w:val="0"/>
      <w:divBdr>
        <w:top w:val="none" w:sz="0" w:space="0" w:color="auto"/>
        <w:left w:val="none" w:sz="0" w:space="0" w:color="auto"/>
        <w:bottom w:val="none" w:sz="0" w:space="0" w:color="auto"/>
        <w:right w:val="none" w:sz="0" w:space="0" w:color="auto"/>
      </w:divBdr>
    </w:div>
    <w:div w:id="1288972163">
      <w:bodyDiv w:val="1"/>
      <w:marLeft w:val="0"/>
      <w:marRight w:val="0"/>
      <w:marTop w:val="0"/>
      <w:marBottom w:val="0"/>
      <w:divBdr>
        <w:top w:val="none" w:sz="0" w:space="0" w:color="auto"/>
        <w:left w:val="none" w:sz="0" w:space="0" w:color="auto"/>
        <w:bottom w:val="none" w:sz="0" w:space="0" w:color="auto"/>
        <w:right w:val="none" w:sz="0" w:space="0" w:color="auto"/>
      </w:divBdr>
    </w:div>
    <w:div w:id="1289820562">
      <w:bodyDiv w:val="1"/>
      <w:marLeft w:val="0"/>
      <w:marRight w:val="0"/>
      <w:marTop w:val="0"/>
      <w:marBottom w:val="0"/>
      <w:divBdr>
        <w:top w:val="none" w:sz="0" w:space="0" w:color="auto"/>
        <w:left w:val="none" w:sz="0" w:space="0" w:color="auto"/>
        <w:bottom w:val="none" w:sz="0" w:space="0" w:color="auto"/>
        <w:right w:val="none" w:sz="0" w:space="0" w:color="auto"/>
      </w:divBdr>
    </w:div>
    <w:div w:id="1289975899">
      <w:bodyDiv w:val="1"/>
      <w:marLeft w:val="0"/>
      <w:marRight w:val="0"/>
      <w:marTop w:val="0"/>
      <w:marBottom w:val="0"/>
      <w:divBdr>
        <w:top w:val="none" w:sz="0" w:space="0" w:color="auto"/>
        <w:left w:val="none" w:sz="0" w:space="0" w:color="auto"/>
        <w:bottom w:val="none" w:sz="0" w:space="0" w:color="auto"/>
        <w:right w:val="none" w:sz="0" w:space="0" w:color="auto"/>
      </w:divBdr>
    </w:div>
    <w:div w:id="1291204491">
      <w:bodyDiv w:val="1"/>
      <w:marLeft w:val="0"/>
      <w:marRight w:val="0"/>
      <w:marTop w:val="0"/>
      <w:marBottom w:val="0"/>
      <w:divBdr>
        <w:top w:val="none" w:sz="0" w:space="0" w:color="auto"/>
        <w:left w:val="none" w:sz="0" w:space="0" w:color="auto"/>
        <w:bottom w:val="none" w:sz="0" w:space="0" w:color="auto"/>
        <w:right w:val="none" w:sz="0" w:space="0" w:color="auto"/>
      </w:divBdr>
    </w:div>
    <w:div w:id="1291548424">
      <w:bodyDiv w:val="1"/>
      <w:marLeft w:val="0"/>
      <w:marRight w:val="0"/>
      <w:marTop w:val="0"/>
      <w:marBottom w:val="0"/>
      <w:divBdr>
        <w:top w:val="none" w:sz="0" w:space="0" w:color="auto"/>
        <w:left w:val="none" w:sz="0" w:space="0" w:color="auto"/>
        <w:bottom w:val="none" w:sz="0" w:space="0" w:color="auto"/>
        <w:right w:val="none" w:sz="0" w:space="0" w:color="auto"/>
      </w:divBdr>
    </w:div>
    <w:div w:id="1291941600">
      <w:bodyDiv w:val="1"/>
      <w:marLeft w:val="0"/>
      <w:marRight w:val="0"/>
      <w:marTop w:val="0"/>
      <w:marBottom w:val="0"/>
      <w:divBdr>
        <w:top w:val="none" w:sz="0" w:space="0" w:color="auto"/>
        <w:left w:val="none" w:sz="0" w:space="0" w:color="auto"/>
        <w:bottom w:val="none" w:sz="0" w:space="0" w:color="auto"/>
        <w:right w:val="none" w:sz="0" w:space="0" w:color="auto"/>
      </w:divBdr>
    </w:div>
    <w:div w:id="1293052365">
      <w:bodyDiv w:val="1"/>
      <w:marLeft w:val="0"/>
      <w:marRight w:val="0"/>
      <w:marTop w:val="0"/>
      <w:marBottom w:val="0"/>
      <w:divBdr>
        <w:top w:val="none" w:sz="0" w:space="0" w:color="auto"/>
        <w:left w:val="none" w:sz="0" w:space="0" w:color="auto"/>
        <w:bottom w:val="none" w:sz="0" w:space="0" w:color="auto"/>
        <w:right w:val="none" w:sz="0" w:space="0" w:color="auto"/>
      </w:divBdr>
    </w:div>
    <w:div w:id="1293826073">
      <w:bodyDiv w:val="1"/>
      <w:marLeft w:val="0"/>
      <w:marRight w:val="0"/>
      <w:marTop w:val="0"/>
      <w:marBottom w:val="0"/>
      <w:divBdr>
        <w:top w:val="none" w:sz="0" w:space="0" w:color="auto"/>
        <w:left w:val="none" w:sz="0" w:space="0" w:color="auto"/>
        <w:bottom w:val="none" w:sz="0" w:space="0" w:color="auto"/>
        <w:right w:val="none" w:sz="0" w:space="0" w:color="auto"/>
      </w:divBdr>
    </w:div>
    <w:div w:id="1294141204">
      <w:bodyDiv w:val="1"/>
      <w:marLeft w:val="0"/>
      <w:marRight w:val="0"/>
      <w:marTop w:val="0"/>
      <w:marBottom w:val="0"/>
      <w:divBdr>
        <w:top w:val="none" w:sz="0" w:space="0" w:color="auto"/>
        <w:left w:val="none" w:sz="0" w:space="0" w:color="auto"/>
        <w:bottom w:val="none" w:sz="0" w:space="0" w:color="auto"/>
        <w:right w:val="none" w:sz="0" w:space="0" w:color="auto"/>
      </w:divBdr>
    </w:div>
    <w:div w:id="1294873987">
      <w:bodyDiv w:val="1"/>
      <w:marLeft w:val="0"/>
      <w:marRight w:val="0"/>
      <w:marTop w:val="0"/>
      <w:marBottom w:val="0"/>
      <w:divBdr>
        <w:top w:val="none" w:sz="0" w:space="0" w:color="auto"/>
        <w:left w:val="none" w:sz="0" w:space="0" w:color="auto"/>
        <w:bottom w:val="none" w:sz="0" w:space="0" w:color="auto"/>
        <w:right w:val="none" w:sz="0" w:space="0" w:color="auto"/>
      </w:divBdr>
    </w:div>
    <w:div w:id="1295066886">
      <w:bodyDiv w:val="1"/>
      <w:marLeft w:val="0"/>
      <w:marRight w:val="0"/>
      <w:marTop w:val="0"/>
      <w:marBottom w:val="0"/>
      <w:divBdr>
        <w:top w:val="none" w:sz="0" w:space="0" w:color="auto"/>
        <w:left w:val="none" w:sz="0" w:space="0" w:color="auto"/>
        <w:bottom w:val="none" w:sz="0" w:space="0" w:color="auto"/>
        <w:right w:val="none" w:sz="0" w:space="0" w:color="auto"/>
      </w:divBdr>
    </w:div>
    <w:div w:id="1295521192">
      <w:bodyDiv w:val="1"/>
      <w:marLeft w:val="0"/>
      <w:marRight w:val="0"/>
      <w:marTop w:val="0"/>
      <w:marBottom w:val="0"/>
      <w:divBdr>
        <w:top w:val="none" w:sz="0" w:space="0" w:color="auto"/>
        <w:left w:val="none" w:sz="0" w:space="0" w:color="auto"/>
        <w:bottom w:val="none" w:sz="0" w:space="0" w:color="auto"/>
        <w:right w:val="none" w:sz="0" w:space="0" w:color="auto"/>
      </w:divBdr>
    </w:div>
    <w:div w:id="1296062365">
      <w:bodyDiv w:val="1"/>
      <w:marLeft w:val="0"/>
      <w:marRight w:val="0"/>
      <w:marTop w:val="0"/>
      <w:marBottom w:val="0"/>
      <w:divBdr>
        <w:top w:val="none" w:sz="0" w:space="0" w:color="auto"/>
        <w:left w:val="none" w:sz="0" w:space="0" w:color="auto"/>
        <w:bottom w:val="none" w:sz="0" w:space="0" w:color="auto"/>
        <w:right w:val="none" w:sz="0" w:space="0" w:color="auto"/>
      </w:divBdr>
    </w:div>
    <w:div w:id="1297223674">
      <w:bodyDiv w:val="1"/>
      <w:marLeft w:val="0"/>
      <w:marRight w:val="0"/>
      <w:marTop w:val="0"/>
      <w:marBottom w:val="0"/>
      <w:divBdr>
        <w:top w:val="none" w:sz="0" w:space="0" w:color="auto"/>
        <w:left w:val="none" w:sz="0" w:space="0" w:color="auto"/>
        <w:bottom w:val="none" w:sz="0" w:space="0" w:color="auto"/>
        <w:right w:val="none" w:sz="0" w:space="0" w:color="auto"/>
      </w:divBdr>
    </w:div>
    <w:div w:id="1298295053">
      <w:bodyDiv w:val="1"/>
      <w:marLeft w:val="0"/>
      <w:marRight w:val="0"/>
      <w:marTop w:val="0"/>
      <w:marBottom w:val="0"/>
      <w:divBdr>
        <w:top w:val="none" w:sz="0" w:space="0" w:color="auto"/>
        <w:left w:val="none" w:sz="0" w:space="0" w:color="auto"/>
        <w:bottom w:val="none" w:sz="0" w:space="0" w:color="auto"/>
        <w:right w:val="none" w:sz="0" w:space="0" w:color="auto"/>
      </w:divBdr>
    </w:div>
    <w:div w:id="1299989955">
      <w:bodyDiv w:val="1"/>
      <w:marLeft w:val="0"/>
      <w:marRight w:val="0"/>
      <w:marTop w:val="0"/>
      <w:marBottom w:val="0"/>
      <w:divBdr>
        <w:top w:val="none" w:sz="0" w:space="0" w:color="auto"/>
        <w:left w:val="none" w:sz="0" w:space="0" w:color="auto"/>
        <w:bottom w:val="none" w:sz="0" w:space="0" w:color="auto"/>
        <w:right w:val="none" w:sz="0" w:space="0" w:color="auto"/>
      </w:divBdr>
    </w:div>
    <w:div w:id="1301494299">
      <w:bodyDiv w:val="1"/>
      <w:marLeft w:val="0"/>
      <w:marRight w:val="0"/>
      <w:marTop w:val="0"/>
      <w:marBottom w:val="0"/>
      <w:divBdr>
        <w:top w:val="none" w:sz="0" w:space="0" w:color="auto"/>
        <w:left w:val="none" w:sz="0" w:space="0" w:color="auto"/>
        <w:bottom w:val="none" w:sz="0" w:space="0" w:color="auto"/>
        <w:right w:val="none" w:sz="0" w:space="0" w:color="auto"/>
      </w:divBdr>
    </w:div>
    <w:div w:id="1301881775">
      <w:bodyDiv w:val="1"/>
      <w:marLeft w:val="0"/>
      <w:marRight w:val="0"/>
      <w:marTop w:val="0"/>
      <w:marBottom w:val="0"/>
      <w:divBdr>
        <w:top w:val="none" w:sz="0" w:space="0" w:color="auto"/>
        <w:left w:val="none" w:sz="0" w:space="0" w:color="auto"/>
        <w:bottom w:val="none" w:sz="0" w:space="0" w:color="auto"/>
        <w:right w:val="none" w:sz="0" w:space="0" w:color="auto"/>
      </w:divBdr>
    </w:div>
    <w:div w:id="1303268831">
      <w:bodyDiv w:val="1"/>
      <w:marLeft w:val="0"/>
      <w:marRight w:val="0"/>
      <w:marTop w:val="0"/>
      <w:marBottom w:val="0"/>
      <w:divBdr>
        <w:top w:val="none" w:sz="0" w:space="0" w:color="auto"/>
        <w:left w:val="none" w:sz="0" w:space="0" w:color="auto"/>
        <w:bottom w:val="none" w:sz="0" w:space="0" w:color="auto"/>
        <w:right w:val="none" w:sz="0" w:space="0" w:color="auto"/>
      </w:divBdr>
    </w:div>
    <w:div w:id="1303653343">
      <w:bodyDiv w:val="1"/>
      <w:marLeft w:val="0"/>
      <w:marRight w:val="0"/>
      <w:marTop w:val="0"/>
      <w:marBottom w:val="0"/>
      <w:divBdr>
        <w:top w:val="none" w:sz="0" w:space="0" w:color="auto"/>
        <w:left w:val="none" w:sz="0" w:space="0" w:color="auto"/>
        <w:bottom w:val="none" w:sz="0" w:space="0" w:color="auto"/>
        <w:right w:val="none" w:sz="0" w:space="0" w:color="auto"/>
      </w:divBdr>
    </w:div>
    <w:div w:id="1303847525">
      <w:bodyDiv w:val="1"/>
      <w:marLeft w:val="0"/>
      <w:marRight w:val="0"/>
      <w:marTop w:val="0"/>
      <w:marBottom w:val="0"/>
      <w:divBdr>
        <w:top w:val="none" w:sz="0" w:space="0" w:color="auto"/>
        <w:left w:val="none" w:sz="0" w:space="0" w:color="auto"/>
        <w:bottom w:val="none" w:sz="0" w:space="0" w:color="auto"/>
        <w:right w:val="none" w:sz="0" w:space="0" w:color="auto"/>
      </w:divBdr>
    </w:div>
    <w:div w:id="1304239529">
      <w:bodyDiv w:val="1"/>
      <w:marLeft w:val="0"/>
      <w:marRight w:val="0"/>
      <w:marTop w:val="0"/>
      <w:marBottom w:val="0"/>
      <w:divBdr>
        <w:top w:val="none" w:sz="0" w:space="0" w:color="auto"/>
        <w:left w:val="none" w:sz="0" w:space="0" w:color="auto"/>
        <w:bottom w:val="none" w:sz="0" w:space="0" w:color="auto"/>
        <w:right w:val="none" w:sz="0" w:space="0" w:color="auto"/>
      </w:divBdr>
    </w:div>
    <w:div w:id="1304431726">
      <w:bodyDiv w:val="1"/>
      <w:marLeft w:val="0"/>
      <w:marRight w:val="0"/>
      <w:marTop w:val="0"/>
      <w:marBottom w:val="0"/>
      <w:divBdr>
        <w:top w:val="none" w:sz="0" w:space="0" w:color="auto"/>
        <w:left w:val="none" w:sz="0" w:space="0" w:color="auto"/>
        <w:bottom w:val="none" w:sz="0" w:space="0" w:color="auto"/>
        <w:right w:val="none" w:sz="0" w:space="0" w:color="auto"/>
      </w:divBdr>
    </w:div>
    <w:div w:id="1305046206">
      <w:bodyDiv w:val="1"/>
      <w:marLeft w:val="0"/>
      <w:marRight w:val="0"/>
      <w:marTop w:val="0"/>
      <w:marBottom w:val="0"/>
      <w:divBdr>
        <w:top w:val="none" w:sz="0" w:space="0" w:color="auto"/>
        <w:left w:val="none" w:sz="0" w:space="0" w:color="auto"/>
        <w:bottom w:val="none" w:sz="0" w:space="0" w:color="auto"/>
        <w:right w:val="none" w:sz="0" w:space="0" w:color="auto"/>
      </w:divBdr>
    </w:div>
    <w:div w:id="1305309113">
      <w:bodyDiv w:val="1"/>
      <w:marLeft w:val="0"/>
      <w:marRight w:val="0"/>
      <w:marTop w:val="0"/>
      <w:marBottom w:val="0"/>
      <w:divBdr>
        <w:top w:val="none" w:sz="0" w:space="0" w:color="auto"/>
        <w:left w:val="none" w:sz="0" w:space="0" w:color="auto"/>
        <w:bottom w:val="none" w:sz="0" w:space="0" w:color="auto"/>
        <w:right w:val="none" w:sz="0" w:space="0" w:color="auto"/>
      </w:divBdr>
    </w:div>
    <w:div w:id="1307583160">
      <w:bodyDiv w:val="1"/>
      <w:marLeft w:val="0"/>
      <w:marRight w:val="0"/>
      <w:marTop w:val="0"/>
      <w:marBottom w:val="0"/>
      <w:divBdr>
        <w:top w:val="none" w:sz="0" w:space="0" w:color="auto"/>
        <w:left w:val="none" w:sz="0" w:space="0" w:color="auto"/>
        <w:bottom w:val="none" w:sz="0" w:space="0" w:color="auto"/>
        <w:right w:val="none" w:sz="0" w:space="0" w:color="auto"/>
      </w:divBdr>
    </w:div>
    <w:div w:id="1307666078">
      <w:bodyDiv w:val="1"/>
      <w:marLeft w:val="0"/>
      <w:marRight w:val="0"/>
      <w:marTop w:val="0"/>
      <w:marBottom w:val="0"/>
      <w:divBdr>
        <w:top w:val="none" w:sz="0" w:space="0" w:color="auto"/>
        <w:left w:val="none" w:sz="0" w:space="0" w:color="auto"/>
        <w:bottom w:val="none" w:sz="0" w:space="0" w:color="auto"/>
        <w:right w:val="none" w:sz="0" w:space="0" w:color="auto"/>
      </w:divBdr>
    </w:div>
    <w:div w:id="1308047022">
      <w:bodyDiv w:val="1"/>
      <w:marLeft w:val="0"/>
      <w:marRight w:val="0"/>
      <w:marTop w:val="0"/>
      <w:marBottom w:val="0"/>
      <w:divBdr>
        <w:top w:val="none" w:sz="0" w:space="0" w:color="auto"/>
        <w:left w:val="none" w:sz="0" w:space="0" w:color="auto"/>
        <w:bottom w:val="none" w:sz="0" w:space="0" w:color="auto"/>
        <w:right w:val="none" w:sz="0" w:space="0" w:color="auto"/>
      </w:divBdr>
    </w:div>
    <w:div w:id="1308128898">
      <w:bodyDiv w:val="1"/>
      <w:marLeft w:val="0"/>
      <w:marRight w:val="0"/>
      <w:marTop w:val="0"/>
      <w:marBottom w:val="0"/>
      <w:divBdr>
        <w:top w:val="none" w:sz="0" w:space="0" w:color="auto"/>
        <w:left w:val="none" w:sz="0" w:space="0" w:color="auto"/>
        <w:bottom w:val="none" w:sz="0" w:space="0" w:color="auto"/>
        <w:right w:val="none" w:sz="0" w:space="0" w:color="auto"/>
      </w:divBdr>
    </w:div>
    <w:div w:id="1308632932">
      <w:bodyDiv w:val="1"/>
      <w:marLeft w:val="0"/>
      <w:marRight w:val="0"/>
      <w:marTop w:val="0"/>
      <w:marBottom w:val="0"/>
      <w:divBdr>
        <w:top w:val="none" w:sz="0" w:space="0" w:color="auto"/>
        <w:left w:val="none" w:sz="0" w:space="0" w:color="auto"/>
        <w:bottom w:val="none" w:sz="0" w:space="0" w:color="auto"/>
        <w:right w:val="none" w:sz="0" w:space="0" w:color="auto"/>
      </w:divBdr>
    </w:div>
    <w:div w:id="1308707167">
      <w:bodyDiv w:val="1"/>
      <w:marLeft w:val="0"/>
      <w:marRight w:val="0"/>
      <w:marTop w:val="0"/>
      <w:marBottom w:val="0"/>
      <w:divBdr>
        <w:top w:val="none" w:sz="0" w:space="0" w:color="auto"/>
        <w:left w:val="none" w:sz="0" w:space="0" w:color="auto"/>
        <w:bottom w:val="none" w:sz="0" w:space="0" w:color="auto"/>
        <w:right w:val="none" w:sz="0" w:space="0" w:color="auto"/>
      </w:divBdr>
    </w:div>
    <w:div w:id="1310212248">
      <w:bodyDiv w:val="1"/>
      <w:marLeft w:val="0"/>
      <w:marRight w:val="0"/>
      <w:marTop w:val="0"/>
      <w:marBottom w:val="0"/>
      <w:divBdr>
        <w:top w:val="none" w:sz="0" w:space="0" w:color="auto"/>
        <w:left w:val="none" w:sz="0" w:space="0" w:color="auto"/>
        <w:bottom w:val="none" w:sz="0" w:space="0" w:color="auto"/>
        <w:right w:val="none" w:sz="0" w:space="0" w:color="auto"/>
      </w:divBdr>
    </w:div>
    <w:div w:id="1310358769">
      <w:bodyDiv w:val="1"/>
      <w:marLeft w:val="0"/>
      <w:marRight w:val="0"/>
      <w:marTop w:val="0"/>
      <w:marBottom w:val="0"/>
      <w:divBdr>
        <w:top w:val="none" w:sz="0" w:space="0" w:color="auto"/>
        <w:left w:val="none" w:sz="0" w:space="0" w:color="auto"/>
        <w:bottom w:val="none" w:sz="0" w:space="0" w:color="auto"/>
        <w:right w:val="none" w:sz="0" w:space="0" w:color="auto"/>
      </w:divBdr>
    </w:div>
    <w:div w:id="1310554927">
      <w:bodyDiv w:val="1"/>
      <w:marLeft w:val="0"/>
      <w:marRight w:val="0"/>
      <w:marTop w:val="0"/>
      <w:marBottom w:val="0"/>
      <w:divBdr>
        <w:top w:val="none" w:sz="0" w:space="0" w:color="auto"/>
        <w:left w:val="none" w:sz="0" w:space="0" w:color="auto"/>
        <w:bottom w:val="none" w:sz="0" w:space="0" w:color="auto"/>
        <w:right w:val="none" w:sz="0" w:space="0" w:color="auto"/>
      </w:divBdr>
    </w:div>
    <w:div w:id="1310787897">
      <w:bodyDiv w:val="1"/>
      <w:marLeft w:val="0"/>
      <w:marRight w:val="0"/>
      <w:marTop w:val="0"/>
      <w:marBottom w:val="0"/>
      <w:divBdr>
        <w:top w:val="none" w:sz="0" w:space="0" w:color="auto"/>
        <w:left w:val="none" w:sz="0" w:space="0" w:color="auto"/>
        <w:bottom w:val="none" w:sz="0" w:space="0" w:color="auto"/>
        <w:right w:val="none" w:sz="0" w:space="0" w:color="auto"/>
      </w:divBdr>
    </w:div>
    <w:div w:id="1310940077">
      <w:bodyDiv w:val="1"/>
      <w:marLeft w:val="0"/>
      <w:marRight w:val="0"/>
      <w:marTop w:val="0"/>
      <w:marBottom w:val="0"/>
      <w:divBdr>
        <w:top w:val="none" w:sz="0" w:space="0" w:color="auto"/>
        <w:left w:val="none" w:sz="0" w:space="0" w:color="auto"/>
        <w:bottom w:val="none" w:sz="0" w:space="0" w:color="auto"/>
        <w:right w:val="none" w:sz="0" w:space="0" w:color="auto"/>
      </w:divBdr>
    </w:div>
    <w:div w:id="1311397998">
      <w:bodyDiv w:val="1"/>
      <w:marLeft w:val="0"/>
      <w:marRight w:val="0"/>
      <w:marTop w:val="0"/>
      <w:marBottom w:val="0"/>
      <w:divBdr>
        <w:top w:val="none" w:sz="0" w:space="0" w:color="auto"/>
        <w:left w:val="none" w:sz="0" w:space="0" w:color="auto"/>
        <w:bottom w:val="none" w:sz="0" w:space="0" w:color="auto"/>
        <w:right w:val="none" w:sz="0" w:space="0" w:color="auto"/>
      </w:divBdr>
    </w:div>
    <w:div w:id="1311402194">
      <w:bodyDiv w:val="1"/>
      <w:marLeft w:val="0"/>
      <w:marRight w:val="0"/>
      <w:marTop w:val="0"/>
      <w:marBottom w:val="0"/>
      <w:divBdr>
        <w:top w:val="none" w:sz="0" w:space="0" w:color="auto"/>
        <w:left w:val="none" w:sz="0" w:space="0" w:color="auto"/>
        <w:bottom w:val="none" w:sz="0" w:space="0" w:color="auto"/>
        <w:right w:val="none" w:sz="0" w:space="0" w:color="auto"/>
      </w:divBdr>
    </w:div>
    <w:div w:id="1311596469">
      <w:bodyDiv w:val="1"/>
      <w:marLeft w:val="0"/>
      <w:marRight w:val="0"/>
      <w:marTop w:val="0"/>
      <w:marBottom w:val="0"/>
      <w:divBdr>
        <w:top w:val="none" w:sz="0" w:space="0" w:color="auto"/>
        <w:left w:val="none" w:sz="0" w:space="0" w:color="auto"/>
        <w:bottom w:val="none" w:sz="0" w:space="0" w:color="auto"/>
        <w:right w:val="none" w:sz="0" w:space="0" w:color="auto"/>
      </w:divBdr>
    </w:div>
    <w:div w:id="1311863785">
      <w:bodyDiv w:val="1"/>
      <w:marLeft w:val="0"/>
      <w:marRight w:val="0"/>
      <w:marTop w:val="0"/>
      <w:marBottom w:val="0"/>
      <w:divBdr>
        <w:top w:val="none" w:sz="0" w:space="0" w:color="auto"/>
        <w:left w:val="none" w:sz="0" w:space="0" w:color="auto"/>
        <w:bottom w:val="none" w:sz="0" w:space="0" w:color="auto"/>
        <w:right w:val="none" w:sz="0" w:space="0" w:color="auto"/>
      </w:divBdr>
    </w:div>
    <w:div w:id="1314213249">
      <w:bodyDiv w:val="1"/>
      <w:marLeft w:val="0"/>
      <w:marRight w:val="0"/>
      <w:marTop w:val="0"/>
      <w:marBottom w:val="0"/>
      <w:divBdr>
        <w:top w:val="none" w:sz="0" w:space="0" w:color="auto"/>
        <w:left w:val="none" w:sz="0" w:space="0" w:color="auto"/>
        <w:bottom w:val="none" w:sz="0" w:space="0" w:color="auto"/>
        <w:right w:val="none" w:sz="0" w:space="0" w:color="auto"/>
      </w:divBdr>
    </w:div>
    <w:div w:id="1314598495">
      <w:bodyDiv w:val="1"/>
      <w:marLeft w:val="0"/>
      <w:marRight w:val="0"/>
      <w:marTop w:val="0"/>
      <w:marBottom w:val="0"/>
      <w:divBdr>
        <w:top w:val="none" w:sz="0" w:space="0" w:color="auto"/>
        <w:left w:val="none" w:sz="0" w:space="0" w:color="auto"/>
        <w:bottom w:val="none" w:sz="0" w:space="0" w:color="auto"/>
        <w:right w:val="none" w:sz="0" w:space="0" w:color="auto"/>
      </w:divBdr>
    </w:div>
    <w:div w:id="1314605096">
      <w:bodyDiv w:val="1"/>
      <w:marLeft w:val="0"/>
      <w:marRight w:val="0"/>
      <w:marTop w:val="0"/>
      <w:marBottom w:val="0"/>
      <w:divBdr>
        <w:top w:val="none" w:sz="0" w:space="0" w:color="auto"/>
        <w:left w:val="none" w:sz="0" w:space="0" w:color="auto"/>
        <w:bottom w:val="none" w:sz="0" w:space="0" w:color="auto"/>
        <w:right w:val="none" w:sz="0" w:space="0" w:color="auto"/>
      </w:divBdr>
    </w:div>
    <w:div w:id="1314720352">
      <w:bodyDiv w:val="1"/>
      <w:marLeft w:val="0"/>
      <w:marRight w:val="0"/>
      <w:marTop w:val="0"/>
      <w:marBottom w:val="0"/>
      <w:divBdr>
        <w:top w:val="none" w:sz="0" w:space="0" w:color="auto"/>
        <w:left w:val="none" w:sz="0" w:space="0" w:color="auto"/>
        <w:bottom w:val="none" w:sz="0" w:space="0" w:color="auto"/>
        <w:right w:val="none" w:sz="0" w:space="0" w:color="auto"/>
      </w:divBdr>
    </w:div>
    <w:div w:id="1315067798">
      <w:bodyDiv w:val="1"/>
      <w:marLeft w:val="0"/>
      <w:marRight w:val="0"/>
      <w:marTop w:val="0"/>
      <w:marBottom w:val="0"/>
      <w:divBdr>
        <w:top w:val="none" w:sz="0" w:space="0" w:color="auto"/>
        <w:left w:val="none" w:sz="0" w:space="0" w:color="auto"/>
        <w:bottom w:val="none" w:sz="0" w:space="0" w:color="auto"/>
        <w:right w:val="none" w:sz="0" w:space="0" w:color="auto"/>
      </w:divBdr>
    </w:div>
    <w:div w:id="1315185353">
      <w:bodyDiv w:val="1"/>
      <w:marLeft w:val="0"/>
      <w:marRight w:val="0"/>
      <w:marTop w:val="0"/>
      <w:marBottom w:val="0"/>
      <w:divBdr>
        <w:top w:val="none" w:sz="0" w:space="0" w:color="auto"/>
        <w:left w:val="none" w:sz="0" w:space="0" w:color="auto"/>
        <w:bottom w:val="none" w:sz="0" w:space="0" w:color="auto"/>
        <w:right w:val="none" w:sz="0" w:space="0" w:color="auto"/>
      </w:divBdr>
    </w:div>
    <w:div w:id="1317566689">
      <w:bodyDiv w:val="1"/>
      <w:marLeft w:val="0"/>
      <w:marRight w:val="0"/>
      <w:marTop w:val="0"/>
      <w:marBottom w:val="0"/>
      <w:divBdr>
        <w:top w:val="none" w:sz="0" w:space="0" w:color="auto"/>
        <w:left w:val="none" w:sz="0" w:space="0" w:color="auto"/>
        <w:bottom w:val="none" w:sz="0" w:space="0" w:color="auto"/>
        <w:right w:val="none" w:sz="0" w:space="0" w:color="auto"/>
      </w:divBdr>
    </w:div>
    <w:div w:id="1317803383">
      <w:bodyDiv w:val="1"/>
      <w:marLeft w:val="0"/>
      <w:marRight w:val="0"/>
      <w:marTop w:val="0"/>
      <w:marBottom w:val="0"/>
      <w:divBdr>
        <w:top w:val="none" w:sz="0" w:space="0" w:color="auto"/>
        <w:left w:val="none" w:sz="0" w:space="0" w:color="auto"/>
        <w:bottom w:val="none" w:sz="0" w:space="0" w:color="auto"/>
        <w:right w:val="none" w:sz="0" w:space="0" w:color="auto"/>
      </w:divBdr>
    </w:div>
    <w:div w:id="1319311901">
      <w:bodyDiv w:val="1"/>
      <w:marLeft w:val="0"/>
      <w:marRight w:val="0"/>
      <w:marTop w:val="0"/>
      <w:marBottom w:val="0"/>
      <w:divBdr>
        <w:top w:val="none" w:sz="0" w:space="0" w:color="auto"/>
        <w:left w:val="none" w:sz="0" w:space="0" w:color="auto"/>
        <w:bottom w:val="none" w:sz="0" w:space="0" w:color="auto"/>
        <w:right w:val="none" w:sz="0" w:space="0" w:color="auto"/>
      </w:divBdr>
    </w:div>
    <w:div w:id="1320304782">
      <w:bodyDiv w:val="1"/>
      <w:marLeft w:val="0"/>
      <w:marRight w:val="0"/>
      <w:marTop w:val="0"/>
      <w:marBottom w:val="0"/>
      <w:divBdr>
        <w:top w:val="none" w:sz="0" w:space="0" w:color="auto"/>
        <w:left w:val="none" w:sz="0" w:space="0" w:color="auto"/>
        <w:bottom w:val="none" w:sz="0" w:space="0" w:color="auto"/>
        <w:right w:val="none" w:sz="0" w:space="0" w:color="auto"/>
      </w:divBdr>
    </w:div>
    <w:div w:id="1320840641">
      <w:bodyDiv w:val="1"/>
      <w:marLeft w:val="0"/>
      <w:marRight w:val="0"/>
      <w:marTop w:val="0"/>
      <w:marBottom w:val="0"/>
      <w:divBdr>
        <w:top w:val="none" w:sz="0" w:space="0" w:color="auto"/>
        <w:left w:val="none" w:sz="0" w:space="0" w:color="auto"/>
        <w:bottom w:val="none" w:sz="0" w:space="0" w:color="auto"/>
        <w:right w:val="none" w:sz="0" w:space="0" w:color="auto"/>
      </w:divBdr>
    </w:div>
    <w:div w:id="1321077418">
      <w:bodyDiv w:val="1"/>
      <w:marLeft w:val="0"/>
      <w:marRight w:val="0"/>
      <w:marTop w:val="0"/>
      <w:marBottom w:val="0"/>
      <w:divBdr>
        <w:top w:val="none" w:sz="0" w:space="0" w:color="auto"/>
        <w:left w:val="none" w:sz="0" w:space="0" w:color="auto"/>
        <w:bottom w:val="none" w:sz="0" w:space="0" w:color="auto"/>
        <w:right w:val="none" w:sz="0" w:space="0" w:color="auto"/>
      </w:divBdr>
    </w:div>
    <w:div w:id="1321079365">
      <w:bodyDiv w:val="1"/>
      <w:marLeft w:val="0"/>
      <w:marRight w:val="0"/>
      <w:marTop w:val="0"/>
      <w:marBottom w:val="0"/>
      <w:divBdr>
        <w:top w:val="none" w:sz="0" w:space="0" w:color="auto"/>
        <w:left w:val="none" w:sz="0" w:space="0" w:color="auto"/>
        <w:bottom w:val="none" w:sz="0" w:space="0" w:color="auto"/>
        <w:right w:val="none" w:sz="0" w:space="0" w:color="auto"/>
      </w:divBdr>
    </w:div>
    <w:div w:id="1321689893">
      <w:bodyDiv w:val="1"/>
      <w:marLeft w:val="0"/>
      <w:marRight w:val="0"/>
      <w:marTop w:val="0"/>
      <w:marBottom w:val="0"/>
      <w:divBdr>
        <w:top w:val="none" w:sz="0" w:space="0" w:color="auto"/>
        <w:left w:val="none" w:sz="0" w:space="0" w:color="auto"/>
        <w:bottom w:val="none" w:sz="0" w:space="0" w:color="auto"/>
        <w:right w:val="none" w:sz="0" w:space="0" w:color="auto"/>
      </w:divBdr>
    </w:div>
    <w:div w:id="1323385001">
      <w:bodyDiv w:val="1"/>
      <w:marLeft w:val="0"/>
      <w:marRight w:val="0"/>
      <w:marTop w:val="0"/>
      <w:marBottom w:val="0"/>
      <w:divBdr>
        <w:top w:val="none" w:sz="0" w:space="0" w:color="auto"/>
        <w:left w:val="none" w:sz="0" w:space="0" w:color="auto"/>
        <w:bottom w:val="none" w:sz="0" w:space="0" w:color="auto"/>
        <w:right w:val="none" w:sz="0" w:space="0" w:color="auto"/>
      </w:divBdr>
    </w:div>
    <w:div w:id="1324239574">
      <w:bodyDiv w:val="1"/>
      <w:marLeft w:val="0"/>
      <w:marRight w:val="0"/>
      <w:marTop w:val="0"/>
      <w:marBottom w:val="0"/>
      <w:divBdr>
        <w:top w:val="none" w:sz="0" w:space="0" w:color="auto"/>
        <w:left w:val="none" w:sz="0" w:space="0" w:color="auto"/>
        <w:bottom w:val="none" w:sz="0" w:space="0" w:color="auto"/>
        <w:right w:val="none" w:sz="0" w:space="0" w:color="auto"/>
      </w:divBdr>
    </w:div>
    <w:div w:id="1324243307">
      <w:bodyDiv w:val="1"/>
      <w:marLeft w:val="0"/>
      <w:marRight w:val="0"/>
      <w:marTop w:val="0"/>
      <w:marBottom w:val="0"/>
      <w:divBdr>
        <w:top w:val="none" w:sz="0" w:space="0" w:color="auto"/>
        <w:left w:val="none" w:sz="0" w:space="0" w:color="auto"/>
        <w:bottom w:val="none" w:sz="0" w:space="0" w:color="auto"/>
        <w:right w:val="none" w:sz="0" w:space="0" w:color="auto"/>
      </w:divBdr>
    </w:div>
    <w:div w:id="1324507858">
      <w:bodyDiv w:val="1"/>
      <w:marLeft w:val="0"/>
      <w:marRight w:val="0"/>
      <w:marTop w:val="0"/>
      <w:marBottom w:val="0"/>
      <w:divBdr>
        <w:top w:val="none" w:sz="0" w:space="0" w:color="auto"/>
        <w:left w:val="none" w:sz="0" w:space="0" w:color="auto"/>
        <w:bottom w:val="none" w:sz="0" w:space="0" w:color="auto"/>
        <w:right w:val="none" w:sz="0" w:space="0" w:color="auto"/>
      </w:divBdr>
    </w:div>
    <w:div w:id="1324818130">
      <w:bodyDiv w:val="1"/>
      <w:marLeft w:val="0"/>
      <w:marRight w:val="0"/>
      <w:marTop w:val="0"/>
      <w:marBottom w:val="0"/>
      <w:divBdr>
        <w:top w:val="none" w:sz="0" w:space="0" w:color="auto"/>
        <w:left w:val="none" w:sz="0" w:space="0" w:color="auto"/>
        <w:bottom w:val="none" w:sz="0" w:space="0" w:color="auto"/>
        <w:right w:val="none" w:sz="0" w:space="0" w:color="auto"/>
      </w:divBdr>
    </w:div>
    <w:div w:id="1326590991">
      <w:bodyDiv w:val="1"/>
      <w:marLeft w:val="0"/>
      <w:marRight w:val="0"/>
      <w:marTop w:val="0"/>
      <w:marBottom w:val="0"/>
      <w:divBdr>
        <w:top w:val="none" w:sz="0" w:space="0" w:color="auto"/>
        <w:left w:val="none" w:sz="0" w:space="0" w:color="auto"/>
        <w:bottom w:val="none" w:sz="0" w:space="0" w:color="auto"/>
        <w:right w:val="none" w:sz="0" w:space="0" w:color="auto"/>
      </w:divBdr>
    </w:div>
    <w:div w:id="1326930879">
      <w:bodyDiv w:val="1"/>
      <w:marLeft w:val="0"/>
      <w:marRight w:val="0"/>
      <w:marTop w:val="0"/>
      <w:marBottom w:val="0"/>
      <w:divBdr>
        <w:top w:val="none" w:sz="0" w:space="0" w:color="auto"/>
        <w:left w:val="none" w:sz="0" w:space="0" w:color="auto"/>
        <w:bottom w:val="none" w:sz="0" w:space="0" w:color="auto"/>
        <w:right w:val="none" w:sz="0" w:space="0" w:color="auto"/>
      </w:divBdr>
    </w:div>
    <w:div w:id="1326935468">
      <w:bodyDiv w:val="1"/>
      <w:marLeft w:val="0"/>
      <w:marRight w:val="0"/>
      <w:marTop w:val="0"/>
      <w:marBottom w:val="0"/>
      <w:divBdr>
        <w:top w:val="none" w:sz="0" w:space="0" w:color="auto"/>
        <w:left w:val="none" w:sz="0" w:space="0" w:color="auto"/>
        <w:bottom w:val="none" w:sz="0" w:space="0" w:color="auto"/>
        <w:right w:val="none" w:sz="0" w:space="0" w:color="auto"/>
      </w:divBdr>
    </w:div>
    <w:div w:id="1326937034">
      <w:bodyDiv w:val="1"/>
      <w:marLeft w:val="0"/>
      <w:marRight w:val="0"/>
      <w:marTop w:val="0"/>
      <w:marBottom w:val="0"/>
      <w:divBdr>
        <w:top w:val="none" w:sz="0" w:space="0" w:color="auto"/>
        <w:left w:val="none" w:sz="0" w:space="0" w:color="auto"/>
        <w:bottom w:val="none" w:sz="0" w:space="0" w:color="auto"/>
        <w:right w:val="none" w:sz="0" w:space="0" w:color="auto"/>
      </w:divBdr>
    </w:div>
    <w:div w:id="1327706149">
      <w:bodyDiv w:val="1"/>
      <w:marLeft w:val="0"/>
      <w:marRight w:val="0"/>
      <w:marTop w:val="0"/>
      <w:marBottom w:val="0"/>
      <w:divBdr>
        <w:top w:val="none" w:sz="0" w:space="0" w:color="auto"/>
        <w:left w:val="none" w:sz="0" w:space="0" w:color="auto"/>
        <w:bottom w:val="none" w:sz="0" w:space="0" w:color="auto"/>
        <w:right w:val="none" w:sz="0" w:space="0" w:color="auto"/>
      </w:divBdr>
    </w:div>
    <w:div w:id="1328828824">
      <w:bodyDiv w:val="1"/>
      <w:marLeft w:val="0"/>
      <w:marRight w:val="0"/>
      <w:marTop w:val="0"/>
      <w:marBottom w:val="0"/>
      <w:divBdr>
        <w:top w:val="none" w:sz="0" w:space="0" w:color="auto"/>
        <w:left w:val="none" w:sz="0" w:space="0" w:color="auto"/>
        <w:bottom w:val="none" w:sz="0" w:space="0" w:color="auto"/>
        <w:right w:val="none" w:sz="0" w:space="0" w:color="auto"/>
      </w:divBdr>
    </w:div>
    <w:div w:id="1328900108">
      <w:bodyDiv w:val="1"/>
      <w:marLeft w:val="0"/>
      <w:marRight w:val="0"/>
      <w:marTop w:val="0"/>
      <w:marBottom w:val="0"/>
      <w:divBdr>
        <w:top w:val="none" w:sz="0" w:space="0" w:color="auto"/>
        <w:left w:val="none" w:sz="0" w:space="0" w:color="auto"/>
        <w:bottom w:val="none" w:sz="0" w:space="0" w:color="auto"/>
        <w:right w:val="none" w:sz="0" w:space="0" w:color="auto"/>
      </w:divBdr>
    </w:div>
    <w:div w:id="1328904315">
      <w:bodyDiv w:val="1"/>
      <w:marLeft w:val="0"/>
      <w:marRight w:val="0"/>
      <w:marTop w:val="0"/>
      <w:marBottom w:val="0"/>
      <w:divBdr>
        <w:top w:val="none" w:sz="0" w:space="0" w:color="auto"/>
        <w:left w:val="none" w:sz="0" w:space="0" w:color="auto"/>
        <w:bottom w:val="none" w:sz="0" w:space="0" w:color="auto"/>
        <w:right w:val="none" w:sz="0" w:space="0" w:color="auto"/>
      </w:divBdr>
    </w:div>
    <w:div w:id="1329868076">
      <w:bodyDiv w:val="1"/>
      <w:marLeft w:val="0"/>
      <w:marRight w:val="0"/>
      <w:marTop w:val="0"/>
      <w:marBottom w:val="0"/>
      <w:divBdr>
        <w:top w:val="none" w:sz="0" w:space="0" w:color="auto"/>
        <w:left w:val="none" w:sz="0" w:space="0" w:color="auto"/>
        <w:bottom w:val="none" w:sz="0" w:space="0" w:color="auto"/>
        <w:right w:val="none" w:sz="0" w:space="0" w:color="auto"/>
      </w:divBdr>
    </w:div>
    <w:div w:id="1329989648">
      <w:bodyDiv w:val="1"/>
      <w:marLeft w:val="0"/>
      <w:marRight w:val="0"/>
      <w:marTop w:val="0"/>
      <w:marBottom w:val="0"/>
      <w:divBdr>
        <w:top w:val="none" w:sz="0" w:space="0" w:color="auto"/>
        <w:left w:val="none" w:sz="0" w:space="0" w:color="auto"/>
        <w:bottom w:val="none" w:sz="0" w:space="0" w:color="auto"/>
        <w:right w:val="none" w:sz="0" w:space="0" w:color="auto"/>
      </w:divBdr>
    </w:div>
    <w:div w:id="1330061212">
      <w:bodyDiv w:val="1"/>
      <w:marLeft w:val="0"/>
      <w:marRight w:val="0"/>
      <w:marTop w:val="0"/>
      <w:marBottom w:val="0"/>
      <w:divBdr>
        <w:top w:val="none" w:sz="0" w:space="0" w:color="auto"/>
        <w:left w:val="none" w:sz="0" w:space="0" w:color="auto"/>
        <w:bottom w:val="none" w:sz="0" w:space="0" w:color="auto"/>
        <w:right w:val="none" w:sz="0" w:space="0" w:color="auto"/>
      </w:divBdr>
    </w:div>
    <w:div w:id="1330600605">
      <w:bodyDiv w:val="1"/>
      <w:marLeft w:val="0"/>
      <w:marRight w:val="0"/>
      <w:marTop w:val="0"/>
      <w:marBottom w:val="0"/>
      <w:divBdr>
        <w:top w:val="none" w:sz="0" w:space="0" w:color="auto"/>
        <w:left w:val="none" w:sz="0" w:space="0" w:color="auto"/>
        <w:bottom w:val="none" w:sz="0" w:space="0" w:color="auto"/>
        <w:right w:val="none" w:sz="0" w:space="0" w:color="auto"/>
      </w:divBdr>
    </w:div>
    <w:div w:id="1330643386">
      <w:bodyDiv w:val="1"/>
      <w:marLeft w:val="0"/>
      <w:marRight w:val="0"/>
      <w:marTop w:val="0"/>
      <w:marBottom w:val="0"/>
      <w:divBdr>
        <w:top w:val="none" w:sz="0" w:space="0" w:color="auto"/>
        <w:left w:val="none" w:sz="0" w:space="0" w:color="auto"/>
        <w:bottom w:val="none" w:sz="0" w:space="0" w:color="auto"/>
        <w:right w:val="none" w:sz="0" w:space="0" w:color="auto"/>
      </w:divBdr>
    </w:div>
    <w:div w:id="1331063163">
      <w:bodyDiv w:val="1"/>
      <w:marLeft w:val="0"/>
      <w:marRight w:val="0"/>
      <w:marTop w:val="0"/>
      <w:marBottom w:val="0"/>
      <w:divBdr>
        <w:top w:val="none" w:sz="0" w:space="0" w:color="auto"/>
        <w:left w:val="none" w:sz="0" w:space="0" w:color="auto"/>
        <w:bottom w:val="none" w:sz="0" w:space="0" w:color="auto"/>
        <w:right w:val="none" w:sz="0" w:space="0" w:color="auto"/>
      </w:divBdr>
    </w:div>
    <w:div w:id="1331644503">
      <w:bodyDiv w:val="1"/>
      <w:marLeft w:val="0"/>
      <w:marRight w:val="0"/>
      <w:marTop w:val="0"/>
      <w:marBottom w:val="0"/>
      <w:divBdr>
        <w:top w:val="none" w:sz="0" w:space="0" w:color="auto"/>
        <w:left w:val="none" w:sz="0" w:space="0" w:color="auto"/>
        <w:bottom w:val="none" w:sz="0" w:space="0" w:color="auto"/>
        <w:right w:val="none" w:sz="0" w:space="0" w:color="auto"/>
      </w:divBdr>
    </w:div>
    <w:div w:id="1332365697">
      <w:bodyDiv w:val="1"/>
      <w:marLeft w:val="0"/>
      <w:marRight w:val="0"/>
      <w:marTop w:val="0"/>
      <w:marBottom w:val="0"/>
      <w:divBdr>
        <w:top w:val="none" w:sz="0" w:space="0" w:color="auto"/>
        <w:left w:val="none" w:sz="0" w:space="0" w:color="auto"/>
        <w:bottom w:val="none" w:sz="0" w:space="0" w:color="auto"/>
        <w:right w:val="none" w:sz="0" w:space="0" w:color="auto"/>
      </w:divBdr>
    </w:div>
    <w:div w:id="1332836080">
      <w:bodyDiv w:val="1"/>
      <w:marLeft w:val="0"/>
      <w:marRight w:val="0"/>
      <w:marTop w:val="0"/>
      <w:marBottom w:val="0"/>
      <w:divBdr>
        <w:top w:val="none" w:sz="0" w:space="0" w:color="auto"/>
        <w:left w:val="none" w:sz="0" w:space="0" w:color="auto"/>
        <w:bottom w:val="none" w:sz="0" w:space="0" w:color="auto"/>
        <w:right w:val="none" w:sz="0" w:space="0" w:color="auto"/>
      </w:divBdr>
    </w:div>
    <w:div w:id="1333409166">
      <w:bodyDiv w:val="1"/>
      <w:marLeft w:val="0"/>
      <w:marRight w:val="0"/>
      <w:marTop w:val="0"/>
      <w:marBottom w:val="0"/>
      <w:divBdr>
        <w:top w:val="none" w:sz="0" w:space="0" w:color="auto"/>
        <w:left w:val="none" w:sz="0" w:space="0" w:color="auto"/>
        <w:bottom w:val="none" w:sz="0" w:space="0" w:color="auto"/>
        <w:right w:val="none" w:sz="0" w:space="0" w:color="auto"/>
      </w:divBdr>
    </w:div>
    <w:div w:id="1333952108">
      <w:bodyDiv w:val="1"/>
      <w:marLeft w:val="0"/>
      <w:marRight w:val="0"/>
      <w:marTop w:val="0"/>
      <w:marBottom w:val="0"/>
      <w:divBdr>
        <w:top w:val="none" w:sz="0" w:space="0" w:color="auto"/>
        <w:left w:val="none" w:sz="0" w:space="0" w:color="auto"/>
        <w:bottom w:val="none" w:sz="0" w:space="0" w:color="auto"/>
        <w:right w:val="none" w:sz="0" w:space="0" w:color="auto"/>
      </w:divBdr>
    </w:div>
    <w:div w:id="1335230693">
      <w:bodyDiv w:val="1"/>
      <w:marLeft w:val="0"/>
      <w:marRight w:val="0"/>
      <w:marTop w:val="0"/>
      <w:marBottom w:val="0"/>
      <w:divBdr>
        <w:top w:val="none" w:sz="0" w:space="0" w:color="auto"/>
        <w:left w:val="none" w:sz="0" w:space="0" w:color="auto"/>
        <w:bottom w:val="none" w:sz="0" w:space="0" w:color="auto"/>
        <w:right w:val="none" w:sz="0" w:space="0" w:color="auto"/>
      </w:divBdr>
    </w:div>
    <w:div w:id="1335451115">
      <w:bodyDiv w:val="1"/>
      <w:marLeft w:val="0"/>
      <w:marRight w:val="0"/>
      <w:marTop w:val="0"/>
      <w:marBottom w:val="0"/>
      <w:divBdr>
        <w:top w:val="none" w:sz="0" w:space="0" w:color="auto"/>
        <w:left w:val="none" w:sz="0" w:space="0" w:color="auto"/>
        <w:bottom w:val="none" w:sz="0" w:space="0" w:color="auto"/>
        <w:right w:val="none" w:sz="0" w:space="0" w:color="auto"/>
      </w:divBdr>
    </w:div>
    <w:div w:id="1335567130">
      <w:bodyDiv w:val="1"/>
      <w:marLeft w:val="0"/>
      <w:marRight w:val="0"/>
      <w:marTop w:val="0"/>
      <w:marBottom w:val="0"/>
      <w:divBdr>
        <w:top w:val="none" w:sz="0" w:space="0" w:color="auto"/>
        <w:left w:val="none" w:sz="0" w:space="0" w:color="auto"/>
        <w:bottom w:val="none" w:sz="0" w:space="0" w:color="auto"/>
        <w:right w:val="none" w:sz="0" w:space="0" w:color="auto"/>
      </w:divBdr>
    </w:div>
    <w:div w:id="1335573744">
      <w:bodyDiv w:val="1"/>
      <w:marLeft w:val="0"/>
      <w:marRight w:val="0"/>
      <w:marTop w:val="0"/>
      <w:marBottom w:val="0"/>
      <w:divBdr>
        <w:top w:val="none" w:sz="0" w:space="0" w:color="auto"/>
        <w:left w:val="none" w:sz="0" w:space="0" w:color="auto"/>
        <w:bottom w:val="none" w:sz="0" w:space="0" w:color="auto"/>
        <w:right w:val="none" w:sz="0" w:space="0" w:color="auto"/>
      </w:divBdr>
    </w:div>
    <w:div w:id="1335958190">
      <w:bodyDiv w:val="1"/>
      <w:marLeft w:val="0"/>
      <w:marRight w:val="0"/>
      <w:marTop w:val="0"/>
      <w:marBottom w:val="0"/>
      <w:divBdr>
        <w:top w:val="none" w:sz="0" w:space="0" w:color="auto"/>
        <w:left w:val="none" w:sz="0" w:space="0" w:color="auto"/>
        <w:bottom w:val="none" w:sz="0" w:space="0" w:color="auto"/>
        <w:right w:val="none" w:sz="0" w:space="0" w:color="auto"/>
      </w:divBdr>
    </w:div>
    <w:div w:id="1337422841">
      <w:bodyDiv w:val="1"/>
      <w:marLeft w:val="0"/>
      <w:marRight w:val="0"/>
      <w:marTop w:val="0"/>
      <w:marBottom w:val="0"/>
      <w:divBdr>
        <w:top w:val="none" w:sz="0" w:space="0" w:color="auto"/>
        <w:left w:val="none" w:sz="0" w:space="0" w:color="auto"/>
        <w:bottom w:val="none" w:sz="0" w:space="0" w:color="auto"/>
        <w:right w:val="none" w:sz="0" w:space="0" w:color="auto"/>
      </w:divBdr>
    </w:div>
    <w:div w:id="1337802786">
      <w:bodyDiv w:val="1"/>
      <w:marLeft w:val="0"/>
      <w:marRight w:val="0"/>
      <w:marTop w:val="0"/>
      <w:marBottom w:val="0"/>
      <w:divBdr>
        <w:top w:val="none" w:sz="0" w:space="0" w:color="auto"/>
        <w:left w:val="none" w:sz="0" w:space="0" w:color="auto"/>
        <w:bottom w:val="none" w:sz="0" w:space="0" w:color="auto"/>
        <w:right w:val="none" w:sz="0" w:space="0" w:color="auto"/>
      </w:divBdr>
    </w:div>
    <w:div w:id="1339773678">
      <w:bodyDiv w:val="1"/>
      <w:marLeft w:val="0"/>
      <w:marRight w:val="0"/>
      <w:marTop w:val="0"/>
      <w:marBottom w:val="0"/>
      <w:divBdr>
        <w:top w:val="none" w:sz="0" w:space="0" w:color="auto"/>
        <w:left w:val="none" w:sz="0" w:space="0" w:color="auto"/>
        <w:bottom w:val="none" w:sz="0" w:space="0" w:color="auto"/>
        <w:right w:val="none" w:sz="0" w:space="0" w:color="auto"/>
      </w:divBdr>
    </w:div>
    <w:div w:id="1339850384">
      <w:bodyDiv w:val="1"/>
      <w:marLeft w:val="0"/>
      <w:marRight w:val="0"/>
      <w:marTop w:val="0"/>
      <w:marBottom w:val="0"/>
      <w:divBdr>
        <w:top w:val="none" w:sz="0" w:space="0" w:color="auto"/>
        <w:left w:val="none" w:sz="0" w:space="0" w:color="auto"/>
        <w:bottom w:val="none" w:sz="0" w:space="0" w:color="auto"/>
        <w:right w:val="none" w:sz="0" w:space="0" w:color="auto"/>
      </w:divBdr>
    </w:div>
    <w:div w:id="1341392707">
      <w:bodyDiv w:val="1"/>
      <w:marLeft w:val="0"/>
      <w:marRight w:val="0"/>
      <w:marTop w:val="0"/>
      <w:marBottom w:val="0"/>
      <w:divBdr>
        <w:top w:val="none" w:sz="0" w:space="0" w:color="auto"/>
        <w:left w:val="none" w:sz="0" w:space="0" w:color="auto"/>
        <w:bottom w:val="none" w:sz="0" w:space="0" w:color="auto"/>
        <w:right w:val="none" w:sz="0" w:space="0" w:color="auto"/>
      </w:divBdr>
    </w:div>
    <w:div w:id="1341544599">
      <w:bodyDiv w:val="1"/>
      <w:marLeft w:val="0"/>
      <w:marRight w:val="0"/>
      <w:marTop w:val="0"/>
      <w:marBottom w:val="0"/>
      <w:divBdr>
        <w:top w:val="none" w:sz="0" w:space="0" w:color="auto"/>
        <w:left w:val="none" w:sz="0" w:space="0" w:color="auto"/>
        <w:bottom w:val="none" w:sz="0" w:space="0" w:color="auto"/>
        <w:right w:val="none" w:sz="0" w:space="0" w:color="auto"/>
      </w:divBdr>
    </w:div>
    <w:div w:id="1342316982">
      <w:bodyDiv w:val="1"/>
      <w:marLeft w:val="0"/>
      <w:marRight w:val="0"/>
      <w:marTop w:val="0"/>
      <w:marBottom w:val="0"/>
      <w:divBdr>
        <w:top w:val="none" w:sz="0" w:space="0" w:color="auto"/>
        <w:left w:val="none" w:sz="0" w:space="0" w:color="auto"/>
        <w:bottom w:val="none" w:sz="0" w:space="0" w:color="auto"/>
        <w:right w:val="none" w:sz="0" w:space="0" w:color="auto"/>
      </w:divBdr>
    </w:div>
    <w:div w:id="1343125104">
      <w:bodyDiv w:val="1"/>
      <w:marLeft w:val="0"/>
      <w:marRight w:val="0"/>
      <w:marTop w:val="0"/>
      <w:marBottom w:val="0"/>
      <w:divBdr>
        <w:top w:val="none" w:sz="0" w:space="0" w:color="auto"/>
        <w:left w:val="none" w:sz="0" w:space="0" w:color="auto"/>
        <w:bottom w:val="none" w:sz="0" w:space="0" w:color="auto"/>
        <w:right w:val="none" w:sz="0" w:space="0" w:color="auto"/>
      </w:divBdr>
    </w:div>
    <w:div w:id="1345010870">
      <w:bodyDiv w:val="1"/>
      <w:marLeft w:val="0"/>
      <w:marRight w:val="0"/>
      <w:marTop w:val="0"/>
      <w:marBottom w:val="0"/>
      <w:divBdr>
        <w:top w:val="none" w:sz="0" w:space="0" w:color="auto"/>
        <w:left w:val="none" w:sz="0" w:space="0" w:color="auto"/>
        <w:bottom w:val="none" w:sz="0" w:space="0" w:color="auto"/>
        <w:right w:val="none" w:sz="0" w:space="0" w:color="auto"/>
      </w:divBdr>
    </w:div>
    <w:div w:id="1346050983">
      <w:bodyDiv w:val="1"/>
      <w:marLeft w:val="0"/>
      <w:marRight w:val="0"/>
      <w:marTop w:val="0"/>
      <w:marBottom w:val="0"/>
      <w:divBdr>
        <w:top w:val="none" w:sz="0" w:space="0" w:color="auto"/>
        <w:left w:val="none" w:sz="0" w:space="0" w:color="auto"/>
        <w:bottom w:val="none" w:sz="0" w:space="0" w:color="auto"/>
        <w:right w:val="none" w:sz="0" w:space="0" w:color="auto"/>
      </w:divBdr>
    </w:div>
    <w:div w:id="1346593880">
      <w:bodyDiv w:val="1"/>
      <w:marLeft w:val="0"/>
      <w:marRight w:val="0"/>
      <w:marTop w:val="0"/>
      <w:marBottom w:val="0"/>
      <w:divBdr>
        <w:top w:val="none" w:sz="0" w:space="0" w:color="auto"/>
        <w:left w:val="none" w:sz="0" w:space="0" w:color="auto"/>
        <w:bottom w:val="none" w:sz="0" w:space="0" w:color="auto"/>
        <w:right w:val="none" w:sz="0" w:space="0" w:color="auto"/>
      </w:divBdr>
    </w:div>
    <w:div w:id="1347441135">
      <w:bodyDiv w:val="1"/>
      <w:marLeft w:val="0"/>
      <w:marRight w:val="0"/>
      <w:marTop w:val="0"/>
      <w:marBottom w:val="0"/>
      <w:divBdr>
        <w:top w:val="none" w:sz="0" w:space="0" w:color="auto"/>
        <w:left w:val="none" w:sz="0" w:space="0" w:color="auto"/>
        <w:bottom w:val="none" w:sz="0" w:space="0" w:color="auto"/>
        <w:right w:val="none" w:sz="0" w:space="0" w:color="auto"/>
      </w:divBdr>
    </w:div>
    <w:div w:id="1347712597">
      <w:bodyDiv w:val="1"/>
      <w:marLeft w:val="0"/>
      <w:marRight w:val="0"/>
      <w:marTop w:val="0"/>
      <w:marBottom w:val="0"/>
      <w:divBdr>
        <w:top w:val="none" w:sz="0" w:space="0" w:color="auto"/>
        <w:left w:val="none" w:sz="0" w:space="0" w:color="auto"/>
        <w:bottom w:val="none" w:sz="0" w:space="0" w:color="auto"/>
        <w:right w:val="none" w:sz="0" w:space="0" w:color="auto"/>
      </w:divBdr>
    </w:div>
    <w:div w:id="1348367891">
      <w:bodyDiv w:val="1"/>
      <w:marLeft w:val="0"/>
      <w:marRight w:val="0"/>
      <w:marTop w:val="0"/>
      <w:marBottom w:val="0"/>
      <w:divBdr>
        <w:top w:val="none" w:sz="0" w:space="0" w:color="auto"/>
        <w:left w:val="none" w:sz="0" w:space="0" w:color="auto"/>
        <w:bottom w:val="none" w:sz="0" w:space="0" w:color="auto"/>
        <w:right w:val="none" w:sz="0" w:space="0" w:color="auto"/>
      </w:divBdr>
    </w:div>
    <w:div w:id="1349523766">
      <w:bodyDiv w:val="1"/>
      <w:marLeft w:val="0"/>
      <w:marRight w:val="0"/>
      <w:marTop w:val="0"/>
      <w:marBottom w:val="0"/>
      <w:divBdr>
        <w:top w:val="none" w:sz="0" w:space="0" w:color="auto"/>
        <w:left w:val="none" w:sz="0" w:space="0" w:color="auto"/>
        <w:bottom w:val="none" w:sz="0" w:space="0" w:color="auto"/>
        <w:right w:val="none" w:sz="0" w:space="0" w:color="auto"/>
      </w:divBdr>
    </w:div>
    <w:div w:id="1352297248">
      <w:bodyDiv w:val="1"/>
      <w:marLeft w:val="0"/>
      <w:marRight w:val="0"/>
      <w:marTop w:val="0"/>
      <w:marBottom w:val="0"/>
      <w:divBdr>
        <w:top w:val="none" w:sz="0" w:space="0" w:color="auto"/>
        <w:left w:val="none" w:sz="0" w:space="0" w:color="auto"/>
        <w:bottom w:val="none" w:sz="0" w:space="0" w:color="auto"/>
        <w:right w:val="none" w:sz="0" w:space="0" w:color="auto"/>
      </w:divBdr>
    </w:div>
    <w:div w:id="1352610873">
      <w:bodyDiv w:val="1"/>
      <w:marLeft w:val="0"/>
      <w:marRight w:val="0"/>
      <w:marTop w:val="0"/>
      <w:marBottom w:val="0"/>
      <w:divBdr>
        <w:top w:val="none" w:sz="0" w:space="0" w:color="auto"/>
        <w:left w:val="none" w:sz="0" w:space="0" w:color="auto"/>
        <w:bottom w:val="none" w:sz="0" w:space="0" w:color="auto"/>
        <w:right w:val="none" w:sz="0" w:space="0" w:color="auto"/>
      </w:divBdr>
    </w:div>
    <w:div w:id="1353721596">
      <w:bodyDiv w:val="1"/>
      <w:marLeft w:val="0"/>
      <w:marRight w:val="0"/>
      <w:marTop w:val="0"/>
      <w:marBottom w:val="0"/>
      <w:divBdr>
        <w:top w:val="none" w:sz="0" w:space="0" w:color="auto"/>
        <w:left w:val="none" w:sz="0" w:space="0" w:color="auto"/>
        <w:bottom w:val="none" w:sz="0" w:space="0" w:color="auto"/>
        <w:right w:val="none" w:sz="0" w:space="0" w:color="auto"/>
      </w:divBdr>
    </w:div>
    <w:div w:id="1353729875">
      <w:bodyDiv w:val="1"/>
      <w:marLeft w:val="0"/>
      <w:marRight w:val="0"/>
      <w:marTop w:val="0"/>
      <w:marBottom w:val="0"/>
      <w:divBdr>
        <w:top w:val="none" w:sz="0" w:space="0" w:color="auto"/>
        <w:left w:val="none" w:sz="0" w:space="0" w:color="auto"/>
        <w:bottom w:val="none" w:sz="0" w:space="0" w:color="auto"/>
        <w:right w:val="none" w:sz="0" w:space="0" w:color="auto"/>
      </w:divBdr>
    </w:div>
    <w:div w:id="1354452783">
      <w:bodyDiv w:val="1"/>
      <w:marLeft w:val="0"/>
      <w:marRight w:val="0"/>
      <w:marTop w:val="0"/>
      <w:marBottom w:val="0"/>
      <w:divBdr>
        <w:top w:val="none" w:sz="0" w:space="0" w:color="auto"/>
        <w:left w:val="none" w:sz="0" w:space="0" w:color="auto"/>
        <w:bottom w:val="none" w:sz="0" w:space="0" w:color="auto"/>
        <w:right w:val="none" w:sz="0" w:space="0" w:color="auto"/>
      </w:divBdr>
    </w:div>
    <w:div w:id="1354501045">
      <w:bodyDiv w:val="1"/>
      <w:marLeft w:val="0"/>
      <w:marRight w:val="0"/>
      <w:marTop w:val="0"/>
      <w:marBottom w:val="0"/>
      <w:divBdr>
        <w:top w:val="none" w:sz="0" w:space="0" w:color="auto"/>
        <w:left w:val="none" w:sz="0" w:space="0" w:color="auto"/>
        <w:bottom w:val="none" w:sz="0" w:space="0" w:color="auto"/>
        <w:right w:val="none" w:sz="0" w:space="0" w:color="auto"/>
      </w:divBdr>
    </w:div>
    <w:div w:id="1356233034">
      <w:bodyDiv w:val="1"/>
      <w:marLeft w:val="0"/>
      <w:marRight w:val="0"/>
      <w:marTop w:val="0"/>
      <w:marBottom w:val="0"/>
      <w:divBdr>
        <w:top w:val="none" w:sz="0" w:space="0" w:color="auto"/>
        <w:left w:val="none" w:sz="0" w:space="0" w:color="auto"/>
        <w:bottom w:val="none" w:sz="0" w:space="0" w:color="auto"/>
        <w:right w:val="none" w:sz="0" w:space="0" w:color="auto"/>
      </w:divBdr>
    </w:div>
    <w:div w:id="1358000355">
      <w:bodyDiv w:val="1"/>
      <w:marLeft w:val="0"/>
      <w:marRight w:val="0"/>
      <w:marTop w:val="0"/>
      <w:marBottom w:val="0"/>
      <w:divBdr>
        <w:top w:val="none" w:sz="0" w:space="0" w:color="auto"/>
        <w:left w:val="none" w:sz="0" w:space="0" w:color="auto"/>
        <w:bottom w:val="none" w:sz="0" w:space="0" w:color="auto"/>
        <w:right w:val="none" w:sz="0" w:space="0" w:color="auto"/>
      </w:divBdr>
    </w:div>
    <w:div w:id="1358505043">
      <w:bodyDiv w:val="1"/>
      <w:marLeft w:val="0"/>
      <w:marRight w:val="0"/>
      <w:marTop w:val="0"/>
      <w:marBottom w:val="0"/>
      <w:divBdr>
        <w:top w:val="none" w:sz="0" w:space="0" w:color="auto"/>
        <w:left w:val="none" w:sz="0" w:space="0" w:color="auto"/>
        <w:bottom w:val="none" w:sz="0" w:space="0" w:color="auto"/>
        <w:right w:val="none" w:sz="0" w:space="0" w:color="auto"/>
      </w:divBdr>
    </w:div>
    <w:div w:id="1359551813">
      <w:bodyDiv w:val="1"/>
      <w:marLeft w:val="0"/>
      <w:marRight w:val="0"/>
      <w:marTop w:val="0"/>
      <w:marBottom w:val="0"/>
      <w:divBdr>
        <w:top w:val="none" w:sz="0" w:space="0" w:color="auto"/>
        <w:left w:val="none" w:sz="0" w:space="0" w:color="auto"/>
        <w:bottom w:val="none" w:sz="0" w:space="0" w:color="auto"/>
        <w:right w:val="none" w:sz="0" w:space="0" w:color="auto"/>
      </w:divBdr>
    </w:div>
    <w:div w:id="1360735806">
      <w:bodyDiv w:val="1"/>
      <w:marLeft w:val="0"/>
      <w:marRight w:val="0"/>
      <w:marTop w:val="0"/>
      <w:marBottom w:val="0"/>
      <w:divBdr>
        <w:top w:val="none" w:sz="0" w:space="0" w:color="auto"/>
        <w:left w:val="none" w:sz="0" w:space="0" w:color="auto"/>
        <w:bottom w:val="none" w:sz="0" w:space="0" w:color="auto"/>
        <w:right w:val="none" w:sz="0" w:space="0" w:color="auto"/>
      </w:divBdr>
    </w:div>
    <w:div w:id="1361316191">
      <w:bodyDiv w:val="1"/>
      <w:marLeft w:val="0"/>
      <w:marRight w:val="0"/>
      <w:marTop w:val="0"/>
      <w:marBottom w:val="0"/>
      <w:divBdr>
        <w:top w:val="none" w:sz="0" w:space="0" w:color="auto"/>
        <w:left w:val="none" w:sz="0" w:space="0" w:color="auto"/>
        <w:bottom w:val="none" w:sz="0" w:space="0" w:color="auto"/>
        <w:right w:val="none" w:sz="0" w:space="0" w:color="auto"/>
      </w:divBdr>
    </w:div>
    <w:div w:id="1361323241">
      <w:bodyDiv w:val="1"/>
      <w:marLeft w:val="0"/>
      <w:marRight w:val="0"/>
      <w:marTop w:val="0"/>
      <w:marBottom w:val="0"/>
      <w:divBdr>
        <w:top w:val="none" w:sz="0" w:space="0" w:color="auto"/>
        <w:left w:val="none" w:sz="0" w:space="0" w:color="auto"/>
        <w:bottom w:val="none" w:sz="0" w:space="0" w:color="auto"/>
        <w:right w:val="none" w:sz="0" w:space="0" w:color="auto"/>
      </w:divBdr>
    </w:div>
    <w:div w:id="1361474863">
      <w:bodyDiv w:val="1"/>
      <w:marLeft w:val="0"/>
      <w:marRight w:val="0"/>
      <w:marTop w:val="0"/>
      <w:marBottom w:val="0"/>
      <w:divBdr>
        <w:top w:val="none" w:sz="0" w:space="0" w:color="auto"/>
        <w:left w:val="none" w:sz="0" w:space="0" w:color="auto"/>
        <w:bottom w:val="none" w:sz="0" w:space="0" w:color="auto"/>
        <w:right w:val="none" w:sz="0" w:space="0" w:color="auto"/>
      </w:divBdr>
    </w:div>
    <w:div w:id="1361735503">
      <w:bodyDiv w:val="1"/>
      <w:marLeft w:val="0"/>
      <w:marRight w:val="0"/>
      <w:marTop w:val="0"/>
      <w:marBottom w:val="0"/>
      <w:divBdr>
        <w:top w:val="none" w:sz="0" w:space="0" w:color="auto"/>
        <w:left w:val="none" w:sz="0" w:space="0" w:color="auto"/>
        <w:bottom w:val="none" w:sz="0" w:space="0" w:color="auto"/>
        <w:right w:val="none" w:sz="0" w:space="0" w:color="auto"/>
      </w:divBdr>
    </w:div>
    <w:div w:id="1361853649">
      <w:bodyDiv w:val="1"/>
      <w:marLeft w:val="0"/>
      <w:marRight w:val="0"/>
      <w:marTop w:val="0"/>
      <w:marBottom w:val="0"/>
      <w:divBdr>
        <w:top w:val="none" w:sz="0" w:space="0" w:color="auto"/>
        <w:left w:val="none" w:sz="0" w:space="0" w:color="auto"/>
        <w:bottom w:val="none" w:sz="0" w:space="0" w:color="auto"/>
        <w:right w:val="none" w:sz="0" w:space="0" w:color="auto"/>
      </w:divBdr>
    </w:div>
    <w:div w:id="1362051077">
      <w:bodyDiv w:val="1"/>
      <w:marLeft w:val="0"/>
      <w:marRight w:val="0"/>
      <w:marTop w:val="0"/>
      <w:marBottom w:val="0"/>
      <w:divBdr>
        <w:top w:val="none" w:sz="0" w:space="0" w:color="auto"/>
        <w:left w:val="none" w:sz="0" w:space="0" w:color="auto"/>
        <w:bottom w:val="none" w:sz="0" w:space="0" w:color="auto"/>
        <w:right w:val="none" w:sz="0" w:space="0" w:color="auto"/>
      </w:divBdr>
    </w:div>
    <w:div w:id="1363356438">
      <w:bodyDiv w:val="1"/>
      <w:marLeft w:val="0"/>
      <w:marRight w:val="0"/>
      <w:marTop w:val="0"/>
      <w:marBottom w:val="0"/>
      <w:divBdr>
        <w:top w:val="none" w:sz="0" w:space="0" w:color="auto"/>
        <w:left w:val="none" w:sz="0" w:space="0" w:color="auto"/>
        <w:bottom w:val="none" w:sz="0" w:space="0" w:color="auto"/>
        <w:right w:val="none" w:sz="0" w:space="0" w:color="auto"/>
      </w:divBdr>
    </w:div>
    <w:div w:id="1363631854">
      <w:bodyDiv w:val="1"/>
      <w:marLeft w:val="0"/>
      <w:marRight w:val="0"/>
      <w:marTop w:val="0"/>
      <w:marBottom w:val="0"/>
      <w:divBdr>
        <w:top w:val="none" w:sz="0" w:space="0" w:color="auto"/>
        <w:left w:val="none" w:sz="0" w:space="0" w:color="auto"/>
        <w:bottom w:val="none" w:sz="0" w:space="0" w:color="auto"/>
        <w:right w:val="none" w:sz="0" w:space="0" w:color="auto"/>
      </w:divBdr>
    </w:div>
    <w:div w:id="1365863278">
      <w:bodyDiv w:val="1"/>
      <w:marLeft w:val="0"/>
      <w:marRight w:val="0"/>
      <w:marTop w:val="0"/>
      <w:marBottom w:val="0"/>
      <w:divBdr>
        <w:top w:val="none" w:sz="0" w:space="0" w:color="auto"/>
        <w:left w:val="none" w:sz="0" w:space="0" w:color="auto"/>
        <w:bottom w:val="none" w:sz="0" w:space="0" w:color="auto"/>
        <w:right w:val="none" w:sz="0" w:space="0" w:color="auto"/>
      </w:divBdr>
    </w:div>
    <w:div w:id="1366753985">
      <w:bodyDiv w:val="1"/>
      <w:marLeft w:val="0"/>
      <w:marRight w:val="0"/>
      <w:marTop w:val="0"/>
      <w:marBottom w:val="0"/>
      <w:divBdr>
        <w:top w:val="none" w:sz="0" w:space="0" w:color="auto"/>
        <w:left w:val="none" w:sz="0" w:space="0" w:color="auto"/>
        <w:bottom w:val="none" w:sz="0" w:space="0" w:color="auto"/>
        <w:right w:val="none" w:sz="0" w:space="0" w:color="auto"/>
      </w:divBdr>
    </w:div>
    <w:div w:id="1366977114">
      <w:bodyDiv w:val="1"/>
      <w:marLeft w:val="0"/>
      <w:marRight w:val="0"/>
      <w:marTop w:val="0"/>
      <w:marBottom w:val="0"/>
      <w:divBdr>
        <w:top w:val="none" w:sz="0" w:space="0" w:color="auto"/>
        <w:left w:val="none" w:sz="0" w:space="0" w:color="auto"/>
        <w:bottom w:val="none" w:sz="0" w:space="0" w:color="auto"/>
        <w:right w:val="none" w:sz="0" w:space="0" w:color="auto"/>
      </w:divBdr>
    </w:div>
    <w:div w:id="1367413748">
      <w:bodyDiv w:val="1"/>
      <w:marLeft w:val="0"/>
      <w:marRight w:val="0"/>
      <w:marTop w:val="0"/>
      <w:marBottom w:val="0"/>
      <w:divBdr>
        <w:top w:val="none" w:sz="0" w:space="0" w:color="auto"/>
        <w:left w:val="none" w:sz="0" w:space="0" w:color="auto"/>
        <w:bottom w:val="none" w:sz="0" w:space="0" w:color="auto"/>
        <w:right w:val="none" w:sz="0" w:space="0" w:color="auto"/>
      </w:divBdr>
    </w:div>
    <w:div w:id="1368019270">
      <w:bodyDiv w:val="1"/>
      <w:marLeft w:val="0"/>
      <w:marRight w:val="0"/>
      <w:marTop w:val="0"/>
      <w:marBottom w:val="0"/>
      <w:divBdr>
        <w:top w:val="none" w:sz="0" w:space="0" w:color="auto"/>
        <w:left w:val="none" w:sz="0" w:space="0" w:color="auto"/>
        <w:bottom w:val="none" w:sz="0" w:space="0" w:color="auto"/>
        <w:right w:val="none" w:sz="0" w:space="0" w:color="auto"/>
      </w:divBdr>
    </w:div>
    <w:div w:id="1368095338">
      <w:bodyDiv w:val="1"/>
      <w:marLeft w:val="0"/>
      <w:marRight w:val="0"/>
      <w:marTop w:val="0"/>
      <w:marBottom w:val="0"/>
      <w:divBdr>
        <w:top w:val="none" w:sz="0" w:space="0" w:color="auto"/>
        <w:left w:val="none" w:sz="0" w:space="0" w:color="auto"/>
        <w:bottom w:val="none" w:sz="0" w:space="0" w:color="auto"/>
        <w:right w:val="none" w:sz="0" w:space="0" w:color="auto"/>
      </w:divBdr>
    </w:div>
    <w:div w:id="1368217118">
      <w:bodyDiv w:val="1"/>
      <w:marLeft w:val="0"/>
      <w:marRight w:val="0"/>
      <w:marTop w:val="0"/>
      <w:marBottom w:val="0"/>
      <w:divBdr>
        <w:top w:val="none" w:sz="0" w:space="0" w:color="auto"/>
        <w:left w:val="none" w:sz="0" w:space="0" w:color="auto"/>
        <w:bottom w:val="none" w:sz="0" w:space="0" w:color="auto"/>
        <w:right w:val="none" w:sz="0" w:space="0" w:color="auto"/>
      </w:divBdr>
    </w:div>
    <w:div w:id="1368330801">
      <w:bodyDiv w:val="1"/>
      <w:marLeft w:val="0"/>
      <w:marRight w:val="0"/>
      <w:marTop w:val="0"/>
      <w:marBottom w:val="0"/>
      <w:divBdr>
        <w:top w:val="none" w:sz="0" w:space="0" w:color="auto"/>
        <w:left w:val="none" w:sz="0" w:space="0" w:color="auto"/>
        <w:bottom w:val="none" w:sz="0" w:space="0" w:color="auto"/>
        <w:right w:val="none" w:sz="0" w:space="0" w:color="auto"/>
      </w:divBdr>
    </w:div>
    <w:div w:id="1369985544">
      <w:bodyDiv w:val="1"/>
      <w:marLeft w:val="0"/>
      <w:marRight w:val="0"/>
      <w:marTop w:val="0"/>
      <w:marBottom w:val="0"/>
      <w:divBdr>
        <w:top w:val="none" w:sz="0" w:space="0" w:color="auto"/>
        <w:left w:val="none" w:sz="0" w:space="0" w:color="auto"/>
        <w:bottom w:val="none" w:sz="0" w:space="0" w:color="auto"/>
        <w:right w:val="none" w:sz="0" w:space="0" w:color="auto"/>
      </w:divBdr>
    </w:div>
    <w:div w:id="1370186792">
      <w:bodyDiv w:val="1"/>
      <w:marLeft w:val="0"/>
      <w:marRight w:val="0"/>
      <w:marTop w:val="0"/>
      <w:marBottom w:val="0"/>
      <w:divBdr>
        <w:top w:val="none" w:sz="0" w:space="0" w:color="auto"/>
        <w:left w:val="none" w:sz="0" w:space="0" w:color="auto"/>
        <w:bottom w:val="none" w:sz="0" w:space="0" w:color="auto"/>
        <w:right w:val="none" w:sz="0" w:space="0" w:color="auto"/>
      </w:divBdr>
    </w:div>
    <w:div w:id="1371418158">
      <w:bodyDiv w:val="1"/>
      <w:marLeft w:val="0"/>
      <w:marRight w:val="0"/>
      <w:marTop w:val="0"/>
      <w:marBottom w:val="0"/>
      <w:divBdr>
        <w:top w:val="none" w:sz="0" w:space="0" w:color="auto"/>
        <w:left w:val="none" w:sz="0" w:space="0" w:color="auto"/>
        <w:bottom w:val="none" w:sz="0" w:space="0" w:color="auto"/>
        <w:right w:val="none" w:sz="0" w:space="0" w:color="auto"/>
      </w:divBdr>
    </w:div>
    <w:div w:id="1372002289">
      <w:bodyDiv w:val="1"/>
      <w:marLeft w:val="0"/>
      <w:marRight w:val="0"/>
      <w:marTop w:val="0"/>
      <w:marBottom w:val="0"/>
      <w:divBdr>
        <w:top w:val="none" w:sz="0" w:space="0" w:color="auto"/>
        <w:left w:val="none" w:sz="0" w:space="0" w:color="auto"/>
        <w:bottom w:val="none" w:sz="0" w:space="0" w:color="auto"/>
        <w:right w:val="none" w:sz="0" w:space="0" w:color="auto"/>
      </w:divBdr>
    </w:div>
    <w:div w:id="1372073925">
      <w:bodyDiv w:val="1"/>
      <w:marLeft w:val="0"/>
      <w:marRight w:val="0"/>
      <w:marTop w:val="0"/>
      <w:marBottom w:val="0"/>
      <w:divBdr>
        <w:top w:val="none" w:sz="0" w:space="0" w:color="auto"/>
        <w:left w:val="none" w:sz="0" w:space="0" w:color="auto"/>
        <w:bottom w:val="none" w:sz="0" w:space="0" w:color="auto"/>
        <w:right w:val="none" w:sz="0" w:space="0" w:color="auto"/>
      </w:divBdr>
    </w:div>
    <w:div w:id="1372265223">
      <w:bodyDiv w:val="1"/>
      <w:marLeft w:val="0"/>
      <w:marRight w:val="0"/>
      <w:marTop w:val="0"/>
      <w:marBottom w:val="0"/>
      <w:divBdr>
        <w:top w:val="none" w:sz="0" w:space="0" w:color="auto"/>
        <w:left w:val="none" w:sz="0" w:space="0" w:color="auto"/>
        <w:bottom w:val="none" w:sz="0" w:space="0" w:color="auto"/>
        <w:right w:val="none" w:sz="0" w:space="0" w:color="auto"/>
      </w:divBdr>
    </w:div>
    <w:div w:id="1374232029">
      <w:bodyDiv w:val="1"/>
      <w:marLeft w:val="0"/>
      <w:marRight w:val="0"/>
      <w:marTop w:val="0"/>
      <w:marBottom w:val="0"/>
      <w:divBdr>
        <w:top w:val="none" w:sz="0" w:space="0" w:color="auto"/>
        <w:left w:val="none" w:sz="0" w:space="0" w:color="auto"/>
        <w:bottom w:val="none" w:sz="0" w:space="0" w:color="auto"/>
        <w:right w:val="none" w:sz="0" w:space="0" w:color="auto"/>
      </w:divBdr>
    </w:div>
    <w:div w:id="1374887078">
      <w:bodyDiv w:val="1"/>
      <w:marLeft w:val="0"/>
      <w:marRight w:val="0"/>
      <w:marTop w:val="0"/>
      <w:marBottom w:val="0"/>
      <w:divBdr>
        <w:top w:val="none" w:sz="0" w:space="0" w:color="auto"/>
        <w:left w:val="none" w:sz="0" w:space="0" w:color="auto"/>
        <w:bottom w:val="none" w:sz="0" w:space="0" w:color="auto"/>
        <w:right w:val="none" w:sz="0" w:space="0" w:color="auto"/>
      </w:divBdr>
    </w:div>
    <w:div w:id="1375471071">
      <w:bodyDiv w:val="1"/>
      <w:marLeft w:val="0"/>
      <w:marRight w:val="0"/>
      <w:marTop w:val="0"/>
      <w:marBottom w:val="0"/>
      <w:divBdr>
        <w:top w:val="none" w:sz="0" w:space="0" w:color="auto"/>
        <w:left w:val="none" w:sz="0" w:space="0" w:color="auto"/>
        <w:bottom w:val="none" w:sz="0" w:space="0" w:color="auto"/>
        <w:right w:val="none" w:sz="0" w:space="0" w:color="auto"/>
      </w:divBdr>
    </w:div>
    <w:div w:id="1376395796">
      <w:bodyDiv w:val="1"/>
      <w:marLeft w:val="0"/>
      <w:marRight w:val="0"/>
      <w:marTop w:val="0"/>
      <w:marBottom w:val="0"/>
      <w:divBdr>
        <w:top w:val="none" w:sz="0" w:space="0" w:color="auto"/>
        <w:left w:val="none" w:sz="0" w:space="0" w:color="auto"/>
        <w:bottom w:val="none" w:sz="0" w:space="0" w:color="auto"/>
        <w:right w:val="none" w:sz="0" w:space="0" w:color="auto"/>
      </w:divBdr>
    </w:div>
    <w:div w:id="1376463627">
      <w:bodyDiv w:val="1"/>
      <w:marLeft w:val="0"/>
      <w:marRight w:val="0"/>
      <w:marTop w:val="0"/>
      <w:marBottom w:val="0"/>
      <w:divBdr>
        <w:top w:val="none" w:sz="0" w:space="0" w:color="auto"/>
        <w:left w:val="none" w:sz="0" w:space="0" w:color="auto"/>
        <w:bottom w:val="none" w:sz="0" w:space="0" w:color="auto"/>
        <w:right w:val="none" w:sz="0" w:space="0" w:color="auto"/>
      </w:divBdr>
    </w:div>
    <w:div w:id="1376660099">
      <w:bodyDiv w:val="1"/>
      <w:marLeft w:val="0"/>
      <w:marRight w:val="0"/>
      <w:marTop w:val="0"/>
      <w:marBottom w:val="0"/>
      <w:divBdr>
        <w:top w:val="none" w:sz="0" w:space="0" w:color="auto"/>
        <w:left w:val="none" w:sz="0" w:space="0" w:color="auto"/>
        <w:bottom w:val="none" w:sz="0" w:space="0" w:color="auto"/>
        <w:right w:val="none" w:sz="0" w:space="0" w:color="auto"/>
      </w:divBdr>
    </w:div>
    <w:div w:id="1376807636">
      <w:bodyDiv w:val="1"/>
      <w:marLeft w:val="0"/>
      <w:marRight w:val="0"/>
      <w:marTop w:val="0"/>
      <w:marBottom w:val="0"/>
      <w:divBdr>
        <w:top w:val="none" w:sz="0" w:space="0" w:color="auto"/>
        <w:left w:val="none" w:sz="0" w:space="0" w:color="auto"/>
        <w:bottom w:val="none" w:sz="0" w:space="0" w:color="auto"/>
        <w:right w:val="none" w:sz="0" w:space="0" w:color="auto"/>
      </w:divBdr>
    </w:div>
    <w:div w:id="1378237771">
      <w:bodyDiv w:val="1"/>
      <w:marLeft w:val="0"/>
      <w:marRight w:val="0"/>
      <w:marTop w:val="0"/>
      <w:marBottom w:val="0"/>
      <w:divBdr>
        <w:top w:val="none" w:sz="0" w:space="0" w:color="auto"/>
        <w:left w:val="none" w:sz="0" w:space="0" w:color="auto"/>
        <w:bottom w:val="none" w:sz="0" w:space="0" w:color="auto"/>
        <w:right w:val="none" w:sz="0" w:space="0" w:color="auto"/>
      </w:divBdr>
    </w:div>
    <w:div w:id="1378508574">
      <w:bodyDiv w:val="1"/>
      <w:marLeft w:val="0"/>
      <w:marRight w:val="0"/>
      <w:marTop w:val="0"/>
      <w:marBottom w:val="0"/>
      <w:divBdr>
        <w:top w:val="none" w:sz="0" w:space="0" w:color="auto"/>
        <w:left w:val="none" w:sz="0" w:space="0" w:color="auto"/>
        <w:bottom w:val="none" w:sz="0" w:space="0" w:color="auto"/>
        <w:right w:val="none" w:sz="0" w:space="0" w:color="auto"/>
      </w:divBdr>
    </w:div>
    <w:div w:id="1378822016">
      <w:bodyDiv w:val="1"/>
      <w:marLeft w:val="0"/>
      <w:marRight w:val="0"/>
      <w:marTop w:val="0"/>
      <w:marBottom w:val="0"/>
      <w:divBdr>
        <w:top w:val="none" w:sz="0" w:space="0" w:color="auto"/>
        <w:left w:val="none" w:sz="0" w:space="0" w:color="auto"/>
        <w:bottom w:val="none" w:sz="0" w:space="0" w:color="auto"/>
        <w:right w:val="none" w:sz="0" w:space="0" w:color="auto"/>
      </w:divBdr>
    </w:div>
    <w:div w:id="1379620366">
      <w:bodyDiv w:val="1"/>
      <w:marLeft w:val="0"/>
      <w:marRight w:val="0"/>
      <w:marTop w:val="0"/>
      <w:marBottom w:val="0"/>
      <w:divBdr>
        <w:top w:val="none" w:sz="0" w:space="0" w:color="auto"/>
        <w:left w:val="none" w:sz="0" w:space="0" w:color="auto"/>
        <w:bottom w:val="none" w:sz="0" w:space="0" w:color="auto"/>
        <w:right w:val="none" w:sz="0" w:space="0" w:color="auto"/>
      </w:divBdr>
    </w:div>
    <w:div w:id="1379746898">
      <w:bodyDiv w:val="1"/>
      <w:marLeft w:val="0"/>
      <w:marRight w:val="0"/>
      <w:marTop w:val="0"/>
      <w:marBottom w:val="0"/>
      <w:divBdr>
        <w:top w:val="none" w:sz="0" w:space="0" w:color="auto"/>
        <w:left w:val="none" w:sz="0" w:space="0" w:color="auto"/>
        <w:bottom w:val="none" w:sz="0" w:space="0" w:color="auto"/>
        <w:right w:val="none" w:sz="0" w:space="0" w:color="auto"/>
      </w:divBdr>
    </w:div>
    <w:div w:id="1380206977">
      <w:bodyDiv w:val="1"/>
      <w:marLeft w:val="0"/>
      <w:marRight w:val="0"/>
      <w:marTop w:val="0"/>
      <w:marBottom w:val="0"/>
      <w:divBdr>
        <w:top w:val="none" w:sz="0" w:space="0" w:color="auto"/>
        <w:left w:val="none" w:sz="0" w:space="0" w:color="auto"/>
        <w:bottom w:val="none" w:sz="0" w:space="0" w:color="auto"/>
        <w:right w:val="none" w:sz="0" w:space="0" w:color="auto"/>
      </w:divBdr>
    </w:div>
    <w:div w:id="1380399357">
      <w:bodyDiv w:val="1"/>
      <w:marLeft w:val="0"/>
      <w:marRight w:val="0"/>
      <w:marTop w:val="0"/>
      <w:marBottom w:val="0"/>
      <w:divBdr>
        <w:top w:val="none" w:sz="0" w:space="0" w:color="auto"/>
        <w:left w:val="none" w:sz="0" w:space="0" w:color="auto"/>
        <w:bottom w:val="none" w:sz="0" w:space="0" w:color="auto"/>
        <w:right w:val="none" w:sz="0" w:space="0" w:color="auto"/>
      </w:divBdr>
    </w:div>
    <w:div w:id="1382636859">
      <w:bodyDiv w:val="1"/>
      <w:marLeft w:val="0"/>
      <w:marRight w:val="0"/>
      <w:marTop w:val="0"/>
      <w:marBottom w:val="0"/>
      <w:divBdr>
        <w:top w:val="none" w:sz="0" w:space="0" w:color="auto"/>
        <w:left w:val="none" w:sz="0" w:space="0" w:color="auto"/>
        <w:bottom w:val="none" w:sz="0" w:space="0" w:color="auto"/>
        <w:right w:val="none" w:sz="0" w:space="0" w:color="auto"/>
      </w:divBdr>
    </w:div>
    <w:div w:id="1384058719">
      <w:bodyDiv w:val="1"/>
      <w:marLeft w:val="0"/>
      <w:marRight w:val="0"/>
      <w:marTop w:val="0"/>
      <w:marBottom w:val="0"/>
      <w:divBdr>
        <w:top w:val="none" w:sz="0" w:space="0" w:color="auto"/>
        <w:left w:val="none" w:sz="0" w:space="0" w:color="auto"/>
        <w:bottom w:val="none" w:sz="0" w:space="0" w:color="auto"/>
        <w:right w:val="none" w:sz="0" w:space="0" w:color="auto"/>
      </w:divBdr>
    </w:div>
    <w:div w:id="1384139283">
      <w:bodyDiv w:val="1"/>
      <w:marLeft w:val="0"/>
      <w:marRight w:val="0"/>
      <w:marTop w:val="0"/>
      <w:marBottom w:val="0"/>
      <w:divBdr>
        <w:top w:val="none" w:sz="0" w:space="0" w:color="auto"/>
        <w:left w:val="none" w:sz="0" w:space="0" w:color="auto"/>
        <w:bottom w:val="none" w:sz="0" w:space="0" w:color="auto"/>
        <w:right w:val="none" w:sz="0" w:space="0" w:color="auto"/>
      </w:divBdr>
    </w:div>
    <w:div w:id="1385063993">
      <w:bodyDiv w:val="1"/>
      <w:marLeft w:val="0"/>
      <w:marRight w:val="0"/>
      <w:marTop w:val="0"/>
      <w:marBottom w:val="0"/>
      <w:divBdr>
        <w:top w:val="none" w:sz="0" w:space="0" w:color="auto"/>
        <w:left w:val="none" w:sz="0" w:space="0" w:color="auto"/>
        <w:bottom w:val="none" w:sz="0" w:space="0" w:color="auto"/>
        <w:right w:val="none" w:sz="0" w:space="0" w:color="auto"/>
      </w:divBdr>
    </w:div>
    <w:div w:id="1386218812">
      <w:bodyDiv w:val="1"/>
      <w:marLeft w:val="0"/>
      <w:marRight w:val="0"/>
      <w:marTop w:val="0"/>
      <w:marBottom w:val="0"/>
      <w:divBdr>
        <w:top w:val="none" w:sz="0" w:space="0" w:color="auto"/>
        <w:left w:val="none" w:sz="0" w:space="0" w:color="auto"/>
        <w:bottom w:val="none" w:sz="0" w:space="0" w:color="auto"/>
        <w:right w:val="none" w:sz="0" w:space="0" w:color="auto"/>
      </w:divBdr>
    </w:div>
    <w:div w:id="1386563333">
      <w:bodyDiv w:val="1"/>
      <w:marLeft w:val="0"/>
      <w:marRight w:val="0"/>
      <w:marTop w:val="0"/>
      <w:marBottom w:val="0"/>
      <w:divBdr>
        <w:top w:val="none" w:sz="0" w:space="0" w:color="auto"/>
        <w:left w:val="none" w:sz="0" w:space="0" w:color="auto"/>
        <w:bottom w:val="none" w:sz="0" w:space="0" w:color="auto"/>
        <w:right w:val="none" w:sz="0" w:space="0" w:color="auto"/>
      </w:divBdr>
    </w:div>
    <w:div w:id="1388649106">
      <w:bodyDiv w:val="1"/>
      <w:marLeft w:val="0"/>
      <w:marRight w:val="0"/>
      <w:marTop w:val="0"/>
      <w:marBottom w:val="0"/>
      <w:divBdr>
        <w:top w:val="none" w:sz="0" w:space="0" w:color="auto"/>
        <w:left w:val="none" w:sz="0" w:space="0" w:color="auto"/>
        <w:bottom w:val="none" w:sz="0" w:space="0" w:color="auto"/>
        <w:right w:val="none" w:sz="0" w:space="0" w:color="auto"/>
      </w:divBdr>
    </w:div>
    <w:div w:id="1388726428">
      <w:bodyDiv w:val="1"/>
      <w:marLeft w:val="0"/>
      <w:marRight w:val="0"/>
      <w:marTop w:val="0"/>
      <w:marBottom w:val="0"/>
      <w:divBdr>
        <w:top w:val="none" w:sz="0" w:space="0" w:color="auto"/>
        <w:left w:val="none" w:sz="0" w:space="0" w:color="auto"/>
        <w:bottom w:val="none" w:sz="0" w:space="0" w:color="auto"/>
        <w:right w:val="none" w:sz="0" w:space="0" w:color="auto"/>
      </w:divBdr>
    </w:div>
    <w:div w:id="1389064592">
      <w:bodyDiv w:val="1"/>
      <w:marLeft w:val="0"/>
      <w:marRight w:val="0"/>
      <w:marTop w:val="0"/>
      <w:marBottom w:val="0"/>
      <w:divBdr>
        <w:top w:val="none" w:sz="0" w:space="0" w:color="auto"/>
        <w:left w:val="none" w:sz="0" w:space="0" w:color="auto"/>
        <w:bottom w:val="none" w:sz="0" w:space="0" w:color="auto"/>
        <w:right w:val="none" w:sz="0" w:space="0" w:color="auto"/>
      </w:divBdr>
    </w:div>
    <w:div w:id="1389451373">
      <w:bodyDiv w:val="1"/>
      <w:marLeft w:val="0"/>
      <w:marRight w:val="0"/>
      <w:marTop w:val="0"/>
      <w:marBottom w:val="0"/>
      <w:divBdr>
        <w:top w:val="none" w:sz="0" w:space="0" w:color="auto"/>
        <w:left w:val="none" w:sz="0" w:space="0" w:color="auto"/>
        <w:bottom w:val="none" w:sz="0" w:space="0" w:color="auto"/>
        <w:right w:val="none" w:sz="0" w:space="0" w:color="auto"/>
      </w:divBdr>
    </w:div>
    <w:div w:id="1389912926">
      <w:bodyDiv w:val="1"/>
      <w:marLeft w:val="0"/>
      <w:marRight w:val="0"/>
      <w:marTop w:val="0"/>
      <w:marBottom w:val="0"/>
      <w:divBdr>
        <w:top w:val="none" w:sz="0" w:space="0" w:color="auto"/>
        <w:left w:val="none" w:sz="0" w:space="0" w:color="auto"/>
        <w:bottom w:val="none" w:sz="0" w:space="0" w:color="auto"/>
        <w:right w:val="none" w:sz="0" w:space="0" w:color="auto"/>
      </w:divBdr>
    </w:div>
    <w:div w:id="1391072456">
      <w:bodyDiv w:val="1"/>
      <w:marLeft w:val="0"/>
      <w:marRight w:val="0"/>
      <w:marTop w:val="0"/>
      <w:marBottom w:val="0"/>
      <w:divBdr>
        <w:top w:val="none" w:sz="0" w:space="0" w:color="auto"/>
        <w:left w:val="none" w:sz="0" w:space="0" w:color="auto"/>
        <w:bottom w:val="none" w:sz="0" w:space="0" w:color="auto"/>
        <w:right w:val="none" w:sz="0" w:space="0" w:color="auto"/>
      </w:divBdr>
    </w:div>
    <w:div w:id="1391802032">
      <w:bodyDiv w:val="1"/>
      <w:marLeft w:val="0"/>
      <w:marRight w:val="0"/>
      <w:marTop w:val="0"/>
      <w:marBottom w:val="0"/>
      <w:divBdr>
        <w:top w:val="none" w:sz="0" w:space="0" w:color="auto"/>
        <w:left w:val="none" w:sz="0" w:space="0" w:color="auto"/>
        <w:bottom w:val="none" w:sz="0" w:space="0" w:color="auto"/>
        <w:right w:val="none" w:sz="0" w:space="0" w:color="auto"/>
      </w:divBdr>
    </w:div>
    <w:div w:id="1392461579">
      <w:bodyDiv w:val="1"/>
      <w:marLeft w:val="0"/>
      <w:marRight w:val="0"/>
      <w:marTop w:val="0"/>
      <w:marBottom w:val="0"/>
      <w:divBdr>
        <w:top w:val="none" w:sz="0" w:space="0" w:color="auto"/>
        <w:left w:val="none" w:sz="0" w:space="0" w:color="auto"/>
        <w:bottom w:val="none" w:sz="0" w:space="0" w:color="auto"/>
        <w:right w:val="none" w:sz="0" w:space="0" w:color="auto"/>
      </w:divBdr>
    </w:div>
    <w:div w:id="1392535114">
      <w:bodyDiv w:val="1"/>
      <w:marLeft w:val="0"/>
      <w:marRight w:val="0"/>
      <w:marTop w:val="0"/>
      <w:marBottom w:val="0"/>
      <w:divBdr>
        <w:top w:val="none" w:sz="0" w:space="0" w:color="auto"/>
        <w:left w:val="none" w:sz="0" w:space="0" w:color="auto"/>
        <w:bottom w:val="none" w:sz="0" w:space="0" w:color="auto"/>
        <w:right w:val="none" w:sz="0" w:space="0" w:color="auto"/>
      </w:divBdr>
    </w:div>
    <w:div w:id="1392580881">
      <w:bodyDiv w:val="1"/>
      <w:marLeft w:val="0"/>
      <w:marRight w:val="0"/>
      <w:marTop w:val="0"/>
      <w:marBottom w:val="0"/>
      <w:divBdr>
        <w:top w:val="none" w:sz="0" w:space="0" w:color="auto"/>
        <w:left w:val="none" w:sz="0" w:space="0" w:color="auto"/>
        <w:bottom w:val="none" w:sz="0" w:space="0" w:color="auto"/>
        <w:right w:val="none" w:sz="0" w:space="0" w:color="auto"/>
      </w:divBdr>
    </w:div>
    <w:div w:id="1393237242">
      <w:bodyDiv w:val="1"/>
      <w:marLeft w:val="0"/>
      <w:marRight w:val="0"/>
      <w:marTop w:val="0"/>
      <w:marBottom w:val="0"/>
      <w:divBdr>
        <w:top w:val="none" w:sz="0" w:space="0" w:color="auto"/>
        <w:left w:val="none" w:sz="0" w:space="0" w:color="auto"/>
        <w:bottom w:val="none" w:sz="0" w:space="0" w:color="auto"/>
        <w:right w:val="none" w:sz="0" w:space="0" w:color="auto"/>
      </w:divBdr>
    </w:div>
    <w:div w:id="1393458472">
      <w:bodyDiv w:val="1"/>
      <w:marLeft w:val="0"/>
      <w:marRight w:val="0"/>
      <w:marTop w:val="0"/>
      <w:marBottom w:val="0"/>
      <w:divBdr>
        <w:top w:val="none" w:sz="0" w:space="0" w:color="auto"/>
        <w:left w:val="none" w:sz="0" w:space="0" w:color="auto"/>
        <w:bottom w:val="none" w:sz="0" w:space="0" w:color="auto"/>
        <w:right w:val="none" w:sz="0" w:space="0" w:color="auto"/>
      </w:divBdr>
    </w:div>
    <w:div w:id="1394505665">
      <w:bodyDiv w:val="1"/>
      <w:marLeft w:val="0"/>
      <w:marRight w:val="0"/>
      <w:marTop w:val="0"/>
      <w:marBottom w:val="0"/>
      <w:divBdr>
        <w:top w:val="none" w:sz="0" w:space="0" w:color="auto"/>
        <w:left w:val="none" w:sz="0" w:space="0" w:color="auto"/>
        <w:bottom w:val="none" w:sz="0" w:space="0" w:color="auto"/>
        <w:right w:val="none" w:sz="0" w:space="0" w:color="auto"/>
      </w:divBdr>
    </w:div>
    <w:div w:id="1394545643">
      <w:bodyDiv w:val="1"/>
      <w:marLeft w:val="0"/>
      <w:marRight w:val="0"/>
      <w:marTop w:val="0"/>
      <w:marBottom w:val="0"/>
      <w:divBdr>
        <w:top w:val="none" w:sz="0" w:space="0" w:color="auto"/>
        <w:left w:val="none" w:sz="0" w:space="0" w:color="auto"/>
        <w:bottom w:val="none" w:sz="0" w:space="0" w:color="auto"/>
        <w:right w:val="none" w:sz="0" w:space="0" w:color="auto"/>
      </w:divBdr>
    </w:div>
    <w:div w:id="1394814485">
      <w:bodyDiv w:val="1"/>
      <w:marLeft w:val="0"/>
      <w:marRight w:val="0"/>
      <w:marTop w:val="0"/>
      <w:marBottom w:val="0"/>
      <w:divBdr>
        <w:top w:val="none" w:sz="0" w:space="0" w:color="auto"/>
        <w:left w:val="none" w:sz="0" w:space="0" w:color="auto"/>
        <w:bottom w:val="none" w:sz="0" w:space="0" w:color="auto"/>
        <w:right w:val="none" w:sz="0" w:space="0" w:color="auto"/>
      </w:divBdr>
    </w:div>
    <w:div w:id="1394934401">
      <w:bodyDiv w:val="1"/>
      <w:marLeft w:val="0"/>
      <w:marRight w:val="0"/>
      <w:marTop w:val="0"/>
      <w:marBottom w:val="0"/>
      <w:divBdr>
        <w:top w:val="none" w:sz="0" w:space="0" w:color="auto"/>
        <w:left w:val="none" w:sz="0" w:space="0" w:color="auto"/>
        <w:bottom w:val="none" w:sz="0" w:space="0" w:color="auto"/>
        <w:right w:val="none" w:sz="0" w:space="0" w:color="auto"/>
      </w:divBdr>
    </w:div>
    <w:div w:id="1395007164">
      <w:bodyDiv w:val="1"/>
      <w:marLeft w:val="0"/>
      <w:marRight w:val="0"/>
      <w:marTop w:val="0"/>
      <w:marBottom w:val="0"/>
      <w:divBdr>
        <w:top w:val="none" w:sz="0" w:space="0" w:color="auto"/>
        <w:left w:val="none" w:sz="0" w:space="0" w:color="auto"/>
        <w:bottom w:val="none" w:sz="0" w:space="0" w:color="auto"/>
        <w:right w:val="none" w:sz="0" w:space="0" w:color="auto"/>
      </w:divBdr>
    </w:div>
    <w:div w:id="1396271330">
      <w:bodyDiv w:val="1"/>
      <w:marLeft w:val="0"/>
      <w:marRight w:val="0"/>
      <w:marTop w:val="0"/>
      <w:marBottom w:val="0"/>
      <w:divBdr>
        <w:top w:val="none" w:sz="0" w:space="0" w:color="auto"/>
        <w:left w:val="none" w:sz="0" w:space="0" w:color="auto"/>
        <w:bottom w:val="none" w:sz="0" w:space="0" w:color="auto"/>
        <w:right w:val="none" w:sz="0" w:space="0" w:color="auto"/>
      </w:divBdr>
    </w:div>
    <w:div w:id="1396508178">
      <w:bodyDiv w:val="1"/>
      <w:marLeft w:val="0"/>
      <w:marRight w:val="0"/>
      <w:marTop w:val="0"/>
      <w:marBottom w:val="0"/>
      <w:divBdr>
        <w:top w:val="none" w:sz="0" w:space="0" w:color="auto"/>
        <w:left w:val="none" w:sz="0" w:space="0" w:color="auto"/>
        <w:bottom w:val="none" w:sz="0" w:space="0" w:color="auto"/>
        <w:right w:val="none" w:sz="0" w:space="0" w:color="auto"/>
      </w:divBdr>
    </w:div>
    <w:div w:id="1397900487">
      <w:bodyDiv w:val="1"/>
      <w:marLeft w:val="0"/>
      <w:marRight w:val="0"/>
      <w:marTop w:val="0"/>
      <w:marBottom w:val="0"/>
      <w:divBdr>
        <w:top w:val="none" w:sz="0" w:space="0" w:color="auto"/>
        <w:left w:val="none" w:sz="0" w:space="0" w:color="auto"/>
        <w:bottom w:val="none" w:sz="0" w:space="0" w:color="auto"/>
        <w:right w:val="none" w:sz="0" w:space="0" w:color="auto"/>
      </w:divBdr>
    </w:div>
    <w:div w:id="1398162074">
      <w:bodyDiv w:val="1"/>
      <w:marLeft w:val="0"/>
      <w:marRight w:val="0"/>
      <w:marTop w:val="0"/>
      <w:marBottom w:val="0"/>
      <w:divBdr>
        <w:top w:val="none" w:sz="0" w:space="0" w:color="auto"/>
        <w:left w:val="none" w:sz="0" w:space="0" w:color="auto"/>
        <w:bottom w:val="none" w:sz="0" w:space="0" w:color="auto"/>
        <w:right w:val="none" w:sz="0" w:space="0" w:color="auto"/>
      </w:divBdr>
    </w:div>
    <w:div w:id="1398821755">
      <w:bodyDiv w:val="1"/>
      <w:marLeft w:val="0"/>
      <w:marRight w:val="0"/>
      <w:marTop w:val="0"/>
      <w:marBottom w:val="0"/>
      <w:divBdr>
        <w:top w:val="none" w:sz="0" w:space="0" w:color="auto"/>
        <w:left w:val="none" w:sz="0" w:space="0" w:color="auto"/>
        <w:bottom w:val="none" w:sz="0" w:space="0" w:color="auto"/>
        <w:right w:val="none" w:sz="0" w:space="0" w:color="auto"/>
      </w:divBdr>
    </w:div>
    <w:div w:id="1399211292">
      <w:bodyDiv w:val="1"/>
      <w:marLeft w:val="0"/>
      <w:marRight w:val="0"/>
      <w:marTop w:val="0"/>
      <w:marBottom w:val="0"/>
      <w:divBdr>
        <w:top w:val="none" w:sz="0" w:space="0" w:color="auto"/>
        <w:left w:val="none" w:sz="0" w:space="0" w:color="auto"/>
        <w:bottom w:val="none" w:sz="0" w:space="0" w:color="auto"/>
        <w:right w:val="none" w:sz="0" w:space="0" w:color="auto"/>
      </w:divBdr>
    </w:div>
    <w:div w:id="1399749026">
      <w:bodyDiv w:val="1"/>
      <w:marLeft w:val="0"/>
      <w:marRight w:val="0"/>
      <w:marTop w:val="0"/>
      <w:marBottom w:val="0"/>
      <w:divBdr>
        <w:top w:val="none" w:sz="0" w:space="0" w:color="auto"/>
        <w:left w:val="none" w:sz="0" w:space="0" w:color="auto"/>
        <w:bottom w:val="none" w:sz="0" w:space="0" w:color="auto"/>
        <w:right w:val="none" w:sz="0" w:space="0" w:color="auto"/>
      </w:divBdr>
    </w:div>
    <w:div w:id="1400254240">
      <w:bodyDiv w:val="1"/>
      <w:marLeft w:val="0"/>
      <w:marRight w:val="0"/>
      <w:marTop w:val="0"/>
      <w:marBottom w:val="0"/>
      <w:divBdr>
        <w:top w:val="none" w:sz="0" w:space="0" w:color="auto"/>
        <w:left w:val="none" w:sz="0" w:space="0" w:color="auto"/>
        <w:bottom w:val="none" w:sz="0" w:space="0" w:color="auto"/>
        <w:right w:val="none" w:sz="0" w:space="0" w:color="auto"/>
      </w:divBdr>
    </w:div>
    <w:div w:id="1401055920">
      <w:bodyDiv w:val="1"/>
      <w:marLeft w:val="0"/>
      <w:marRight w:val="0"/>
      <w:marTop w:val="0"/>
      <w:marBottom w:val="0"/>
      <w:divBdr>
        <w:top w:val="none" w:sz="0" w:space="0" w:color="auto"/>
        <w:left w:val="none" w:sz="0" w:space="0" w:color="auto"/>
        <w:bottom w:val="none" w:sz="0" w:space="0" w:color="auto"/>
        <w:right w:val="none" w:sz="0" w:space="0" w:color="auto"/>
      </w:divBdr>
    </w:div>
    <w:div w:id="1401293844">
      <w:bodyDiv w:val="1"/>
      <w:marLeft w:val="0"/>
      <w:marRight w:val="0"/>
      <w:marTop w:val="0"/>
      <w:marBottom w:val="0"/>
      <w:divBdr>
        <w:top w:val="none" w:sz="0" w:space="0" w:color="auto"/>
        <w:left w:val="none" w:sz="0" w:space="0" w:color="auto"/>
        <w:bottom w:val="none" w:sz="0" w:space="0" w:color="auto"/>
        <w:right w:val="none" w:sz="0" w:space="0" w:color="auto"/>
      </w:divBdr>
    </w:div>
    <w:div w:id="1401517021">
      <w:bodyDiv w:val="1"/>
      <w:marLeft w:val="0"/>
      <w:marRight w:val="0"/>
      <w:marTop w:val="0"/>
      <w:marBottom w:val="0"/>
      <w:divBdr>
        <w:top w:val="none" w:sz="0" w:space="0" w:color="auto"/>
        <w:left w:val="none" w:sz="0" w:space="0" w:color="auto"/>
        <w:bottom w:val="none" w:sz="0" w:space="0" w:color="auto"/>
        <w:right w:val="none" w:sz="0" w:space="0" w:color="auto"/>
      </w:divBdr>
    </w:div>
    <w:div w:id="1402096666">
      <w:bodyDiv w:val="1"/>
      <w:marLeft w:val="0"/>
      <w:marRight w:val="0"/>
      <w:marTop w:val="0"/>
      <w:marBottom w:val="0"/>
      <w:divBdr>
        <w:top w:val="none" w:sz="0" w:space="0" w:color="auto"/>
        <w:left w:val="none" w:sz="0" w:space="0" w:color="auto"/>
        <w:bottom w:val="none" w:sz="0" w:space="0" w:color="auto"/>
        <w:right w:val="none" w:sz="0" w:space="0" w:color="auto"/>
      </w:divBdr>
    </w:div>
    <w:div w:id="1402602050">
      <w:bodyDiv w:val="1"/>
      <w:marLeft w:val="0"/>
      <w:marRight w:val="0"/>
      <w:marTop w:val="0"/>
      <w:marBottom w:val="0"/>
      <w:divBdr>
        <w:top w:val="none" w:sz="0" w:space="0" w:color="auto"/>
        <w:left w:val="none" w:sz="0" w:space="0" w:color="auto"/>
        <w:bottom w:val="none" w:sz="0" w:space="0" w:color="auto"/>
        <w:right w:val="none" w:sz="0" w:space="0" w:color="auto"/>
      </w:divBdr>
    </w:div>
    <w:div w:id="1402751345">
      <w:bodyDiv w:val="1"/>
      <w:marLeft w:val="0"/>
      <w:marRight w:val="0"/>
      <w:marTop w:val="0"/>
      <w:marBottom w:val="0"/>
      <w:divBdr>
        <w:top w:val="none" w:sz="0" w:space="0" w:color="auto"/>
        <w:left w:val="none" w:sz="0" w:space="0" w:color="auto"/>
        <w:bottom w:val="none" w:sz="0" w:space="0" w:color="auto"/>
        <w:right w:val="none" w:sz="0" w:space="0" w:color="auto"/>
      </w:divBdr>
    </w:div>
    <w:div w:id="1402829064">
      <w:bodyDiv w:val="1"/>
      <w:marLeft w:val="0"/>
      <w:marRight w:val="0"/>
      <w:marTop w:val="0"/>
      <w:marBottom w:val="0"/>
      <w:divBdr>
        <w:top w:val="none" w:sz="0" w:space="0" w:color="auto"/>
        <w:left w:val="none" w:sz="0" w:space="0" w:color="auto"/>
        <w:bottom w:val="none" w:sz="0" w:space="0" w:color="auto"/>
        <w:right w:val="none" w:sz="0" w:space="0" w:color="auto"/>
      </w:divBdr>
    </w:div>
    <w:div w:id="1402949434">
      <w:bodyDiv w:val="1"/>
      <w:marLeft w:val="0"/>
      <w:marRight w:val="0"/>
      <w:marTop w:val="0"/>
      <w:marBottom w:val="0"/>
      <w:divBdr>
        <w:top w:val="none" w:sz="0" w:space="0" w:color="auto"/>
        <w:left w:val="none" w:sz="0" w:space="0" w:color="auto"/>
        <w:bottom w:val="none" w:sz="0" w:space="0" w:color="auto"/>
        <w:right w:val="none" w:sz="0" w:space="0" w:color="auto"/>
      </w:divBdr>
    </w:div>
    <w:div w:id="1404376480">
      <w:bodyDiv w:val="1"/>
      <w:marLeft w:val="0"/>
      <w:marRight w:val="0"/>
      <w:marTop w:val="0"/>
      <w:marBottom w:val="0"/>
      <w:divBdr>
        <w:top w:val="none" w:sz="0" w:space="0" w:color="auto"/>
        <w:left w:val="none" w:sz="0" w:space="0" w:color="auto"/>
        <w:bottom w:val="none" w:sz="0" w:space="0" w:color="auto"/>
        <w:right w:val="none" w:sz="0" w:space="0" w:color="auto"/>
      </w:divBdr>
    </w:div>
    <w:div w:id="1404642750">
      <w:bodyDiv w:val="1"/>
      <w:marLeft w:val="0"/>
      <w:marRight w:val="0"/>
      <w:marTop w:val="0"/>
      <w:marBottom w:val="0"/>
      <w:divBdr>
        <w:top w:val="none" w:sz="0" w:space="0" w:color="auto"/>
        <w:left w:val="none" w:sz="0" w:space="0" w:color="auto"/>
        <w:bottom w:val="none" w:sz="0" w:space="0" w:color="auto"/>
        <w:right w:val="none" w:sz="0" w:space="0" w:color="auto"/>
      </w:divBdr>
    </w:div>
    <w:div w:id="1404985120">
      <w:bodyDiv w:val="1"/>
      <w:marLeft w:val="0"/>
      <w:marRight w:val="0"/>
      <w:marTop w:val="0"/>
      <w:marBottom w:val="0"/>
      <w:divBdr>
        <w:top w:val="none" w:sz="0" w:space="0" w:color="auto"/>
        <w:left w:val="none" w:sz="0" w:space="0" w:color="auto"/>
        <w:bottom w:val="none" w:sz="0" w:space="0" w:color="auto"/>
        <w:right w:val="none" w:sz="0" w:space="0" w:color="auto"/>
      </w:divBdr>
    </w:div>
    <w:div w:id="1405030062">
      <w:bodyDiv w:val="1"/>
      <w:marLeft w:val="0"/>
      <w:marRight w:val="0"/>
      <w:marTop w:val="0"/>
      <w:marBottom w:val="0"/>
      <w:divBdr>
        <w:top w:val="none" w:sz="0" w:space="0" w:color="auto"/>
        <w:left w:val="none" w:sz="0" w:space="0" w:color="auto"/>
        <w:bottom w:val="none" w:sz="0" w:space="0" w:color="auto"/>
        <w:right w:val="none" w:sz="0" w:space="0" w:color="auto"/>
      </w:divBdr>
    </w:div>
    <w:div w:id="1405493320">
      <w:bodyDiv w:val="1"/>
      <w:marLeft w:val="0"/>
      <w:marRight w:val="0"/>
      <w:marTop w:val="0"/>
      <w:marBottom w:val="0"/>
      <w:divBdr>
        <w:top w:val="none" w:sz="0" w:space="0" w:color="auto"/>
        <w:left w:val="none" w:sz="0" w:space="0" w:color="auto"/>
        <w:bottom w:val="none" w:sz="0" w:space="0" w:color="auto"/>
        <w:right w:val="none" w:sz="0" w:space="0" w:color="auto"/>
      </w:divBdr>
    </w:div>
    <w:div w:id="1405563019">
      <w:bodyDiv w:val="1"/>
      <w:marLeft w:val="0"/>
      <w:marRight w:val="0"/>
      <w:marTop w:val="0"/>
      <w:marBottom w:val="0"/>
      <w:divBdr>
        <w:top w:val="none" w:sz="0" w:space="0" w:color="auto"/>
        <w:left w:val="none" w:sz="0" w:space="0" w:color="auto"/>
        <w:bottom w:val="none" w:sz="0" w:space="0" w:color="auto"/>
        <w:right w:val="none" w:sz="0" w:space="0" w:color="auto"/>
      </w:divBdr>
    </w:div>
    <w:div w:id="1405637945">
      <w:bodyDiv w:val="1"/>
      <w:marLeft w:val="0"/>
      <w:marRight w:val="0"/>
      <w:marTop w:val="0"/>
      <w:marBottom w:val="0"/>
      <w:divBdr>
        <w:top w:val="none" w:sz="0" w:space="0" w:color="auto"/>
        <w:left w:val="none" w:sz="0" w:space="0" w:color="auto"/>
        <w:bottom w:val="none" w:sz="0" w:space="0" w:color="auto"/>
        <w:right w:val="none" w:sz="0" w:space="0" w:color="auto"/>
      </w:divBdr>
    </w:div>
    <w:div w:id="1405832390">
      <w:bodyDiv w:val="1"/>
      <w:marLeft w:val="0"/>
      <w:marRight w:val="0"/>
      <w:marTop w:val="0"/>
      <w:marBottom w:val="0"/>
      <w:divBdr>
        <w:top w:val="none" w:sz="0" w:space="0" w:color="auto"/>
        <w:left w:val="none" w:sz="0" w:space="0" w:color="auto"/>
        <w:bottom w:val="none" w:sz="0" w:space="0" w:color="auto"/>
        <w:right w:val="none" w:sz="0" w:space="0" w:color="auto"/>
      </w:divBdr>
    </w:div>
    <w:div w:id="1406146536">
      <w:bodyDiv w:val="1"/>
      <w:marLeft w:val="0"/>
      <w:marRight w:val="0"/>
      <w:marTop w:val="0"/>
      <w:marBottom w:val="0"/>
      <w:divBdr>
        <w:top w:val="none" w:sz="0" w:space="0" w:color="auto"/>
        <w:left w:val="none" w:sz="0" w:space="0" w:color="auto"/>
        <w:bottom w:val="none" w:sz="0" w:space="0" w:color="auto"/>
        <w:right w:val="none" w:sz="0" w:space="0" w:color="auto"/>
      </w:divBdr>
    </w:div>
    <w:div w:id="1407259378">
      <w:bodyDiv w:val="1"/>
      <w:marLeft w:val="0"/>
      <w:marRight w:val="0"/>
      <w:marTop w:val="0"/>
      <w:marBottom w:val="0"/>
      <w:divBdr>
        <w:top w:val="none" w:sz="0" w:space="0" w:color="auto"/>
        <w:left w:val="none" w:sz="0" w:space="0" w:color="auto"/>
        <w:bottom w:val="none" w:sz="0" w:space="0" w:color="auto"/>
        <w:right w:val="none" w:sz="0" w:space="0" w:color="auto"/>
      </w:divBdr>
    </w:div>
    <w:div w:id="1407386042">
      <w:bodyDiv w:val="1"/>
      <w:marLeft w:val="0"/>
      <w:marRight w:val="0"/>
      <w:marTop w:val="0"/>
      <w:marBottom w:val="0"/>
      <w:divBdr>
        <w:top w:val="none" w:sz="0" w:space="0" w:color="auto"/>
        <w:left w:val="none" w:sz="0" w:space="0" w:color="auto"/>
        <w:bottom w:val="none" w:sz="0" w:space="0" w:color="auto"/>
        <w:right w:val="none" w:sz="0" w:space="0" w:color="auto"/>
      </w:divBdr>
    </w:div>
    <w:div w:id="1407996099">
      <w:bodyDiv w:val="1"/>
      <w:marLeft w:val="0"/>
      <w:marRight w:val="0"/>
      <w:marTop w:val="0"/>
      <w:marBottom w:val="0"/>
      <w:divBdr>
        <w:top w:val="none" w:sz="0" w:space="0" w:color="auto"/>
        <w:left w:val="none" w:sz="0" w:space="0" w:color="auto"/>
        <w:bottom w:val="none" w:sz="0" w:space="0" w:color="auto"/>
        <w:right w:val="none" w:sz="0" w:space="0" w:color="auto"/>
      </w:divBdr>
    </w:div>
    <w:div w:id="1411346657">
      <w:bodyDiv w:val="1"/>
      <w:marLeft w:val="0"/>
      <w:marRight w:val="0"/>
      <w:marTop w:val="0"/>
      <w:marBottom w:val="0"/>
      <w:divBdr>
        <w:top w:val="none" w:sz="0" w:space="0" w:color="auto"/>
        <w:left w:val="none" w:sz="0" w:space="0" w:color="auto"/>
        <w:bottom w:val="none" w:sz="0" w:space="0" w:color="auto"/>
        <w:right w:val="none" w:sz="0" w:space="0" w:color="auto"/>
      </w:divBdr>
    </w:div>
    <w:div w:id="1411463366">
      <w:bodyDiv w:val="1"/>
      <w:marLeft w:val="0"/>
      <w:marRight w:val="0"/>
      <w:marTop w:val="0"/>
      <w:marBottom w:val="0"/>
      <w:divBdr>
        <w:top w:val="none" w:sz="0" w:space="0" w:color="auto"/>
        <w:left w:val="none" w:sz="0" w:space="0" w:color="auto"/>
        <w:bottom w:val="none" w:sz="0" w:space="0" w:color="auto"/>
        <w:right w:val="none" w:sz="0" w:space="0" w:color="auto"/>
      </w:divBdr>
    </w:div>
    <w:div w:id="1412970393">
      <w:bodyDiv w:val="1"/>
      <w:marLeft w:val="0"/>
      <w:marRight w:val="0"/>
      <w:marTop w:val="0"/>
      <w:marBottom w:val="0"/>
      <w:divBdr>
        <w:top w:val="none" w:sz="0" w:space="0" w:color="auto"/>
        <w:left w:val="none" w:sz="0" w:space="0" w:color="auto"/>
        <w:bottom w:val="none" w:sz="0" w:space="0" w:color="auto"/>
        <w:right w:val="none" w:sz="0" w:space="0" w:color="auto"/>
      </w:divBdr>
    </w:div>
    <w:div w:id="1413428804">
      <w:bodyDiv w:val="1"/>
      <w:marLeft w:val="0"/>
      <w:marRight w:val="0"/>
      <w:marTop w:val="0"/>
      <w:marBottom w:val="0"/>
      <w:divBdr>
        <w:top w:val="none" w:sz="0" w:space="0" w:color="auto"/>
        <w:left w:val="none" w:sz="0" w:space="0" w:color="auto"/>
        <w:bottom w:val="none" w:sz="0" w:space="0" w:color="auto"/>
        <w:right w:val="none" w:sz="0" w:space="0" w:color="auto"/>
      </w:divBdr>
    </w:div>
    <w:div w:id="1413965245">
      <w:bodyDiv w:val="1"/>
      <w:marLeft w:val="0"/>
      <w:marRight w:val="0"/>
      <w:marTop w:val="0"/>
      <w:marBottom w:val="0"/>
      <w:divBdr>
        <w:top w:val="none" w:sz="0" w:space="0" w:color="auto"/>
        <w:left w:val="none" w:sz="0" w:space="0" w:color="auto"/>
        <w:bottom w:val="none" w:sz="0" w:space="0" w:color="auto"/>
        <w:right w:val="none" w:sz="0" w:space="0" w:color="auto"/>
      </w:divBdr>
    </w:div>
    <w:div w:id="1414666340">
      <w:bodyDiv w:val="1"/>
      <w:marLeft w:val="0"/>
      <w:marRight w:val="0"/>
      <w:marTop w:val="0"/>
      <w:marBottom w:val="0"/>
      <w:divBdr>
        <w:top w:val="none" w:sz="0" w:space="0" w:color="auto"/>
        <w:left w:val="none" w:sz="0" w:space="0" w:color="auto"/>
        <w:bottom w:val="none" w:sz="0" w:space="0" w:color="auto"/>
        <w:right w:val="none" w:sz="0" w:space="0" w:color="auto"/>
      </w:divBdr>
    </w:div>
    <w:div w:id="1415473402">
      <w:bodyDiv w:val="1"/>
      <w:marLeft w:val="0"/>
      <w:marRight w:val="0"/>
      <w:marTop w:val="0"/>
      <w:marBottom w:val="0"/>
      <w:divBdr>
        <w:top w:val="none" w:sz="0" w:space="0" w:color="auto"/>
        <w:left w:val="none" w:sz="0" w:space="0" w:color="auto"/>
        <w:bottom w:val="none" w:sz="0" w:space="0" w:color="auto"/>
        <w:right w:val="none" w:sz="0" w:space="0" w:color="auto"/>
      </w:divBdr>
    </w:div>
    <w:div w:id="1416978492">
      <w:bodyDiv w:val="1"/>
      <w:marLeft w:val="0"/>
      <w:marRight w:val="0"/>
      <w:marTop w:val="0"/>
      <w:marBottom w:val="0"/>
      <w:divBdr>
        <w:top w:val="none" w:sz="0" w:space="0" w:color="auto"/>
        <w:left w:val="none" w:sz="0" w:space="0" w:color="auto"/>
        <w:bottom w:val="none" w:sz="0" w:space="0" w:color="auto"/>
        <w:right w:val="none" w:sz="0" w:space="0" w:color="auto"/>
      </w:divBdr>
    </w:div>
    <w:div w:id="1421869117">
      <w:bodyDiv w:val="1"/>
      <w:marLeft w:val="0"/>
      <w:marRight w:val="0"/>
      <w:marTop w:val="0"/>
      <w:marBottom w:val="0"/>
      <w:divBdr>
        <w:top w:val="none" w:sz="0" w:space="0" w:color="auto"/>
        <w:left w:val="none" w:sz="0" w:space="0" w:color="auto"/>
        <w:bottom w:val="none" w:sz="0" w:space="0" w:color="auto"/>
        <w:right w:val="none" w:sz="0" w:space="0" w:color="auto"/>
      </w:divBdr>
    </w:div>
    <w:div w:id="1423649350">
      <w:bodyDiv w:val="1"/>
      <w:marLeft w:val="0"/>
      <w:marRight w:val="0"/>
      <w:marTop w:val="0"/>
      <w:marBottom w:val="0"/>
      <w:divBdr>
        <w:top w:val="none" w:sz="0" w:space="0" w:color="auto"/>
        <w:left w:val="none" w:sz="0" w:space="0" w:color="auto"/>
        <w:bottom w:val="none" w:sz="0" w:space="0" w:color="auto"/>
        <w:right w:val="none" w:sz="0" w:space="0" w:color="auto"/>
      </w:divBdr>
    </w:div>
    <w:div w:id="1424718664">
      <w:bodyDiv w:val="1"/>
      <w:marLeft w:val="0"/>
      <w:marRight w:val="0"/>
      <w:marTop w:val="0"/>
      <w:marBottom w:val="0"/>
      <w:divBdr>
        <w:top w:val="none" w:sz="0" w:space="0" w:color="auto"/>
        <w:left w:val="none" w:sz="0" w:space="0" w:color="auto"/>
        <w:bottom w:val="none" w:sz="0" w:space="0" w:color="auto"/>
        <w:right w:val="none" w:sz="0" w:space="0" w:color="auto"/>
      </w:divBdr>
    </w:div>
    <w:div w:id="1425103327">
      <w:bodyDiv w:val="1"/>
      <w:marLeft w:val="0"/>
      <w:marRight w:val="0"/>
      <w:marTop w:val="0"/>
      <w:marBottom w:val="0"/>
      <w:divBdr>
        <w:top w:val="none" w:sz="0" w:space="0" w:color="auto"/>
        <w:left w:val="none" w:sz="0" w:space="0" w:color="auto"/>
        <w:bottom w:val="none" w:sz="0" w:space="0" w:color="auto"/>
        <w:right w:val="none" w:sz="0" w:space="0" w:color="auto"/>
      </w:divBdr>
    </w:div>
    <w:div w:id="1425564562">
      <w:bodyDiv w:val="1"/>
      <w:marLeft w:val="0"/>
      <w:marRight w:val="0"/>
      <w:marTop w:val="0"/>
      <w:marBottom w:val="0"/>
      <w:divBdr>
        <w:top w:val="none" w:sz="0" w:space="0" w:color="auto"/>
        <w:left w:val="none" w:sz="0" w:space="0" w:color="auto"/>
        <w:bottom w:val="none" w:sz="0" w:space="0" w:color="auto"/>
        <w:right w:val="none" w:sz="0" w:space="0" w:color="auto"/>
      </w:divBdr>
    </w:div>
    <w:div w:id="1425683476">
      <w:bodyDiv w:val="1"/>
      <w:marLeft w:val="0"/>
      <w:marRight w:val="0"/>
      <w:marTop w:val="0"/>
      <w:marBottom w:val="0"/>
      <w:divBdr>
        <w:top w:val="none" w:sz="0" w:space="0" w:color="auto"/>
        <w:left w:val="none" w:sz="0" w:space="0" w:color="auto"/>
        <w:bottom w:val="none" w:sz="0" w:space="0" w:color="auto"/>
        <w:right w:val="none" w:sz="0" w:space="0" w:color="auto"/>
      </w:divBdr>
    </w:div>
    <w:div w:id="1426224234">
      <w:bodyDiv w:val="1"/>
      <w:marLeft w:val="0"/>
      <w:marRight w:val="0"/>
      <w:marTop w:val="0"/>
      <w:marBottom w:val="0"/>
      <w:divBdr>
        <w:top w:val="none" w:sz="0" w:space="0" w:color="auto"/>
        <w:left w:val="none" w:sz="0" w:space="0" w:color="auto"/>
        <w:bottom w:val="none" w:sz="0" w:space="0" w:color="auto"/>
        <w:right w:val="none" w:sz="0" w:space="0" w:color="auto"/>
      </w:divBdr>
    </w:div>
    <w:div w:id="1427655020">
      <w:bodyDiv w:val="1"/>
      <w:marLeft w:val="0"/>
      <w:marRight w:val="0"/>
      <w:marTop w:val="0"/>
      <w:marBottom w:val="0"/>
      <w:divBdr>
        <w:top w:val="none" w:sz="0" w:space="0" w:color="auto"/>
        <w:left w:val="none" w:sz="0" w:space="0" w:color="auto"/>
        <w:bottom w:val="none" w:sz="0" w:space="0" w:color="auto"/>
        <w:right w:val="none" w:sz="0" w:space="0" w:color="auto"/>
      </w:divBdr>
    </w:div>
    <w:div w:id="1427656636">
      <w:bodyDiv w:val="1"/>
      <w:marLeft w:val="0"/>
      <w:marRight w:val="0"/>
      <w:marTop w:val="0"/>
      <w:marBottom w:val="0"/>
      <w:divBdr>
        <w:top w:val="none" w:sz="0" w:space="0" w:color="auto"/>
        <w:left w:val="none" w:sz="0" w:space="0" w:color="auto"/>
        <w:bottom w:val="none" w:sz="0" w:space="0" w:color="auto"/>
        <w:right w:val="none" w:sz="0" w:space="0" w:color="auto"/>
      </w:divBdr>
    </w:div>
    <w:div w:id="1427924669">
      <w:bodyDiv w:val="1"/>
      <w:marLeft w:val="0"/>
      <w:marRight w:val="0"/>
      <w:marTop w:val="0"/>
      <w:marBottom w:val="0"/>
      <w:divBdr>
        <w:top w:val="none" w:sz="0" w:space="0" w:color="auto"/>
        <w:left w:val="none" w:sz="0" w:space="0" w:color="auto"/>
        <w:bottom w:val="none" w:sz="0" w:space="0" w:color="auto"/>
        <w:right w:val="none" w:sz="0" w:space="0" w:color="auto"/>
      </w:divBdr>
    </w:div>
    <w:div w:id="1428035054">
      <w:bodyDiv w:val="1"/>
      <w:marLeft w:val="0"/>
      <w:marRight w:val="0"/>
      <w:marTop w:val="0"/>
      <w:marBottom w:val="0"/>
      <w:divBdr>
        <w:top w:val="none" w:sz="0" w:space="0" w:color="auto"/>
        <w:left w:val="none" w:sz="0" w:space="0" w:color="auto"/>
        <w:bottom w:val="none" w:sz="0" w:space="0" w:color="auto"/>
        <w:right w:val="none" w:sz="0" w:space="0" w:color="auto"/>
      </w:divBdr>
    </w:div>
    <w:div w:id="1430272502">
      <w:bodyDiv w:val="1"/>
      <w:marLeft w:val="0"/>
      <w:marRight w:val="0"/>
      <w:marTop w:val="0"/>
      <w:marBottom w:val="0"/>
      <w:divBdr>
        <w:top w:val="none" w:sz="0" w:space="0" w:color="auto"/>
        <w:left w:val="none" w:sz="0" w:space="0" w:color="auto"/>
        <w:bottom w:val="none" w:sz="0" w:space="0" w:color="auto"/>
        <w:right w:val="none" w:sz="0" w:space="0" w:color="auto"/>
      </w:divBdr>
    </w:div>
    <w:div w:id="1431242064">
      <w:bodyDiv w:val="1"/>
      <w:marLeft w:val="0"/>
      <w:marRight w:val="0"/>
      <w:marTop w:val="0"/>
      <w:marBottom w:val="0"/>
      <w:divBdr>
        <w:top w:val="none" w:sz="0" w:space="0" w:color="auto"/>
        <w:left w:val="none" w:sz="0" w:space="0" w:color="auto"/>
        <w:bottom w:val="none" w:sz="0" w:space="0" w:color="auto"/>
        <w:right w:val="none" w:sz="0" w:space="0" w:color="auto"/>
      </w:divBdr>
    </w:div>
    <w:div w:id="1431393665">
      <w:bodyDiv w:val="1"/>
      <w:marLeft w:val="0"/>
      <w:marRight w:val="0"/>
      <w:marTop w:val="0"/>
      <w:marBottom w:val="0"/>
      <w:divBdr>
        <w:top w:val="none" w:sz="0" w:space="0" w:color="auto"/>
        <w:left w:val="none" w:sz="0" w:space="0" w:color="auto"/>
        <w:bottom w:val="none" w:sz="0" w:space="0" w:color="auto"/>
        <w:right w:val="none" w:sz="0" w:space="0" w:color="auto"/>
      </w:divBdr>
    </w:div>
    <w:div w:id="1433889972">
      <w:bodyDiv w:val="1"/>
      <w:marLeft w:val="0"/>
      <w:marRight w:val="0"/>
      <w:marTop w:val="0"/>
      <w:marBottom w:val="0"/>
      <w:divBdr>
        <w:top w:val="none" w:sz="0" w:space="0" w:color="auto"/>
        <w:left w:val="none" w:sz="0" w:space="0" w:color="auto"/>
        <w:bottom w:val="none" w:sz="0" w:space="0" w:color="auto"/>
        <w:right w:val="none" w:sz="0" w:space="0" w:color="auto"/>
      </w:divBdr>
    </w:div>
    <w:div w:id="1434280676">
      <w:bodyDiv w:val="1"/>
      <w:marLeft w:val="0"/>
      <w:marRight w:val="0"/>
      <w:marTop w:val="0"/>
      <w:marBottom w:val="0"/>
      <w:divBdr>
        <w:top w:val="none" w:sz="0" w:space="0" w:color="auto"/>
        <w:left w:val="none" w:sz="0" w:space="0" w:color="auto"/>
        <w:bottom w:val="none" w:sz="0" w:space="0" w:color="auto"/>
        <w:right w:val="none" w:sz="0" w:space="0" w:color="auto"/>
      </w:divBdr>
    </w:div>
    <w:div w:id="1434402736">
      <w:bodyDiv w:val="1"/>
      <w:marLeft w:val="0"/>
      <w:marRight w:val="0"/>
      <w:marTop w:val="0"/>
      <w:marBottom w:val="0"/>
      <w:divBdr>
        <w:top w:val="none" w:sz="0" w:space="0" w:color="auto"/>
        <w:left w:val="none" w:sz="0" w:space="0" w:color="auto"/>
        <w:bottom w:val="none" w:sz="0" w:space="0" w:color="auto"/>
        <w:right w:val="none" w:sz="0" w:space="0" w:color="auto"/>
      </w:divBdr>
    </w:div>
    <w:div w:id="1435828346">
      <w:bodyDiv w:val="1"/>
      <w:marLeft w:val="0"/>
      <w:marRight w:val="0"/>
      <w:marTop w:val="0"/>
      <w:marBottom w:val="0"/>
      <w:divBdr>
        <w:top w:val="none" w:sz="0" w:space="0" w:color="auto"/>
        <w:left w:val="none" w:sz="0" w:space="0" w:color="auto"/>
        <w:bottom w:val="none" w:sz="0" w:space="0" w:color="auto"/>
        <w:right w:val="none" w:sz="0" w:space="0" w:color="auto"/>
      </w:divBdr>
    </w:div>
    <w:div w:id="1436555729">
      <w:bodyDiv w:val="1"/>
      <w:marLeft w:val="0"/>
      <w:marRight w:val="0"/>
      <w:marTop w:val="0"/>
      <w:marBottom w:val="0"/>
      <w:divBdr>
        <w:top w:val="none" w:sz="0" w:space="0" w:color="auto"/>
        <w:left w:val="none" w:sz="0" w:space="0" w:color="auto"/>
        <w:bottom w:val="none" w:sz="0" w:space="0" w:color="auto"/>
        <w:right w:val="none" w:sz="0" w:space="0" w:color="auto"/>
      </w:divBdr>
    </w:div>
    <w:div w:id="1436632717">
      <w:bodyDiv w:val="1"/>
      <w:marLeft w:val="0"/>
      <w:marRight w:val="0"/>
      <w:marTop w:val="0"/>
      <w:marBottom w:val="0"/>
      <w:divBdr>
        <w:top w:val="none" w:sz="0" w:space="0" w:color="auto"/>
        <w:left w:val="none" w:sz="0" w:space="0" w:color="auto"/>
        <w:bottom w:val="none" w:sz="0" w:space="0" w:color="auto"/>
        <w:right w:val="none" w:sz="0" w:space="0" w:color="auto"/>
      </w:divBdr>
    </w:div>
    <w:div w:id="1436899347">
      <w:bodyDiv w:val="1"/>
      <w:marLeft w:val="0"/>
      <w:marRight w:val="0"/>
      <w:marTop w:val="0"/>
      <w:marBottom w:val="0"/>
      <w:divBdr>
        <w:top w:val="none" w:sz="0" w:space="0" w:color="auto"/>
        <w:left w:val="none" w:sz="0" w:space="0" w:color="auto"/>
        <w:bottom w:val="none" w:sz="0" w:space="0" w:color="auto"/>
        <w:right w:val="none" w:sz="0" w:space="0" w:color="auto"/>
      </w:divBdr>
    </w:div>
    <w:div w:id="1436974780">
      <w:bodyDiv w:val="1"/>
      <w:marLeft w:val="0"/>
      <w:marRight w:val="0"/>
      <w:marTop w:val="0"/>
      <w:marBottom w:val="0"/>
      <w:divBdr>
        <w:top w:val="none" w:sz="0" w:space="0" w:color="auto"/>
        <w:left w:val="none" w:sz="0" w:space="0" w:color="auto"/>
        <w:bottom w:val="none" w:sz="0" w:space="0" w:color="auto"/>
        <w:right w:val="none" w:sz="0" w:space="0" w:color="auto"/>
      </w:divBdr>
    </w:div>
    <w:div w:id="1439372824">
      <w:bodyDiv w:val="1"/>
      <w:marLeft w:val="0"/>
      <w:marRight w:val="0"/>
      <w:marTop w:val="0"/>
      <w:marBottom w:val="0"/>
      <w:divBdr>
        <w:top w:val="none" w:sz="0" w:space="0" w:color="auto"/>
        <w:left w:val="none" w:sz="0" w:space="0" w:color="auto"/>
        <w:bottom w:val="none" w:sz="0" w:space="0" w:color="auto"/>
        <w:right w:val="none" w:sz="0" w:space="0" w:color="auto"/>
      </w:divBdr>
    </w:div>
    <w:div w:id="1440178197">
      <w:bodyDiv w:val="1"/>
      <w:marLeft w:val="0"/>
      <w:marRight w:val="0"/>
      <w:marTop w:val="0"/>
      <w:marBottom w:val="0"/>
      <w:divBdr>
        <w:top w:val="none" w:sz="0" w:space="0" w:color="auto"/>
        <w:left w:val="none" w:sz="0" w:space="0" w:color="auto"/>
        <w:bottom w:val="none" w:sz="0" w:space="0" w:color="auto"/>
        <w:right w:val="none" w:sz="0" w:space="0" w:color="auto"/>
      </w:divBdr>
    </w:div>
    <w:div w:id="1440224733">
      <w:bodyDiv w:val="1"/>
      <w:marLeft w:val="0"/>
      <w:marRight w:val="0"/>
      <w:marTop w:val="0"/>
      <w:marBottom w:val="0"/>
      <w:divBdr>
        <w:top w:val="none" w:sz="0" w:space="0" w:color="auto"/>
        <w:left w:val="none" w:sz="0" w:space="0" w:color="auto"/>
        <w:bottom w:val="none" w:sz="0" w:space="0" w:color="auto"/>
        <w:right w:val="none" w:sz="0" w:space="0" w:color="auto"/>
      </w:divBdr>
    </w:div>
    <w:div w:id="1441102954">
      <w:bodyDiv w:val="1"/>
      <w:marLeft w:val="0"/>
      <w:marRight w:val="0"/>
      <w:marTop w:val="0"/>
      <w:marBottom w:val="0"/>
      <w:divBdr>
        <w:top w:val="none" w:sz="0" w:space="0" w:color="auto"/>
        <w:left w:val="none" w:sz="0" w:space="0" w:color="auto"/>
        <w:bottom w:val="none" w:sz="0" w:space="0" w:color="auto"/>
        <w:right w:val="none" w:sz="0" w:space="0" w:color="auto"/>
      </w:divBdr>
    </w:div>
    <w:div w:id="1442144049">
      <w:bodyDiv w:val="1"/>
      <w:marLeft w:val="0"/>
      <w:marRight w:val="0"/>
      <w:marTop w:val="0"/>
      <w:marBottom w:val="0"/>
      <w:divBdr>
        <w:top w:val="none" w:sz="0" w:space="0" w:color="auto"/>
        <w:left w:val="none" w:sz="0" w:space="0" w:color="auto"/>
        <w:bottom w:val="none" w:sz="0" w:space="0" w:color="auto"/>
        <w:right w:val="none" w:sz="0" w:space="0" w:color="auto"/>
      </w:divBdr>
    </w:div>
    <w:div w:id="1443302874">
      <w:bodyDiv w:val="1"/>
      <w:marLeft w:val="0"/>
      <w:marRight w:val="0"/>
      <w:marTop w:val="0"/>
      <w:marBottom w:val="0"/>
      <w:divBdr>
        <w:top w:val="none" w:sz="0" w:space="0" w:color="auto"/>
        <w:left w:val="none" w:sz="0" w:space="0" w:color="auto"/>
        <w:bottom w:val="none" w:sz="0" w:space="0" w:color="auto"/>
        <w:right w:val="none" w:sz="0" w:space="0" w:color="auto"/>
      </w:divBdr>
    </w:div>
    <w:div w:id="1444227121">
      <w:bodyDiv w:val="1"/>
      <w:marLeft w:val="0"/>
      <w:marRight w:val="0"/>
      <w:marTop w:val="0"/>
      <w:marBottom w:val="0"/>
      <w:divBdr>
        <w:top w:val="none" w:sz="0" w:space="0" w:color="auto"/>
        <w:left w:val="none" w:sz="0" w:space="0" w:color="auto"/>
        <w:bottom w:val="none" w:sz="0" w:space="0" w:color="auto"/>
        <w:right w:val="none" w:sz="0" w:space="0" w:color="auto"/>
      </w:divBdr>
    </w:div>
    <w:div w:id="1444618821">
      <w:bodyDiv w:val="1"/>
      <w:marLeft w:val="0"/>
      <w:marRight w:val="0"/>
      <w:marTop w:val="0"/>
      <w:marBottom w:val="0"/>
      <w:divBdr>
        <w:top w:val="none" w:sz="0" w:space="0" w:color="auto"/>
        <w:left w:val="none" w:sz="0" w:space="0" w:color="auto"/>
        <w:bottom w:val="none" w:sz="0" w:space="0" w:color="auto"/>
        <w:right w:val="none" w:sz="0" w:space="0" w:color="auto"/>
      </w:divBdr>
    </w:div>
    <w:div w:id="1444954990">
      <w:bodyDiv w:val="1"/>
      <w:marLeft w:val="0"/>
      <w:marRight w:val="0"/>
      <w:marTop w:val="0"/>
      <w:marBottom w:val="0"/>
      <w:divBdr>
        <w:top w:val="none" w:sz="0" w:space="0" w:color="auto"/>
        <w:left w:val="none" w:sz="0" w:space="0" w:color="auto"/>
        <w:bottom w:val="none" w:sz="0" w:space="0" w:color="auto"/>
        <w:right w:val="none" w:sz="0" w:space="0" w:color="auto"/>
      </w:divBdr>
    </w:div>
    <w:div w:id="1445735336">
      <w:bodyDiv w:val="1"/>
      <w:marLeft w:val="0"/>
      <w:marRight w:val="0"/>
      <w:marTop w:val="0"/>
      <w:marBottom w:val="0"/>
      <w:divBdr>
        <w:top w:val="none" w:sz="0" w:space="0" w:color="auto"/>
        <w:left w:val="none" w:sz="0" w:space="0" w:color="auto"/>
        <w:bottom w:val="none" w:sz="0" w:space="0" w:color="auto"/>
        <w:right w:val="none" w:sz="0" w:space="0" w:color="auto"/>
      </w:divBdr>
    </w:div>
    <w:div w:id="1446773691">
      <w:bodyDiv w:val="1"/>
      <w:marLeft w:val="0"/>
      <w:marRight w:val="0"/>
      <w:marTop w:val="0"/>
      <w:marBottom w:val="0"/>
      <w:divBdr>
        <w:top w:val="none" w:sz="0" w:space="0" w:color="auto"/>
        <w:left w:val="none" w:sz="0" w:space="0" w:color="auto"/>
        <w:bottom w:val="none" w:sz="0" w:space="0" w:color="auto"/>
        <w:right w:val="none" w:sz="0" w:space="0" w:color="auto"/>
      </w:divBdr>
    </w:div>
    <w:div w:id="1447315857">
      <w:bodyDiv w:val="1"/>
      <w:marLeft w:val="0"/>
      <w:marRight w:val="0"/>
      <w:marTop w:val="0"/>
      <w:marBottom w:val="0"/>
      <w:divBdr>
        <w:top w:val="none" w:sz="0" w:space="0" w:color="auto"/>
        <w:left w:val="none" w:sz="0" w:space="0" w:color="auto"/>
        <w:bottom w:val="none" w:sz="0" w:space="0" w:color="auto"/>
        <w:right w:val="none" w:sz="0" w:space="0" w:color="auto"/>
      </w:divBdr>
    </w:div>
    <w:div w:id="1448886489">
      <w:bodyDiv w:val="1"/>
      <w:marLeft w:val="0"/>
      <w:marRight w:val="0"/>
      <w:marTop w:val="0"/>
      <w:marBottom w:val="0"/>
      <w:divBdr>
        <w:top w:val="none" w:sz="0" w:space="0" w:color="auto"/>
        <w:left w:val="none" w:sz="0" w:space="0" w:color="auto"/>
        <w:bottom w:val="none" w:sz="0" w:space="0" w:color="auto"/>
        <w:right w:val="none" w:sz="0" w:space="0" w:color="auto"/>
      </w:divBdr>
    </w:div>
    <w:div w:id="1449424482">
      <w:bodyDiv w:val="1"/>
      <w:marLeft w:val="0"/>
      <w:marRight w:val="0"/>
      <w:marTop w:val="0"/>
      <w:marBottom w:val="0"/>
      <w:divBdr>
        <w:top w:val="none" w:sz="0" w:space="0" w:color="auto"/>
        <w:left w:val="none" w:sz="0" w:space="0" w:color="auto"/>
        <w:bottom w:val="none" w:sz="0" w:space="0" w:color="auto"/>
        <w:right w:val="none" w:sz="0" w:space="0" w:color="auto"/>
      </w:divBdr>
    </w:div>
    <w:div w:id="1449545212">
      <w:bodyDiv w:val="1"/>
      <w:marLeft w:val="0"/>
      <w:marRight w:val="0"/>
      <w:marTop w:val="0"/>
      <w:marBottom w:val="0"/>
      <w:divBdr>
        <w:top w:val="none" w:sz="0" w:space="0" w:color="auto"/>
        <w:left w:val="none" w:sz="0" w:space="0" w:color="auto"/>
        <w:bottom w:val="none" w:sz="0" w:space="0" w:color="auto"/>
        <w:right w:val="none" w:sz="0" w:space="0" w:color="auto"/>
      </w:divBdr>
    </w:div>
    <w:div w:id="1449861323">
      <w:bodyDiv w:val="1"/>
      <w:marLeft w:val="0"/>
      <w:marRight w:val="0"/>
      <w:marTop w:val="0"/>
      <w:marBottom w:val="0"/>
      <w:divBdr>
        <w:top w:val="none" w:sz="0" w:space="0" w:color="auto"/>
        <w:left w:val="none" w:sz="0" w:space="0" w:color="auto"/>
        <w:bottom w:val="none" w:sz="0" w:space="0" w:color="auto"/>
        <w:right w:val="none" w:sz="0" w:space="0" w:color="auto"/>
      </w:divBdr>
    </w:div>
    <w:div w:id="1449936384">
      <w:bodyDiv w:val="1"/>
      <w:marLeft w:val="0"/>
      <w:marRight w:val="0"/>
      <w:marTop w:val="0"/>
      <w:marBottom w:val="0"/>
      <w:divBdr>
        <w:top w:val="none" w:sz="0" w:space="0" w:color="auto"/>
        <w:left w:val="none" w:sz="0" w:space="0" w:color="auto"/>
        <w:bottom w:val="none" w:sz="0" w:space="0" w:color="auto"/>
        <w:right w:val="none" w:sz="0" w:space="0" w:color="auto"/>
      </w:divBdr>
    </w:div>
    <w:div w:id="1450666189">
      <w:bodyDiv w:val="1"/>
      <w:marLeft w:val="0"/>
      <w:marRight w:val="0"/>
      <w:marTop w:val="0"/>
      <w:marBottom w:val="0"/>
      <w:divBdr>
        <w:top w:val="none" w:sz="0" w:space="0" w:color="auto"/>
        <w:left w:val="none" w:sz="0" w:space="0" w:color="auto"/>
        <w:bottom w:val="none" w:sz="0" w:space="0" w:color="auto"/>
        <w:right w:val="none" w:sz="0" w:space="0" w:color="auto"/>
      </w:divBdr>
    </w:div>
    <w:div w:id="1451314631">
      <w:bodyDiv w:val="1"/>
      <w:marLeft w:val="0"/>
      <w:marRight w:val="0"/>
      <w:marTop w:val="0"/>
      <w:marBottom w:val="0"/>
      <w:divBdr>
        <w:top w:val="none" w:sz="0" w:space="0" w:color="auto"/>
        <w:left w:val="none" w:sz="0" w:space="0" w:color="auto"/>
        <w:bottom w:val="none" w:sz="0" w:space="0" w:color="auto"/>
        <w:right w:val="none" w:sz="0" w:space="0" w:color="auto"/>
      </w:divBdr>
    </w:div>
    <w:div w:id="1451315130">
      <w:bodyDiv w:val="1"/>
      <w:marLeft w:val="0"/>
      <w:marRight w:val="0"/>
      <w:marTop w:val="0"/>
      <w:marBottom w:val="0"/>
      <w:divBdr>
        <w:top w:val="none" w:sz="0" w:space="0" w:color="auto"/>
        <w:left w:val="none" w:sz="0" w:space="0" w:color="auto"/>
        <w:bottom w:val="none" w:sz="0" w:space="0" w:color="auto"/>
        <w:right w:val="none" w:sz="0" w:space="0" w:color="auto"/>
      </w:divBdr>
    </w:div>
    <w:div w:id="1451705587">
      <w:bodyDiv w:val="1"/>
      <w:marLeft w:val="0"/>
      <w:marRight w:val="0"/>
      <w:marTop w:val="0"/>
      <w:marBottom w:val="0"/>
      <w:divBdr>
        <w:top w:val="none" w:sz="0" w:space="0" w:color="auto"/>
        <w:left w:val="none" w:sz="0" w:space="0" w:color="auto"/>
        <w:bottom w:val="none" w:sz="0" w:space="0" w:color="auto"/>
        <w:right w:val="none" w:sz="0" w:space="0" w:color="auto"/>
      </w:divBdr>
    </w:div>
    <w:div w:id="1452287725">
      <w:bodyDiv w:val="1"/>
      <w:marLeft w:val="0"/>
      <w:marRight w:val="0"/>
      <w:marTop w:val="0"/>
      <w:marBottom w:val="0"/>
      <w:divBdr>
        <w:top w:val="none" w:sz="0" w:space="0" w:color="auto"/>
        <w:left w:val="none" w:sz="0" w:space="0" w:color="auto"/>
        <w:bottom w:val="none" w:sz="0" w:space="0" w:color="auto"/>
        <w:right w:val="none" w:sz="0" w:space="0" w:color="auto"/>
      </w:divBdr>
    </w:div>
    <w:div w:id="1452700254">
      <w:bodyDiv w:val="1"/>
      <w:marLeft w:val="0"/>
      <w:marRight w:val="0"/>
      <w:marTop w:val="0"/>
      <w:marBottom w:val="0"/>
      <w:divBdr>
        <w:top w:val="none" w:sz="0" w:space="0" w:color="auto"/>
        <w:left w:val="none" w:sz="0" w:space="0" w:color="auto"/>
        <w:bottom w:val="none" w:sz="0" w:space="0" w:color="auto"/>
        <w:right w:val="none" w:sz="0" w:space="0" w:color="auto"/>
      </w:divBdr>
    </w:div>
    <w:div w:id="1455712643">
      <w:bodyDiv w:val="1"/>
      <w:marLeft w:val="0"/>
      <w:marRight w:val="0"/>
      <w:marTop w:val="0"/>
      <w:marBottom w:val="0"/>
      <w:divBdr>
        <w:top w:val="none" w:sz="0" w:space="0" w:color="auto"/>
        <w:left w:val="none" w:sz="0" w:space="0" w:color="auto"/>
        <w:bottom w:val="none" w:sz="0" w:space="0" w:color="auto"/>
        <w:right w:val="none" w:sz="0" w:space="0" w:color="auto"/>
      </w:divBdr>
    </w:div>
    <w:div w:id="1456214161">
      <w:bodyDiv w:val="1"/>
      <w:marLeft w:val="0"/>
      <w:marRight w:val="0"/>
      <w:marTop w:val="0"/>
      <w:marBottom w:val="0"/>
      <w:divBdr>
        <w:top w:val="none" w:sz="0" w:space="0" w:color="auto"/>
        <w:left w:val="none" w:sz="0" w:space="0" w:color="auto"/>
        <w:bottom w:val="none" w:sz="0" w:space="0" w:color="auto"/>
        <w:right w:val="none" w:sz="0" w:space="0" w:color="auto"/>
      </w:divBdr>
    </w:div>
    <w:div w:id="1456407680">
      <w:bodyDiv w:val="1"/>
      <w:marLeft w:val="0"/>
      <w:marRight w:val="0"/>
      <w:marTop w:val="0"/>
      <w:marBottom w:val="0"/>
      <w:divBdr>
        <w:top w:val="none" w:sz="0" w:space="0" w:color="auto"/>
        <w:left w:val="none" w:sz="0" w:space="0" w:color="auto"/>
        <w:bottom w:val="none" w:sz="0" w:space="0" w:color="auto"/>
        <w:right w:val="none" w:sz="0" w:space="0" w:color="auto"/>
      </w:divBdr>
    </w:div>
    <w:div w:id="1457020968">
      <w:bodyDiv w:val="1"/>
      <w:marLeft w:val="0"/>
      <w:marRight w:val="0"/>
      <w:marTop w:val="0"/>
      <w:marBottom w:val="0"/>
      <w:divBdr>
        <w:top w:val="none" w:sz="0" w:space="0" w:color="auto"/>
        <w:left w:val="none" w:sz="0" w:space="0" w:color="auto"/>
        <w:bottom w:val="none" w:sz="0" w:space="0" w:color="auto"/>
        <w:right w:val="none" w:sz="0" w:space="0" w:color="auto"/>
      </w:divBdr>
    </w:div>
    <w:div w:id="1457917923">
      <w:bodyDiv w:val="1"/>
      <w:marLeft w:val="0"/>
      <w:marRight w:val="0"/>
      <w:marTop w:val="0"/>
      <w:marBottom w:val="0"/>
      <w:divBdr>
        <w:top w:val="none" w:sz="0" w:space="0" w:color="auto"/>
        <w:left w:val="none" w:sz="0" w:space="0" w:color="auto"/>
        <w:bottom w:val="none" w:sz="0" w:space="0" w:color="auto"/>
        <w:right w:val="none" w:sz="0" w:space="0" w:color="auto"/>
      </w:divBdr>
    </w:div>
    <w:div w:id="1458060352">
      <w:bodyDiv w:val="1"/>
      <w:marLeft w:val="0"/>
      <w:marRight w:val="0"/>
      <w:marTop w:val="0"/>
      <w:marBottom w:val="0"/>
      <w:divBdr>
        <w:top w:val="none" w:sz="0" w:space="0" w:color="auto"/>
        <w:left w:val="none" w:sz="0" w:space="0" w:color="auto"/>
        <w:bottom w:val="none" w:sz="0" w:space="0" w:color="auto"/>
        <w:right w:val="none" w:sz="0" w:space="0" w:color="auto"/>
      </w:divBdr>
    </w:div>
    <w:div w:id="1458795029">
      <w:bodyDiv w:val="1"/>
      <w:marLeft w:val="0"/>
      <w:marRight w:val="0"/>
      <w:marTop w:val="0"/>
      <w:marBottom w:val="0"/>
      <w:divBdr>
        <w:top w:val="none" w:sz="0" w:space="0" w:color="auto"/>
        <w:left w:val="none" w:sz="0" w:space="0" w:color="auto"/>
        <w:bottom w:val="none" w:sz="0" w:space="0" w:color="auto"/>
        <w:right w:val="none" w:sz="0" w:space="0" w:color="auto"/>
      </w:divBdr>
    </w:div>
    <w:div w:id="1459034225">
      <w:bodyDiv w:val="1"/>
      <w:marLeft w:val="0"/>
      <w:marRight w:val="0"/>
      <w:marTop w:val="0"/>
      <w:marBottom w:val="0"/>
      <w:divBdr>
        <w:top w:val="none" w:sz="0" w:space="0" w:color="auto"/>
        <w:left w:val="none" w:sz="0" w:space="0" w:color="auto"/>
        <w:bottom w:val="none" w:sz="0" w:space="0" w:color="auto"/>
        <w:right w:val="none" w:sz="0" w:space="0" w:color="auto"/>
      </w:divBdr>
    </w:div>
    <w:div w:id="1459762152">
      <w:bodyDiv w:val="1"/>
      <w:marLeft w:val="0"/>
      <w:marRight w:val="0"/>
      <w:marTop w:val="0"/>
      <w:marBottom w:val="0"/>
      <w:divBdr>
        <w:top w:val="none" w:sz="0" w:space="0" w:color="auto"/>
        <w:left w:val="none" w:sz="0" w:space="0" w:color="auto"/>
        <w:bottom w:val="none" w:sz="0" w:space="0" w:color="auto"/>
        <w:right w:val="none" w:sz="0" w:space="0" w:color="auto"/>
      </w:divBdr>
    </w:div>
    <w:div w:id="1460368966">
      <w:bodyDiv w:val="1"/>
      <w:marLeft w:val="0"/>
      <w:marRight w:val="0"/>
      <w:marTop w:val="0"/>
      <w:marBottom w:val="0"/>
      <w:divBdr>
        <w:top w:val="none" w:sz="0" w:space="0" w:color="auto"/>
        <w:left w:val="none" w:sz="0" w:space="0" w:color="auto"/>
        <w:bottom w:val="none" w:sz="0" w:space="0" w:color="auto"/>
        <w:right w:val="none" w:sz="0" w:space="0" w:color="auto"/>
      </w:divBdr>
    </w:div>
    <w:div w:id="1460612138">
      <w:bodyDiv w:val="1"/>
      <w:marLeft w:val="0"/>
      <w:marRight w:val="0"/>
      <w:marTop w:val="0"/>
      <w:marBottom w:val="0"/>
      <w:divBdr>
        <w:top w:val="none" w:sz="0" w:space="0" w:color="auto"/>
        <w:left w:val="none" w:sz="0" w:space="0" w:color="auto"/>
        <w:bottom w:val="none" w:sz="0" w:space="0" w:color="auto"/>
        <w:right w:val="none" w:sz="0" w:space="0" w:color="auto"/>
      </w:divBdr>
    </w:div>
    <w:div w:id="1460613607">
      <w:bodyDiv w:val="1"/>
      <w:marLeft w:val="0"/>
      <w:marRight w:val="0"/>
      <w:marTop w:val="0"/>
      <w:marBottom w:val="0"/>
      <w:divBdr>
        <w:top w:val="none" w:sz="0" w:space="0" w:color="auto"/>
        <w:left w:val="none" w:sz="0" w:space="0" w:color="auto"/>
        <w:bottom w:val="none" w:sz="0" w:space="0" w:color="auto"/>
        <w:right w:val="none" w:sz="0" w:space="0" w:color="auto"/>
      </w:divBdr>
    </w:div>
    <w:div w:id="1460949955">
      <w:bodyDiv w:val="1"/>
      <w:marLeft w:val="0"/>
      <w:marRight w:val="0"/>
      <w:marTop w:val="0"/>
      <w:marBottom w:val="0"/>
      <w:divBdr>
        <w:top w:val="none" w:sz="0" w:space="0" w:color="auto"/>
        <w:left w:val="none" w:sz="0" w:space="0" w:color="auto"/>
        <w:bottom w:val="none" w:sz="0" w:space="0" w:color="auto"/>
        <w:right w:val="none" w:sz="0" w:space="0" w:color="auto"/>
      </w:divBdr>
    </w:div>
    <w:div w:id="1461613023">
      <w:bodyDiv w:val="1"/>
      <w:marLeft w:val="0"/>
      <w:marRight w:val="0"/>
      <w:marTop w:val="0"/>
      <w:marBottom w:val="0"/>
      <w:divBdr>
        <w:top w:val="none" w:sz="0" w:space="0" w:color="auto"/>
        <w:left w:val="none" w:sz="0" w:space="0" w:color="auto"/>
        <w:bottom w:val="none" w:sz="0" w:space="0" w:color="auto"/>
        <w:right w:val="none" w:sz="0" w:space="0" w:color="auto"/>
      </w:divBdr>
    </w:div>
    <w:div w:id="1463383498">
      <w:bodyDiv w:val="1"/>
      <w:marLeft w:val="0"/>
      <w:marRight w:val="0"/>
      <w:marTop w:val="0"/>
      <w:marBottom w:val="0"/>
      <w:divBdr>
        <w:top w:val="none" w:sz="0" w:space="0" w:color="auto"/>
        <w:left w:val="none" w:sz="0" w:space="0" w:color="auto"/>
        <w:bottom w:val="none" w:sz="0" w:space="0" w:color="auto"/>
        <w:right w:val="none" w:sz="0" w:space="0" w:color="auto"/>
      </w:divBdr>
    </w:div>
    <w:div w:id="1465386967">
      <w:bodyDiv w:val="1"/>
      <w:marLeft w:val="0"/>
      <w:marRight w:val="0"/>
      <w:marTop w:val="0"/>
      <w:marBottom w:val="0"/>
      <w:divBdr>
        <w:top w:val="none" w:sz="0" w:space="0" w:color="auto"/>
        <w:left w:val="none" w:sz="0" w:space="0" w:color="auto"/>
        <w:bottom w:val="none" w:sz="0" w:space="0" w:color="auto"/>
        <w:right w:val="none" w:sz="0" w:space="0" w:color="auto"/>
      </w:divBdr>
    </w:div>
    <w:div w:id="1465778567">
      <w:bodyDiv w:val="1"/>
      <w:marLeft w:val="0"/>
      <w:marRight w:val="0"/>
      <w:marTop w:val="0"/>
      <w:marBottom w:val="0"/>
      <w:divBdr>
        <w:top w:val="none" w:sz="0" w:space="0" w:color="auto"/>
        <w:left w:val="none" w:sz="0" w:space="0" w:color="auto"/>
        <w:bottom w:val="none" w:sz="0" w:space="0" w:color="auto"/>
        <w:right w:val="none" w:sz="0" w:space="0" w:color="auto"/>
      </w:divBdr>
    </w:div>
    <w:div w:id="1466311771">
      <w:bodyDiv w:val="1"/>
      <w:marLeft w:val="0"/>
      <w:marRight w:val="0"/>
      <w:marTop w:val="0"/>
      <w:marBottom w:val="0"/>
      <w:divBdr>
        <w:top w:val="none" w:sz="0" w:space="0" w:color="auto"/>
        <w:left w:val="none" w:sz="0" w:space="0" w:color="auto"/>
        <w:bottom w:val="none" w:sz="0" w:space="0" w:color="auto"/>
        <w:right w:val="none" w:sz="0" w:space="0" w:color="auto"/>
      </w:divBdr>
    </w:div>
    <w:div w:id="1467548043">
      <w:bodyDiv w:val="1"/>
      <w:marLeft w:val="0"/>
      <w:marRight w:val="0"/>
      <w:marTop w:val="0"/>
      <w:marBottom w:val="0"/>
      <w:divBdr>
        <w:top w:val="none" w:sz="0" w:space="0" w:color="auto"/>
        <w:left w:val="none" w:sz="0" w:space="0" w:color="auto"/>
        <w:bottom w:val="none" w:sz="0" w:space="0" w:color="auto"/>
        <w:right w:val="none" w:sz="0" w:space="0" w:color="auto"/>
      </w:divBdr>
    </w:div>
    <w:div w:id="1467774381">
      <w:bodyDiv w:val="1"/>
      <w:marLeft w:val="0"/>
      <w:marRight w:val="0"/>
      <w:marTop w:val="0"/>
      <w:marBottom w:val="0"/>
      <w:divBdr>
        <w:top w:val="none" w:sz="0" w:space="0" w:color="auto"/>
        <w:left w:val="none" w:sz="0" w:space="0" w:color="auto"/>
        <w:bottom w:val="none" w:sz="0" w:space="0" w:color="auto"/>
        <w:right w:val="none" w:sz="0" w:space="0" w:color="auto"/>
      </w:divBdr>
    </w:div>
    <w:div w:id="1468666406">
      <w:bodyDiv w:val="1"/>
      <w:marLeft w:val="0"/>
      <w:marRight w:val="0"/>
      <w:marTop w:val="0"/>
      <w:marBottom w:val="0"/>
      <w:divBdr>
        <w:top w:val="none" w:sz="0" w:space="0" w:color="auto"/>
        <w:left w:val="none" w:sz="0" w:space="0" w:color="auto"/>
        <w:bottom w:val="none" w:sz="0" w:space="0" w:color="auto"/>
        <w:right w:val="none" w:sz="0" w:space="0" w:color="auto"/>
      </w:divBdr>
    </w:div>
    <w:div w:id="1469014407">
      <w:bodyDiv w:val="1"/>
      <w:marLeft w:val="0"/>
      <w:marRight w:val="0"/>
      <w:marTop w:val="0"/>
      <w:marBottom w:val="0"/>
      <w:divBdr>
        <w:top w:val="none" w:sz="0" w:space="0" w:color="auto"/>
        <w:left w:val="none" w:sz="0" w:space="0" w:color="auto"/>
        <w:bottom w:val="none" w:sz="0" w:space="0" w:color="auto"/>
        <w:right w:val="none" w:sz="0" w:space="0" w:color="auto"/>
      </w:divBdr>
    </w:div>
    <w:div w:id="1469283798">
      <w:bodyDiv w:val="1"/>
      <w:marLeft w:val="0"/>
      <w:marRight w:val="0"/>
      <w:marTop w:val="0"/>
      <w:marBottom w:val="0"/>
      <w:divBdr>
        <w:top w:val="none" w:sz="0" w:space="0" w:color="auto"/>
        <w:left w:val="none" w:sz="0" w:space="0" w:color="auto"/>
        <w:bottom w:val="none" w:sz="0" w:space="0" w:color="auto"/>
        <w:right w:val="none" w:sz="0" w:space="0" w:color="auto"/>
      </w:divBdr>
    </w:div>
    <w:div w:id="1469393014">
      <w:bodyDiv w:val="1"/>
      <w:marLeft w:val="0"/>
      <w:marRight w:val="0"/>
      <w:marTop w:val="0"/>
      <w:marBottom w:val="0"/>
      <w:divBdr>
        <w:top w:val="none" w:sz="0" w:space="0" w:color="auto"/>
        <w:left w:val="none" w:sz="0" w:space="0" w:color="auto"/>
        <w:bottom w:val="none" w:sz="0" w:space="0" w:color="auto"/>
        <w:right w:val="none" w:sz="0" w:space="0" w:color="auto"/>
      </w:divBdr>
    </w:div>
    <w:div w:id="1470174883">
      <w:bodyDiv w:val="1"/>
      <w:marLeft w:val="0"/>
      <w:marRight w:val="0"/>
      <w:marTop w:val="0"/>
      <w:marBottom w:val="0"/>
      <w:divBdr>
        <w:top w:val="none" w:sz="0" w:space="0" w:color="auto"/>
        <w:left w:val="none" w:sz="0" w:space="0" w:color="auto"/>
        <w:bottom w:val="none" w:sz="0" w:space="0" w:color="auto"/>
        <w:right w:val="none" w:sz="0" w:space="0" w:color="auto"/>
      </w:divBdr>
    </w:div>
    <w:div w:id="1470632944">
      <w:bodyDiv w:val="1"/>
      <w:marLeft w:val="0"/>
      <w:marRight w:val="0"/>
      <w:marTop w:val="0"/>
      <w:marBottom w:val="0"/>
      <w:divBdr>
        <w:top w:val="none" w:sz="0" w:space="0" w:color="auto"/>
        <w:left w:val="none" w:sz="0" w:space="0" w:color="auto"/>
        <w:bottom w:val="none" w:sz="0" w:space="0" w:color="auto"/>
        <w:right w:val="none" w:sz="0" w:space="0" w:color="auto"/>
      </w:divBdr>
    </w:div>
    <w:div w:id="1471047246">
      <w:bodyDiv w:val="1"/>
      <w:marLeft w:val="0"/>
      <w:marRight w:val="0"/>
      <w:marTop w:val="0"/>
      <w:marBottom w:val="0"/>
      <w:divBdr>
        <w:top w:val="none" w:sz="0" w:space="0" w:color="auto"/>
        <w:left w:val="none" w:sz="0" w:space="0" w:color="auto"/>
        <w:bottom w:val="none" w:sz="0" w:space="0" w:color="auto"/>
        <w:right w:val="none" w:sz="0" w:space="0" w:color="auto"/>
      </w:divBdr>
    </w:div>
    <w:div w:id="1471433819">
      <w:bodyDiv w:val="1"/>
      <w:marLeft w:val="0"/>
      <w:marRight w:val="0"/>
      <w:marTop w:val="0"/>
      <w:marBottom w:val="0"/>
      <w:divBdr>
        <w:top w:val="none" w:sz="0" w:space="0" w:color="auto"/>
        <w:left w:val="none" w:sz="0" w:space="0" w:color="auto"/>
        <w:bottom w:val="none" w:sz="0" w:space="0" w:color="auto"/>
        <w:right w:val="none" w:sz="0" w:space="0" w:color="auto"/>
      </w:divBdr>
    </w:div>
    <w:div w:id="1472482375">
      <w:bodyDiv w:val="1"/>
      <w:marLeft w:val="0"/>
      <w:marRight w:val="0"/>
      <w:marTop w:val="0"/>
      <w:marBottom w:val="0"/>
      <w:divBdr>
        <w:top w:val="none" w:sz="0" w:space="0" w:color="auto"/>
        <w:left w:val="none" w:sz="0" w:space="0" w:color="auto"/>
        <w:bottom w:val="none" w:sz="0" w:space="0" w:color="auto"/>
        <w:right w:val="none" w:sz="0" w:space="0" w:color="auto"/>
      </w:divBdr>
    </w:div>
    <w:div w:id="1472594939">
      <w:bodyDiv w:val="1"/>
      <w:marLeft w:val="0"/>
      <w:marRight w:val="0"/>
      <w:marTop w:val="0"/>
      <w:marBottom w:val="0"/>
      <w:divBdr>
        <w:top w:val="none" w:sz="0" w:space="0" w:color="auto"/>
        <w:left w:val="none" w:sz="0" w:space="0" w:color="auto"/>
        <w:bottom w:val="none" w:sz="0" w:space="0" w:color="auto"/>
        <w:right w:val="none" w:sz="0" w:space="0" w:color="auto"/>
      </w:divBdr>
    </w:div>
    <w:div w:id="1472601140">
      <w:bodyDiv w:val="1"/>
      <w:marLeft w:val="0"/>
      <w:marRight w:val="0"/>
      <w:marTop w:val="0"/>
      <w:marBottom w:val="0"/>
      <w:divBdr>
        <w:top w:val="none" w:sz="0" w:space="0" w:color="auto"/>
        <w:left w:val="none" w:sz="0" w:space="0" w:color="auto"/>
        <w:bottom w:val="none" w:sz="0" w:space="0" w:color="auto"/>
        <w:right w:val="none" w:sz="0" w:space="0" w:color="auto"/>
      </w:divBdr>
    </w:div>
    <w:div w:id="1473475578">
      <w:bodyDiv w:val="1"/>
      <w:marLeft w:val="0"/>
      <w:marRight w:val="0"/>
      <w:marTop w:val="0"/>
      <w:marBottom w:val="0"/>
      <w:divBdr>
        <w:top w:val="none" w:sz="0" w:space="0" w:color="auto"/>
        <w:left w:val="none" w:sz="0" w:space="0" w:color="auto"/>
        <w:bottom w:val="none" w:sz="0" w:space="0" w:color="auto"/>
        <w:right w:val="none" w:sz="0" w:space="0" w:color="auto"/>
      </w:divBdr>
    </w:div>
    <w:div w:id="1474787990">
      <w:bodyDiv w:val="1"/>
      <w:marLeft w:val="0"/>
      <w:marRight w:val="0"/>
      <w:marTop w:val="0"/>
      <w:marBottom w:val="0"/>
      <w:divBdr>
        <w:top w:val="none" w:sz="0" w:space="0" w:color="auto"/>
        <w:left w:val="none" w:sz="0" w:space="0" w:color="auto"/>
        <w:bottom w:val="none" w:sz="0" w:space="0" w:color="auto"/>
        <w:right w:val="none" w:sz="0" w:space="0" w:color="auto"/>
      </w:divBdr>
    </w:div>
    <w:div w:id="1475368865">
      <w:bodyDiv w:val="1"/>
      <w:marLeft w:val="0"/>
      <w:marRight w:val="0"/>
      <w:marTop w:val="0"/>
      <w:marBottom w:val="0"/>
      <w:divBdr>
        <w:top w:val="none" w:sz="0" w:space="0" w:color="auto"/>
        <w:left w:val="none" w:sz="0" w:space="0" w:color="auto"/>
        <w:bottom w:val="none" w:sz="0" w:space="0" w:color="auto"/>
        <w:right w:val="none" w:sz="0" w:space="0" w:color="auto"/>
      </w:divBdr>
    </w:div>
    <w:div w:id="1475491022">
      <w:bodyDiv w:val="1"/>
      <w:marLeft w:val="0"/>
      <w:marRight w:val="0"/>
      <w:marTop w:val="0"/>
      <w:marBottom w:val="0"/>
      <w:divBdr>
        <w:top w:val="none" w:sz="0" w:space="0" w:color="auto"/>
        <w:left w:val="none" w:sz="0" w:space="0" w:color="auto"/>
        <w:bottom w:val="none" w:sz="0" w:space="0" w:color="auto"/>
        <w:right w:val="none" w:sz="0" w:space="0" w:color="auto"/>
      </w:divBdr>
    </w:div>
    <w:div w:id="1477379850">
      <w:bodyDiv w:val="1"/>
      <w:marLeft w:val="0"/>
      <w:marRight w:val="0"/>
      <w:marTop w:val="0"/>
      <w:marBottom w:val="0"/>
      <w:divBdr>
        <w:top w:val="none" w:sz="0" w:space="0" w:color="auto"/>
        <w:left w:val="none" w:sz="0" w:space="0" w:color="auto"/>
        <w:bottom w:val="none" w:sz="0" w:space="0" w:color="auto"/>
        <w:right w:val="none" w:sz="0" w:space="0" w:color="auto"/>
      </w:divBdr>
    </w:div>
    <w:div w:id="1477529832">
      <w:bodyDiv w:val="1"/>
      <w:marLeft w:val="0"/>
      <w:marRight w:val="0"/>
      <w:marTop w:val="0"/>
      <w:marBottom w:val="0"/>
      <w:divBdr>
        <w:top w:val="none" w:sz="0" w:space="0" w:color="auto"/>
        <w:left w:val="none" w:sz="0" w:space="0" w:color="auto"/>
        <w:bottom w:val="none" w:sz="0" w:space="0" w:color="auto"/>
        <w:right w:val="none" w:sz="0" w:space="0" w:color="auto"/>
      </w:divBdr>
    </w:div>
    <w:div w:id="1477911927">
      <w:bodyDiv w:val="1"/>
      <w:marLeft w:val="0"/>
      <w:marRight w:val="0"/>
      <w:marTop w:val="0"/>
      <w:marBottom w:val="0"/>
      <w:divBdr>
        <w:top w:val="none" w:sz="0" w:space="0" w:color="auto"/>
        <w:left w:val="none" w:sz="0" w:space="0" w:color="auto"/>
        <w:bottom w:val="none" w:sz="0" w:space="0" w:color="auto"/>
        <w:right w:val="none" w:sz="0" w:space="0" w:color="auto"/>
      </w:divBdr>
    </w:div>
    <w:div w:id="1479418884">
      <w:bodyDiv w:val="1"/>
      <w:marLeft w:val="0"/>
      <w:marRight w:val="0"/>
      <w:marTop w:val="0"/>
      <w:marBottom w:val="0"/>
      <w:divBdr>
        <w:top w:val="none" w:sz="0" w:space="0" w:color="auto"/>
        <w:left w:val="none" w:sz="0" w:space="0" w:color="auto"/>
        <w:bottom w:val="none" w:sz="0" w:space="0" w:color="auto"/>
        <w:right w:val="none" w:sz="0" w:space="0" w:color="auto"/>
      </w:divBdr>
    </w:div>
    <w:div w:id="1480267916">
      <w:bodyDiv w:val="1"/>
      <w:marLeft w:val="0"/>
      <w:marRight w:val="0"/>
      <w:marTop w:val="0"/>
      <w:marBottom w:val="0"/>
      <w:divBdr>
        <w:top w:val="none" w:sz="0" w:space="0" w:color="auto"/>
        <w:left w:val="none" w:sz="0" w:space="0" w:color="auto"/>
        <w:bottom w:val="none" w:sz="0" w:space="0" w:color="auto"/>
        <w:right w:val="none" w:sz="0" w:space="0" w:color="auto"/>
      </w:divBdr>
    </w:div>
    <w:div w:id="1480610783">
      <w:bodyDiv w:val="1"/>
      <w:marLeft w:val="0"/>
      <w:marRight w:val="0"/>
      <w:marTop w:val="0"/>
      <w:marBottom w:val="0"/>
      <w:divBdr>
        <w:top w:val="none" w:sz="0" w:space="0" w:color="auto"/>
        <w:left w:val="none" w:sz="0" w:space="0" w:color="auto"/>
        <w:bottom w:val="none" w:sz="0" w:space="0" w:color="auto"/>
        <w:right w:val="none" w:sz="0" w:space="0" w:color="auto"/>
      </w:divBdr>
    </w:div>
    <w:div w:id="1480685665">
      <w:bodyDiv w:val="1"/>
      <w:marLeft w:val="0"/>
      <w:marRight w:val="0"/>
      <w:marTop w:val="0"/>
      <w:marBottom w:val="0"/>
      <w:divBdr>
        <w:top w:val="none" w:sz="0" w:space="0" w:color="auto"/>
        <w:left w:val="none" w:sz="0" w:space="0" w:color="auto"/>
        <w:bottom w:val="none" w:sz="0" w:space="0" w:color="auto"/>
        <w:right w:val="none" w:sz="0" w:space="0" w:color="auto"/>
      </w:divBdr>
    </w:div>
    <w:div w:id="1480725778">
      <w:bodyDiv w:val="1"/>
      <w:marLeft w:val="0"/>
      <w:marRight w:val="0"/>
      <w:marTop w:val="0"/>
      <w:marBottom w:val="0"/>
      <w:divBdr>
        <w:top w:val="none" w:sz="0" w:space="0" w:color="auto"/>
        <w:left w:val="none" w:sz="0" w:space="0" w:color="auto"/>
        <w:bottom w:val="none" w:sz="0" w:space="0" w:color="auto"/>
        <w:right w:val="none" w:sz="0" w:space="0" w:color="auto"/>
      </w:divBdr>
    </w:div>
    <w:div w:id="1481001883">
      <w:bodyDiv w:val="1"/>
      <w:marLeft w:val="0"/>
      <w:marRight w:val="0"/>
      <w:marTop w:val="0"/>
      <w:marBottom w:val="0"/>
      <w:divBdr>
        <w:top w:val="none" w:sz="0" w:space="0" w:color="auto"/>
        <w:left w:val="none" w:sz="0" w:space="0" w:color="auto"/>
        <w:bottom w:val="none" w:sz="0" w:space="0" w:color="auto"/>
        <w:right w:val="none" w:sz="0" w:space="0" w:color="auto"/>
      </w:divBdr>
    </w:div>
    <w:div w:id="1481994137">
      <w:bodyDiv w:val="1"/>
      <w:marLeft w:val="0"/>
      <w:marRight w:val="0"/>
      <w:marTop w:val="0"/>
      <w:marBottom w:val="0"/>
      <w:divBdr>
        <w:top w:val="none" w:sz="0" w:space="0" w:color="auto"/>
        <w:left w:val="none" w:sz="0" w:space="0" w:color="auto"/>
        <w:bottom w:val="none" w:sz="0" w:space="0" w:color="auto"/>
        <w:right w:val="none" w:sz="0" w:space="0" w:color="auto"/>
      </w:divBdr>
    </w:div>
    <w:div w:id="1482038327">
      <w:bodyDiv w:val="1"/>
      <w:marLeft w:val="0"/>
      <w:marRight w:val="0"/>
      <w:marTop w:val="0"/>
      <w:marBottom w:val="0"/>
      <w:divBdr>
        <w:top w:val="none" w:sz="0" w:space="0" w:color="auto"/>
        <w:left w:val="none" w:sz="0" w:space="0" w:color="auto"/>
        <w:bottom w:val="none" w:sz="0" w:space="0" w:color="auto"/>
        <w:right w:val="none" w:sz="0" w:space="0" w:color="auto"/>
      </w:divBdr>
    </w:div>
    <w:div w:id="1483621731">
      <w:bodyDiv w:val="1"/>
      <w:marLeft w:val="0"/>
      <w:marRight w:val="0"/>
      <w:marTop w:val="0"/>
      <w:marBottom w:val="0"/>
      <w:divBdr>
        <w:top w:val="none" w:sz="0" w:space="0" w:color="auto"/>
        <w:left w:val="none" w:sz="0" w:space="0" w:color="auto"/>
        <w:bottom w:val="none" w:sz="0" w:space="0" w:color="auto"/>
        <w:right w:val="none" w:sz="0" w:space="0" w:color="auto"/>
      </w:divBdr>
    </w:div>
    <w:div w:id="1484421546">
      <w:bodyDiv w:val="1"/>
      <w:marLeft w:val="0"/>
      <w:marRight w:val="0"/>
      <w:marTop w:val="0"/>
      <w:marBottom w:val="0"/>
      <w:divBdr>
        <w:top w:val="none" w:sz="0" w:space="0" w:color="auto"/>
        <w:left w:val="none" w:sz="0" w:space="0" w:color="auto"/>
        <w:bottom w:val="none" w:sz="0" w:space="0" w:color="auto"/>
        <w:right w:val="none" w:sz="0" w:space="0" w:color="auto"/>
      </w:divBdr>
    </w:div>
    <w:div w:id="1484548116">
      <w:bodyDiv w:val="1"/>
      <w:marLeft w:val="0"/>
      <w:marRight w:val="0"/>
      <w:marTop w:val="0"/>
      <w:marBottom w:val="0"/>
      <w:divBdr>
        <w:top w:val="none" w:sz="0" w:space="0" w:color="auto"/>
        <w:left w:val="none" w:sz="0" w:space="0" w:color="auto"/>
        <w:bottom w:val="none" w:sz="0" w:space="0" w:color="auto"/>
        <w:right w:val="none" w:sz="0" w:space="0" w:color="auto"/>
      </w:divBdr>
    </w:div>
    <w:div w:id="1484615815">
      <w:bodyDiv w:val="1"/>
      <w:marLeft w:val="0"/>
      <w:marRight w:val="0"/>
      <w:marTop w:val="0"/>
      <w:marBottom w:val="0"/>
      <w:divBdr>
        <w:top w:val="none" w:sz="0" w:space="0" w:color="auto"/>
        <w:left w:val="none" w:sz="0" w:space="0" w:color="auto"/>
        <w:bottom w:val="none" w:sz="0" w:space="0" w:color="auto"/>
        <w:right w:val="none" w:sz="0" w:space="0" w:color="auto"/>
      </w:divBdr>
    </w:div>
    <w:div w:id="1485464256">
      <w:bodyDiv w:val="1"/>
      <w:marLeft w:val="0"/>
      <w:marRight w:val="0"/>
      <w:marTop w:val="0"/>
      <w:marBottom w:val="0"/>
      <w:divBdr>
        <w:top w:val="none" w:sz="0" w:space="0" w:color="auto"/>
        <w:left w:val="none" w:sz="0" w:space="0" w:color="auto"/>
        <w:bottom w:val="none" w:sz="0" w:space="0" w:color="auto"/>
        <w:right w:val="none" w:sz="0" w:space="0" w:color="auto"/>
      </w:divBdr>
    </w:div>
    <w:div w:id="1487744600">
      <w:bodyDiv w:val="1"/>
      <w:marLeft w:val="0"/>
      <w:marRight w:val="0"/>
      <w:marTop w:val="0"/>
      <w:marBottom w:val="0"/>
      <w:divBdr>
        <w:top w:val="none" w:sz="0" w:space="0" w:color="auto"/>
        <w:left w:val="none" w:sz="0" w:space="0" w:color="auto"/>
        <w:bottom w:val="none" w:sz="0" w:space="0" w:color="auto"/>
        <w:right w:val="none" w:sz="0" w:space="0" w:color="auto"/>
      </w:divBdr>
    </w:div>
    <w:div w:id="1488204235">
      <w:bodyDiv w:val="1"/>
      <w:marLeft w:val="0"/>
      <w:marRight w:val="0"/>
      <w:marTop w:val="0"/>
      <w:marBottom w:val="0"/>
      <w:divBdr>
        <w:top w:val="none" w:sz="0" w:space="0" w:color="auto"/>
        <w:left w:val="none" w:sz="0" w:space="0" w:color="auto"/>
        <w:bottom w:val="none" w:sz="0" w:space="0" w:color="auto"/>
        <w:right w:val="none" w:sz="0" w:space="0" w:color="auto"/>
      </w:divBdr>
    </w:div>
    <w:div w:id="1489134500">
      <w:bodyDiv w:val="1"/>
      <w:marLeft w:val="0"/>
      <w:marRight w:val="0"/>
      <w:marTop w:val="0"/>
      <w:marBottom w:val="0"/>
      <w:divBdr>
        <w:top w:val="none" w:sz="0" w:space="0" w:color="auto"/>
        <w:left w:val="none" w:sz="0" w:space="0" w:color="auto"/>
        <w:bottom w:val="none" w:sz="0" w:space="0" w:color="auto"/>
        <w:right w:val="none" w:sz="0" w:space="0" w:color="auto"/>
      </w:divBdr>
    </w:div>
    <w:div w:id="1489976860">
      <w:bodyDiv w:val="1"/>
      <w:marLeft w:val="0"/>
      <w:marRight w:val="0"/>
      <w:marTop w:val="0"/>
      <w:marBottom w:val="0"/>
      <w:divBdr>
        <w:top w:val="none" w:sz="0" w:space="0" w:color="auto"/>
        <w:left w:val="none" w:sz="0" w:space="0" w:color="auto"/>
        <w:bottom w:val="none" w:sz="0" w:space="0" w:color="auto"/>
        <w:right w:val="none" w:sz="0" w:space="0" w:color="auto"/>
      </w:divBdr>
    </w:div>
    <w:div w:id="1490512215">
      <w:bodyDiv w:val="1"/>
      <w:marLeft w:val="0"/>
      <w:marRight w:val="0"/>
      <w:marTop w:val="0"/>
      <w:marBottom w:val="0"/>
      <w:divBdr>
        <w:top w:val="none" w:sz="0" w:space="0" w:color="auto"/>
        <w:left w:val="none" w:sz="0" w:space="0" w:color="auto"/>
        <w:bottom w:val="none" w:sz="0" w:space="0" w:color="auto"/>
        <w:right w:val="none" w:sz="0" w:space="0" w:color="auto"/>
      </w:divBdr>
    </w:div>
    <w:div w:id="1491020394">
      <w:bodyDiv w:val="1"/>
      <w:marLeft w:val="0"/>
      <w:marRight w:val="0"/>
      <w:marTop w:val="0"/>
      <w:marBottom w:val="0"/>
      <w:divBdr>
        <w:top w:val="none" w:sz="0" w:space="0" w:color="auto"/>
        <w:left w:val="none" w:sz="0" w:space="0" w:color="auto"/>
        <w:bottom w:val="none" w:sz="0" w:space="0" w:color="auto"/>
        <w:right w:val="none" w:sz="0" w:space="0" w:color="auto"/>
      </w:divBdr>
    </w:div>
    <w:div w:id="1491285755">
      <w:bodyDiv w:val="1"/>
      <w:marLeft w:val="0"/>
      <w:marRight w:val="0"/>
      <w:marTop w:val="0"/>
      <w:marBottom w:val="0"/>
      <w:divBdr>
        <w:top w:val="none" w:sz="0" w:space="0" w:color="auto"/>
        <w:left w:val="none" w:sz="0" w:space="0" w:color="auto"/>
        <w:bottom w:val="none" w:sz="0" w:space="0" w:color="auto"/>
        <w:right w:val="none" w:sz="0" w:space="0" w:color="auto"/>
      </w:divBdr>
    </w:div>
    <w:div w:id="1492134429">
      <w:bodyDiv w:val="1"/>
      <w:marLeft w:val="0"/>
      <w:marRight w:val="0"/>
      <w:marTop w:val="0"/>
      <w:marBottom w:val="0"/>
      <w:divBdr>
        <w:top w:val="none" w:sz="0" w:space="0" w:color="auto"/>
        <w:left w:val="none" w:sz="0" w:space="0" w:color="auto"/>
        <w:bottom w:val="none" w:sz="0" w:space="0" w:color="auto"/>
        <w:right w:val="none" w:sz="0" w:space="0" w:color="auto"/>
      </w:divBdr>
    </w:div>
    <w:div w:id="1492520463">
      <w:bodyDiv w:val="1"/>
      <w:marLeft w:val="0"/>
      <w:marRight w:val="0"/>
      <w:marTop w:val="0"/>
      <w:marBottom w:val="0"/>
      <w:divBdr>
        <w:top w:val="none" w:sz="0" w:space="0" w:color="auto"/>
        <w:left w:val="none" w:sz="0" w:space="0" w:color="auto"/>
        <w:bottom w:val="none" w:sz="0" w:space="0" w:color="auto"/>
        <w:right w:val="none" w:sz="0" w:space="0" w:color="auto"/>
      </w:divBdr>
    </w:div>
    <w:div w:id="1493370179">
      <w:bodyDiv w:val="1"/>
      <w:marLeft w:val="0"/>
      <w:marRight w:val="0"/>
      <w:marTop w:val="0"/>
      <w:marBottom w:val="0"/>
      <w:divBdr>
        <w:top w:val="none" w:sz="0" w:space="0" w:color="auto"/>
        <w:left w:val="none" w:sz="0" w:space="0" w:color="auto"/>
        <w:bottom w:val="none" w:sz="0" w:space="0" w:color="auto"/>
        <w:right w:val="none" w:sz="0" w:space="0" w:color="auto"/>
      </w:divBdr>
    </w:div>
    <w:div w:id="1493520068">
      <w:bodyDiv w:val="1"/>
      <w:marLeft w:val="0"/>
      <w:marRight w:val="0"/>
      <w:marTop w:val="0"/>
      <w:marBottom w:val="0"/>
      <w:divBdr>
        <w:top w:val="none" w:sz="0" w:space="0" w:color="auto"/>
        <w:left w:val="none" w:sz="0" w:space="0" w:color="auto"/>
        <w:bottom w:val="none" w:sz="0" w:space="0" w:color="auto"/>
        <w:right w:val="none" w:sz="0" w:space="0" w:color="auto"/>
      </w:divBdr>
    </w:div>
    <w:div w:id="1494644342">
      <w:bodyDiv w:val="1"/>
      <w:marLeft w:val="0"/>
      <w:marRight w:val="0"/>
      <w:marTop w:val="0"/>
      <w:marBottom w:val="0"/>
      <w:divBdr>
        <w:top w:val="none" w:sz="0" w:space="0" w:color="auto"/>
        <w:left w:val="none" w:sz="0" w:space="0" w:color="auto"/>
        <w:bottom w:val="none" w:sz="0" w:space="0" w:color="auto"/>
        <w:right w:val="none" w:sz="0" w:space="0" w:color="auto"/>
      </w:divBdr>
    </w:div>
    <w:div w:id="1494878332">
      <w:bodyDiv w:val="1"/>
      <w:marLeft w:val="0"/>
      <w:marRight w:val="0"/>
      <w:marTop w:val="0"/>
      <w:marBottom w:val="0"/>
      <w:divBdr>
        <w:top w:val="none" w:sz="0" w:space="0" w:color="auto"/>
        <w:left w:val="none" w:sz="0" w:space="0" w:color="auto"/>
        <w:bottom w:val="none" w:sz="0" w:space="0" w:color="auto"/>
        <w:right w:val="none" w:sz="0" w:space="0" w:color="auto"/>
      </w:divBdr>
    </w:div>
    <w:div w:id="1495797975">
      <w:bodyDiv w:val="1"/>
      <w:marLeft w:val="0"/>
      <w:marRight w:val="0"/>
      <w:marTop w:val="0"/>
      <w:marBottom w:val="0"/>
      <w:divBdr>
        <w:top w:val="none" w:sz="0" w:space="0" w:color="auto"/>
        <w:left w:val="none" w:sz="0" w:space="0" w:color="auto"/>
        <w:bottom w:val="none" w:sz="0" w:space="0" w:color="auto"/>
        <w:right w:val="none" w:sz="0" w:space="0" w:color="auto"/>
      </w:divBdr>
    </w:div>
    <w:div w:id="1496458264">
      <w:bodyDiv w:val="1"/>
      <w:marLeft w:val="0"/>
      <w:marRight w:val="0"/>
      <w:marTop w:val="0"/>
      <w:marBottom w:val="0"/>
      <w:divBdr>
        <w:top w:val="none" w:sz="0" w:space="0" w:color="auto"/>
        <w:left w:val="none" w:sz="0" w:space="0" w:color="auto"/>
        <w:bottom w:val="none" w:sz="0" w:space="0" w:color="auto"/>
        <w:right w:val="none" w:sz="0" w:space="0" w:color="auto"/>
      </w:divBdr>
    </w:div>
    <w:div w:id="1498225655">
      <w:bodyDiv w:val="1"/>
      <w:marLeft w:val="0"/>
      <w:marRight w:val="0"/>
      <w:marTop w:val="0"/>
      <w:marBottom w:val="0"/>
      <w:divBdr>
        <w:top w:val="none" w:sz="0" w:space="0" w:color="auto"/>
        <w:left w:val="none" w:sz="0" w:space="0" w:color="auto"/>
        <w:bottom w:val="none" w:sz="0" w:space="0" w:color="auto"/>
        <w:right w:val="none" w:sz="0" w:space="0" w:color="auto"/>
      </w:divBdr>
    </w:div>
    <w:div w:id="1498694590">
      <w:bodyDiv w:val="1"/>
      <w:marLeft w:val="0"/>
      <w:marRight w:val="0"/>
      <w:marTop w:val="0"/>
      <w:marBottom w:val="0"/>
      <w:divBdr>
        <w:top w:val="none" w:sz="0" w:space="0" w:color="auto"/>
        <w:left w:val="none" w:sz="0" w:space="0" w:color="auto"/>
        <w:bottom w:val="none" w:sz="0" w:space="0" w:color="auto"/>
        <w:right w:val="none" w:sz="0" w:space="0" w:color="auto"/>
      </w:divBdr>
    </w:div>
    <w:div w:id="1499929351">
      <w:bodyDiv w:val="1"/>
      <w:marLeft w:val="0"/>
      <w:marRight w:val="0"/>
      <w:marTop w:val="0"/>
      <w:marBottom w:val="0"/>
      <w:divBdr>
        <w:top w:val="none" w:sz="0" w:space="0" w:color="auto"/>
        <w:left w:val="none" w:sz="0" w:space="0" w:color="auto"/>
        <w:bottom w:val="none" w:sz="0" w:space="0" w:color="auto"/>
        <w:right w:val="none" w:sz="0" w:space="0" w:color="auto"/>
      </w:divBdr>
    </w:div>
    <w:div w:id="1500079460">
      <w:bodyDiv w:val="1"/>
      <w:marLeft w:val="0"/>
      <w:marRight w:val="0"/>
      <w:marTop w:val="0"/>
      <w:marBottom w:val="0"/>
      <w:divBdr>
        <w:top w:val="none" w:sz="0" w:space="0" w:color="auto"/>
        <w:left w:val="none" w:sz="0" w:space="0" w:color="auto"/>
        <w:bottom w:val="none" w:sz="0" w:space="0" w:color="auto"/>
        <w:right w:val="none" w:sz="0" w:space="0" w:color="auto"/>
      </w:divBdr>
    </w:div>
    <w:div w:id="1501962824">
      <w:bodyDiv w:val="1"/>
      <w:marLeft w:val="0"/>
      <w:marRight w:val="0"/>
      <w:marTop w:val="0"/>
      <w:marBottom w:val="0"/>
      <w:divBdr>
        <w:top w:val="none" w:sz="0" w:space="0" w:color="auto"/>
        <w:left w:val="none" w:sz="0" w:space="0" w:color="auto"/>
        <w:bottom w:val="none" w:sz="0" w:space="0" w:color="auto"/>
        <w:right w:val="none" w:sz="0" w:space="0" w:color="auto"/>
      </w:divBdr>
    </w:div>
    <w:div w:id="1502433014">
      <w:bodyDiv w:val="1"/>
      <w:marLeft w:val="0"/>
      <w:marRight w:val="0"/>
      <w:marTop w:val="0"/>
      <w:marBottom w:val="0"/>
      <w:divBdr>
        <w:top w:val="none" w:sz="0" w:space="0" w:color="auto"/>
        <w:left w:val="none" w:sz="0" w:space="0" w:color="auto"/>
        <w:bottom w:val="none" w:sz="0" w:space="0" w:color="auto"/>
        <w:right w:val="none" w:sz="0" w:space="0" w:color="auto"/>
      </w:divBdr>
    </w:div>
    <w:div w:id="1503398260">
      <w:bodyDiv w:val="1"/>
      <w:marLeft w:val="0"/>
      <w:marRight w:val="0"/>
      <w:marTop w:val="0"/>
      <w:marBottom w:val="0"/>
      <w:divBdr>
        <w:top w:val="none" w:sz="0" w:space="0" w:color="auto"/>
        <w:left w:val="none" w:sz="0" w:space="0" w:color="auto"/>
        <w:bottom w:val="none" w:sz="0" w:space="0" w:color="auto"/>
        <w:right w:val="none" w:sz="0" w:space="0" w:color="auto"/>
      </w:divBdr>
    </w:div>
    <w:div w:id="1503931536">
      <w:bodyDiv w:val="1"/>
      <w:marLeft w:val="0"/>
      <w:marRight w:val="0"/>
      <w:marTop w:val="0"/>
      <w:marBottom w:val="0"/>
      <w:divBdr>
        <w:top w:val="none" w:sz="0" w:space="0" w:color="auto"/>
        <w:left w:val="none" w:sz="0" w:space="0" w:color="auto"/>
        <w:bottom w:val="none" w:sz="0" w:space="0" w:color="auto"/>
        <w:right w:val="none" w:sz="0" w:space="0" w:color="auto"/>
      </w:divBdr>
    </w:div>
    <w:div w:id="1504933352">
      <w:bodyDiv w:val="1"/>
      <w:marLeft w:val="0"/>
      <w:marRight w:val="0"/>
      <w:marTop w:val="0"/>
      <w:marBottom w:val="0"/>
      <w:divBdr>
        <w:top w:val="none" w:sz="0" w:space="0" w:color="auto"/>
        <w:left w:val="none" w:sz="0" w:space="0" w:color="auto"/>
        <w:bottom w:val="none" w:sz="0" w:space="0" w:color="auto"/>
        <w:right w:val="none" w:sz="0" w:space="0" w:color="auto"/>
      </w:divBdr>
    </w:div>
    <w:div w:id="1506245553">
      <w:bodyDiv w:val="1"/>
      <w:marLeft w:val="0"/>
      <w:marRight w:val="0"/>
      <w:marTop w:val="0"/>
      <w:marBottom w:val="0"/>
      <w:divBdr>
        <w:top w:val="none" w:sz="0" w:space="0" w:color="auto"/>
        <w:left w:val="none" w:sz="0" w:space="0" w:color="auto"/>
        <w:bottom w:val="none" w:sz="0" w:space="0" w:color="auto"/>
        <w:right w:val="none" w:sz="0" w:space="0" w:color="auto"/>
      </w:divBdr>
    </w:div>
    <w:div w:id="1506362037">
      <w:bodyDiv w:val="1"/>
      <w:marLeft w:val="0"/>
      <w:marRight w:val="0"/>
      <w:marTop w:val="0"/>
      <w:marBottom w:val="0"/>
      <w:divBdr>
        <w:top w:val="none" w:sz="0" w:space="0" w:color="auto"/>
        <w:left w:val="none" w:sz="0" w:space="0" w:color="auto"/>
        <w:bottom w:val="none" w:sz="0" w:space="0" w:color="auto"/>
        <w:right w:val="none" w:sz="0" w:space="0" w:color="auto"/>
      </w:divBdr>
    </w:div>
    <w:div w:id="1507018552">
      <w:bodyDiv w:val="1"/>
      <w:marLeft w:val="0"/>
      <w:marRight w:val="0"/>
      <w:marTop w:val="0"/>
      <w:marBottom w:val="0"/>
      <w:divBdr>
        <w:top w:val="none" w:sz="0" w:space="0" w:color="auto"/>
        <w:left w:val="none" w:sz="0" w:space="0" w:color="auto"/>
        <w:bottom w:val="none" w:sz="0" w:space="0" w:color="auto"/>
        <w:right w:val="none" w:sz="0" w:space="0" w:color="auto"/>
      </w:divBdr>
    </w:div>
    <w:div w:id="1508251036">
      <w:bodyDiv w:val="1"/>
      <w:marLeft w:val="0"/>
      <w:marRight w:val="0"/>
      <w:marTop w:val="0"/>
      <w:marBottom w:val="0"/>
      <w:divBdr>
        <w:top w:val="none" w:sz="0" w:space="0" w:color="auto"/>
        <w:left w:val="none" w:sz="0" w:space="0" w:color="auto"/>
        <w:bottom w:val="none" w:sz="0" w:space="0" w:color="auto"/>
        <w:right w:val="none" w:sz="0" w:space="0" w:color="auto"/>
      </w:divBdr>
    </w:div>
    <w:div w:id="1508517323">
      <w:bodyDiv w:val="1"/>
      <w:marLeft w:val="0"/>
      <w:marRight w:val="0"/>
      <w:marTop w:val="0"/>
      <w:marBottom w:val="0"/>
      <w:divBdr>
        <w:top w:val="none" w:sz="0" w:space="0" w:color="auto"/>
        <w:left w:val="none" w:sz="0" w:space="0" w:color="auto"/>
        <w:bottom w:val="none" w:sz="0" w:space="0" w:color="auto"/>
        <w:right w:val="none" w:sz="0" w:space="0" w:color="auto"/>
      </w:divBdr>
    </w:div>
    <w:div w:id="1508518325">
      <w:bodyDiv w:val="1"/>
      <w:marLeft w:val="0"/>
      <w:marRight w:val="0"/>
      <w:marTop w:val="0"/>
      <w:marBottom w:val="0"/>
      <w:divBdr>
        <w:top w:val="none" w:sz="0" w:space="0" w:color="auto"/>
        <w:left w:val="none" w:sz="0" w:space="0" w:color="auto"/>
        <w:bottom w:val="none" w:sz="0" w:space="0" w:color="auto"/>
        <w:right w:val="none" w:sz="0" w:space="0" w:color="auto"/>
      </w:divBdr>
    </w:div>
    <w:div w:id="1509102405">
      <w:bodyDiv w:val="1"/>
      <w:marLeft w:val="0"/>
      <w:marRight w:val="0"/>
      <w:marTop w:val="0"/>
      <w:marBottom w:val="0"/>
      <w:divBdr>
        <w:top w:val="none" w:sz="0" w:space="0" w:color="auto"/>
        <w:left w:val="none" w:sz="0" w:space="0" w:color="auto"/>
        <w:bottom w:val="none" w:sz="0" w:space="0" w:color="auto"/>
        <w:right w:val="none" w:sz="0" w:space="0" w:color="auto"/>
      </w:divBdr>
    </w:div>
    <w:div w:id="1509367964">
      <w:bodyDiv w:val="1"/>
      <w:marLeft w:val="0"/>
      <w:marRight w:val="0"/>
      <w:marTop w:val="0"/>
      <w:marBottom w:val="0"/>
      <w:divBdr>
        <w:top w:val="none" w:sz="0" w:space="0" w:color="auto"/>
        <w:left w:val="none" w:sz="0" w:space="0" w:color="auto"/>
        <w:bottom w:val="none" w:sz="0" w:space="0" w:color="auto"/>
        <w:right w:val="none" w:sz="0" w:space="0" w:color="auto"/>
      </w:divBdr>
    </w:div>
    <w:div w:id="1509521979">
      <w:bodyDiv w:val="1"/>
      <w:marLeft w:val="0"/>
      <w:marRight w:val="0"/>
      <w:marTop w:val="0"/>
      <w:marBottom w:val="0"/>
      <w:divBdr>
        <w:top w:val="none" w:sz="0" w:space="0" w:color="auto"/>
        <w:left w:val="none" w:sz="0" w:space="0" w:color="auto"/>
        <w:bottom w:val="none" w:sz="0" w:space="0" w:color="auto"/>
        <w:right w:val="none" w:sz="0" w:space="0" w:color="auto"/>
      </w:divBdr>
    </w:div>
    <w:div w:id="1509757202">
      <w:bodyDiv w:val="1"/>
      <w:marLeft w:val="0"/>
      <w:marRight w:val="0"/>
      <w:marTop w:val="0"/>
      <w:marBottom w:val="0"/>
      <w:divBdr>
        <w:top w:val="none" w:sz="0" w:space="0" w:color="auto"/>
        <w:left w:val="none" w:sz="0" w:space="0" w:color="auto"/>
        <w:bottom w:val="none" w:sz="0" w:space="0" w:color="auto"/>
        <w:right w:val="none" w:sz="0" w:space="0" w:color="auto"/>
      </w:divBdr>
    </w:div>
    <w:div w:id="1509834255">
      <w:bodyDiv w:val="1"/>
      <w:marLeft w:val="0"/>
      <w:marRight w:val="0"/>
      <w:marTop w:val="0"/>
      <w:marBottom w:val="0"/>
      <w:divBdr>
        <w:top w:val="none" w:sz="0" w:space="0" w:color="auto"/>
        <w:left w:val="none" w:sz="0" w:space="0" w:color="auto"/>
        <w:bottom w:val="none" w:sz="0" w:space="0" w:color="auto"/>
        <w:right w:val="none" w:sz="0" w:space="0" w:color="auto"/>
      </w:divBdr>
    </w:div>
    <w:div w:id="1510369491">
      <w:bodyDiv w:val="1"/>
      <w:marLeft w:val="0"/>
      <w:marRight w:val="0"/>
      <w:marTop w:val="0"/>
      <w:marBottom w:val="0"/>
      <w:divBdr>
        <w:top w:val="none" w:sz="0" w:space="0" w:color="auto"/>
        <w:left w:val="none" w:sz="0" w:space="0" w:color="auto"/>
        <w:bottom w:val="none" w:sz="0" w:space="0" w:color="auto"/>
        <w:right w:val="none" w:sz="0" w:space="0" w:color="auto"/>
      </w:divBdr>
    </w:div>
    <w:div w:id="1510679181">
      <w:bodyDiv w:val="1"/>
      <w:marLeft w:val="0"/>
      <w:marRight w:val="0"/>
      <w:marTop w:val="0"/>
      <w:marBottom w:val="0"/>
      <w:divBdr>
        <w:top w:val="none" w:sz="0" w:space="0" w:color="auto"/>
        <w:left w:val="none" w:sz="0" w:space="0" w:color="auto"/>
        <w:bottom w:val="none" w:sz="0" w:space="0" w:color="auto"/>
        <w:right w:val="none" w:sz="0" w:space="0" w:color="auto"/>
      </w:divBdr>
    </w:div>
    <w:div w:id="1510824811">
      <w:bodyDiv w:val="1"/>
      <w:marLeft w:val="0"/>
      <w:marRight w:val="0"/>
      <w:marTop w:val="0"/>
      <w:marBottom w:val="0"/>
      <w:divBdr>
        <w:top w:val="none" w:sz="0" w:space="0" w:color="auto"/>
        <w:left w:val="none" w:sz="0" w:space="0" w:color="auto"/>
        <w:bottom w:val="none" w:sz="0" w:space="0" w:color="auto"/>
        <w:right w:val="none" w:sz="0" w:space="0" w:color="auto"/>
      </w:divBdr>
    </w:div>
    <w:div w:id="1511484946">
      <w:bodyDiv w:val="1"/>
      <w:marLeft w:val="0"/>
      <w:marRight w:val="0"/>
      <w:marTop w:val="0"/>
      <w:marBottom w:val="0"/>
      <w:divBdr>
        <w:top w:val="none" w:sz="0" w:space="0" w:color="auto"/>
        <w:left w:val="none" w:sz="0" w:space="0" w:color="auto"/>
        <w:bottom w:val="none" w:sz="0" w:space="0" w:color="auto"/>
        <w:right w:val="none" w:sz="0" w:space="0" w:color="auto"/>
      </w:divBdr>
    </w:div>
    <w:div w:id="1512454860">
      <w:bodyDiv w:val="1"/>
      <w:marLeft w:val="0"/>
      <w:marRight w:val="0"/>
      <w:marTop w:val="0"/>
      <w:marBottom w:val="0"/>
      <w:divBdr>
        <w:top w:val="none" w:sz="0" w:space="0" w:color="auto"/>
        <w:left w:val="none" w:sz="0" w:space="0" w:color="auto"/>
        <w:bottom w:val="none" w:sz="0" w:space="0" w:color="auto"/>
        <w:right w:val="none" w:sz="0" w:space="0" w:color="auto"/>
      </w:divBdr>
    </w:div>
    <w:div w:id="1513839067">
      <w:bodyDiv w:val="1"/>
      <w:marLeft w:val="0"/>
      <w:marRight w:val="0"/>
      <w:marTop w:val="0"/>
      <w:marBottom w:val="0"/>
      <w:divBdr>
        <w:top w:val="none" w:sz="0" w:space="0" w:color="auto"/>
        <w:left w:val="none" w:sz="0" w:space="0" w:color="auto"/>
        <w:bottom w:val="none" w:sz="0" w:space="0" w:color="auto"/>
        <w:right w:val="none" w:sz="0" w:space="0" w:color="auto"/>
      </w:divBdr>
    </w:div>
    <w:div w:id="1513953142">
      <w:bodyDiv w:val="1"/>
      <w:marLeft w:val="0"/>
      <w:marRight w:val="0"/>
      <w:marTop w:val="0"/>
      <w:marBottom w:val="0"/>
      <w:divBdr>
        <w:top w:val="none" w:sz="0" w:space="0" w:color="auto"/>
        <w:left w:val="none" w:sz="0" w:space="0" w:color="auto"/>
        <w:bottom w:val="none" w:sz="0" w:space="0" w:color="auto"/>
        <w:right w:val="none" w:sz="0" w:space="0" w:color="auto"/>
      </w:divBdr>
    </w:div>
    <w:div w:id="1514613703">
      <w:bodyDiv w:val="1"/>
      <w:marLeft w:val="0"/>
      <w:marRight w:val="0"/>
      <w:marTop w:val="0"/>
      <w:marBottom w:val="0"/>
      <w:divBdr>
        <w:top w:val="none" w:sz="0" w:space="0" w:color="auto"/>
        <w:left w:val="none" w:sz="0" w:space="0" w:color="auto"/>
        <w:bottom w:val="none" w:sz="0" w:space="0" w:color="auto"/>
        <w:right w:val="none" w:sz="0" w:space="0" w:color="auto"/>
      </w:divBdr>
    </w:div>
    <w:div w:id="1515261559">
      <w:bodyDiv w:val="1"/>
      <w:marLeft w:val="0"/>
      <w:marRight w:val="0"/>
      <w:marTop w:val="0"/>
      <w:marBottom w:val="0"/>
      <w:divBdr>
        <w:top w:val="none" w:sz="0" w:space="0" w:color="auto"/>
        <w:left w:val="none" w:sz="0" w:space="0" w:color="auto"/>
        <w:bottom w:val="none" w:sz="0" w:space="0" w:color="auto"/>
        <w:right w:val="none" w:sz="0" w:space="0" w:color="auto"/>
      </w:divBdr>
    </w:div>
    <w:div w:id="1515875562">
      <w:bodyDiv w:val="1"/>
      <w:marLeft w:val="0"/>
      <w:marRight w:val="0"/>
      <w:marTop w:val="0"/>
      <w:marBottom w:val="0"/>
      <w:divBdr>
        <w:top w:val="none" w:sz="0" w:space="0" w:color="auto"/>
        <w:left w:val="none" w:sz="0" w:space="0" w:color="auto"/>
        <w:bottom w:val="none" w:sz="0" w:space="0" w:color="auto"/>
        <w:right w:val="none" w:sz="0" w:space="0" w:color="auto"/>
      </w:divBdr>
    </w:div>
    <w:div w:id="1517500147">
      <w:bodyDiv w:val="1"/>
      <w:marLeft w:val="0"/>
      <w:marRight w:val="0"/>
      <w:marTop w:val="0"/>
      <w:marBottom w:val="0"/>
      <w:divBdr>
        <w:top w:val="none" w:sz="0" w:space="0" w:color="auto"/>
        <w:left w:val="none" w:sz="0" w:space="0" w:color="auto"/>
        <w:bottom w:val="none" w:sz="0" w:space="0" w:color="auto"/>
        <w:right w:val="none" w:sz="0" w:space="0" w:color="auto"/>
      </w:divBdr>
    </w:div>
    <w:div w:id="1517882829">
      <w:bodyDiv w:val="1"/>
      <w:marLeft w:val="0"/>
      <w:marRight w:val="0"/>
      <w:marTop w:val="0"/>
      <w:marBottom w:val="0"/>
      <w:divBdr>
        <w:top w:val="none" w:sz="0" w:space="0" w:color="auto"/>
        <w:left w:val="none" w:sz="0" w:space="0" w:color="auto"/>
        <w:bottom w:val="none" w:sz="0" w:space="0" w:color="auto"/>
        <w:right w:val="none" w:sz="0" w:space="0" w:color="auto"/>
      </w:divBdr>
    </w:div>
    <w:div w:id="1518421597">
      <w:bodyDiv w:val="1"/>
      <w:marLeft w:val="0"/>
      <w:marRight w:val="0"/>
      <w:marTop w:val="0"/>
      <w:marBottom w:val="0"/>
      <w:divBdr>
        <w:top w:val="none" w:sz="0" w:space="0" w:color="auto"/>
        <w:left w:val="none" w:sz="0" w:space="0" w:color="auto"/>
        <w:bottom w:val="none" w:sz="0" w:space="0" w:color="auto"/>
        <w:right w:val="none" w:sz="0" w:space="0" w:color="auto"/>
      </w:divBdr>
    </w:div>
    <w:div w:id="1518806714">
      <w:bodyDiv w:val="1"/>
      <w:marLeft w:val="0"/>
      <w:marRight w:val="0"/>
      <w:marTop w:val="0"/>
      <w:marBottom w:val="0"/>
      <w:divBdr>
        <w:top w:val="none" w:sz="0" w:space="0" w:color="auto"/>
        <w:left w:val="none" w:sz="0" w:space="0" w:color="auto"/>
        <w:bottom w:val="none" w:sz="0" w:space="0" w:color="auto"/>
        <w:right w:val="none" w:sz="0" w:space="0" w:color="auto"/>
      </w:divBdr>
    </w:div>
    <w:div w:id="1519345363">
      <w:bodyDiv w:val="1"/>
      <w:marLeft w:val="0"/>
      <w:marRight w:val="0"/>
      <w:marTop w:val="0"/>
      <w:marBottom w:val="0"/>
      <w:divBdr>
        <w:top w:val="none" w:sz="0" w:space="0" w:color="auto"/>
        <w:left w:val="none" w:sz="0" w:space="0" w:color="auto"/>
        <w:bottom w:val="none" w:sz="0" w:space="0" w:color="auto"/>
        <w:right w:val="none" w:sz="0" w:space="0" w:color="auto"/>
      </w:divBdr>
    </w:div>
    <w:div w:id="1519612349">
      <w:bodyDiv w:val="1"/>
      <w:marLeft w:val="0"/>
      <w:marRight w:val="0"/>
      <w:marTop w:val="0"/>
      <w:marBottom w:val="0"/>
      <w:divBdr>
        <w:top w:val="none" w:sz="0" w:space="0" w:color="auto"/>
        <w:left w:val="none" w:sz="0" w:space="0" w:color="auto"/>
        <w:bottom w:val="none" w:sz="0" w:space="0" w:color="auto"/>
        <w:right w:val="none" w:sz="0" w:space="0" w:color="auto"/>
      </w:divBdr>
    </w:div>
    <w:div w:id="1520386857">
      <w:bodyDiv w:val="1"/>
      <w:marLeft w:val="0"/>
      <w:marRight w:val="0"/>
      <w:marTop w:val="0"/>
      <w:marBottom w:val="0"/>
      <w:divBdr>
        <w:top w:val="none" w:sz="0" w:space="0" w:color="auto"/>
        <w:left w:val="none" w:sz="0" w:space="0" w:color="auto"/>
        <w:bottom w:val="none" w:sz="0" w:space="0" w:color="auto"/>
        <w:right w:val="none" w:sz="0" w:space="0" w:color="auto"/>
      </w:divBdr>
    </w:div>
    <w:div w:id="1521774259">
      <w:bodyDiv w:val="1"/>
      <w:marLeft w:val="0"/>
      <w:marRight w:val="0"/>
      <w:marTop w:val="0"/>
      <w:marBottom w:val="0"/>
      <w:divBdr>
        <w:top w:val="none" w:sz="0" w:space="0" w:color="auto"/>
        <w:left w:val="none" w:sz="0" w:space="0" w:color="auto"/>
        <w:bottom w:val="none" w:sz="0" w:space="0" w:color="auto"/>
        <w:right w:val="none" w:sz="0" w:space="0" w:color="auto"/>
      </w:divBdr>
    </w:div>
    <w:div w:id="1522471624">
      <w:bodyDiv w:val="1"/>
      <w:marLeft w:val="0"/>
      <w:marRight w:val="0"/>
      <w:marTop w:val="0"/>
      <w:marBottom w:val="0"/>
      <w:divBdr>
        <w:top w:val="none" w:sz="0" w:space="0" w:color="auto"/>
        <w:left w:val="none" w:sz="0" w:space="0" w:color="auto"/>
        <w:bottom w:val="none" w:sz="0" w:space="0" w:color="auto"/>
        <w:right w:val="none" w:sz="0" w:space="0" w:color="auto"/>
      </w:divBdr>
    </w:div>
    <w:div w:id="1523206356">
      <w:bodyDiv w:val="1"/>
      <w:marLeft w:val="0"/>
      <w:marRight w:val="0"/>
      <w:marTop w:val="0"/>
      <w:marBottom w:val="0"/>
      <w:divBdr>
        <w:top w:val="none" w:sz="0" w:space="0" w:color="auto"/>
        <w:left w:val="none" w:sz="0" w:space="0" w:color="auto"/>
        <w:bottom w:val="none" w:sz="0" w:space="0" w:color="auto"/>
        <w:right w:val="none" w:sz="0" w:space="0" w:color="auto"/>
      </w:divBdr>
    </w:div>
    <w:div w:id="1523324439">
      <w:bodyDiv w:val="1"/>
      <w:marLeft w:val="0"/>
      <w:marRight w:val="0"/>
      <w:marTop w:val="0"/>
      <w:marBottom w:val="0"/>
      <w:divBdr>
        <w:top w:val="none" w:sz="0" w:space="0" w:color="auto"/>
        <w:left w:val="none" w:sz="0" w:space="0" w:color="auto"/>
        <w:bottom w:val="none" w:sz="0" w:space="0" w:color="auto"/>
        <w:right w:val="none" w:sz="0" w:space="0" w:color="auto"/>
      </w:divBdr>
    </w:div>
    <w:div w:id="1523931556">
      <w:bodyDiv w:val="1"/>
      <w:marLeft w:val="0"/>
      <w:marRight w:val="0"/>
      <w:marTop w:val="0"/>
      <w:marBottom w:val="0"/>
      <w:divBdr>
        <w:top w:val="none" w:sz="0" w:space="0" w:color="auto"/>
        <w:left w:val="none" w:sz="0" w:space="0" w:color="auto"/>
        <w:bottom w:val="none" w:sz="0" w:space="0" w:color="auto"/>
        <w:right w:val="none" w:sz="0" w:space="0" w:color="auto"/>
      </w:divBdr>
    </w:div>
    <w:div w:id="1525896492">
      <w:bodyDiv w:val="1"/>
      <w:marLeft w:val="0"/>
      <w:marRight w:val="0"/>
      <w:marTop w:val="0"/>
      <w:marBottom w:val="0"/>
      <w:divBdr>
        <w:top w:val="none" w:sz="0" w:space="0" w:color="auto"/>
        <w:left w:val="none" w:sz="0" w:space="0" w:color="auto"/>
        <w:bottom w:val="none" w:sz="0" w:space="0" w:color="auto"/>
        <w:right w:val="none" w:sz="0" w:space="0" w:color="auto"/>
      </w:divBdr>
    </w:div>
    <w:div w:id="1526097221">
      <w:bodyDiv w:val="1"/>
      <w:marLeft w:val="0"/>
      <w:marRight w:val="0"/>
      <w:marTop w:val="0"/>
      <w:marBottom w:val="0"/>
      <w:divBdr>
        <w:top w:val="none" w:sz="0" w:space="0" w:color="auto"/>
        <w:left w:val="none" w:sz="0" w:space="0" w:color="auto"/>
        <w:bottom w:val="none" w:sz="0" w:space="0" w:color="auto"/>
        <w:right w:val="none" w:sz="0" w:space="0" w:color="auto"/>
      </w:divBdr>
    </w:div>
    <w:div w:id="1526746353">
      <w:bodyDiv w:val="1"/>
      <w:marLeft w:val="0"/>
      <w:marRight w:val="0"/>
      <w:marTop w:val="0"/>
      <w:marBottom w:val="0"/>
      <w:divBdr>
        <w:top w:val="none" w:sz="0" w:space="0" w:color="auto"/>
        <w:left w:val="none" w:sz="0" w:space="0" w:color="auto"/>
        <w:bottom w:val="none" w:sz="0" w:space="0" w:color="auto"/>
        <w:right w:val="none" w:sz="0" w:space="0" w:color="auto"/>
      </w:divBdr>
    </w:div>
    <w:div w:id="1527209246">
      <w:bodyDiv w:val="1"/>
      <w:marLeft w:val="0"/>
      <w:marRight w:val="0"/>
      <w:marTop w:val="0"/>
      <w:marBottom w:val="0"/>
      <w:divBdr>
        <w:top w:val="none" w:sz="0" w:space="0" w:color="auto"/>
        <w:left w:val="none" w:sz="0" w:space="0" w:color="auto"/>
        <w:bottom w:val="none" w:sz="0" w:space="0" w:color="auto"/>
        <w:right w:val="none" w:sz="0" w:space="0" w:color="auto"/>
      </w:divBdr>
    </w:div>
    <w:div w:id="1528715349">
      <w:bodyDiv w:val="1"/>
      <w:marLeft w:val="0"/>
      <w:marRight w:val="0"/>
      <w:marTop w:val="0"/>
      <w:marBottom w:val="0"/>
      <w:divBdr>
        <w:top w:val="none" w:sz="0" w:space="0" w:color="auto"/>
        <w:left w:val="none" w:sz="0" w:space="0" w:color="auto"/>
        <w:bottom w:val="none" w:sz="0" w:space="0" w:color="auto"/>
        <w:right w:val="none" w:sz="0" w:space="0" w:color="auto"/>
      </w:divBdr>
    </w:div>
    <w:div w:id="1529025991">
      <w:bodyDiv w:val="1"/>
      <w:marLeft w:val="0"/>
      <w:marRight w:val="0"/>
      <w:marTop w:val="0"/>
      <w:marBottom w:val="0"/>
      <w:divBdr>
        <w:top w:val="none" w:sz="0" w:space="0" w:color="auto"/>
        <w:left w:val="none" w:sz="0" w:space="0" w:color="auto"/>
        <w:bottom w:val="none" w:sz="0" w:space="0" w:color="auto"/>
        <w:right w:val="none" w:sz="0" w:space="0" w:color="auto"/>
      </w:divBdr>
    </w:div>
    <w:div w:id="1530412688">
      <w:bodyDiv w:val="1"/>
      <w:marLeft w:val="0"/>
      <w:marRight w:val="0"/>
      <w:marTop w:val="0"/>
      <w:marBottom w:val="0"/>
      <w:divBdr>
        <w:top w:val="none" w:sz="0" w:space="0" w:color="auto"/>
        <w:left w:val="none" w:sz="0" w:space="0" w:color="auto"/>
        <w:bottom w:val="none" w:sz="0" w:space="0" w:color="auto"/>
        <w:right w:val="none" w:sz="0" w:space="0" w:color="auto"/>
      </w:divBdr>
    </w:div>
    <w:div w:id="1531458976">
      <w:bodyDiv w:val="1"/>
      <w:marLeft w:val="0"/>
      <w:marRight w:val="0"/>
      <w:marTop w:val="0"/>
      <w:marBottom w:val="0"/>
      <w:divBdr>
        <w:top w:val="none" w:sz="0" w:space="0" w:color="auto"/>
        <w:left w:val="none" w:sz="0" w:space="0" w:color="auto"/>
        <w:bottom w:val="none" w:sz="0" w:space="0" w:color="auto"/>
        <w:right w:val="none" w:sz="0" w:space="0" w:color="auto"/>
      </w:divBdr>
    </w:div>
    <w:div w:id="1531606704">
      <w:bodyDiv w:val="1"/>
      <w:marLeft w:val="0"/>
      <w:marRight w:val="0"/>
      <w:marTop w:val="0"/>
      <w:marBottom w:val="0"/>
      <w:divBdr>
        <w:top w:val="none" w:sz="0" w:space="0" w:color="auto"/>
        <w:left w:val="none" w:sz="0" w:space="0" w:color="auto"/>
        <w:bottom w:val="none" w:sz="0" w:space="0" w:color="auto"/>
        <w:right w:val="none" w:sz="0" w:space="0" w:color="auto"/>
      </w:divBdr>
    </w:div>
    <w:div w:id="1532380165">
      <w:bodyDiv w:val="1"/>
      <w:marLeft w:val="0"/>
      <w:marRight w:val="0"/>
      <w:marTop w:val="0"/>
      <w:marBottom w:val="0"/>
      <w:divBdr>
        <w:top w:val="none" w:sz="0" w:space="0" w:color="auto"/>
        <w:left w:val="none" w:sz="0" w:space="0" w:color="auto"/>
        <w:bottom w:val="none" w:sz="0" w:space="0" w:color="auto"/>
        <w:right w:val="none" w:sz="0" w:space="0" w:color="auto"/>
      </w:divBdr>
    </w:div>
    <w:div w:id="1532495200">
      <w:bodyDiv w:val="1"/>
      <w:marLeft w:val="0"/>
      <w:marRight w:val="0"/>
      <w:marTop w:val="0"/>
      <w:marBottom w:val="0"/>
      <w:divBdr>
        <w:top w:val="none" w:sz="0" w:space="0" w:color="auto"/>
        <w:left w:val="none" w:sz="0" w:space="0" w:color="auto"/>
        <w:bottom w:val="none" w:sz="0" w:space="0" w:color="auto"/>
        <w:right w:val="none" w:sz="0" w:space="0" w:color="auto"/>
      </w:divBdr>
    </w:div>
    <w:div w:id="1534002819">
      <w:bodyDiv w:val="1"/>
      <w:marLeft w:val="0"/>
      <w:marRight w:val="0"/>
      <w:marTop w:val="0"/>
      <w:marBottom w:val="0"/>
      <w:divBdr>
        <w:top w:val="none" w:sz="0" w:space="0" w:color="auto"/>
        <w:left w:val="none" w:sz="0" w:space="0" w:color="auto"/>
        <w:bottom w:val="none" w:sz="0" w:space="0" w:color="auto"/>
        <w:right w:val="none" w:sz="0" w:space="0" w:color="auto"/>
      </w:divBdr>
    </w:div>
    <w:div w:id="1534686724">
      <w:bodyDiv w:val="1"/>
      <w:marLeft w:val="0"/>
      <w:marRight w:val="0"/>
      <w:marTop w:val="0"/>
      <w:marBottom w:val="0"/>
      <w:divBdr>
        <w:top w:val="none" w:sz="0" w:space="0" w:color="auto"/>
        <w:left w:val="none" w:sz="0" w:space="0" w:color="auto"/>
        <w:bottom w:val="none" w:sz="0" w:space="0" w:color="auto"/>
        <w:right w:val="none" w:sz="0" w:space="0" w:color="auto"/>
      </w:divBdr>
    </w:div>
    <w:div w:id="1534877131">
      <w:bodyDiv w:val="1"/>
      <w:marLeft w:val="0"/>
      <w:marRight w:val="0"/>
      <w:marTop w:val="0"/>
      <w:marBottom w:val="0"/>
      <w:divBdr>
        <w:top w:val="none" w:sz="0" w:space="0" w:color="auto"/>
        <w:left w:val="none" w:sz="0" w:space="0" w:color="auto"/>
        <w:bottom w:val="none" w:sz="0" w:space="0" w:color="auto"/>
        <w:right w:val="none" w:sz="0" w:space="0" w:color="auto"/>
      </w:divBdr>
    </w:div>
    <w:div w:id="1535771928">
      <w:bodyDiv w:val="1"/>
      <w:marLeft w:val="0"/>
      <w:marRight w:val="0"/>
      <w:marTop w:val="0"/>
      <w:marBottom w:val="0"/>
      <w:divBdr>
        <w:top w:val="none" w:sz="0" w:space="0" w:color="auto"/>
        <w:left w:val="none" w:sz="0" w:space="0" w:color="auto"/>
        <w:bottom w:val="none" w:sz="0" w:space="0" w:color="auto"/>
        <w:right w:val="none" w:sz="0" w:space="0" w:color="auto"/>
      </w:divBdr>
    </w:div>
    <w:div w:id="1535845051">
      <w:bodyDiv w:val="1"/>
      <w:marLeft w:val="0"/>
      <w:marRight w:val="0"/>
      <w:marTop w:val="0"/>
      <w:marBottom w:val="0"/>
      <w:divBdr>
        <w:top w:val="none" w:sz="0" w:space="0" w:color="auto"/>
        <w:left w:val="none" w:sz="0" w:space="0" w:color="auto"/>
        <w:bottom w:val="none" w:sz="0" w:space="0" w:color="auto"/>
        <w:right w:val="none" w:sz="0" w:space="0" w:color="auto"/>
      </w:divBdr>
    </w:div>
    <w:div w:id="1536120682">
      <w:bodyDiv w:val="1"/>
      <w:marLeft w:val="0"/>
      <w:marRight w:val="0"/>
      <w:marTop w:val="0"/>
      <w:marBottom w:val="0"/>
      <w:divBdr>
        <w:top w:val="none" w:sz="0" w:space="0" w:color="auto"/>
        <w:left w:val="none" w:sz="0" w:space="0" w:color="auto"/>
        <w:bottom w:val="none" w:sz="0" w:space="0" w:color="auto"/>
        <w:right w:val="none" w:sz="0" w:space="0" w:color="auto"/>
      </w:divBdr>
    </w:div>
    <w:div w:id="1536191374">
      <w:bodyDiv w:val="1"/>
      <w:marLeft w:val="0"/>
      <w:marRight w:val="0"/>
      <w:marTop w:val="0"/>
      <w:marBottom w:val="0"/>
      <w:divBdr>
        <w:top w:val="none" w:sz="0" w:space="0" w:color="auto"/>
        <w:left w:val="none" w:sz="0" w:space="0" w:color="auto"/>
        <w:bottom w:val="none" w:sz="0" w:space="0" w:color="auto"/>
        <w:right w:val="none" w:sz="0" w:space="0" w:color="auto"/>
      </w:divBdr>
    </w:div>
    <w:div w:id="1538471545">
      <w:bodyDiv w:val="1"/>
      <w:marLeft w:val="0"/>
      <w:marRight w:val="0"/>
      <w:marTop w:val="0"/>
      <w:marBottom w:val="0"/>
      <w:divBdr>
        <w:top w:val="none" w:sz="0" w:space="0" w:color="auto"/>
        <w:left w:val="none" w:sz="0" w:space="0" w:color="auto"/>
        <w:bottom w:val="none" w:sz="0" w:space="0" w:color="auto"/>
        <w:right w:val="none" w:sz="0" w:space="0" w:color="auto"/>
      </w:divBdr>
    </w:div>
    <w:div w:id="1538858789">
      <w:bodyDiv w:val="1"/>
      <w:marLeft w:val="0"/>
      <w:marRight w:val="0"/>
      <w:marTop w:val="0"/>
      <w:marBottom w:val="0"/>
      <w:divBdr>
        <w:top w:val="none" w:sz="0" w:space="0" w:color="auto"/>
        <w:left w:val="none" w:sz="0" w:space="0" w:color="auto"/>
        <w:bottom w:val="none" w:sz="0" w:space="0" w:color="auto"/>
        <w:right w:val="none" w:sz="0" w:space="0" w:color="auto"/>
      </w:divBdr>
    </w:div>
    <w:div w:id="1540700382">
      <w:bodyDiv w:val="1"/>
      <w:marLeft w:val="0"/>
      <w:marRight w:val="0"/>
      <w:marTop w:val="0"/>
      <w:marBottom w:val="0"/>
      <w:divBdr>
        <w:top w:val="none" w:sz="0" w:space="0" w:color="auto"/>
        <w:left w:val="none" w:sz="0" w:space="0" w:color="auto"/>
        <w:bottom w:val="none" w:sz="0" w:space="0" w:color="auto"/>
        <w:right w:val="none" w:sz="0" w:space="0" w:color="auto"/>
      </w:divBdr>
    </w:div>
    <w:div w:id="1540701719">
      <w:bodyDiv w:val="1"/>
      <w:marLeft w:val="0"/>
      <w:marRight w:val="0"/>
      <w:marTop w:val="0"/>
      <w:marBottom w:val="0"/>
      <w:divBdr>
        <w:top w:val="none" w:sz="0" w:space="0" w:color="auto"/>
        <w:left w:val="none" w:sz="0" w:space="0" w:color="auto"/>
        <w:bottom w:val="none" w:sz="0" w:space="0" w:color="auto"/>
        <w:right w:val="none" w:sz="0" w:space="0" w:color="auto"/>
      </w:divBdr>
    </w:div>
    <w:div w:id="1540779759">
      <w:bodyDiv w:val="1"/>
      <w:marLeft w:val="0"/>
      <w:marRight w:val="0"/>
      <w:marTop w:val="0"/>
      <w:marBottom w:val="0"/>
      <w:divBdr>
        <w:top w:val="none" w:sz="0" w:space="0" w:color="auto"/>
        <w:left w:val="none" w:sz="0" w:space="0" w:color="auto"/>
        <w:bottom w:val="none" w:sz="0" w:space="0" w:color="auto"/>
        <w:right w:val="none" w:sz="0" w:space="0" w:color="auto"/>
      </w:divBdr>
    </w:div>
    <w:div w:id="1541088085">
      <w:bodyDiv w:val="1"/>
      <w:marLeft w:val="0"/>
      <w:marRight w:val="0"/>
      <w:marTop w:val="0"/>
      <w:marBottom w:val="0"/>
      <w:divBdr>
        <w:top w:val="none" w:sz="0" w:space="0" w:color="auto"/>
        <w:left w:val="none" w:sz="0" w:space="0" w:color="auto"/>
        <w:bottom w:val="none" w:sz="0" w:space="0" w:color="auto"/>
        <w:right w:val="none" w:sz="0" w:space="0" w:color="auto"/>
      </w:divBdr>
    </w:div>
    <w:div w:id="1541749508">
      <w:bodyDiv w:val="1"/>
      <w:marLeft w:val="0"/>
      <w:marRight w:val="0"/>
      <w:marTop w:val="0"/>
      <w:marBottom w:val="0"/>
      <w:divBdr>
        <w:top w:val="none" w:sz="0" w:space="0" w:color="auto"/>
        <w:left w:val="none" w:sz="0" w:space="0" w:color="auto"/>
        <w:bottom w:val="none" w:sz="0" w:space="0" w:color="auto"/>
        <w:right w:val="none" w:sz="0" w:space="0" w:color="auto"/>
      </w:divBdr>
    </w:div>
    <w:div w:id="1542396775">
      <w:bodyDiv w:val="1"/>
      <w:marLeft w:val="0"/>
      <w:marRight w:val="0"/>
      <w:marTop w:val="0"/>
      <w:marBottom w:val="0"/>
      <w:divBdr>
        <w:top w:val="none" w:sz="0" w:space="0" w:color="auto"/>
        <w:left w:val="none" w:sz="0" w:space="0" w:color="auto"/>
        <w:bottom w:val="none" w:sz="0" w:space="0" w:color="auto"/>
        <w:right w:val="none" w:sz="0" w:space="0" w:color="auto"/>
      </w:divBdr>
    </w:div>
    <w:div w:id="1542553521">
      <w:bodyDiv w:val="1"/>
      <w:marLeft w:val="0"/>
      <w:marRight w:val="0"/>
      <w:marTop w:val="0"/>
      <w:marBottom w:val="0"/>
      <w:divBdr>
        <w:top w:val="none" w:sz="0" w:space="0" w:color="auto"/>
        <w:left w:val="none" w:sz="0" w:space="0" w:color="auto"/>
        <w:bottom w:val="none" w:sz="0" w:space="0" w:color="auto"/>
        <w:right w:val="none" w:sz="0" w:space="0" w:color="auto"/>
      </w:divBdr>
    </w:div>
    <w:div w:id="1544099744">
      <w:bodyDiv w:val="1"/>
      <w:marLeft w:val="0"/>
      <w:marRight w:val="0"/>
      <w:marTop w:val="0"/>
      <w:marBottom w:val="0"/>
      <w:divBdr>
        <w:top w:val="none" w:sz="0" w:space="0" w:color="auto"/>
        <w:left w:val="none" w:sz="0" w:space="0" w:color="auto"/>
        <w:bottom w:val="none" w:sz="0" w:space="0" w:color="auto"/>
        <w:right w:val="none" w:sz="0" w:space="0" w:color="auto"/>
      </w:divBdr>
    </w:div>
    <w:div w:id="1544630052">
      <w:bodyDiv w:val="1"/>
      <w:marLeft w:val="0"/>
      <w:marRight w:val="0"/>
      <w:marTop w:val="0"/>
      <w:marBottom w:val="0"/>
      <w:divBdr>
        <w:top w:val="none" w:sz="0" w:space="0" w:color="auto"/>
        <w:left w:val="none" w:sz="0" w:space="0" w:color="auto"/>
        <w:bottom w:val="none" w:sz="0" w:space="0" w:color="auto"/>
        <w:right w:val="none" w:sz="0" w:space="0" w:color="auto"/>
      </w:divBdr>
    </w:div>
    <w:div w:id="1544947982">
      <w:bodyDiv w:val="1"/>
      <w:marLeft w:val="0"/>
      <w:marRight w:val="0"/>
      <w:marTop w:val="0"/>
      <w:marBottom w:val="0"/>
      <w:divBdr>
        <w:top w:val="none" w:sz="0" w:space="0" w:color="auto"/>
        <w:left w:val="none" w:sz="0" w:space="0" w:color="auto"/>
        <w:bottom w:val="none" w:sz="0" w:space="0" w:color="auto"/>
        <w:right w:val="none" w:sz="0" w:space="0" w:color="auto"/>
      </w:divBdr>
    </w:div>
    <w:div w:id="1545097176">
      <w:bodyDiv w:val="1"/>
      <w:marLeft w:val="0"/>
      <w:marRight w:val="0"/>
      <w:marTop w:val="0"/>
      <w:marBottom w:val="0"/>
      <w:divBdr>
        <w:top w:val="none" w:sz="0" w:space="0" w:color="auto"/>
        <w:left w:val="none" w:sz="0" w:space="0" w:color="auto"/>
        <w:bottom w:val="none" w:sz="0" w:space="0" w:color="auto"/>
        <w:right w:val="none" w:sz="0" w:space="0" w:color="auto"/>
      </w:divBdr>
    </w:div>
    <w:div w:id="1545100870">
      <w:bodyDiv w:val="1"/>
      <w:marLeft w:val="0"/>
      <w:marRight w:val="0"/>
      <w:marTop w:val="0"/>
      <w:marBottom w:val="0"/>
      <w:divBdr>
        <w:top w:val="none" w:sz="0" w:space="0" w:color="auto"/>
        <w:left w:val="none" w:sz="0" w:space="0" w:color="auto"/>
        <w:bottom w:val="none" w:sz="0" w:space="0" w:color="auto"/>
        <w:right w:val="none" w:sz="0" w:space="0" w:color="auto"/>
      </w:divBdr>
    </w:div>
    <w:div w:id="1545292980">
      <w:bodyDiv w:val="1"/>
      <w:marLeft w:val="0"/>
      <w:marRight w:val="0"/>
      <w:marTop w:val="0"/>
      <w:marBottom w:val="0"/>
      <w:divBdr>
        <w:top w:val="none" w:sz="0" w:space="0" w:color="auto"/>
        <w:left w:val="none" w:sz="0" w:space="0" w:color="auto"/>
        <w:bottom w:val="none" w:sz="0" w:space="0" w:color="auto"/>
        <w:right w:val="none" w:sz="0" w:space="0" w:color="auto"/>
      </w:divBdr>
    </w:div>
    <w:div w:id="1545554928">
      <w:bodyDiv w:val="1"/>
      <w:marLeft w:val="0"/>
      <w:marRight w:val="0"/>
      <w:marTop w:val="0"/>
      <w:marBottom w:val="0"/>
      <w:divBdr>
        <w:top w:val="none" w:sz="0" w:space="0" w:color="auto"/>
        <w:left w:val="none" w:sz="0" w:space="0" w:color="auto"/>
        <w:bottom w:val="none" w:sz="0" w:space="0" w:color="auto"/>
        <w:right w:val="none" w:sz="0" w:space="0" w:color="auto"/>
      </w:divBdr>
    </w:div>
    <w:div w:id="1545799034">
      <w:bodyDiv w:val="1"/>
      <w:marLeft w:val="0"/>
      <w:marRight w:val="0"/>
      <w:marTop w:val="0"/>
      <w:marBottom w:val="0"/>
      <w:divBdr>
        <w:top w:val="none" w:sz="0" w:space="0" w:color="auto"/>
        <w:left w:val="none" w:sz="0" w:space="0" w:color="auto"/>
        <w:bottom w:val="none" w:sz="0" w:space="0" w:color="auto"/>
        <w:right w:val="none" w:sz="0" w:space="0" w:color="auto"/>
      </w:divBdr>
    </w:div>
    <w:div w:id="1548566468">
      <w:bodyDiv w:val="1"/>
      <w:marLeft w:val="0"/>
      <w:marRight w:val="0"/>
      <w:marTop w:val="0"/>
      <w:marBottom w:val="0"/>
      <w:divBdr>
        <w:top w:val="none" w:sz="0" w:space="0" w:color="auto"/>
        <w:left w:val="none" w:sz="0" w:space="0" w:color="auto"/>
        <w:bottom w:val="none" w:sz="0" w:space="0" w:color="auto"/>
        <w:right w:val="none" w:sz="0" w:space="0" w:color="auto"/>
      </w:divBdr>
    </w:div>
    <w:div w:id="1549300103">
      <w:bodyDiv w:val="1"/>
      <w:marLeft w:val="0"/>
      <w:marRight w:val="0"/>
      <w:marTop w:val="0"/>
      <w:marBottom w:val="0"/>
      <w:divBdr>
        <w:top w:val="none" w:sz="0" w:space="0" w:color="auto"/>
        <w:left w:val="none" w:sz="0" w:space="0" w:color="auto"/>
        <w:bottom w:val="none" w:sz="0" w:space="0" w:color="auto"/>
        <w:right w:val="none" w:sz="0" w:space="0" w:color="auto"/>
      </w:divBdr>
    </w:div>
    <w:div w:id="1549610194">
      <w:bodyDiv w:val="1"/>
      <w:marLeft w:val="0"/>
      <w:marRight w:val="0"/>
      <w:marTop w:val="0"/>
      <w:marBottom w:val="0"/>
      <w:divBdr>
        <w:top w:val="none" w:sz="0" w:space="0" w:color="auto"/>
        <w:left w:val="none" w:sz="0" w:space="0" w:color="auto"/>
        <w:bottom w:val="none" w:sz="0" w:space="0" w:color="auto"/>
        <w:right w:val="none" w:sz="0" w:space="0" w:color="auto"/>
      </w:divBdr>
    </w:div>
    <w:div w:id="1550069607">
      <w:bodyDiv w:val="1"/>
      <w:marLeft w:val="0"/>
      <w:marRight w:val="0"/>
      <w:marTop w:val="0"/>
      <w:marBottom w:val="0"/>
      <w:divBdr>
        <w:top w:val="none" w:sz="0" w:space="0" w:color="auto"/>
        <w:left w:val="none" w:sz="0" w:space="0" w:color="auto"/>
        <w:bottom w:val="none" w:sz="0" w:space="0" w:color="auto"/>
        <w:right w:val="none" w:sz="0" w:space="0" w:color="auto"/>
      </w:divBdr>
    </w:div>
    <w:div w:id="1550263954">
      <w:bodyDiv w:val="1"/>
      <w:marLeft w:val="0"/>
      <w:marRight w:val="0"/>
      <w:marTop w:val="0"/>
      <w:marBottom w:val="0"/>
      <w:divBdr>
        <w:top w:val="none" w:sz="0" w:space="0" w:color="auto"/>
        <w:left w:val="none" w:sz="0" w:space="0" w:color="auto"/>
        <w:bottom w:val="none" w:sz="0" w:space="0" w:color="auto"/>
        <w:right w:val="none" w:sz="0" w:space="0" w:color="auto"/>
      </w:divBdr>
    </w:div>
    <w:div w:id="1552688823">
      <w:bodyDiv w:val="1"/>
      <w:marLeft w:val="0"/>
      <w:marRight w:val="0"/>
      <w:marTop w:val="0"/>
      <w:marBottom w:val="0"/>
      <w:divBdr>
        <w:top w:val="none" w:sz="0" w:space="0" w:color="auto"/>
        <w:left w:val="none" w:sz="0" w:space="0" w:color="auto"/>
        <w:bottom w:val="none" w:sz="0" w:space="0" w:color="auto"/>
        <w:right w:val="none" w:sz="0" w:space="0" w:color="auto"/>
      </w:divBdr>
    </w:div>
    <w:div w:id="1553007411">
      <w:bodyDiv w:val="1"/>
      <w:marLeft w:val="0"/>
      <w:marRight w:val="0"/>
      <w:marTop w:val="0"/>
      <w:marBottom w:val="0"/>
      <w:divBdr>
        <w:top w:val="none" w:sz="0" w:space="0" w:color="auto"/>
        <w:left w:val="none" w:sz="0" w:space="0" w:color="auto"/>
        <w:bottom w:val="none" w:sz="0" w:space="0" w:color="auto"/>
        <w:right w:val="none" w:sz="0" w:space="0" w:color="auto"/>
      </w:divBdr>
    </w:div>
    <w:div w:id="1554004431">
      <w:bodyDiv w:val="1"/>
      <w:marLeft w:val="0"/>
      <w:marRight w:val="0"/>
      <w:marTop w:val="0"/>
      <w:marBottom w:val="0"/>
      <w:divBdr>
        <w:top w:val="none" w:sz="0" w:space="0" w:color="auto"/>
        <w:left w:val="none" w:sz="0" w:space="0" w:color="auto"/>
        <w:bottom w:val="none" w:sz="0" w:space="0" w:color="auto"/>
        <w:right w:val="none" w:sz="0" w:space="0" w:color="auto"/>
      </w:divBdr>
    </w:div>
    <w:div w:id="1554074189">
      <w:bodyDiv w:val="1"/>
      <w:marLeft w:val="0"/>
      <w:marRight w:val="0"/>
      <w:marTop w:val="0"/>
      <w:marBottom w:val="0"/>
      <w:divBdr>
        <w:top w:val="none" w:sz="0" w:space="0" w:color="auto"/>
        <w:left w:val="none" w:sz="0" w:space="0" w:color="auto"/>
        <w:bottom w:val="none" w:sz="0" w:space="0" w:color="auto"/>
        <w:right w:val="none" w:sz="0" w:space="0" w:color="auto"/>
      </w:divBdr>
    </w:div>
    <w:div w:id="1554389746">
      <w:bodyDiv w:val="1"/>
      <w:marLeft w:val="0"/>
      <w:marRight w:val="0"/>
      <w:marTop w:val="0"/>
      <w:marBottom w:val="0"/>
      <w:divBdr>
        <w:top w:val="none" w:sz="0" w:space="0" w:color="auto"/>
        <w:left w:val="none" w:sz="0" w:space="0" w:color="auto"/>
        <w:bottom w:val="none" w:sz="0" w:space="0" w:color="auto"/>
        <w:right w:val="none" w:sz="0" w:space="0" w:color="auto"/>
      </w:divBdr>
    </w:div>
    <w:div w:id="1556434445">
      <w:bodyDiv w:val="1"/>
      <w:marLeft w:val="0"/>
      <w:marRight w:val="0"/>
      <w:marTop w:val="0"/>
      <w:marBottom w:val="0"/>
      <w:divBdr>
        <w:top w:val="none" w:sz="0" w:space="0" w:color="auto"/>
        <w:left w:val="none" w:sz="0" w:space="0" w:color="auto"/>
        <w:bottom w:val="none" w:sz="0" w:space="0" w:color="auto"/>
        <w:right w:val="none" w:sz="0" w:space="0" w:color="auto"/>
      </w:divBdr>
    </w:div>
    <w:div w:id="1557625242">
      <w:bodyDiv w:val="1"/>
      <w:marLeft w:val="0"/>
      <w:marRight w:val="0"/>
      <w:marTop w:val="0"/>
      <w:marBottom w:val="0"/>
      <w:divBdr>
        <w:top w:val="none" w:sz="0" w:space="0" w:color="auto"/>
        <w:left w:val="none" w:sz="0" w:space="0" w:color="auto"/>
        <w:bottom w:val="none" w:sz="0" w:space="0" w:color="auto"/>
        <w:right w:val="none" w:sz="0" w:space="0" w:color="auto"/>
      </w:divBdr>
    </w:div>
    <w:div w:id="1558857178">
      <w:bodyDiv w:val="1"/>
      <w:marLeft w:val="0"/>
      <w:marRight w:val="0"/>
      <w:marTop w:val="0"/>
      <w:marBottom w:val="0"/>
      <w:divBdr>
        <w:top w:val="none" w:sz="0" w:space="0" w:color="auto"/>
        <w:left w:val="none" w:sz="0" w:space="0" w:color="auto"/>
        <w:bottom w:val="none" w:sz="0" w:space="0" w:color="auto"/>
        <w:right w:val="none" w:sz="0" w:space="0" w:color="auto"/>
      </w:divBdr>
    </w:div>
    <w:div w:id="1558860157">
      <w:bodyDiv w:val="1"/>
      <w:marLeft w:val="0"/>
      <w:marRight w:val="0"/>
      <w:marTop w:val="0"/>
      <w:marBottom w:val="0"/>
      <w:divBdr>
        <w:top w:val="none" w:sz="0" w:space="0" w:color="auto"/>
        <w:left w:val="none" w:sz="0" w:space="0" w:color="auto"/>
        <w:bottom w:val="none" w:sz="0" w:space="0" w:color="auto"/>
        <w:right w:val="none" w:sz="0" w:space="0" w:color="auto"/>
      </w:divBdr>
    </w:div>
    <w:div w:id="1559318235">
      <w:bodyDiv w:val="1"/>
      <w:marLeft w:val="0"/>
      <w:marRight w:val="0"/>
      <w:marTop w:val="0"/>
      <w:marBottom w:val="0"/>
      <w:divBdr>
        <w:top w:val="none" w:sz="0" w:space="0" w:color="auto"/>
        <w:left w:val="none" w:sz="0" w:space="0" w:color="auto"/>
        <w:bottom w:val="none" w:sz="0" w:space="0" w:color="auto"/>
        <w:right w:val="none" w:sz="0" w:space="0" w:color="auto"/>
      </w:divBdr>
    </w:div>
    <w:div w:id="1559784061">
      <w:bodyDiv w:val="1"/>
      <w:marLeft w:val="0"/>
      <w:marRight w:val="0"/>
      <w:marTop w:val="0"/>
      <w:marBottom w:val="0"/>
      <w:divBdr>
        <w:top w:val="none" w:sz="0" w:space="0" w:color="auto"/>
        <w:left w:val="none" w:sz="0" w:space="0" w:color="auto"/>
        <w:bottom w:val="none" w:sz="0" w:space="0" w:color="auto"/>
        <w:right w:val="none" w:sz="0" w:space="0" w:color="auto"/>
      </w:divBdr>
    </w:div>
    <w:div w:id="1560941293">
      <w:bodyDiv w:val="1"/>
      <w:marLeft w:val="0"/>
      <w:marRight w:val="0"/>
      <w:marTop w:val="0"/>
      <w:marBottom w:val="0"/>
      <w:divBdr>
        <w:top w:val="none" w:sz="0" w:space="0" w:color="auto"/>
        <w:left w:val="none" w:sz="0" w:space="0" w:color="auto"/>
        <w:bottom w:val="none" w:sz="0" w:space="0" w:color="auto"/>
        <w:right w:val="none" w:sz="0" w:space="0" w:color="auto"/>
      </w:divBdr>
    </w:div>
    <w:div w:id="1561093458">
      <w:bodyDiv w:val="1"/>
      <w:marLeft w:val="0"/>
      <w:marRight w:val="0"/>
      <w:marTop w:val="0"/>
      <w:marBottom w:val="0"/>
      <w:divBdr>
        <w:top w:val="none" w:sz="0" w:space="0" w:color="auto"/>
        <w:left w:val="none" w:sz="0" w:space="0" w:color="auto"/>
        <w:bottom w:val="none" w:sz="0" w:space="0" w:color="auto"/>
        <w:right w:val="none" w:sz="0" w:space="0" w:color="auto"/>
      </w:divBdr>
    </w:div>
    <w:div w:id="1561135363">
      <w:bodyDiv w:val="1"/>
      <w:marLeft w:val="0"/>
      <w:marRight w:val="0"/>
      <w:marTop w:val="0"/>
      <w:marBottom w:val="0"/>
      <w:divBdr>
        <w:top w:val="none" w:sz="0" w:space="0" w:color="auto"/>
        <w:left w:val="none" w:sz="0" w:space="0" w:color="auto"/>
        <w:bottom w:val="none" w:sz="0" w:space="0" w:color="auto"/>
        <w:right w:val="none" w:sz="0" w:space="0" w:color="auto"/>
      </w:divBdr>
    </w:div>
    <w:div w:id="1562013999">
      <w:bodyDiv w:val="1"/>
      <w:marLeft w:val="0"/>
      <w:marRight w:val="0"/>
      <w:marTop w:val="0"/>
      <w:marBottom w:val="0"/>
      <w:divBdr>
        <w:top w:val="none" w:sz="0" w:space="0" w:color="auto"/>
        <w:left w:val="none" w:sz="0" w:space="0" w:color="auto"/>
        <w:bottom w:val="none" w:sz="0" w:space="0" w:color="auto"/>
        <w:right w:val="none" w:sz="0" w:space="0" w:color="auto"/>
      </w:divBdr>
    </w:div>
    <w:div w:id="1562207762">
      <w:bodyDiv w:val="1"/>
      <w:marLeft w:val="0"/>
      <w:marRight w:val="0"/>
      <w:marTop w:val="0"/>
      <w:marBottom w:val="0"/>
      <w:divBdr>
        <w:top w:val="none" w:sz="0" w:space="0" w:color="auto"/>
        <w:left w:val="none" w:sz="0" w:space="0" w:color="auto"/>
        <w:bottom w:val="none" w:sz="0" w:space="0" w:color="auto"/>
        <w:right w:val="none" w:sz="0" w:space="0" w:color="auto"/>
      </w:divBdr>
    </w:div>
    <w:div w:id="1562713159">
      <w:bodyDiv w:val="1"/>
      <w:marLeft w:val="0"/>
      <w:marRight w:val="0"/>
      <w:marTop w:val="0"/>
      <w:marBottom w:val="0"/>
      <w:divBdr>
        <w:top w:val="none" w:sz="0" w:space="0" w:color="auto"/>
        <w:left w:val="none" w:sz="0" w:space="0" w:color="auto"/>
        <w:bottom w:val="none" w:sz="0" w:space="0" w:color="auto"/>
        <w:right w:val="none" w:sz="0" w:space="0" w:color="auto"/>
      </w:divBdr>
    </w:div>
    <w:div w:id="1563373276">
      <w:bodyDiv w:val="1"/>
      <w:marLeft w:val="0"/>
      <w:marRight w:val="0"/>
      <w:marTop w:val="0"/>
      <w:marBottom w:val="0"/>
      <w:divBdr>
        <w:top w:val="none" w:sz="0" w:space="0" w:color="auto"/>
        <w:left w:val="none" w:sz="0" w:space="0" w:color="auto"/>
        <w:bottom w:val="none" w:sz="0" w:space="0" w:color="auto"/>
        <w:right w:val="none" w:sz="0" w:space="0" w:color="auto"/>
      </w:divBdr>
    </w:div>
    <w:div w:id="1563559426">
      <w:bodyDiv w:val="1"/>
      <w:marLeft w:val="0"/>
      <w:marRight w:val="0"/>
      <w:marTop w:val="0"/>
      <w:marBottom w:val="0"/>
      <w:divBdr>
        <w:top w:val="none" w:sz="0" w:space="0" w:color="auto"/>
        <w:left w:val="none" w:sz="0" w:space="0" w:color="auto"/>
        <w:bottom w:val="none" w:sz="0" w:space="0" w:color="auto"/>
        <w:right w:val="none" w:sz="0" w:space="0" w:color="auto"/>
      </w:divBdr>
    </w:div>
    <w:div w:id="1564216006">
      <w:bodyDiv w:val="1"/>
      <w:marLeft w:val="0"/>
      <w:marRight w:val="0"/>
      <w:marTop w:val="0"/>
      <w:marBottom w:val="0"/>
      <w:divBdr>
        <w:top w:val="none" w:sz="0" w:space="0" w:color="auto"/>
        <w:left w:val="none" w:sz="0" w:space="0" w:color="auto"/>
        <w:bottom w:val="none" w:sz="0" w:space="0" w:color="auto"/>
        <w:right w:val="none" w:sz="0" w:space="0" w:color="auto"/>
      </w:divBdr>
    </w:div>
    <w:div w:id="1565024853">
      <w:bodyDiv w:val="1"/>
      <w:marLeft w:val="0"/>
      <w:marRight w:val="0"/>
      <w:marTop w:val="0"/>
      <w:marBottom w:val="0"/>
      <w:divBdr>
        <w:top w:val="none" w:sz="0" w:space="0" w:color="auto"/>
        <w:left w:val="none" w:sz="0" w:space="0" w:color="auto"/>
        <w:bottom w:val="none" w:sz="0" w:space="0" w:color="auto"/>
        <w:right w:val="none" w:sz="0" w:space="0" w:color="auto"/>
      </w:divBdr>
    </w:div>
    <w:div w:id="1565917470">
      <w:bodyDiv w:val="1"/>
      <w:marLeft w:val="0"/>
      <w:marRight w:val="0"/>
      <w:marTop w:val="0"/>
      <w:marBottom w:val="0"/>
      <w:divBdr>
        <w:top w:val="none" w:sz="0" w:space="0" w:color="auto"/>
        <w:left w:val="none" w:sz="0" w:space="0" w:color="auto"/>
        <w:bottom w:val="none" w:sz="0" w:space="0" w:color="auto"/>
        <w:right w:val="none" w:sz="0" w:space="0" w:color="auto"/>
      </w:divBdr>
    </w:div>
    <w:div w:id="1565918613">
      <w:bodyDiv w:val="1"/>
      <w:marLeft w:val="0"/>
      <w:marRight w:val="0"/>
      <w:marTop w:val="0"/>
      <w:marBottom w:val="0"/>
      <w:divBdr>
        <w:top w:val="none" w:sz="0" w:space="0" w:color="auto"/>
        <w:left w:val="none" w:sz="0" w:space="0" w:color="auto"/>
        <w:bottom w:val="none" w:sz="0" w:space="0" w:color="auto"/>
        <w:right w:val="none" w:sz="0" w:space="0" w:color="auto"/>
      </w:divBdr>
    </w:div>
    <w:div w:id="1569150353">
      <w:bodyDiv w:val="1"/>
      <w:marLeft w:val="0"/>
      <w:marRight w:val="0"/>
      <w:marTop w:val="0"/>
      <w:marBottom w:val="0"/>
      <w:divBdr>
        <w:top w:val="none" w:sz="0" w:space="0" w:color="auto"/>
        <w:left w:val="none" w:sz="0" w:space="0" w:color="auto"/>
        <w:bottom w:val="none" w:sz="0" w:space="0" w:color="auto"/>
        <w:right w:val="none" w:sz="0" w:space="0" w:color="auto"/>
      </w:divBdr>
    </w:div>
    <w:div w:id="1569456245">
      <w:bodyDiv w:val="1"/>
      <w:marLeft w:val="0"/>
      <w:marRight w:val="0"/>
      <w:marTop w:val="0"/>
      <w:marBottom w:val="0"/>
      <w:divBdr>
        <w:top w:val="none" w:sz="0" w:space="0" w:color="auto"/>
        <w:left w:val="none" w:sz="0" w:space="0" w:color="auto"/>
        <w:bottom w:val="none" w:sz="0" w:space="0" w:color="auto"/>
        <w:right w:val="none" w:sz="0" w:space="0" w:color="auto"/>
      </w:divBdr>
    </w:div>
    <w:div w:id="1569803453">
      <w:bodyDiv w:val="1"/>
      <w:marLeft w:val="0"/>
      <w:marRight w:val="0"/>
      <w:marTop w:val="0"/>
      <w:marBottom w:val="0"/>
      <w:divBdr>
        <w:top w:val="none" w:sz="0" w:space="0" w:color="auto"/>
        <w:left w:val="none" w:sz="0" w:space="0" w:color="auto"/>
        <w:bottom w:val="none" w:sz="0" w:space="0" w:color="auto"/>
        <w:right w:val="none" w:sz="0" w:space="0" w:color="auto"/>
      </w:divBdr>
    </w:div>
    <w:div w:id="1570965090">
      <w:bodyDiv w:val="1"/>
      <w:marLeft w:val="0"/>
      <w:marRight w:val="0"/>
      <w:marTop w:val="0"/>
      <w:marBottom w:val="0"/>
      <w:divBdr>
        <w:top w:val="none" w:sz="0" w:space="0" w:color="auto"/>
        <w:left w:val="none" w:sz="0" w:space="0" w:color="auto"/>
        <w:bottom w:val="none" w:sz="0" w:space="0" w:color="auto"/>
        <w:right w:val="none" w:sz="0" w:space="0" w:color="auto"/>
      </w:divBdr>
    </w:div>
    <w:div w:id="1571307418">
      <w:bodyDiv w:val="1"/>
      <w:marLeft w:val="0"/>
      <w:marRight w:val="0"/>
      <w:marTop w:val="0"/>
      <w:marBottom w:val="0"/>
      <w:divBdr>
        <w:top w:val="none" w:sz="0" w:space="0" w:color="auto"/>
        <w:left w:val="none" w:sz="0" w:space="0" w:color="auto"/>
        <w:bottom w:val="none" w:sz="0" w:space="0" w:color="auto"/>
        <w:right w:val="none" w:sz="0" w:space="0" w:color="auto"/>
      </w:divBdr>
    </w:div>
    <w:div w:id="1573616603">
      <w:bodyDiv w:val="1"/>
      <w:marLeft w:val="0"/>
      <w:marRight w:val="0"/>
      <w:marTop w:val="0"/>
      <w:marBottom w:val="0"/>
      <w:divBdr>
        <w:top w:val="none" w:sz="0" w:space="0" w:color="auto"/>
        <w:left w:val="none" w:sz="0" w:space="0" w:color="auto"/>
        <w:bottom w:val="none" w:sz="0" w:space="0" w:color="auto"/>
        <w:right w:val="none" w:sz="0" w:space="0" w:color="auto"/>
      </w:divBdr>
    </w:div>
    <w:div w:id="1574468991">
      <w:bodyDiv w:val="1"/>
      <w:marLeft w:val="0"/>
      <w:marRight w:val="0"/>
      <w:marTop w:val="0"/>
      <w:marBottom w:val="0"/>
      <w:divBdr>
        <w:top w:val="none" w:sz="0" w:space="0" w:color="auto"/>
        <w:left w:val="none" w:sz="0" w:space="0" w:color="auto"/>
        <w:bottom w:val="none" w:sz="0" w:space="0" w:color="auto"/>
        <w:right w:val="none" w:sz="0" w:space="0" w:color="auto"/>
      </w:divBdr>
    </w:div>
    <w:div w:id="1574511577">
      <w:bodyDiv w:val="1"/>
      <w:marLeft w:val="0"/>
      <w:marRight w:val="0"/>
      <w:marTop w:val="0"/>
      <w:marBottom w:val="0"/>
      <w:divBdr>
        <w:top w:val="none" w:sz="0" w:space="0" w:color="auto"/>
        <w:left w:val="none" w:sz="0" w:space="0" w:color="auto"/>
        <w:bottom w:val="none" w:sz="0" w:space="0" w:color="auto"/>
        <w:right w:val="none" w:sz="0" w:space="0" w:color="auto"/>
      </w:divBdr>
    </w:div>
    <w:div w:id="1574896704">
      <w:bodyDiv w:val="1"/>
      <w:marLeft w:val="0"/>
      <w:marRight w:val="0"/>
      <w:marTop w:val="0"/>
      <w:marBottom w:val="0"/>
      <w:divBdr>
        <w:top w:val="none" w:sz="0" w:space="0" w:color="auto"/>
        <w:left w:val="none" w:sz="0" w:space="0" w:color="auto"/>
        <w:bottom w:val="none" w:sz="0" w:space="0" w:color="auto"/>
        <w:right w:val="none" w:sz="0" w:space="0" w:color="auto"/>
      </w:divBdr>
    </w:div>
    <w:div w:id="1575161394">
      <w:bodyDiv w:val="1"/>
      <w:marLeft w:val="0"/>
      <w:marRight w:val="0"/>
      <w:marTop w:val="0"/>
      <w:marBottom w:val="0"/>
      <w:divBdr>
        <w:top w:val="none" w:sz="0" w:space="0" w:color="auto"/>
        <w:left w:val="none" w:sz="0" w:space="0" w:color="auto"/>
        <w:bottom w:val="none" w:sz="0" w:space="0" w:color="auto"/>
        <w:right w:val="none" w:sz="0" w:space="0" w:color="auto"/>
      </w:divBdr>
    </w:div>
    <w:div w:id="1579557134">
      <w:bodyDiv w:val="1"/>
      <w:marLeft w:val="0"/>
      <w:marRight w:val="0"/>
      <w:marTop w:val="0"/>
      <w:marBottom w:val="0"/>
      <w:divBdr>
        <w:top w:val="none" w:sz="0" w:space="0" w:color="auto"/>
        <w:left w:val="none" w:sz="0" w:space="0" w:color="auto"/>
        <w:bottom w:val="none" w:sz="0" w:space="0" w:color="auto"/>
        <w:right w:val="none" w:sz="0" w:space="0" w:color="auto"/>
      </w:divBdr>
    </w:div>
    <w:div w:id="1579824279">
      <w:bodyDiv w:val="1"/>
      <w:marLeft w:val="0"/>
      <w:marRight w:val="0"/>
      <w:marTop w:val="0"/>
      <w:marBottom w:val="0"/>
      <w:divBdr>
        <w:top w:val="none" w:sz="0" w:space="0" w:color="auto"/>
        <w:left w:val="none" w:sz="0" w:space="0" w:color="auto"/>
        <w:bottom w:val="none" w:sz="0" w:space="0" w:color="auto"/>
        <w:right w:val="none" w:sz="0" w:space="0" w:color="auto"/>
      </w:divBdr>
    </w:div>
    <w:div w:id="1579897766">
      <w:bodyDiv w:val="1"/>
      <w:marLeft w:val="0"/>
      <w:marRight w:val="0"/>
      <w:marTop w:val="0"/>
      <w:marBottom w:val="0"/>
      <w:divBdr>
        <w:top w:val="none" w:sz="0" w:space="0" w:color="auto"/>
        <w:left w:val="none" w:sz="0" w:space="0" w:color="auto"/>
        <w:bottom w:val="none" w:sz="0" w:space="0" w:color="auto"/>
        <w:right w:val="none" w:sz="0" w:space="0" w:color="auto"/>
      </w:divBdr>
    </w:div>
    <w:div w:id="1579901625">
      <w:bodyDiv w:val="1"/>
      <w:marLeft w:val="0"/>
      <w:marRight w:val="0"/>
      <w:marTop w:val="0"/>
      <w:marBottom w:val="0"/>
      <w:divBdr>
        <w:top w:val="none" w:sz="0" w:space="0" w:color="auto"/>
        <w:left w:val="none" w:sz="0" w:space="0" w:color="auto"/>
        <w:bottom w:val="none" w:sz="0" w:space="0" w:color="auto"/>
        <w:right w:val="none" w:sz="0" w:space="0" w:color="auto"/>
      </w:divBdr>
    </w:div>
    <w:div w:id="1580284970">
      <w:bodyDiv w:val="1"/>
      <w:marLeft w:val="0"/>
      <w:marRight w:val="0"/>
      <w:marTop w:val="0"/>
      <w:marBottom w:val="0"/>
      <w:divBdr>
        <w:top w:val="none" w:sz="0" w:space="0" w:color="auto"/>
        <w:left w:val="none" w:sz="0" w:space="0" w:color="auto"/>
        <w:bottom w:val="none" w:sz="0" w:space="0" w:color="auto"/>
        <w:right w:val="none" w:sz="0" w:space="0" w:color="auto"/>
      </w:divBdr>
    </w:div>
    <w:div w:id="1580795754">
      <w:bodyDiv w:val="1"/>
      <w:marLeft w:val="0"/>
      <w:marRight w:val="0"/>
      <w:marTop w:val="0"/>
      <w:marBottom w:val="0"/>
      <w:divBdr>
        <w:top w:val="none" w:sz="0" w:space="0" w:color="auto"/>
        <w:left w:val="none" w:sz="0" w:space="0" w:color="auto"/>
        <w:bottom w:val="none" w:sz="0" w:space="0" w:color="auto"/>
        <w:right w:val="none" w:sz="0" w:space="0" w:color="auto"/>
      </w:divBdr>
    </w:div>
    <w:div w:id="1582329105">
      <w:bodyDiv w:val="1"/>
      <w:marLeft w:val="0"/>
      <w:marRight w:val="0"/>
      <w:marTop w:val="0"/>
      <w:marBottom w:val="0"/>
      <w:divBdr>
        <w:top w:val="none" w:sz="0" w:space="0" w:color="auto"/>
        <w:left w:val="none" w:sz="0" w:space="0" w:color="auto"/>
        <w:bottom w:val="none" w:sz="0" w:space="0" w:color="auto"/>
        <w:right w:val="none" w:sz="0" w:space="0" w:color="auto"/>
      </w:divBdr>
    </w:div>
    <w:div w:id="1582520745">
      <w:bodyDiv w:val="1"/>
      <w:marLeft w:val="0"/>
      <w:marRight w:val="0"/>
      <w:marTop w:val="0"/>
      <w:marBottom w:val="0"/>
      <w:divBdr>
        <w:top w:val="none" w:sz="0" w:space="0" w:color="auto"/>
        <w:left w:val="none" w:sz="0" w:space="0" w:color="auto"/>
        <w:bottom w:val="none" w:sz="0" w:space="0" w:color="auto"/>
        <w:right w:val="none" w:sz="0" w:space="0" w:color="auto"/>
      </w:divBdr>
    </w:div>
    <w:div w:id="1582642771">
      <w:bodyDiv w:val="1"/>
      <w:marLeft w:val="0"/>
      <w:marRight w:val="0"/>
      <w:marTop w:val="0"/>
      <w:marBottom w:val="0"/>
      <w:divBdr>
        <w:top w:val="none" w:sz="0" w:space="0" w:color="auto"/>
        <w:left w:val="none" w:sz="0" w:space="0" w:color="auto"/>
        <w:bottom w:val="none" w:sz="0" w:space="0" w:color="auto"/>
        <w:right w:val="none" w:sz="0" w:space="0" w:color="auto"/>
      </w:divBdr>
    </w:div>
    <w:div w:id="1582837200">
      <w:bodyDiv w:val="1"/>
      <w:marLeft w:val="0"/>
      <w:marRight w:val="0"/>
      <w:marTop w:val="0"/>
      <w:marBottom w:val="0"/>
      <w:divBdr>
        <w:top w:val="none" w:sz="0" w:space="0" w:color="auto"/>
        <w:left w:val="none" w:sz="0" w:space="0" w:color="auto"/>
        <w:bottom w:val="none" w:sz="0" w:space="0" w:color="auto"/>
        <w:right w:val="none" w:sz="0" w:space="0" w:color="auto"/>
      </w:divBdr>
    </w:div>
    <w:div w:id="1584145755">
      <w:bodyDiv w:val="1"/>
      <w:marLeft w:val="0"/>
      <w:marRight w:val="0"/>
      <w:marTop w:val="0"/>
      <w:marBottom w:val="0"/>
      <w:divBdr>
        <w:top w:val="none" w:sz="0" w:space="0" w:color="auto"/>
        <w:left w:val="none" w:sz="0" w:space="0" w:color="auto"/>
        <w:bottom w:val="none" w:sz="0" w:space="0" w:color="auto"/>
        <w:right w:val="none" w:sz="0" w:space="0" w:color="auto"/>
      </w:divBdr>
    </w:div>
    <w:div w:id="1584609944">
      <w:bodyDiv w:val="1"/>
      <w:marLeft w:val="0"/>
      <w:marRight w:val="0"/>
      <w:marTop w:val="0"/>
      <w:marBottom w:val="0"/>
      <w:divBdr>
        <w:top w:val="none" w:sz="0" w:space="0" w:color="auto"/>
        <w:left w:val="none" w:sz="0" w:space="0" w:color="auto"/>
        <w:bottom w:val="none" w:sz="0" w:space="0" w:color="auto"/>
        <w:right w:val="none" w:sz="0" w:space="0" w:color="auto"/>
      </w:divBdr>
    </w:div>
    <w:div w:id="1584992450">
      <w:bodyDiv w:val="1"/>
      <w:marLeft w:val="0"/>
      <w:marRight w:val="0"/>
      <w:marTop w:val="0"/>
      <w:marBottom w:val="0"/>
      <w:divBdr>
        <w:top w:val="none" w:sz="0" w:space="0" w:color="auto"/>
        <w:left w:val="none" w:sz="0" w:space="0" w:color="auto"/>
        <w:bottom w:val="none" w:sz="0" w:space="0" w:color="auto"/>
        <w:right w:val="none" w:sz="0" w:space="0" w:color="auto"/>
      </w:divBdr>
    </w:div>
    <w:div w:id="1585146842">
      <w:bodyDiv w:val="1"/>
      <w:marLeft w:val="0"/>
      <w:marRight w:val="0"/>
      <w:marTop w:val="0"/>
      <w:marBottom w:val="0"/>
      <w:divBdr>
        <w:top w:val="none" w:sz="0" w:space="0" w:color="auto"/>
        <w:left w:val="none" w:sz="0" w:space="0" w:color="auto"/>
        <w:bottom w:val="none" w:sz="0" w:space="0" w:color="auto"/>
        <w:right w:val="none" w:sz="0" w:space="0" w:color="auto"/>
      </w:divBdr>
    </w:div>
    <w:div w:id="1586718213">
      <w:bodyDiv w:val="1"/>
      <w:marLeft w:val="0"/>
      <w:marRight w:val="0"/>
      <w:marTop w:val="0"/>
      <w:marBottom w:val="0"/>
      <w:divBdr>
        <w:top w:val="none" w:sz="0" w:space="0" w:color="auto"/>
        <w:left w:val="none" w:sz="0" w:space="0" w:color="auto"/>
        <w:bottom w:val="none" w:sz="0" w:space="0" w:color="auto"/>
        <w:right w:val="none" w:sz="0" w:space="0" w:color="auto"/>
      </w:divBdr>
    </w:div>
    <w:div w:id="1588732138">
      <w:bodyDiv w:val="1"/>
      <w:marLeft w:val="0"/>
      <w:marRight w:val="0"/>
      <w:marTop w:val="0"/>
      <w:marBottom w:val="0"/>
      <w:divBdr>
        <w:top w:val="none" w:sz="0" w:space="0" w:color="auto"/>
        <w:left w:val="none" w:sz="0" w:space="0" w:color="auto"/>
        <w:bottom w:val="none" w:sz="0" w:space="0" w:color="auto"/>
        <w:right w:val="none" w:sz="0" w:space="0" w:color="auto"/>
      </w:divBdr>
    </w:div>
    <w:div w:id="1589189115">
      <w:bodyDiv w:val="1"/>
      <w:marLeft w:val="0"/>
      <w:marRight w:val="0"/>
      <w:marTop w:val="0"/>
      <w:marBottom w:val="0"/>
      <w:divBdr>
        <w:top w:val="none" w:sz="0" w:space="0" w:color="auto"/>
        <w:left w:val="none" w:sz="0" w:space="0" w:color="auto"/>
        <w:bottom w:val="none" w:sz="0" w:space="0" w:color="auto"/>
        <w:right w:val="none" w:sz="0" w:space="0" w:color="auto"/>
      </w:divBdr>
    </w:div>
    <w:div w:id="1589189316">
      <w:bodyDiv w:val="1"/>
      <w:marLeft w:val="0"/>
      <w:marRight w:val="0"/>
      <w:marTop w:val="0"/>
      <w:marBottom w:val="0"/>
      <w:divBdr>
        <w:top w:val="none" w:sz="0" w:space="0" w:color="auto"/>
        <w:left w:val="none" w:sz="0" w:space="0" w:color="auto"/>
        <w:bottom w:val="none" w:sz="0" w:space="0" w:color="auto"/>
        <w:right w:val="none" w:sz="0" w:space="0" w:color="auto"/>
      </w:divBdr>
    </w:div>
    <w:div w:id="1589264575">
      <w:bodyDiv w:val="1"/>
      <w:marLeft w:val="0"/>
      <w:marRight w:val="0"/>
      <w:marTop w:val="0"/>
      <w:marBottom w:val="0"/>
      <w:divBdr>
        <w:top w:val="none" w:sz="0" w:space="0" w:color="auto"/>
        <w:left w:val="none" w:sz="0" w:space="0" w:color="auto"/>
        <w:bottom w:val="none" w:sz="0" w:space="0" w:color="auto"/>
        <w:right w:val="none" w:sz="0" w:space="0" w:color="auto"/>
      </w:divBdr>
    </w:div>
    <w:div w:id="1589341878">
      <w:bodyDiv w:val="1"/>
      <w:marLeft w:val="0"/>
      <w:marRight w:val="0"/>
      <w:marTop w:val="0"/>
      <w:marBottom w:val="0"/>
      <w:divBdr>
        <w:top w:val="none" w:sz="0" w:space="0" w:color="auto"/>
        <w:left w:val="none" w:sz="0" w:space="0" w:color="auto"/>
        <w:bottom w:val="none" w:sz="0" w:space="0" w:color="auto"/>
        <w:right w:val="none" w:sz="0" w:space="0" w:color="auto"/>
      </w:divBdr>
    </w:div>
    <w:div w:id="1589772806">
      <w:bodyDiv w:val="1"/>
      <w:marLeft w:val="0"/>
      <w:marRight w:val="0"/>
      <w:marTop w:val="0"/>
      <w:marBottom w:val="0"/>
      <w:divBdr>
        <w:top w:val="none" w:sz="0" w:space="0" w:color="auto"/>
        <w:left w:val="none" w:sz="0" w:space="0" w:color="auto"/>
        <w:bottom w:val="none" w:sz="0" w:space="0" w:color="auto"/>
        <w:right w:val="none" w:sz="0" w:space="0" w:color="auto"/>
      </w:divBdr>
    </w:div>
    <w:div w:id="1590579404">
      <w:bodyDiv w:val="1"/>
      <w:marLeft w:val="0"/>
      <w:marRight w:val="0"/>
      <w:marTop w:val="0"/>
      <w:marBottom w:val="0"/>
      <w:divBdr>
        <w:top w:val="none" w:sz="0" w:space="0" w:color="auto"/>
        <w:left w:val="none" w:sz="0" w:space="0" w:color="auto"/>
        <w:bottom w:val="none" w:sz="0" w:space="0" w:color="auto"/>
        <w:right w:val="none" w:sz="0" w:space="0" w:color="auto"/>
      </w:divBdr>
    </w:div>
    <w:div w:id="1590962450">
      <w:bodyDiv w:val="1"/>
      <w:marLeft w:val="0"/>
      <w:marRight w:val="0"/>
      <w:marTop w:val="0"/>
      <w:marBottom w:val="0"/>
      <w:divBdr>
        <w:top w:val="none" w:sz="0" w:space="0" w:color="auto"/>
        <w:left w:val="none" w:sz="0" w:space="0" w:color="auto"/>
        <w:bottom w:val="none" w:sz="0" w:space="0" w:color="auto"/>
        <w:right w:val="none" w:sz="0" w:space="0" w:color="auto"/>
      </w:divBdr>
    </w:div>
    <w:div w:id="1592010899">
      <w:bodyDiv w:val="1"/>
      <w:marLeft w:val="0"/>
      <w:marRight w:val="0"/>
      <w:marTop w:val="0"/>
      <w:marBottom w:val="0"/>
      <w:divBdr>
        <w:top w:val="none" w:sz="0" w:space="0" w:color="auto"/>
        <w:left w:val="none" w:sz="0" w:space="0" w:color="auto"/>
        <w:bottom w:val="none" w:sz="0" w:space="0" w:color="auto"/>
        <w:right w:val="none" w:sz="0" w:space="0" w:color="auto"/>
      </w:divBdr>
    </w:div>
    <w:div w:id="1592347774">
      <w:bodyDiv w:val="1"/>
      <w:marLeft w:val="0"/>
      <w:marRight w:val="0"/>
      <w:marTop w:val="0"/>
      <w:marBottom w:val="0"/>
      <w:divBdr>
        <w:top w:val="none" w:sz="0" w:space="0" w:color="auto"/>
        <w:left w:val="none" w:sz="0" w:space="0" w:color="auto"/>
        <w:bottom w:val="none" w:sz="0" w:space="0" w:color="auto"/>
        <w:right w:val="none" w:sz="0" w:space="0" w:color="auto"/>
      </w:divBdr>
    </w:div>
    <w:div w:id="1592542652">
      <w:bodyDiv w:val="1"/>
      <w:marLeft w:val="0"/>
      <w:marRight w:val="0"/>
      <w:marTop w:val="0"/>
      <w:marBottom w:val="0"/>
      <w:divBdr>
        <w:top w:val="none" w:sz="0" w:space="0" w:color="auto"/>
        <w:left w:val="none" w:sz="0" w:space="0" w:color="auto"/>
        <w:bottom w:val="none" w:sz="0" w:space="0" w:color="auto"/>
        <w:right w:val="none" w:sz="0" w:space="0" w:color="auto"/>
      </w:divBdr>
    </w:div>
    <w:div w:id="1592927087">
      <w:bodyDiv w:val="1"/>
      <w:marLeft w:val="0"/>
      <w:marRight w:val="0"/>
      <w:marTop w:val="0"/>
      <w:marBottom w:val="0"/>
      <w:divBdr>
        <w:top w:val="none" w:sz="0" w:space="0" w:color="auto"/>
        <w:left w:val="none" w:sz="0" w:space="0" w:color="auto"/>
        <w:bottom w:val="none" w:sz="0" w:space="0" w:color="auto"/>
        <w:right w:val="none" w:sz="0" w:space="0" w:color="auto"/>
      </w:divBdr>
    </w:div>
    <w:div w:id="1592932688">
      <w:bodyDiv w:val="1"/>
      <w:marLeft w:val="0"/>
      <w:marRight w:val="0"/>
      <w:marTop w:val="0"/>
      <w:marBottom w:val="0"/>
      <w:divBdr>
        <w:top w:val="none" w:sz="0" w:space="0" w:color="auto"/>
        <w:left w:val="none" w:sz="0" w:space="0" w:color="auto"/>
        <w:bottom w:val="none" w:sz="0" w:space="0" w:color="auto"/>
        <w:right w:val="none" w:sz="0" w:space="0" w:color="auto"/>
      </w:divBdr>
    </w:div>
    <w:div w:id="1593855017">
      <w:bodyDiv w:val="1"/>
      <w:marLeft w:val="0"/>
      <w:marRight w:val="0"/>
      <w:marTop w:val="0"/>
      <w:marBottom w:val="0"/>
      <w:divBdr>
        <w:top w:val="none" w:sz="0" w:space="0" w:color="auto"/>
        <w:left w:val="none" w:sz="0" w:space="0" w:color="auto"/>
        <w:bottom w:val="none" w:sz="0" w:space="0" w:color="auto"/>
        <w:right w:val="none" w:sz="0" w:space="0" w:color="auto"/>
      </w:divBdr>
    </w:div>
    <w:div w:id="1594628815">
      <w:bodyDiv w:val="1"/>
      <w:marLeft w:val="0"/>
      <w:marRight w:val="0"/>
      <w:marTop w:val="0"/>
      <w:marBottom w:val="0"/>
      <w:divBdr>
        <w:top w:val="none" w:sz="0" w:space="0" w:color="auto"/>
        <w:left w:val="none" w:sz="0" w:space="0" w:color="auto"/>
        <w:bottom w:val="none" w:sz="0" w:space="0" w:color="auto"/>
        <w:right w:val="none" w:sz="0" w:space="0" w:color="auto"/>
      </w:divBdr>
    </w:div>
    <w:div w:id="1594629967">
      <w:bodyDiv w:val="1"/>
      <w:marLeft w:val="0"/>
      <w:marRight w:val="0"/>
      <w:marTop w:val="0"/>
      <w:marBottom w:val="0"/>
      <w:divBdr>
        <w:top w:val="none" w:sz="0" w:space="0" w:color="auto"/>
        <w:left w:val="none" w:sz="0" w:space="0" w:color="auto"/>
        <w:bottom w:val="none" w:sz="0" w:space="0" w:color="auto"/>
        <w:right w:val="none" w:sz="0" w:space="0" w:color="auto"/>
      </w:divBdr>
    </w:div>
    <w:div w:id="1594630126">
      <w:bodyDiv w:val="1"/>
      <w:marLeft w:val="0"/>
      <w:marRight w:val="0"/>
      <w:marTop w:val="0"/>
      <w:marBottom w:val="0"/>
      <w:divBdr>
        <w:top w:val="none" w:sz="0" w:space="0" w:color="auto"/>
        <w:left w:val="none" w:sz="0" w:space="0" w:color="auto"/>
        <w:bottom w:val="none" w:sz="0" w:space="0" w:color="auto"/>
        <w:right w:val="none" w:sz="0" w:space="0" w:color="auto"/>
      </w:divBdr>
    </w:div>
    <w:div w:id="1595674235">
      <w:bodyDiv w:val="1"/>
      <w:marLeft w:val="0"/>
      <w:marRight w:val="0"/>
      <w:marTop w:val="0"/>
      <w:marBottom w:val="0"/>
      <w:divBdr>
        <w:top w:val="none" w:sz="0" w:space="0" w:color="auto"/>
        <w:left w:val="none" w:sz="0" w:space="0" w:color="auto"/>
        <w:bottom w:val="none" w:sz="0" w:space="0" w:color="auto"/>
        <w:right w:val="none" w:sz="0" w:space="0" w:color="auto"/>
      </w:divBdr>
    </w:div>
    <w:div w:id="1596092894">
      <w:bodyDiv w:val="1"/>
      <w:marLeft w:val="0"/>
      <w:marRight w:val="0"/>
      <w:marTop w:val="0"/>
      <w:marBottom w:val="0"/>
      <w:divBdr>
        <w:top w:val="none" w:sz="0" w:space="0" w:color="auto"/>
        <w:left w:val="none" w:sz="0" w:space="0" w:color="auto"/>
        <w:bottom w:val="none" w:sz="0" w:space="0" w:color="auto"/>
        <w:right w:val="none" w:sz="0" w:space="0" w:color="auto"/>
      </w:divBdr>
    </w:div>
    <w:div w:id="1597248643">
      <w:bodyDiv w:val="1"/>
      <w:marLeft w:val="0"/>
      <w:marRight w:val="0"/>
      <w:marTop w:val="0"/>
      <w:marBottom w:val="0"/>
      <w:divBdr>
        <w:top w:val="none" w:sz="0" w:space="0" w:color="auto"/>
        <w:left w:val="none" w:sz="0" w:space="0" w:color="auto"/>
        <w:bottom w:val="none" w:sz="0" w:space="0" w:color="auto"/>
        <w:right w:val="none" w:sz="0" w:space="0" w:color="auto"/>
      </w:divBdr>
    </w:div>
    <w:div w:id="1597591712">
      <w:bodyDiv w:val="1"/>
      <w:marLeft w:val="0"/>
      <w:marRight w:val="0"/>
      <w:marTop w:val="0"/>
      <w:marBottom w:val="0"/>
      <w:divBdr>
        <w:top w:val="none" w:sz="0" w:space="0" w:color="auto"/>
        <w:left w:val="none" w:sz="0" w:space="0" w:color="auto"/>
        <w:bottom w:val="none" w:sz="0" w:space="0" w:color="auto"/>
        <w:right w:val="none" w:sz="0" w:space="0" w:color="auto"/>
      </w:divBdr>
    </w:div>
    <w:div w:id="1597863666">
      <w:bodyDiv w:val="1"/>
      <w:marLeft w:val="0"/>
      <w:marRight w:val="0"/>
      <w:marTop w:val="0"/>
      <w:marBottom w:val="0"/>
      <w:divBdr>
        <w:top w:val="none" w:sz="0" w:space="0" w:color="auto"/>
        <w:left w:val="none" w:sz="0" w:space="0" w:color="auto"/>
        <w:bottom w:val="none" w:sz="0" w:space="0" w:color="auto"/>
        <w:right w:val="none" w:sz="0" w:space="0" w:color="auto"/>
      </w:divBdr>
    </w:div>
    <w:div w:id="1598247815">
      <w:bodyDiv w:val="1"/>
      <w:marLeft w:val="0"/>
      <w:marRight w:val="0"/>
      <w:marTop w:val="0"/>
      <w:marBottom w:val="0"/>
      <w:divBdr>
        <w:top w:val="none" w:sz="0" w:space="0" w:color="auto"/>
        <w:left w:val="none" w:sz="0" w:space="0" w:color="auto"/>
        <w:bottom w:val="none" w:sz="0" w:space="0" w:color="auto"/>
        <w:right w:val="none" w:sz="0" w:space="0" w:color="auto"/>
      </w:divBdr>
    </w:div>
    <w:div w:id="1598831070">
      <w:bodyDiv w:val="1"/>
      <w:marLeft w:val="0"/>
      <w:marRight w:val="0"/>
      <w:marTop w:val="0"/>
      <w:marBottom w:val="0"/>
      <w:divBdr>
        <w:top w:val="none" w:sz="0" w:space="0" w:color="auto"/>
        <w:left w:val="none" w:sz="0" w:space="0" w:color="auto"/>
        <w:bottom w:val="none" w:sz="0" w:space="0" w:color="auto"/>
        <w:right w:val="none" w:sz="0" w:space="0" w:color="auto"/>
      </w:divBdr>
    </w:div>
    <w:div w:id="1599408982">
      <w:bodyDiv w:val="1"/>
      <w:marLeft w:val="0"/>
      <w:marRight w:val="0"/>
      <w:marTop w:val="0"/>
      <w:marBottom w:val="0"/>
      <w:divBdr>
        <w:top w:val="none" w:sz="0" w:space="0" w:color="auto"/>
        <w:left w:val="none" w:sz="0" w:space="0" w:color="auto"/>
        <w:bottom w:val="none" w:sz="0" w:space="0" w:color="auto"/>
        <w:right w:val="none" w:sz="0" w:space="0" w:color="auto"/>
      </w:divBdr>
    </w:div>
    <w:div w:id="1600218201">
      <w:bodyDiv w:val="1"/>
      <w:marLeft w:val="0"/>
      <w:marRight w:val="0"/>
      <w:marTop w:val="0"/>
      <w:marBottom w:val="0"/>
      <w:divBdr>
        <w:top w:val="none" w:sz="0" w:space="0" w:color="auto"/>
        <w:left w:val="none" w:sz="0" w:space="0" w:color="auto"/>
        <w:bottom w:val="none" w:sz="0" w:space="0" w:color="auto"/>
        <w:right w:val="none" w:sz="0" w:space="0" w:color="auto"/>
      </w:divBdr>
    </w:div>
    <w:div w:id="1600944027">
      <w:bodyDiv w:val="1"/>
      <w:marLeft w:val="0"/>
      <w:marRight w:val="0"/>
      <w:marTop w:val="0"/>
      <w:marBottom w:val="0"/>
      <w:divBdr>
        <w:top w:val="none" w:sz="0" w:space="0" w:color="auto"/>
        <w:left w:val="none" w:sz="0" w:space="0" w:color="auto"/>
        <w:bottom w:val="none" w:sz="0" w:space="0" w:color="auto"/>
        <w:right w:val="none" w:sz="0" w:space="0" w:color="auto"/>
      </w:divBdr>
    </w:div>
    <w:div w:id="1603030531">
      <w:bodyDiv w:val="1"/>
      <w:marLeft w:val="0"/>
      <w:marRight w:val="0"/>
      <w:marTop w:val="0"/>
      <w:marBottom w:val="0"/>
      <w:divBdr>
        <w:top w:val="none" w:sz="0" w:space="0" w:color="auto"/>
        <w:left w:val="none" w:sz="0" w:space="0" w:color="auto"/>
        <w:bottom w:val="none" w:sz="0" w:space="0" w:color="auto"/>
        <w:right w:val="none" w:sz="0" w:space="0" w:color="auto"/>
      </w:divBdr>
    </w:div>
    <w:div w:id="1603956251">
      <w:bodyDiv w:val="1"/>
      <w:marLeft w:val="0"/>
      <w:marRight w:val="0"/>
      <w:marTop w:val="0"/>
      <w:marBottom w:val="0"/>
      <w:divBdr>
        <w:top w:val="none" w:sz="0" w:space="0" w:color="auto"/>
        <w:left w:val="none" w:sz="0" w:space="0" w:color="auto"/>
        <w:bottom w:val="none" w:sz="0" w:space="0" w:color="auto"/>
        <w:right w:val="none" w:sz="0" w:space="0" w:color="auto"/>
      </w:divBdr>
    </w:div>
    <w:div w:id="1604143040">
      <w:bodyDiv w:val="1"/>
      <w:marLeft w:val="0"/>
      <w:marRight w:val="0"/>
      <w:marTop w:val="0"/>
      <w:marBottom w:val="0"/>
      <w:divBdr>
        <w:top w:val="none" w:sz="0" w:space="0" w:color="auto"/>
        <w:left w:val="none" w:sz="0" w:space="0" w:color="auto"/>
        <w:bottom w:val="none" w:sz="0" w:space="0" w:color="auto"/>
        <w:right w:val="none" w:sz="0" w:space="0" w:color="auto"/>
      </w:divBdr>
    </w:div>
    <w:div w:id="1606502568">
      <w:bodyDiv w:val="1"/>
      <w:marLeft w:val="0"/>
      <w:marRight w:val="0"/>
      <w:marTop w:val="0"/>
      <w:marBottom w:val="0"/>
      <w:divBdr>
        <w:top w:val="none" w:sz="0" w:space="0" w:color="auto"/>
        <w:left w:val="none" w:sz="0" w:space="0" w:color="auto"/>
        <w:bottom w:val="none" w:sz="0" w:space="0" w:color="auto"/>
        <w:right w:val="none" w:sz="0" w:space="0" w:color="auto"/>
      </w:divBdr>
    </w:div>
    <w:div w:id="1606696621">
      <w:bodyDiv w:val="1"/>
      <w:marLeft w:val="0"/>
      <w:marRight w:val="0"/>
      <w:marTop w:val="0"/>
      <w:marBottom w:val="0"/>
      <w:divBdr>
        <w:top w:val="none" w:sz="0" w:space="0" w:color="auto"/>
        <w:left w:val="none" w:sz="0" w:space="0" w:color="auto"/>
        <w:bottom w:val="none" w:sz="0" w:space="0" w:color="auto"/>
        <w:right w:val="none" w:sz="0" w:space="0" w:color="auto"/>
      </w:divBdr>
    </w:div>
    <w:div w:id="1607230317">
      <w:bodyDiv w:val="1"/>
      <w:marLeft w:val="0"/>
      <w:marRight w:val="0"/>
      <w:marTop w:val="0"/>
      <w:marBottom w:val="0"/>
      <w:divBdr>
        <w:top w:val="none" w:sz="0" w:space="0" w:color="auto"/>
        <w:left w:val="none" w:sz="0" w:space="0" w:color="auto"/>
        <w:bottom w:val="none" w:sz="0" w:space="0" w:color="auto"/>
        <w:right w:val="none" w:sz="0" w:space="0" w:color="auto"/>
      </w:divBdr>
    </w:div>
    <w:div w:id="1607544521">
      <w:bodyDiv w:val="1"/>
      <w:marLeft w:val="0"/>
      <w:marRight w:val="0"/>
      <w:marTop w:val="0"/>
      <w:marBottom w:val="0"/>
      <w:divBdr>
        <w:top w:val="none" w:sz="0" w:space="0" w:color="auto"/>
        <w:left w:val="none" w:sz="0" w:space="0" w:color="auto"/>
        <w:bottom w:val="none" w:sz="0" w:space="0" w:color="auto"/>
        <w:right w:val="none" w:sz="0" w:space="0" w:color="auto"/>
      </w:divBdr>
    </w:div>
    <w:div w:id="1607955799">
      <w:bodyDiv w:val="1"/>
      <w:marLeft w:val="0"/>
      <w:marRight w:val="0"/>
      <w:marTop w:val="0"/>
      <w:marBottom w:val="0"/>
      <w:divBdr>
        <w:top w:val="none" w:sz="0" w:space="0" w:color="auto"/>
        <w:left w:val="none" w:sz="0" w:space="0" w:color="auto"/>
        <w:bottom w:val="none" w:sz="0" w:space="0" w:color="auto"/>
        <w:right w:val="none" w:sz="0" w:space="0" w:color="auto"/>
      </w:divBdr>
    </w:div>
    <w:div w:id="1608342368">
      <w:bodyDiv w:val="1"/>
      <w:marLeft w:val="0"/>
      <w:marRight w:val="0"/>
      <w:marTop w:val="0"/>
      <w:marBottom w:val="0"/>
      <w:divBdr>
        <w:top w:val="none" w:sz="0" w:space="0" w:color="auto"/>
        <w:left w:val="none" w:sz="0" w:space="0" w:color="auto"/>
        <w:bottom w:val="none" w:sz="0" w:space="0" w:color="auto"/>
        <w:right w:val="none" w:sz="0" w:space="0" w:color="auto"/>
      </w:divBdr>
    </w:div>
    <w:div w:id="1609194161">
      <w:bodyDiv w:val="1"/>
      <w:marLeft w:val="0"/>
      <w:marRight w:val="0"/>
      <w:marTop w:val="0"/>
      <w:marBottom w:val="0"/>
      <w:divBdr>
        <w:top w:val="none" w:sz="0" w:space="0" w:color="auto"/>
        <w:left w:val="none" w:sz="0" w:space="0" w:color="auto"/>
        <w:bottom w:val="none" w:sz="0" w:space="0" w:color="auto"/>
        <w:right w:val="none" w:sz="0" w:space="0" w:color="auto"/>
      </w:divBdr>
    </w:div>
    <w:div w:id="1610552867">
      <w:bodyDiv w:val="1"/>
      <w:marLeft w:val="0"/>
      <w:marRight w:val="0"/>
      <w:marTop w:val="0"/>
      <w:marBottom w:val="0"/>
      <w:divBdr>
        <w:top w:val="none" w:sz="0" w:space="0" w:color="auto"/>
        <w:left w:val="none" w:sz="0" w:space="0" w:color="auto"/>
        <w:bottom w:val="none" w:sz="0" w:space="0" w:color="auto"/>
        <w:right w:val="none" w:sz="0" w:space="0" w:color="auto"/>
      </w:divBdr>
    </w:div>
    <w:div w:id="1612321398">
      <w:bodyDiv w:val="1"/>
      <w:marLeft w:val="0"/>
      <w:marRight w:val="0"/>
      <w:marTop w:val="0"/>
      <w:marBottom w:val="0"/>
      <w:divBdr>
        <w:top w:val="none" w:sz="0" w:space="0" w:color="auto"/>
        <w:left w:val="none" w:sz="0" w:space="0" w:color="auto"/>
        <w:bottom w:val="none" w:sz="0" w:space="0" w:color="auto"/>
        <w:right w:val="none" w:sz="0" w:space="0" w:color="auto"/>
      </w:divBdr>
    </w:div>
    <w:div w:id="1612323505">
      <w:bodyDiv w:val="1"/>
      <w:marLeft w:val="0"/>
      <w:marRight w:val="0"/>
      <w:marTop w:val="0"/>
      <w:marBottom w:val="0"/>
      <w:divBdr>
        <w:top w:val="none" w:sz="0" w:space="0" w:color="auto"/>
        <w:left w:val="none" w:sz="0" w:space="0" w:color="auto"/>
        <w:bottom w:val="none" w:sz="0" w:space="0" w:color="auto"/>
        <w:right w:val="none" w:sz="0" w:space="0" w:color="auto"/>
      </w:divBdr>
    </w:div>
    <w:div w:id="1612592033">
      <w:bodyDiv w:val="1"/>
      <w:marLeft w:val="0"/>
      <w:marRight w:val="0"/>
      <w:marTop w:val="0"/>
      <w:marBottom w:val="0"/>
      <w:divBdr>
        <w:top w:val="none" w:sz="0" w:space="0" w:color="auto"/>
        <w:left w:val="none" w:sz="0" w:space="0" w:color="auto"/>
        <w:bottom w:val="none" w:sz="0" w:space="0" w:color="auto"/>
        <w:right w:val="none" w:sz="0" w:space="0" w:color="auto"/>
      </w:divBdr>
    </w:div>
    <w:div w:id="1612737147">
      <w:bodyDiv w:val="1"/>
      <w:marLeft w:val="0"/>
      <w:marRight w:val="0"/>
      <w:marTop w:val="0"/>
      <w:marBottom w:val="0"/>
      <w:divBdr>
        <w:top w:val="none" w:sz="0" w:space="0" w:color="auto"/>
        <w:left w:val="none" w:sz="0" w:space="0" w:color="auto"/>
        <w:bottom w:val="none" w:sz="0" w:space="0" w:color="auto"/>
        <w:right w:val="none" w:sz="0" w:space="0" w:color="auto"/>
      </w:divBdr>
    </w:div>
    <w:div w:id="1613434210">
      <w:bodyDiv w:val="1"/>
      <w:marLeft w:val="0"/>
      <w:marRight w:val="0"/>
      <w:marTop w:val="0"/>
      <w:marBottom w:val="0"/>
      <w:divBdr>
        <w:top w:val="none" w:sz="0" w:space="0" w:color="auto"/>
        <w:left w:val="none" w:sz="0" w:space="0" w:color="auto"/>
        <w:bottom w:val="none" w:sz="0" w:space="0" w:color="auto"/>
        <w:right w:val="none" w:sz="0" w:space="0" w:color="auto"/>
      </w:divBdr>
    </w:div>
    <w:div w:id="1614362206">
      <w:bodyDiv w:val="1"/>
      <w:marLeft w:val="0"/>
      <w:marRight w:val="0"/>
      <w:marTop w:val="0"/>
      <w:marBottom w:val="0"/>
      <w:divBdr>
        <w:top w:val="none" w:sz="0" w:space="0" w:color="auto"/>
        <w:left w:val="none" w:sz="0" w:space="0" w:color="auto"/>
        <w:bottom w:val="none" w:sz="0" w:space="0" w:color="auto"/>
        <w:right w:val="none" w:sz="0" w:space="0" w:color="auto"/>
      </w:divBdr>
    </w:div>
    <w:div w:id="1614632829">
      <w:bodyDiv w:val="1"/>
      <w:marLeft w:val="0"/>
      <w:marRight w:val="0"/>
      <w:marTop w:val="0"/>
      <w:marBottom w:val="0"/>
      <w:divBdr>
        <w:top w:val="none" w:sz="0" w:space="0" w:color="auto"/>
        <w:left w:val="none" w:sz="0" w:space="0" w:color="auto"/>
        <w:bottom w:val="none" w:sz="0" w:space="0" w:color="auto"/>
        <w:right w:val="none" w:sz="0" w:space="0" w:color="auto"/>
      </w:divBdr>
    </w:div>
    <w:div w:id="1614938999">
      <w:bodyDiv w:val="1"/>
      <w:marLeft w:val="0"/>
      <w:marRight w:val="0"/>
      <w:marTop w:val="0"/>
      <w:marBottom w:val="0"/>
      <w:divBdr>
        <w:top w:val="none" w:sz="0" w:space="0" w:color="auto"/>
        <w:left w:val="none" w:sz="0" w:space="0" w:color="auto"/>
        <w:bottom w:val="none" w:sz="0" w:space="0" w:color="auto"/>
        <w:right w:val="none" w:sz="0" w:space="0" w:color="auto"/>
      </w:divBdr>
    </w:div>
    <w:div w:id="1615401568">
      <w:bodyDiv w:val="1"/>
      <w:marLeft w:val="0"/>
      <w:marRight w:val="0"/>
      <w:marTop w:val="0"/>
      <w:marBottom w:val="0"/>
      <w:divBdr>
        <w:top w:val="none" w:sz="0" w:space="0" w:color="auto"/>
        <w:left w:val="none" w:sz="0" w:space="0" w:color="auto"/>
        <w:bottom w:val="none" w:sz="0" w:space="0" w:color="auto"/>
        <w:right w:val="none" w:sz="0" w:space="0" w:color="auto"/>
      </w:divBdr>
    </w:div>
    <w:div w:id="1616332015">
      <w:bodyDiv w:val="1"/>
      <w:marLeft w:val="0"/>
      <w:marRight w:val="0"/>
      <w:marTop w:val="0"/>
      <w:marBottom w:val="0"/>
      <w:divBdr>
        <w:top w:val="none" w:sz="0" w:space="0" w:color="auto"/>
        <w:left w:val="none" w:sz="0" w:space="0" w:color="auto"/>
        <w:bottom w:val="none" w:sz="0" w:space="0" w:color="auto"/>
        <w:right w:val="none" w:sz="0" w:space="0" w:color="auto"/>
      </w:divBdr>
    </w:div>
    <w:div w:id="1618178186">
      <w:bodyDiv w:val="1"/>
      <w:marLeft w:val="0"/>
      <w:marRight w:val="0"/>
      <w:marTop w:val="0"/>
      <w:marBottom w:val="0"/>
      <w:divBdr>
        <w:top w:val="none" w:sz="0" w:space="0" w:color="auto"/>
        <w:left w:val="none" w:sz="0" w:space="0" w:color="auto"/>
        <w:bottom w:val="none" w:sz="0" w:space="0" w:color="auto"/>
        <w:right w:val="none" w:sz="0" w:space="0" w:color="auto"/>
      </w:divBdr>
    </w:div>
    <w:div w:id="1618295669">
      <w:bodyDiv w:val="1"/>
      <w:marLeft w:val="0"/>
      <w:marRight w:val="0"/>
      <w:marTop w:val="0"/>
      <w:marBottom w:val="0"/>
      <w:divBdr>
        <w:top w:val="none" w:sz="0" w:space="0" w:color="auto"/>
        <w:left w:val="none" w:sz="0" w:space="0" w:color="auto"/>
        <w:bottom w:val="none" w:sz="0" w:space="0" w:color="auto"/>
        <w:right w:val="none" w:sz="0" w:space="0" w:color="auto"/>
      </w:divBdr>
    </w:div>
    <w:div w:id="1619025503">
      <w:bodyDiv w:val="1"/>
      <w:marLeft w:val="0"/>
      <w:marRight w:val="0"/>
      <w:marTop w:val="0"/>
      <w:marBottom w:val="0"/>
      <w:divBdr>
        <w:top w:val="none" w:sz="0" w:space="0" w:color="auto"/>
        <w:left w:val="none" w:sz="0" w:space="0" w:color="auto"/>
        <w:bottom w:val="none" w:sz="0" w:space="0" w:color="auto"/>
        <w:right w:val="none" w:sz="0" w:space="0" w:color="auto"/>
      </w:divBdr>
    </w:div>
    <w:div w:id="1619296031">
      <w:bodyDiv w:val="1"/>
      <w:marLeft w:val="0"/>
      <w:marRight w:val="0"/>
      <w:marTop w:val="0"/>
      <w:marBottom w:val="0"/>
      <w:divBdr>
        <w:top w:val="none" w:sz="0" w:space="0" w:color="auto"/>
        <w:left w:val="none" w:sz="0" w:space="0" w:color="auto"/>
        <w:bottom w:val="none" w:sz="0" w:space="0" w:color="auto"/>
        <w:right w:val="none" w:sz="0" w:space="0" w:color="auto"/>
      </w:divBdr>
    </w:div>
    <w:div w:id="1619725144">
      <w:bodyDiv w:val="1"/>
      <w:marLeft w:val="0"/>
      <w:marRight w:val="0"/>
      <w:marTop w:val="0"/>
      <w:marBottom w:val="0"/>
      <w:divBdr>
        <w:top w:val="none" w:sz="0" w:space="0" w:color="auto"/>
        <w:left w:val="none" w:sz="0" w:space="0" w:color="auto"/>
        <w:bottom w:val="none" w:sz="0" w:space="0" w:color="auto"/>
        <w:right w:val="none" w:sz="0" w:space="0" w:color="auto"/>
      </w:divBdr>
    </w:div>
    <w:div w:id="1620068645">
      <w:bodyDiv w:val="1"/>
      <w:marLeft w:val="0"/>
      <w:marRight w:val="0"/>
      <w:marTop w:val="0"/>
      <w:marBottom w:val="0"/>
      <w:divBdr>
        <w:top w:val="none" w:sz="0" w:space="0" w:color="auto"/>
        <w:left w:val="none" w:sz="0" w:space="0" w:color="auto"/>
        <w:bottom w:val="none" w:sz="0" w:space="0" w:color="auto"/>
        <w:right w:val="none" w:sz="0" w:space="0" w:color="auto"/>
      </w:divBdr>
    </w:div>
    <w:div w:id="1620259140">
      <w:bodyDiv w:val="1"/>
      <w:marLeft w:val="0"/>
      <w:marRight w:val="0"/>
      <w:marTop w:val="0"/>
      <w:marBottom w:val="0"/>
      <w:divBdr>
        <w:top w:val="none" w:sz="0" w:space="0" w:color="auto"/>
        <w:left w:val="none" w:sz="0" w:space="0" w:color="auto"/>
        <w:bottom w:val="none" w:sz="0" w:space="0" w:color="auto"/>
        <w:right w:val="none" w:sz="0" w:space="0" w:color="auto"/>
      </w:divBdr>
    </w:div>
    <w:div w:id="1622033515">
      <w:bodyDiv w:val="1"/>
      <w:marLeft w:val="0"/>
      <w:marRight w:val="0"/>
      <w:marTop w:val="0"/>
      <w:marBottom w:val="0"/>
      <w:divBdr>
        <w:top w:val="none" w:sz="0" w:space="0" w:color="auto"/>
        <w:left w:val="none" w:sz="0" w:space="0" w:color="auto"/>
        <w:bottom w:val="none" w:sz="0" w:space="0" w:color="auto"/>
        <w:right w:val="none" w:sz="0" w:space="0" w:color="auto"/>
      </w:divBdr>
    </w:div>
    <w:div w:id="1622152949">
      <w:bodyDiv w:val="1"/>
      <w:marLeft w:val="0"/>
      <w:marRight w:val="0"/>
      <w:marTop w:val="0"/>
      <w:marBottom w:val="0"/>
      <w:divBdr>
        <w:top w:val="none" w:sz="0" w:space="0" w:color="auto"/>
        <w:left w:val="none" w:sz="0" w:space="0" w:color="auto"/>
        <w:bottom w:val="none" w:sz="0" w:space="0" w:color="auto"/>
        <w:right w:val="none" w:sz="0" w:space="0" w:color="auto"/>
      </w:divBdr>
    </w:div>
    <w:div w:id="1622375160">
      <w:bodyDiv w:val="1"/>
      <w:marLeft w:val="0"/>
      <w:marRight w:val="0"/>
      <w:marTop w:val="0"/>
      <w:marBottom w:val="0"/>
      <w:divBdr>
        <w:top w:val="none" w:sz="0" w:space="0" w:color="auto"/>
        <w:left w:val="none" w:sz="0" w:space="0" w:color="auto"/>
        <w:bottom w:val="none" w:sz="0" w:space="0" w:color="auto"/>
        <w:right w:val="none" w:sz="0" w:space="0" w:color="auto"/>
      </w:divBdr>
    </w:div>
    <w:div w:id="1622834716">
      <w:bodyDiv w:val="1"/>
      <w:marLeft w:val="0"/>
      <w:marRight w:val="0"/>
      <w:marTop w:val="0"/>
      <w:marBottom w:val="0"/>
      <w:divBdr>
        <w:top w:val="none" w:sz="0" w:space="0" w:color="auto"/>
        <w:left w:val="none" w:sz="0" w:space="0" w:color="auto"/>
        <w:bottom w:val="none" w:sz="0" w:space="0" w:color="auto"/>
        <w:right w:val="none" w:sz="0" w:space="0" w:color="auto"/>
      </w:divBdr>
    </w:div>
    <w:div w:id="1623531892">
      <w:bodyDiv w:val="1"/>
      <w:marLeft w:val="0"/>
      <w:marRight w:val="0"/>
      <w:marTop w:val="0"/>
      <w:marBottom w:val="0"/>
      <w:divBdr>
        <w:top w:val="none" w:sz="0" w:space="0" w:color="auto"/>
        <w:left w:val="none" w:sz="0" w:space="0" w:color="auto"/>
        <w:bottom w:val="none" w:sz="0" w:space="0" w:color="auto"/>
        <w:right w:val="none" w:sz="0" w:space="0" w:color="auto"/>
      </w:divBdr>
    </w:div>
    <w:div w:id="1623655831">
      <w:bodyDiv w:val="1"/>
      <w:marLeft w:val="0"/>
      <w:marRight w:val="0"/>
      <w:marTop w:val="0"/>
      <w:marBottom w:val="0"/>
      <w:divBdr>
        <w:top w:val="none" w:sz="0" w:space="0" w:color="auto"/>
        <w:left w:val="none" w:sz="0" w:space="0" w:color="auto"/>
        <w:bottom w:val="none" w:sz="0" w:space="0" w:color="auto"/>
        <w:right w:val="none" w:sz="0" w:space="0" w:color="auto"/>
      </w:divBdr>
    </w:div>
    <w:div w:id="1624117766">
      <w:bodyDiv w:val="1"/>
      <w:marLeft w:val="0"/>
      <w:marRight w:val="0"/>
      <w:marTop w:val="0"/>
      <w:marBottom w:val="0"/>
      <w:divBdr>
        <w:top w:val="none" w:sz="0" w:space="0" w:color="auto"/>
        <w:left w:val="none" w:sz="0" w:space="0" w:color="auto"/>
        <w:bottom w:val="none" w:sz="0" w:space="0" w:color="auto"/>
        <w:right w:val="none" w:sz="0" w:space="0" w:color="auto"/>
      </w:divBdr>
    </w:div>
    <w:div w:id="1624381957">
      <w:bodyDiv w:val="1"/>
      <w:marLeft w:val="0"/>
      <w:marRight w:val="0"/>
      <w:marTop w:val="0"/>
      <w:marBottom w:val="0"/>
      <w:divBdr>
        <w:top w:val="none" w:sz="0" w:space="0" w:color="auto"/>
        <w:left w:val="none" w:sz="0" w:space="0" w:color="auto"/>
        <w:bottom w:val="none" w:sz="0" w:space="0" w:color="auto"/>
        <w:right w:val="none" w:sz="0" w:space="0" w:color="auto"/>
      </w:divBdr>
    </w:div>
    <w:div w:id="1625306456">
      <w:bodyDiv w:val="1"/>
      <w:marLeft w:val="0"/>
      <w:marRight w:val="0"/>
      <w:marTop w:val="0"/>
      <w:marBottom w:val="0"/>
      <w:divBdr>
        <w:top w:val="none" w:sz="0" w:space="0" w:color="auto"/>
        <w:left w:val="none" w:sz="0" w:space="0" w:color="auto"/>
        <w:bottom w:val="none" w:sz="0" w:space="0" w:color="auto"/>
        <w:right w:val="none" w:sz="0" w:space="0" w:color="auto"/>
      </w:divBdr>
    </w:div>
    <w:div w:id="1625622122">
      <w:bodyDiv w:val="1"/>
      <w:marLeft w:val="0"/>
      <w:marRight w:val="0"/>
      <w:marTop w:val="0"/>
      <w:marBottom w:val="0"/>
      <w:divBdr>
        <w:top w:val="none" w:sz="0" w:space="0" w:color="auto"/>
        <w:left w:val="none" w:sz="0" w:space="0" w:color="auto"/>
        <w:bottom w:val="none" w:sz="0" w:space="0" w:color="auto"/>
        <w:right w:val="none" w:sz="0" w:space="0" w:color="auto"/>
      </w:divBdr>
    </w:div>
    <w:div w:id="1627079922">
      <w:bodyDiv w:val="1"/>
      <w:marLeft w:val="0"/>
      <w:marRight w:val="0"/>
      <w:marTop w:val="0"/>
      <w:marBottom w:val="0"/>
      <w:divBdr>
        <w:top w:val="none" w:sz="0" w:space="0" w:color="auto"/>
        <w:left w:val="none" w:sz="0" w:space="0" w:color="auto"/>
        <w:bottom w:val="none" w:sz="0" w:space="0" w:color="auto"/>
        <w:right w:val="none" w:sz="0" w:space="0" w:color="auto"/>
      </w:divBdr>
    </w:div>
    <w:div w:id="1627854370">
      <w:bodyDiv w:val="1"/>
      <w:marLeft w:val="0"/>
      <w:marRight w:val="0"/>
      <w:marTop w:val="0"/>
      <w:marBottom w:val="0"/>
      <w:divBdr>
        <w:top w:val="none" w:sz="0" w:space="0" w:color="auto"/>
        <w:left w:val="none" w:sz="0" w:space="0" w:color="auto"/>
        <w:bottom w:val="none" w:sz="0" w:space="0" w:color="auto"/>
        <w:right w:val="none" w:sz="0" w:space="0" w:color="auto"/>
      </w:divBdr>
    </w:div>
    <w:div w:id="1628394665">
      <w:bodyDiv w:val="1"/>
      <w:marLeft w:val="0"/>
      <w:marRight w:val="0"/>
      <w:marTop w:val="0"/>
      <w:marBottom w:val="0"/>
      <w:divBdr>
        <w:top w:val="none" w:sz="0" w:space="0" w:color="auto"/>
        <w:left w:val="none" w:sz="0" w:space="0" w:color="auto"/>
        <w:bottom w:val="none" w:sz="0" w:space="0" w:color="auto"/>
        <w:right w:val="none" w:sz="0" w:space="0" w:color="auto"/>
      </w:divBdr>
    </w:div>
    <w:div w:id="1628968117">
      <w:bodyDiv w:val="1"/>
      <w:marLeft w:val="0"/>
      <w:marRight w:val="0"/>
      <w:marTop w:val="0"/>
      <w:marBottom w:val="0"/>
      <w:divBdr>
        <w:top w:val="none" w:sz="0" w:space="0" w:color="auto"/>
        <w:left w:val="none" w:sz="0" w:space="0" w:color="auto"/>
        <w:bottom w:val="none" w:sz="0" w:space="0" w:color="auto"/>
        <w:right w:val="none" w:sz="0" w:space="0" w:color="auto"/>
      </w:divBdr>
    </w:div>
    <w:div w:id="1629435787">
      <w:bodyDiv w:val="1"/>
      <w:marLeft w:val="0"/>
      <w:marRight w:val="0"/>
      <w:marTop w:val="0"/>
      <w:marBottom w:val="0"/>
      <w:divBdr>
        <w:top w:val="none" w:sz="0" w:space="0" w:color="auto"/>
        <w:left w:val="none" w:sz="0" w:space="0" w:color="auto"/>
        <w:bottom w:val="none" w:sz="0" w:space="0" w:color="auto"/>
        <w:right w:val="none" w:sz="0" w:space="0" w:color="auto"/>
      </w:divBdr>
    </w:div>
    <w:div w:id="1629774982">
      <w:bodyDiv w:val="1"/>
      <w:marLeft w:val="0"/>
      <w:marRight w:val="0"/>
      <w:marTop w:val="0"/>
      <w:marBottom w:val="0"/>
      <w:divBdr>
        <w:top w:val="none" w:sz="0" w:space="0" w:color="auto"/>
        <w:left w:val="none" w:sz="0" w:space="0" w:color="auto"/>
        <w:bottom w:val="none" w:sz="0" w:space="0" w:color="auto"/>
        <w:right w:val="none" w:sz="0" w:space="0" w:color="auto"/>
      </w:divBdr>
    </w:div>
    <w:div w:id="1630235743">
      <w:bodyDiv w:val="1"/>
      <w:marLeft w:val="0"/>
      <w:marRight w:val="0"/>
      <w:marTop w:val="0"/>
      <w:marBottom w:val="0"/>
      <w:divBdr>
        <w:top w:val="none" w:sz="0" w:space="0" w:color="auto"/>
        <w:left w:val="none" w:sz="0" w:space="0" w:color="auto"/>
        <w:bottom w:val="none" w:sz="0" w:space="0" w:color="auto"/>
        <w:right w:val="none" w:sz="0" w:space="0" w:color="auto"/>
      </w:divBdr>
    </w:div>
    <w:div w:id="1631782757">
      <w:bodyDiv w:val="1"/>
      <w:marLeft w:val="0"/>
      <w:marRight w:val="0"/>
      <w:marTop w:val="0"/>
      <w:marBottom w:val="0"/>
      <w:divBdr>
        <w:top w:val="none" w:sz="0" w:space="0" w:color="auto"/>
        <w:left w:val="none" w:sz="0" w:space="0" w:color="auto"/>
        <w:bottom w:val="none" w:sz="0" w:space="0" w:color="auto"/>
        <w:right w:val="none" w:sz="0" w:space="0" w:color="auto"/>
      </w:divBdr>
    </w:div>
    <w:div w:id="1631979032">
      <w:bodyDiv w:val="1"/>
      <w:marLeft w:val="0"/>
      <w:marRight w:val="0"/>
      <w:marTop w:val="0"/>
      <w:marBottom w:val="0"/>
      <w:divBdr>
        <w:top w:val="none" w:sz="0" w:space="0" w:color="auto"/>
        <w:left w:val="none" w:sz="0" w:space="0" w:color="auto"/>
        <w:bottom w:val="none" w:sz="0" w:space="0" w:color="auto"/>
        <w:right w:val="none" w:sz="0" w:space="0" w:color="auto"/>
      </w:divBdr>
    </w:div>
    <w:div w:id="1632634011">
      <w:bodyDiv w:val="1"/>
      <w:marLeft w:val="0"/>
      <w:marRight w:val="0"/>
      <w:marTop w:val="0"/>
      <w:marBottom w:val="0"/>
      <w:divBdr>
        <w:top w:val="none" w:sz="0" w:space="0" w:color="auto"/>
        <w:left w:val="none" w:sz="0" w:space="0" w:color="auto"/>
        <w:bottom w:val="none" w:sz="0" w:space="0" w:color="auto"/>
        <w:right w:val="none" w:sz="0" w:space="0" w:color="auto"/>
      </w:divBdr>
    </w:div>
    <w:div w:id="1633905805">
      <w:bodyDiv w:val="1"/>
      <w:marLeft w:val="0"/>
      <w:marRight w:val="0"/>
      <w:marTop w:val="0"/>
      <w:marBottom w:val="0"/>
      <w:divBdr>
        <w:top w:val="none" w:sz="0" w:space="0" w:color="auto"/>
        <w:left w:val="none" w:sz="0" w:space="0" w:color="auto"/>
        <w:bottom w:val="none" w:sz="0" w:space="0" w:color="auto"/>
        <w:right w:val="none" w:sz="0" w:space="0" w:color="auto"/>
      </w:divBdr>
    </w:div>
    <w:div w:id="1634214189">
      <w:bodyDiv w:val="1"/>
      <w:marLeft w:val="0"/>
      <w:marRight w:val="0"/>
      <w:marTop w:val="0"/>
      <w:marBottom w:val="0"/>
      <w:divBdr>
        <w:top w:val="none" w:sz="0" w:space="0" w:color="auto"/>
        <w:left w:val="none" w:sz="0" w:space="0" w:color="auto"/>
        <w:bottom w:val="none" w:sz="0" w:space="0" w:color="auto"/>
        <w:right w:val="none" w:sz="0" w:space="0" w:color="auto"/>
      </w:divBdr>
    </w:div>
    <w:div w:id="1635989936">
      <w:bodyDiv w:val="1"/>
      <w:marLeft w:val="0"/>
      <w:marRight w:val="0"/>
      <w:marTop w:val="0"/>
      <w:marBottom w:val="0"/>
      <w:divBdr>
        <w:top w:val="none" w:sz="0" w:space="0" w:color="auto"/>
        <w:left w:val="none" w:sz="0" w:space="0" w:color="auto"/>
        <w:bottom w:val="none" w:sz="0" w:space="0" w:color="auto"/>
        <w:right w:val="none" w:sz="0" w:space="0" w:color="auto"/>
      </w:divBdr>
    </w:div>
    <w:div w:id="1636174932">
      <w:bodyDiv w:val="1"/>
      <w:marLeft w:val="0"/>
      <w:marRight w:val="0"/>
      <w:marTop w:val="0"/>
      <w:marBottom w:val="0"/>
      <w:divBdr>
        <w:top w:val="none" w:sz="0" w:space="0" w:color="auto"/>
        <w:left w:val="none" w:sz="0" w:space="0" w:color="auto"/>
        <w:bottom w:val="none" w:sz="0" w:space="0" w:color="auto"/>
        <w:right w:val="none" w:sz="0" w:space="0" w:color="auto"/>
      </w:divBdr>
    </w:div>
    <w:div w:id="1636636362">
      <w:bodyDiv w:val="1"/>
      <w:marLeft w:val="0"/>
      <w:marRight w:val="0"/>
      <w:marTop w:val="0"/>
      <w:marBottom w:val="0"/>
      <w:divBdr>
        <w:top w:val="none" w:sz="0" w:space="0" w:color="auto"/>
        <w:left w:val="none" w:sz="0" w:space="0" w:color="auto"/>
        <w:bottom w:val="none" w:sz="0" w:space="0" w:color="auto"/>
        <w:right w:val="none" w:sz="0" w:space="0" w:color="auto"/>
      </w:divBdr>
    </w:div>
    <w:div w:id="1636833275">
      <w:bodyDiv w:val="1"/>
      <w:marLeft w:val="0"/>
      <w:marRight w:val="0"/>
      <w:marTop w:val="0"/>
      <w:marBottom w:val="0"/>
      <w:divBdr>
        <w:top w:val="none" w:sz="0" w:space="0" w:color="auto"/>
        <w:left w:val="none" w:sz="0" w:space="0" w:color="auto"/>
        <w:bottom w:val="none" w:sz="0" w:space="0" w:color="auto"/>
        <w:right w:val="none" w:sz="0" w:space="0" w:color="auto"/>
      </w:divBdr>
    </w:div>
    <w:div w:id="1637292094">
      <w:bodyDiv w:val="1"/>
      <w:marLeft w:val="0"/>
      <w:marRight w:val="0"/>
      <w:marTop w:val="0"/>
      <w:marBottom w:val="0"/>
      <w:divBdr>
        <w:top w:val="none" w:sz="0" w:space="0" w:color="auto"/>
        <w:left w:val="none" w:sz="0" w:space="0" w:color="auto"/>
        <w:bottom w:val="none" w:sz="0" w:space="0" w:color="auto"/>
        <w:right w:val="none" w:sz="0" w:space="0" w:color="auto"/>
      </w:divBdr>
    </w:div>
    <w:div w:id="1637906848">
      <w:bodyDiv w:val="1"/>
      <w:marLeft w:val="0"/>
      <w:marRight w:val="0"/>
      <w:marTop w:val="0"/>
      <w:marBottom w:val="0"/>
      <w:divBdr>
        <w:top w:val="none" w:sz="0" w:space="0" w:color="auto"/>
        <w:left w:val="none" w:sz="0" w:space="0" w:color="auto"/>
        <w:bottom w:val="none" w:sz="0" w:space="0" w:color="auto"/>
        <w:right w:val="none" w:sz="0" w:space="0" w:color="auto"/>
      </w:divBdr>
    </w:div>
    <w:div w:id="1638297512">
      <w:bodyDiv w:val="1"/>
      <w:marLeft w:val="0"/>
      <w:marRight w:val="0"/>
      <w:marTop w:val="0"/>
      <w:marBottom w:val="0"/>
      <w:divBdr>
        <w:top w:val="none" w:sz="0" w:space="0" w:color="auto"/>
        <w:left w:val="none" w:sz="0" w:space="0" w:color="auto"/>
        <w:bottom w:val="none" w:sz="0" w:space="0" w:color="auto"/>
        <w:right w:val="none" w:sz="0" w:space="0" w:color="auto"/>
      </w:divBdr>
    </w:div>
    <w:div w:id="1638418119">
      <w:bodyDiv w:val="1"/>
      <w:marLeft w:val="0"/>
      <w:marRight w:val="0"/>
      <w:marTop w:val="0"/>
      <w:marBottom w:val="0"/>
      <w:divBdr>
        <w:top w:val="none" w:sz="0" w:space="0" w:color="auto"/>
        <w:left w:val="none" w:sz="0" w:space="0" w:color="auto"/>
        <w:bottom w:val="none" w:sz="0" w:space="0" w:color="auto"/>
        <w:right w:val="none" w:sz="0" w:space="0" w:color="auto"/>
      </w:divBdr>
    </w:div>
    <w:div w:id="1638994702">
      <w:bodyDiv w:val="1"/>
      <w:marLeft w:val="0"/>
      <w:marRight w:val="0"/>
      <w:marTop w:val="0"/>
      <w:marBottom w:val="0"/>
      <w:divBdr>
        <w:top w:val="none" w:sz="0" w:space="0" w:color="auto"/>
        <w:left w:val="none" w:sz="0" w:space="0" w:color="auto"/>
        <w:bottom w:val="none" w:sz="0" w:space="0" w:color="auto"/>
        <w:right w:val="none" w:sz="0" w:space="0" w:color="auto"/>
      </w:divBdr>
    </w:div>
    <w:div w:id="1639529023">
      <w:bodyDiv w:val="1"/>
      <w:marLeft w:val="0"/>
      <w:marRight w:val="0"/>
      <w:marTop w:val="0"/>
      <w:marBottom w:val="0"/>
      <w:divBdr>
        <w:top w:val="none" w:sz="0" w:space="0" w:color="auto"/>
        <w:left w:val="none" w:sz="0" w:space="0" w:color="auto"/>
        <w:bottom w:val="none" w:sz="0" w:space="0" w:color="auto"/>
        <w:right w:val="none" w:sz="0" w:space="0" w:color="auto"/>
      </w:divBdr>
    </w:div>
    <w:div w:id="1640068232">
      <w:bodyDiv w:val="1"/>
      <w:marLeft w:val="0"/>
      <w:marRight w:val="0"/>
      <w:marTop w:val="0"/>
      <w:marBottom w:val="0"/>
      <w:divBdr>
        <w:top w:val="none" w:sz="0" w:space="0" w:color="auto"/>
        <w:left w:val="none" w:sz="0" w:space="0" w:color="auto"/>
        <w:bottom w:val="none" w:sz="0" w:space="0" w:color="auto"/>
        <w:right w:val="none" w:sz="0" w:space="0" w:color="auto"/>
      </w:divBdr>
    </w:div>
    <w:div w:id="1640381280">
      <w:bodyDiv w:val="1"/>
      <w:marLeft w:val="0"/>
      <w:marRight w:val="0"/>
      <w:marTop w:val="0"/>
      <w:marBottom w:val="0"/>
      <w:divBdr>
        <w:top w:val="none" w:sz="0" w:space="0" w:color="auto"/>
        <w:left w:val="none" w:sz="0" w:space="0" w:color="auto"/>
        <w:bottom w:val="none" w:sz="0" w:space="0" w:color="auto"/>
        <w:right w:val="none" w:sz="0" w:space="0" w:color="auto"/>
      </w:divBdr>
    </w:div>
    <w:div w:id="1640920511">
      <w:bodyDiv w:val="1"/>
      <w:marLeft w:val="0"/>
      <w:marRight w:val="0"/>
      <w:marTop w:val="0"/>
      <w:marBottom w:val="0"/>
      <w:divBdr>
        <w:top w:val="none" w:sz="0" w:space="0" w:color="auto"/>
        <w:left w:val="none" w:sz="0" w:space="0" w:color="auto"/>
        <w:bottom w:val="none" w:sz="0" w:space="0" w:color="auto"/>
        <w:right w:val="none" w:sz="0" w:space="0" w:color="auto"/>
      </w:divBdr>
    </w:div>
    <w:div w:id="1640958985">
      <w:bodyDiv w:val="1"/>
      <w:marLeft w:val="0"/>
      <w:marRight w:val="0"/>
      <w:marTop w:val="0"/>
      <w:marBottom w:val="0"/>
      <w:divBdr>
        <w:top w:val="none" w:sz="0" w:space="0" w:color="auto"/>
        <w:left w:val="none" w:sz="0" w:space="0" w:color="auto"/>
        <w:bottom w:val="none" w:sz="0" w:space="0" w:color="auto"/>
        <w:right w:val="none" w:sz="0" w:space="0" w:color="auto"/>
      </w:divBdr>
    </w:div>
    <w:div w:id="1642225194">
      <w:bodyDiv w:val="1"/>
      <w:marLeft w:val="0"/>
      <w:marRight w:val="0"/>
      <w:marTop w:val="0"/>
      <w:marBottom w:val="0"/>
      <w:divBdr>
        <w:top w:val="none" w:sz="0" w:space="0" w:color="auto"/>
        <w:left w:val="none" w:sz="0" w:space="0" w:color="auto"/>
        <w:bottom w:val="none" w:sz="0" w:space="0" w:color="auto"/>
        <w:right w:val="none" w:sz="0" w:space="0" w:color="auto"/>
      </w:divBdr>
    </w:div>
    <w:div w:id="1642225372">
      <w:bodyDiv w:val="1"/>
      <w:marLeft w:val="0"/>
      <w:marRight w:val="0"/>
      <w:marTop w:val="0"/>
      <w:marBottom w:val="0"/>
      <w:divBdr>
        <w:top w:val="none" w:sz="0" w:space="0" w:color="auto"/>
        <w:left w:val="none" w:sz="0" w:space="0" w:color="auto"/>
        <w:bottom w:val="none" w:sz="0" w:space="0" w:color="auto"/>
        <w:right w:val="none" w:sz="0" w:space="0" w:color="auto"/>
      </w:divBdr>
    </w:div>
    <w:div w:id="1642342812">
      <w:bodyDiv w:val="1"/>
      <w:marLeft w:val="0"/>
      <w:marRight w:val="0"/>
      <w:marTop w:val="0"/>
      <w:marBottom w:val="0"/>
      <w:divBdr>
        <w:top w:val="none" w:sz="0" w:space="0" w:color="auto"/>
        <w:left w:val="none" w:sz="0" w:space="0" w:color="auto"/>
        <w:bottom w:val="none" w:sz="0" w:space="0" w:color="auto"/>
        <w:right w:val="none" w:sz="0" w:space="0" w:color="auto"/>
      </w:divBdr>
    </w:div>
    <w:div w:id="1642997850">
      <w:bodyDiv w:val="1"/>
      <w:marLeft w:val="0"/>
      <w:marRight w:val="0"/>
      <w:marTop w:val="0"/>
      <w:marBottom w:val="0"/>
      <w:divBdr>
        <w:top w:val="none" w:sz="0" w:space="0" w:color="auto"/>
        <w:left w:val="none" w:sz="0" w:space="0" w:color="auto"/>
        <w:bottom w:val="none" w:sz="0" w:space="0" w:color="auto"/>
        <w:right w:val="none" w:sz="0" w:space="0" w:color="auto"/>
      </w:divBdr>
    </w:div>
    <w:div w:id="1643996170">
      <w:bodyDiv w:val="1"/>
      <w:marLeft w:val="0"/>
      <w:marRight w:val="0"/>
      <w:marTop w:val="0"/>
      <w:marBottom w:val="0"/>
      <w:divBdr>
        <w:top w:val="none" w:sz="0" w:space="0" w:color="auto"/>
        <w:left w:val="none" w:sz="0" w:space="0" w:color="auto"/>
        <w:bottom w:val="none" w:sz="0" w:space="0" w:color="auto"/>
        <w:right w:val="none" w:sz="0" w:space="0" w:color="auto"/>
      </w:divBdr>
    </w:div>
    <w:div w:id="1644458610">
      <w:bodyDiv w:val="1"/>
      <w:marLeft w:val="0"/>
      <w:marRight w:val="0"/>
      <w:marTop w:val="0"/>
      <w:marBottom w:val="0"/>
      <w:divBdr>
        <w:top w:val="none" w:sz="0" w:space="0" w:color="auto"/>
        <w:left w:val="none" w:sz="0" w:space="0" w:color="auto"/>
        <w:bottom w:val="none" w:sz="0" w:space="0" w:color="auto"/>
        <w:right w:val="none" w:sz="0" w:space="0" w:color="auto"/>
      </w:divBdr>
    </w:div>
    <w:div w:id="1645502690">
      <w:bodyDiv w:val="1"/>
      <w:marLeft w:val="0"/>
      <w:marRight w:val="0"/>
      <w:marTop w:val="0"/>
      <w:marBottom w:val="0"/>
      <w:divBdr>
        <w:top w:val="none" w:sz="0" w:space="0" w:color="auto"/>
        <w:left w:val="none" w:sz="0" w:space="0" w:color="auto"/>
        <w:bottom w:val="none" w:sz="0" w:space="0" w:color="auto"/>
        <w:right w:val="none" w:sz="0" w:space="0" w:color="auto"/>
      </w:divBdr>
    </w:div>
    <w:div w:id="1645504470">
      <w:bodyDiv w:val="1"/>
      <w:marLeft w:val="0"/>
      <w:marRight w:val="0"/>
      <w:marTop w:val="0"/>
      <w:marBottom w:val="0"/>
      <w:divBdr>
        <w:top w:val="none" w:sz="0" w:space="0" w:color="auto"/>
        <w:left w:val="none" w:sz="0" w:space="0" w:color="auto"/>
        <w:bottom w:val="none" w:sz="0" w:space="0" w:color="auto"/>
        <w:right w:val="none" w:sz="0" w:space="0" w:color="auto"/>
      </w:divBdr>
    </w:div>
    <w:div w:id="1645696356">
      <w:bodyDiv w:val="1"/>
      <w:marLeft w:val="0"/>
      <w:marRight w:val="0"/>
      <w:marTop w:val="0"/>
      <w:marBottom w:val="0"/>
      <w:divBdr>
        <w:top w:val="none" w:sz="0" w:space="0" w:color="auto"/>
        <w:left w:val="none" w:sz="0" w:space="0" w:color="auto"/>
        <w:bottom w:val="none" w:sz="0" w:space="0" w:color="auto"/>
        <w:right w:val="none" w:sz="0" w:space="0" w:color="auto"/>
      </w:divBdr>
    </w:div>
    <w:div w:id="1646010324">
      <w:bodyDiv w:val="1"/>
      <w:marLeft w:val="0"/>
      <w:marRight w:val="0"/>
      <w:marTop w:val="0"/>
      <w:marBottom w:val="0"/>
      <w:divBdr>
        <w:top w:val="none" w:sz="0" w:space="0" w:color="auto"/>
        <w:left w:val="none" w:sz="0" w:space="0" w:color="auto"/>
        <w:bottom w:val="none" w:sz="0" w:space="0" w:color="auto"/>
        <w:right w:val="none" w:sz="0" w:space="0" w:color="auto"/>
      </w:divBdr>
    </w:div>
    <w:div w:id="1646622246">
      <w:bodyDiv w:val="1"/>
      <w:marLeft w:val="0"/>
      <w:marRight w:val="0"/>
      <w:marTop w:val="0"/>
      <w:marBottom w:val="0"/>
      <w:divBdr>
        <w:top w:val="none" w:sz="0" w:space="0" w:color="auto"/>
        <w:left w:val="none" w:sz="0" w:space="0" w:color="auto"/>
        <w:bottom w:val="none" w:sz="0" w:space="0" w:color="auto"/>
        <w:right w:val="none" w:sz="0" w:space="0" w:color="auto"/>
      </w:divBdr>
    </w:div>
    <w:div w:id="1648893614">
      <w:bodyDiv w:val="1"/>
      <w:marLeft w:val="0"/>
      <w:marRight w:val="0"/>
      <w:marTop w:val="0"/>
      <w:marBottom w:val="0"/>
      <w:divBdr>
        <w:top w:val="none" w:sz="0" w:space="0" w:color="auto"/>
        <w:left w:val="none" w:sz="0" w:space="0" w:color="auto"/>
        <w:bottom w:val="none" w:sz="0" w:space="0" w:color="auto"/>
        <w:right w:val="none" w:sz="0" w:space="0" w:color="auto"/>
      </w:divBdr>
    </w:div>
    <w:div w:id="1649213887">
      <w:bodyDiv w:val="1"/>
      <w:marLeft w:val="0"/>
      <w:marRight w:val="0"/>
      <w:marTop w:val="0"/>
      <w:marBottom w:val="0"/>
      <w:divBdr>
        <w:top w:val="none" w:sz="0" w:space="0" w:color="auto"/>
        <w:left w:val="none" w:sz="0" w:space="0" w:color="auto"/>
        <w:bottom w:val="none" w:sz="0" w:space="0" w:color="auto"/>
        <w:right w:val="none" w:sz="0" w:space="0" w:color="auto"/>
      </w:divBdr>
    </w:div>
    <w:div w:id="1649360255">
      <w:bodyDiv w:val="1"/>
      <w:marLeft w:val="0"/>
      <w:marRight w:val="0"/>
      <w:marTop w:val="0"/>
      <w:marBottom w:val="0"/>
      <w:divBdr>
        <w:top w:val="none" w:sz="0" w:space="0" w:color="auto"/>
        <w:left w:val="none" w:sz="0" w:space="0" w:color="auto"/>
        <w:bottom w:val="none" w:sz="0" w:space="0" w:color="auto"/>
        <w:right w:val="none" w:sz="0" w:space="0" w:color="auto"/>
      </w:divBdr>
    </w:div>
    <w:div w:id="1649625699">
      <w:bodyDiv w:val="1"/>
      <w:marLeft w:val="0"/>
      <w:marRight w:val="0"/>
      <w:marTop w:val="0"/>
      <w:marBottom w:val="0"/>
      <w:divBdr>
        <w:top w:val="none" w:sz="0" w:space="0" w:color="auto"/>
        <w:left w:val="none" w:sz="0" w:space="0" w:color="auto"/>
        <w:bottom w:val="none" w:sz="0" w:space="0" w:color="auto"/>
        <w:right w:val="none" w:sz="0" w:space="0" w:color="auto"/>
      </w:divBdr>
    </w:div>
    <w:div w:id="1649700947">
      <w:bodyDiv w:val="1"/>
      <w:marLeft w:val="0"/>
      <w:marRight w:val="0"/>
      <w:marTop w:val="0"/>
      <w:marBottom w:val="0"/>
      <w:divBdr>
        <w:top w:val="none" w:sz="0" w:space="0" w:color="auto"/>
        <w:left w:val="none" w:sz="0" w:space="0" w:color="auto"/>
        <w:bottom w:val="none" w:sz="0" w:space="0" w:color="auto"/>
        <w:right w:val="none" w:sz="0" w:space="0" w:color="auto"/>
      </w:divBdr>
    </w:div>
    <w:div w:id="1650476763">
      <w:bodyDiv w:val="1"/>
      <w:marLeft w:val="0"/>
      <w:marRight w:val="0"/>
      <w:marTop w:val="0"/>
      <w:marBottom w:val="0"/>
      <w:divBdr>
        <w:top w:val="none" w:sz="0" w:space="0" w:color="auto"/>
        <w:left w:val="none" w:sz="0" w:space="0" w:color="auto"/>
        <w:bottom w:val="none" w:sz="0" w:space="0" w:color="auto"/>
        <w:right w:val="none" w:sz="0" w:space="0" w:color="auto"/>
      </w:divBdr>
    </w:div>
    <w:div w:id="1650744805">
      <w:bodyDiv w:val="1"/>
      <w:marLeft w:val="0"/>
      <w:marRight w:val="0"/>
      <w:marTop w:val="0"/>
      <w:marBottom w:val="0"/>
      <w:divBdr>
        <w:top w:val="none" w:sz="0" w:space="0" w:color="auto"/>
        <w:left w:val="none" w:sz="0" w:space="0" w:color="auto"/>
        <w:bottom w:val="none" w:sz="0" w:space="0" w:color="auto"/>
        <w:right w:val="none" w:sz="0" w:space="0" w:color="auto"/>
      </w:divBdr>
    </w:div>
    <w:div w:id="1650940257">
      <w:bodyDiv w:val="1"/>
      <w:marLeft w:val="0"/>
      <w:marRight w:val="0"/>
      <w:marTop w:val="0"/>
      <w:marBottom w:val="0"/>
      <w:divBdr>
        <w:top w:val="none" w:sz="0" w:space="0" w:color="auto"/>
        <w:left w:val="none" w:sz="0" w:space="0" w:color="auto"/>
        <w:bottom w:val="none" w:sz="0" w:space="0" w:color="auto"/>
        <w:right w:val="none" w:sz="0" w:space="0" w:color="auto"/>
      </w:divBdr>
    </w:div>
    <w:div w:id="1651397738">
      <w:bodyDiv w:val="1"/>
      <w:marLeft w:val="0"/>
      <w:marRight w:val="0"/>
      <w:marTop w:val="0"/>
      <w:marBottom w:val="0"/>
      <w:divBdr>
        <w:top w:val="none" w:sz="0" w:space="0" w:color="auto"/>
        <w:left w:val="none" w:sz="0" w:space="0" w:color="auto"/>
        <w:bottom w:val="none" w:sz="0" w:space="0" w:color="auto"/>
        <w:right w:val="none" w:sz="0" w:space="0" w:color="auto"/>
      </w:divBdr>
    </w:div>
    <w:div w:id="1651902854">
      <w:bodyDiv w:val="1"/>
      <w:marLeft w:val="0"/>
      <w:marRight w:val="0"/>
      <w:marTop w:val="0"/>
      <w:marBottom w:val="0"/>
      <w:divBdr>
        <w:top w:val="none" w:sz="0" w:space="0" w:color="auto"/>
        <w:left w:val="none" w:sz="0" w:space="0" w:color="auto"/>
        <w:bottom w:val="none" w:sz="0" w:space="0" w:color="auto"/>
        <w:right w:val="none" w:sz="0" w:space="0" w:color="auto"/>
      </w:divBdr>
    </w:div>
    <w:div w:id="1651979457">
      <w:bodyDiv w:val="1"/>
      <w:marLeft w:val="0"/>
      <w:marRight w:val="0"/>
      <w:marTop w:val="0"/>
      <w:marBottom w:val="0"/>
      <w:divBdr>
        <w:top w:val="none" w:sz="0" w:space="0" w:color="auto"/>
        <w:left w:val="none" w:sz="0" w:space="0" w:color="auto"/>
        <w:bottom w:val="none" w:sz="0" w:space="0" w:color="auto"/>
        <w:right w:val="none" w:sz="0" w:space="0" w:color="auto"/>
      </w:divBdr>
    </w:div>
    <w:div w:id="1652828195">
      <w:bodyDiv w:val="1"/>
      <w:marLeft w:val="0"/>
      <w:marRight w:val="0"/>
      <w:marTop w:val="0"/>
      <w:marBottom w:val="0"/>
      <w:divBdr>
        <w:top w:val="none" w:sz="0" w:space="0" w:color="auto"/>
        <w:left w:val="none" w:sz="0" w:space="0" w:color="auto"/>
        <w:bottom w:val="none" w:sz="0" w:space="0" w:color="auto"/>
        <w:right w:val="none" w:sz="0" w:space="0" w:color="auto"/>
      </w:divBdr>
    </w:div>
    <w:div w:id="1654792010">
      <w:bodyDiv w:val="1"/>
      <w:marLeft w:val="0"/>
      <w:marRight w:val="0"/>
      <w:marTop w:val="0"/>
      <w:marBottom w:val="0"/>
      <w:divBdr>
        <w:top w:val="none" w:sz="0" w:space="0" w:color="auto"/>
        <w:left w:val="none" w:sz="0" w:space="0" w:color="auto"/>
        <w:bottom w:val="none" w:sz="0" w:space="0" w:color="auto"/>
        <w:right w:val="none" w:sz="0" w:space="0" w:color="auto"/>
      </w:divBdr>
    </w:div>
    <w:div w:id="1655796413">
      <w:bodyDiv w:val="1"/>
      <w:marLeft w:val="0"/>
      <w:marRight w:val="0"/>
      <w:marTop w:val="0"/>
      <w:marBottom w:val="0"/>
      <w:divBdr>
        <w:top w:val="none" w:sz="0" w:space="0" w:color="auto"/>
        <w:left w:val="none" w:sz="0" w:space="0" w:color="auto"/>
        <w:bottom w:val="none" w:sz="0" w:space="0" w:color="auto"/>
        <w:right w:val="none" w:sz="0" w:space="0" w:color="auto"/>
      </w:divBdr>
    </w:div>
    <w:div w:id="1656225844">
      <w:bodyDiv w:val="1"/>
      <w:marLeft w:val="0"/>
      <w:marRight w:val="0"/>
      <w:marTop w:val="0"/>
      <w:marBottom w:val="0"/>
      <w:divBdr>
        <w:top w:val="none" w:sz="0" w:space="0" w:color="auto"/>
        <w:left w:val="none" w:sz="0" w:space="0" w:color="auto"/>
        <w:bottom w:val="none" w:sz="0" w:space="0" w:color="auto"/>
        <w:right w:val="none" w:sz="0" w:space="0" w:color="auto"/>
      </w:divBdr>
    </w:div>
    <w:div w:id="1656496567">
      <w:bodyDiv w:val="1"/>
      <w:marLeft w:val="0"/>
      <w:marRight w:val="0"/>
      <w:marTop w:val="0"/>
      <w:marBottom w:val="0"/>
      <w:divBdr>
        <w:top w:val="none" w:sz="0" w:space="0" w:color="auto"/>
        <w:left w:val="none" w:sz="0" w:space="0" w:color="auto"/>
        <w:bottom w:val="none" w:sz="0" w:space="0" w:color="auto"/>
        <w:right w:val="none" w:sz="0" w:space="0" w:color="auto"/>
      </w:divBdr>
    </w:div>
    <w:div w:id="1657103591">
      <w:bodyDiv w:val="1"/>
      <w:marLeft w:val="0"/>
      <w:marRight w:val="0"/>
      <w:marTop w:val="0"/>
      <w:marBottom w:val="0"/>
      <w:divBdr>
        <w:top w:val="none" w:sz="0" w:space="0" w:color="auto"/>
        <w:left w:val="none" w:sz="0" w:space="0" w:color="auto"/>
        <w:bottom w:val="none" w:sz="0" w:space="0" w:color="auto"/>
        <w:right w:val="none" w:sz="0" w:space="0" w:color="auto"/>
      </w:divBdr>
    </w:div>
    <w:div w:id="1657875816">
      <w:bodyDiv w:val="1"/>
      <w:marLeft w:val="0"/>
      <w:marRight w:val="0"/>
      <w:marTop w:val="0"/>
      <w:marBottom w:val="0"/>
      <w:divBdr>
        <w:top w:val="none" w:sz="0" w:space="0" w:color="auto"/>
        <w:left w:val="none" w:sz="0" w:space="0" w:color="auto"/>
        <w:bottom w:val="none" w:sz="0" w:space="0" w:color="auto"/>
        <w:right w:val="none" w:sz="0" w:space="0" w:color="auto"/>
      </w:divBdr>
    </w:div>
    <w:div w:id="1658264918">
      <w:bodyDiv w:val="1"/>
      <w:marLeft w:val="0"/>
      <w:marRight w:val="0"/>
      <w:marTop w:val="0"/>
      <w:marBottom w:val="0"/>
      <w:divBdr>
        <w:top w:val="none" w:sz="0" w:space="0" w:color="auto"/>
        <w:left w:val="none" w:sz="0" w:space="0" w:color="auto"/>
        <w:bottom w:val="none" w:sz="0" w:space="0" w:color="auto"/>
        <w:right w:val="none" w:sz="0" w:space="0" w:color="auto"/>
      </w:divBdr>
    </w:div>
    <w:div w:id="1658266380">
      <w:bodyDiv w:val="1"/>
      <w:marLeft w:val="0"/>
      <w:marRight w:val="0"/>
      <w:marTop w:val="0"/>
      <w:marBottom w:val="0"/>
      <w:divBdr>
        <w:top w:val="none" w:sz="0" w:space="0" w:color="auto"/>
        <w:left w:val="none" w:sz="0" w:space="0" w:color="auto"/>
        <w:bottom w:val="none" w:sz="0" w:space="0" w:color="auto"/>
        <w:right w:val="none" w:sz="0" w:space="0" w:color="auto"/>
      </w:divBdr>
    </w:div>
    <w:div w:id="1658728792">
      <w:bodyDiv w:val="1"/>
      <w:marLeft w:val="0"/>
      <w:marRight w:val="0"/>
      <w:marTop w:val="0"/>
      <w:marBottom w:val="0"/>
      <w:divBdr>
        <w:top w:val="none" w:sz="0" w:space="0" w:color="auto"/>
        <w:left w:val="none" w:sz="0" w:space="0" w:color="auto"/>
        <w:bottom w:val="none" w:sz="0" w:space="0" w:color="auto"/>
        <w:right w:val="none" w:sz="0" w:space="0" w:color="auto"/>
      </w:divBdr>
    </w:div>
    <w:div w:id="1658915623">
      <w:bodyDiv w:val="1"/>
      <w:marLeft w:val="0"/>
      <w:marRight w:val="0"/>
      <w:marTop w:val="0"/>
      <w:marBottom w:val="0"/>
      <w:divBdr>
        <w:top w:val="none" w:sz="0" w:space="0" w:color="auto"/>
        <w:left w:val="none" w:sz="0" w:space="0" w:color="auto"/>
        <w:bottom w:val="none" w:sz="0" w:space="0" w:color="auto"/>
        <w:right w:val="none" w:sz="0" w:space="0" w:color="auto"/>
      </w:divBdr>
    </w:div>
    <w:div w:id="1659069636">
      <w:bodyDiv w:val="1"/>
      <w:marLeft w:val="0"/>
      <w:marRight w:val="0"/>
      <w:marTop w:val="0"/>
      <w:marBottom w:val="0"/>
      <w:divBdr>
        <w:top w:val="none" w:sz="0" w:space="0" w:color="auto"/>
        <w:left w:val="none" w:sz="0" w:space="0" w:color="auto"/>
        <w:bottom w:val="none" w:sz="0" w:space="0" w:color="auto"/>
        <w:right w:val="none" w:sz="0" w:space="0" w:color="auto"/>
      </w:divBdr>
    </w:div>
    <w:div w:id="1659528290">
      <w:bodyDiv w:val="1"/>
      <w:marLeft w:val="0"/>
      <w:marRight w:val="0"/>
      <w:marTop w:val="0"/>
      <w:marBottom w:val="0"/>
      <w:divBdr>
        <w:top w:val="none" w:sz="0" w:space="0" w:color="auto"/>
        <w:left w:val="none" w:sz="0" w:space="0" w:color="auto"/>
        <w:bottom w:val="none" w:sz="0" w:space="0" w:color="auto"/>
        <w:right w:val="none" w:sz="0" w:space="0" w:color="auto"/>
      </w:divBdr>
    </w:div>
    <w:div w:id="1661618788">
      <w:bodyDiv w:val="1"/>
      <w:marLeft w:val="0"/>
      <w:marRight w:val="0"/>
      <w:marTop w:val="0"/>
      <w:marBottom w:val="0"/>
      <w:divBdr>
        <w:top w:val="none" w:sz="0" w:space="0" w:color="auto"/>
        <w:left w:val="none" w:sz="0" w:space="0" w:color="auto"/>
        <w:bottom w:val="none" w:sz="0" w:space="0" w:color="auto"/>
        <w:right w:val="none" w:sz="0" w:space="0" w:color="auto"/>
      </w:divBdr>
    </w:div>
    <w:div w:id="1663124733">
      <w:bodyDiv w:val="1"/>
      <w:marLeft w:val="0"/>
      <w:marRight w:val="0"/>
      <w:marTop w:val="0"/>
      <w:marBottom w:val="0"/>
      <w:divBdr>
        <w:top w:val="none" w:sz="0" w:space="0" w:color="auto"/>
        <w:left w:val="none" w:sz="0" w:space="0" w:color="auto"/>
        <w:bottom w:val="none" w:sz="0" w:space="0" w:color="auto"/>
        <w:right w:val="none" w:sz="0" w:space="0" w:color="auto"/>
      </w:divBdr>
    </w:div>
    <w:div w:id="1663193279">
      <w:bodyDiv w:val="1"/>
      <w:marLeft w:val="0"/>
      <w:marRight w:val="0"/>
      <w:marTop w:val="0"/>
      <w:marBottom w:val="0"/>
      <w:divBdr>
        <w:top w:val="none" w:sz="0" w:space="0" w:color="auto"/>
        <w:left w:val="none" w:sz="0" w:space="0" w:color="auto"/>
        <w:bottom w:val="none" w:sz="0" w:space="0" w:color="auto"/>
        <w:right w:val="none" w:sz="0" w:space="0" w:color="auto"/>
      </w:divBdr>
    </w:div>
    <w:div w:id="1663309783">
      <w:bodyDiv w:val="1"/>
      <w:marLeft w:val="0"/>
      <w:marRight w:val="0"/>
      <w:marTop w:val="0"/>
      <w:marBottom w:val="0"/>
      <w:divBdr>
        <w:top w:val="none" w:sz="0" w:space="0" w:color="auto"/>
        <w:left w:val="none" w:sz="0" w:space="0" w:color="auto"/>
        <w:bottom w:val="none" w:sz="0" w:space="0" w:color="auto"/>
        <w:right w:val="none" w:sz="0" w:space="0" w:color="auto"/>
      </w:divBdr>
    </w:div>
    <w:div w:id="1663506565">
      <w:bodyDiv w:val="1"/>
      <w:marLeft w:val="0"/>
      <w:marRight w:val="0"/>
      <w:marTop w:val="0"/>
      <w:marBottom w:val="0"/>
      <w:divBdr>
        <w:top w:val="none" w:sz="0" w:space="0" w:color="auto"/>
        <w:left w:val="none" w:sz="0" w:space="0" w:color="auto"/>
        <w:bottom w:val="none" w:sz="0" w:space="0" w:color="auto"/>
        <w:right w:val="none" w:sz="0" w:space="0" w:color="auto"/>
      </w:divBdr>
    </w:div>
    <w:div w:id="1663966495">
      <w:bodyDiv w:val="1"/>
      <w:marLeft w:val="0"/>
      <w:marRight w:val="0"/>
      <w:marTop w:val="0"/>
      <w:marBottom w:val="0"/>
      <w:divBdr>
        <w:top w:val="none" w:sz="0" w:space="0" w:color="auto"/>
        <w:left w:val="none" w:sz="0" w:space="0" w:color="auto"/>
        <w:bottom w:val="none" w:sz="0" w:space="0" w:color="auto"/>
        <w:right w:val="none" w:sz="0" w:space="0" w:color="auto"/>
      </w:divBdr>
    </w:div>
    <w:div w:id="1665428217">
      <w:bodyDiv w:val="1"/>
      <w:marLeft w:val="0"/>
      <w:marRight w:val="0"/>
      <w:marTop w:val="0"/>
      <w:marBottom w:val="0"/>
      <w:divBdr>
        <w:top w:val="none" w:sz="0" w:space="0" w:color="auto"/>
        <w:left w:val="none" w:sz="0" w:space="0" w:color="auto"/>
        <w:bottom w:val="none" w:sz="0" w:space="0" w:color="auto"/>
        <w:right w:val="none" w:sz="0" w:space="0" w:color="auto"/>
      </w:divBdr>
    </w:div>
    <w:div w:id="1665552239">
      <w:bodyDiv w:val="1"/>
      <w:marLeft w:val="0"/>
      <w:marRight w:val="0"/>
      <w:marTop w:val="0"/>
      <w:marBottom w:val="0"/>
      <w:divBdr>
        <w:top w:val="none" w:sz="0" w:space="0" w:color="auto"/>
        <w:left w:val="none" w:sz="0" w:space="0" w:color="auto"/>
        <w:bottom w:val="none" w:sz="0" w:space="0" w:color="auto"/>
        <w:right w:val="none" w:sz="0" w:space="0" w:color="auto"/>
      </w:divBdr>
    </w:div>
    <w:div w:id="1666201002">
      <w:bodyDiv w:val="1"/>
      <w:marLeft w:val="0"/>
      <w:marRight w:val="0"/>
      <w:marTop w:val="0"/>
      <w:marBottom w:val="0"/>
      <w:divBdr>
        <w:top w:val="none" w:sz="0" w:space="0" w:color="auto"/>
        <w:left w:val="none" w:sz="0" w:space="0" w:color="auto"/>
        <w:bottom w:val="none" w:sz="0" w:space="0" w:color="auto"/>
        <w:right w:val="none" w:sz="0" w:space="0" w:color="auto"/>
      </w:divBdr>
    </w:div>
    <w:div w:id="1667514556">
      <w:bodyDiv w:val="1"/>
      <w:marLeft w:val="0"/>
      <w:marRight w:val="0"/>
      <w:marTop w:val="0"/>
      <w:marBottom w:val="0"/>
      <w:divBdr>
        <w:top w:val="none" w:sz="0" w:space="0" w:color="auto"/>
        <w:left w:val="none" w:sz="0" w:space="0" w:color="auto"/>
        <w:bottom w:val="none" w:sz="0" w:space="0" w:color="auto"/>
        <w:right w:val="none" w:sz="0" w:space="0" w:color="auto"/>
      </w:divBdr>
    </w:div>
    <w:div w:id="1670206026">
      <w:bodyDiv w:val="1"/>
      <w:marLeft w:val="0"/>
      <w:marRight w:val="0"/>
      <w:marTop w:val="0"/>
      <w:marBottom w:val="0"/>
      <w:divBdr>
        <w:top w:val="none" w:sz="0" w:space="0" w:color="auto"/>
        <w:left w:val="none" w:sz="0" w:space="0" w:color="auto"/>
        <w:bottom w:val="none" w:sz="0" w:space="0" w:color="auto"/>
        <w:right w:val="none" w:sz="0" w:space="0" w:color="auto"/>
      </w:divBdr>
    </w:div>
    <w:div w:id="1670907136">
      <w:bodyDiv w:val="1"/>
      <w:marLeft w:val="0"/>
      <w:marRight w:val="0"/>
      <w:marTop w:val="0"/>
      <w:marBottom w:val="0"/>
      <w:divBdr>
        <w:top w:val="none" w:sz="0" w:space="0" w:color="auto"/>
        <w:left w:val="none" w:sz="0" w:space="0" w:color="auto"/>
        <w:bottom w:val="none" w:sz="0" w:space="0" w:color="auto"/>
        <w:right w:val="none" w:sz="0" w:space="0" w:color="auto"/>
      </w:divBdr>
    </w:div>
    <w:div w:id="1670937366">
      <w:bodyDiv w:val="1"/>
      <w:marLeft w:val="0"/>
      <w:marRight w:val="0"/>
      <w:marTop w:val="0"/>
      <w:marBottom w:val="0"/>
      <w:divBdr>
        <w:top w:val="none" w:sz="0" w:space="0" w:color="auto"/>
        <w:left w:val="none" w:sz="0" w:space="0" w:color="auto"/>
        <w:bottom w:val="none" w:sz="0" w:space="0" w:color="auto"/>
        <w:right w:val="none" w:sz="0" w:space="0" w:color="auto"/>
      </w:divBdr>
    </w:div>
    <w:div w:id="1672216706">
      <w:bodyDiv w:val="1"/>
      <w:marLeft w:val="0"/>
      <w:marRight w:val="0"/>
      <w:marTop w:val="0"/>
      <w:marBottom w:val="0"/>
      <w:divBdr>
        <w:top w:val="none" w:sz="0" w:space="0" w:color="auto"/>
        <w:left w:val="none" w:sz="0" w:space="0" w:color="auto"/>
        <w:bottom w:val="none" w:sz="0" w:space="0" w:color="auto"/>
        <w:right w:val="none" w:sz="0" w:space="0" w:color="auto"/>
      </w:divBdr>
    </w:div>
    <w:div w:id="1672218568">
      <w:bodyDiv w:val="1"/>
      <w:marLeft w:val="0"/>
      <w:marRight w:val="0"/>
      <w:marTop w:val="0"/>
      <w:marBottom w:val="0"/>
      <w:divBdr>
        <w:top w:val="none" w:sz="0" w:space="0" w:color="auto"/>
        <w:left w:val="none" w:sz="0" w:space="0" w:color="auto"/>
        <w:bottom w:val="none" w:sz="0" w:space="0" w:color="auto"/>
        <w:right w:val="none" w:sz="0" w:space="0" w:color="auto"/>
      </w:divBdr>
    </w:div>
    <w:div w:id="1673988653">
      <w:bodyDiv w:val="1"/>
      <w:marLeft w:val="0"/>
      <w:marRight w:val="0"/>
      <w:marTop w:val="0"/>
      <w:marBottom w:val="0"/>
      <w:divBdr>
        <w:top w:val="none" w:sz="0" w:space="0" w:color="auto"/>
        <w:left w:val="none" w:sz="0" w:space="0" w:color="auto"/>
        <w:bottom w:val="none" w:sz="0" w:space="0" w:color="auto"/>
        <w:right w:val="none" w:sz="0" w:space="0" w:color="auto"/>
      </w:divBdr>
    </w:div>
    <w:div w:id="1674723327">
      <w:bodyDiv w:val="1"/>
      <w:marLeft w:val="0"/>
      <w:marRight w:val="0"/>
      <w:marTop w:val="0"/>
      <w:marBottom w:val="0"/>
      <w:divBdr>
        <w:top w:val="none" w:sz="0" w:space="0" w:color="auto"/>
        <w:left w:val="none" w:sz="0" w:space="0" w:color="auto"/>
        <w:bottom w:val="none" w:sz="0" w:space="0" w:color="auto"/>
        <w:right w:val="none" w:sz="0" w:space="0" w:color="auto"/>
      </w:divBdr>
    </w:div>
    <w:div w:id="1675380220">
      <w:bodyDiv w:val="1"/>
      <w:marLeft w:val="0"/>
      <w:marRight w:val="0"/>
      <w:marTop w:val="0"/>
      <w:marBottom w:val="0"/>
      <w:divBdr>
        <w:top w:val="none" w:sz="0" w:space="0" w:color="auto"/>
        <w:left w:val="none" w:sz="0" w:space="0" w:color="auto"/>
        <w:bottom w:val="none" w:sz="0" w:space="0" w:color="auto"/>
        <w:right w:val="none" w:sz="0" w:space="0" w:color="auto"/>
      </w:divBdr>
    </w:div>
    <w:div w:id="1677346020">
      <w:bodyDiv w:val="1"/>
      <w:marLeft w:val="0"/>
      <w:marRight w:val="0"/>
      <w:marTop w:val="0"/>
      <w:marBottom w:val="0"/>
      <w:divBdr>
        <w:top w:val="none" w:sz="0" w:space="0" w:color="auto"/>
        <w:left w:val="none" w:sz="0" w:space="0" w:color="auto"/>
        <w:bottom w:val="none" w:sz="0" w:space="0" w:color="auto"/>
        <w:right w:val="none" w:sz="0" w:space="0" w:color="auto"/>
      </w:divBdr>
    </w:div>
    <w:div w:id="1678266125">
      <w:bodyDiv w:val="1"/>
      <w:marLeft w:val="0"/>
      <w:marRight w:val="0"/>
      <w:marTop w:val="0"/>
      <w:marBottom w:val="0"/>
      <w:divBdr>
        <w:top w:val="none" w:sz="0" w:space="0" w:color="auto"/>
        <w:left w:val="none" w:sz="0" w:space="0" w:color="auto"/>
        <w:bottom w:val="none" w:sz="0" w:space="0" w:color="auto"/>
        <w:right w:val="none" w:sz="0" w:space="0" w:color="auto"/>
      </w:divBdr>
    </w:div>
    <w:div w:id="1678382305">
      <w:bodyDiv w:val="1"/>
      <w:marLeft w:val="0"/>
      <w:marRight w:val="0"/>
      <w:marTop w:val="0"/>
      <w:marBottom w:val="0"/>
      <w:divBdr>
        <w:top w:val="none" w:sz="0" w:space="0" w:color="auto"/>
        <w:left w:val="none" w:sz="0" w:space="0" w:color="auto"/>
        <w:bottom w:val="none" w:sz="0" w:space="0" w:color="auto"/>
        <w:right w:val="none" w:sz="0" w:space="0" w:color="auto"/>
      </w:divBdr>
    </w:div>
    <w:div w:id="1678657877">
      <w:bodyDiv w:val="1"/>
      <w:marLeft w:val="0"/>
      <w:marRight w:val="0"/>
      <w:marTop w:val="0"/>
      <w:marBottom w:val="0"/>
      <w:divBdr>
        <w:top w:val="none" w:sz="0" w:space="0" w:color="auto"/>
        <w:left w:val="none" w:sz="0" w:space="0" w:color="auto"/>
        <w:bottom w:val="none" w:sz="0" w:space="0" w:color="auto"/>
        <w:right w:val="none" w:sz="0" w:space="0" w:color="auto"/>
      </w:divBdr>
    </w:div>
    <w:div w:id="1678774384">
      <w:bodyDiv w:val="1"/>
      <w:marLeft w:val="0"/>
      <w:marRight w:val="0"/>
      <w:marTop w:val="0"/>
      <w:marBottom w:val="0"/>
      <w:divBdr>
        <w:top w:val="none" w:sz="0" w:space="0" w:color="auto"/>
        <w:left w:val="none" w:sz="0" w:space="0" w:color="auto"/>
        <w:bottom w:val="none" w:sz="0" w:space="0" w:color="auto"/>
        <w:right w:val="none" w:sz="0" w:space="0" w:color="auto"/>
      </w:divBdr>
    </w:div>
    <w:div w:id="1679506997">
      <w:bodyDiv w:val="1"/>
      <w:marLeft w:val="0"/>
      <w:marRight w:val="0"/>
      <w:marTop w:val="0"/>
      <w:marBottom w:val="0"/>
      <w:divBdr>
        <w:top w:val="none" w:sz="0" w:space="0" w:color="auto"/>
        <w:left w:val="none" w:sz="0" w:space="0" w:color="auto"/>
        <w:bottom w:val="none" w:sz="0" w:space="0" w:color="auto"/>
        <w:right w:val="none" w:sz="0" w:space="0" w:color="auto"/>
      </w:divBdr>
    </w:div>
    <w:div w:id="1680277872">
      <w:bodyDiv w:val="1"/>
      <w:marLeft w:val="0"/>
      <w:marRight w:val="0"/>
      <w:marTop w:val="0"/>
      <w:marBottom w:val="0"/>
      <w:divBdr>
        <w:top w:val="none" w:sz="0" w:space="0" w:color="auto"/>
        <w:left w:val="none" w:sz="0" w:space="0" w:color="auto"/>
        <w:bottom w:val="none" w:sz="0" w:space="0" w:color="auto"/>
        <w:right w:val="none" w:sz="0" w:space="0" w:color="auto"/>
      </w:divBdr>
    </w:div>
    <w:div w:id="1680619848">
      <w:bodyDiv w:val="1"/>
      <w:marLeft w:val="0"/>
      <w:marRight w:val="0"/>
      <w:marTop w:val="0"/>
      <w:marBottom w:val="0"/>
      <w:divBdr>
        <w:top w:val="none" w:sz="0" w:space="0" w:color="auto"/>
        <w:left w:val="none" w:sz="0" w:space="0" w:color="auto"/>
        <w:bottom w:val="none" w:sz="0" w:space="0" w:color="auto"/>
        <w:right w:val="none" w:sz="0" w:space="0" w:color="auto"/>
      </w:divBdr>
    </w:div>
    <w:div w:id="1680766249">
      <w:bodyDiv w:val="1"/>
      <w:marLeft w:val="0"/>
      <w:marRight w:val="0"/>
      <w:marTop w:val="0"/>
      <w:marBottom w:val="0"/>
      <w:divBdr>
        <w:top w:val="none" w:sz="0" w:space="0" w:color="auto"/>
        <w:left w:val="none" w:sz="0" w:space="0" w:color="auto"/>
        <w:bottom w:val="none" w:sz="0" w:space="0" w:color="auto"/>
        <w:right w:val="none" w:sz="0" w:space="0" w:color="auto"/>
      </w:divBdr>
    </w:div>
    <w:div w:id="1681155939">
      <w:bodyDiv w:val="1"/>
      <w:marLeft w:val="0"/>
      <w:marRight w:val="0"/>
      <w:marTop w:val="0"/>
      <w:marBottom w:val="0"/>
      <w:divBdr>
        <w:top w:val="none" w:sz="0" w:space="0" w:color="auto"/>
        <w:left w:val="none" w:sz="0" w:space="0" w:color="auto"/>
        <w:bottom w:val="none" w:sz="0" w:space="0" w:color="auto"/>
        <w:right w:val="none" w:sz="0" w:space="0" w:color="auto"/>
      </w:divBdr>
    </w:div>
    <w:div w:id="1682318687">
      <w:bodyDiv w:val="1"/>
      <w:marLeft w:val="0"/>
      <w:marRight w:val="0"/>
      <w:marTop w:val="0"/>
      <w:marBottom w:val="0"/>
      <w:divBdr>
        <w:top w:val="none" w:sz="0" w:space="0" w:color="auto"/>
        <w:left w:val="none" w:sz="0" w:space="0" w:color="auto"/>
        <w:bottom w:val="none" w:sz="0" w:space="0" w:color="auto"/>
        <w:right w:val="none" w:sz="0" w:space="0" w:color="auto"/>
      </w:divBdr>
    </w:div>
    <w:div w:id="1682510110">
      <w:bodyDiv w:val="1"/>
      <w:marLeft w:val="0"/>
      <w:marRight w:val="0"/>
      <w:marTop w:val="0"/>
      <w:marBottom w:val="0"/>
      <w:divBdr>
        <w:top w:val="none" w:sz="0" w:space="0" w:color="auto"/>
        <w:left w:val="none" w:sz="0" w:space="0" w:color="auto"/>
        <w:bottom w:val="none" w:sz="0" w:space="0" w:color="auto"/>
        <w:right w:val="none" w:sz="0" w:space="0" w:color="auto"/>
      </w:divBdr>
    </w:div>
    <w:div w:id="1683505727">
      <w:bodyDiv w:val="1"/>
      <w:marLeft w:val="0"/>
      <w:marRight w:val="0"/>
      <w:marTop w:val="0"/>
      <w:marBottom w:val="0"/>
      <w:divBdr>
        <w:top w:val="none" w:sz="0" w:space="0" w:color="auto"/>
        <w:left w:val="none" w:sz="0" w:space="0" w:color="auto"/>
        <w:bottom w:val="none" w:sz="0" w:space="0" w:color="auto"/>
        <w:right w:val="none" w:sz="0" w:space="0" w:color="auto"/>
      </w:divBdr>
    </w:div>
    <w:div w:id="1683969789">
      <w:bodyDiv w:val="1"/>
      <w:marLeft w:val="0"/>
      <w:marRight w:val="0"/>
      <w:marTop w:val="0"/>
      <w:marBottom w:val="0"/>
      <w:divBdr>
        <w:top w:val="none" w:sz="0" w:space="0" w:color="auto"/>
        <w:left w:val="none" w:sz="0" w:space="0" w:color="auto"/>
        <w:bottom w:val="none" w:sz="0" w:space="0" w:color="auto"/>
        <w:right w:val="none" w:sz="0" w:space="0" w:color="auto"/>
      </w:divBdr>
    </w:div>
    <w:div w:id="1684280342">
      <w:bodyDiv w:val="1"/>
      <w:marLeft w:val="0"/>
      <w:marRight w:val="0"/>
      <w:marTop w:val="0"/>
      <w:marBottom w:val="0"/>
      <w:divBdr>
        <w:top w:val="none" w:sz="0" w:space="0" w:color="auto"/>
        <w:left w:val="none" w:sz="0" w:space="0" w:color="auto"/>
        <w:bottom w:val="none" w:sz="0" w:space="0" w:color="auto"/>
        <w:right w:val="none" w:sz="0" w:space="0" w:color="auto"/>
      </w:divBdr>
    </w:div>
    <w:div w:id="1684435921">
      <w:bodyDiv w:val="1"/>
      <w:marLeft w:val="0"/>
      <w:marRight w:val="0"/>
      <w:marTop w:val="0"/>
      <w:marBottom w:val="0"/>
      <w:divBdr>
        <w:top w:val="none" w:sz="0" w:space="0" w:color="auto"/>
        <w:left w:val="none" w:sz="0" w:space="0" w:color="auto"/>
        <w:bottom w:val="none" w:sz="0" w:space="0" w:color="auto"/>
        <w:right w:val="none" w:sz="0" w:space="0" w:color="auto"/>
      </w:divBdr>
    </w:div>
    <w:div w:id="1685789682">
      <w:bodyDiv w:val="1"/>
      <w:marLeft w:val="0"/>
      <w:marRight w:val="0"/>
      <w:marTop w:val="0"/>
      <w:marBottom w:val="0"/>
      <w:divBdr>
        <w:top w:val="none" w:sz="0" w:space="0" w:color="auto"/>
        <w:left w:val="none" w:sz="0" w:space="0" w:color="auto"/>
        <w:bottom w:val="none" w:sz="0" w:space="0" w:color="auto"/>
        <w:right w:val="none" w:sz="0" w:space="0" w:color="auto"/>
      </w:divBdr>
    </w:div>
    <w:div w:id="1688673732">
      <w:bodyDiv w:val="1"/>
      <w:marLeft w:val="0"/>
      <w:marRight w:val="0"/>
      <w:marTop w:val="0"/>
      <w:marBottom w:val="0"/>
      <w:divBdr>
        <w:top w:val="none" w:sz="0" w:space="0" w:color="auto"/>
        <w:left w:val="none" w:sz="0" w:space="0" w:color="auto"/>
        <w:bottom w:val="none" w:sz="0" w:space="0" w:color="auto"/>
        <w:right w:val="none" w:sz="0" w:space="0" w:color="auto"/>
      </w:divBdr>
    </w:div>
    <w:div w:id="1688752837">
      <w:bodyDiv w:val="1"/>
      <w:marLeft w:val="0"/>
      <w:marRight w:val="0"/>
      <w:marTop w:val="0"/>
      <w:marBottom w:val="0"/>
      <w:divBdr>
        <w:top w:val="none" w:sz="0" w:space="0" w:color="auto"/>
        <w:left w:val="none" w:sz="0" w:space="0" w:color="auto"/>
        <w:bottom w:val="none" w:sz="0" w:space="0" w:color="auto"/>
        <w:right w:val="none" w:sz="0" w:space="0" w:color="auto"/>
      </w:divBdr>
    </w:div>
    <w:div w:id="1691106300">
      <w:bodyDiv w:val="1"/>
      <w:marLeft w:val="0"/>
      <w:marRight w:val="0"/>
      <w:marTop w:val="0"/>
      <w:marBottom w:val="0"/>
      <w:divBdr>
        <w:top w:val="none" w:sz="0" w:space="0" w:color="auto"/>
        <w:left w:val="none" w:sz="0" w:space="0" w:color="auto"/>
        <w:bottom w:val="none" w:sz="0" w:space="0" w:color="auto"/>
        <w:right w:val="none" w:sz="0" w:space="0" w:color="auto"/>
      </w:divBdr>
    </w:div>
    <w:div w:id="1691755188">
      <w:bodyDiv w:val="1"/>
      <w:marLeft w:val="0"/>
      <w:marRight w:val="0"/>
      <w:marTop w:val="0"/>
      <w:marBottom w:val="0"/>
      <w:divBdr>
        <w:top w:val="none" w:sz="0" w:space="0" w:color="auto"/>
        <w:left w:val="none" w:sz="0" w:space="0" w:color="auto"/>
        <w:bottom w:val="none" w:sz="0" w:space="0" w:color="auto"/>
        <w:right w:val="none" w:sz="0" w:space="0" w:color="auto"/>
      </w:divBdr>
    </w:div>
    <w:div w:id="1694377367">
      <w:bodyDiv w:val="1"/>
      <w:marLeft w:val="0"/>
      <w:marRight w:val="0"/>
      <w:marTop w:val="0"/>
      <w:marBottom w:val="0"/>
      <w:divBdr>
        <w:top w:val="none" w:sz="0" w:space="0" w:color="auto"/>
        <w:left w:val="none" w:sz="0" w:space="0" w:color="auto"/>
        <w:bottom w:val="none" w:sz="0" w:space="0" w:color="auto"/>
        <w:right w:val="none" w:sz="0" w:space="0" w:color="auto"/>
      </w:divBdr>
    </w:div>
    <w:div w:id="1694382211">
      <w:bodyDiv w:val="1"/>
      <w:marLeft w:val="0"/>
      <w:marRight w:val="0"/>
      <w:marTop w:val="0"/>
      <w:marBottom w:val="0"/>
      <w:divBdr>
        <w:top w:val="none" w:sz="0" w:space="0" w:color="auto"/>
        <w:left w:val="none" w:sz="0" w:space="0" w:color="auto"/>
        <w:bottom w:val="none" w:sz="0" w:space="0" w:color="auto"/>
        <w:right w:val="none" w:sz="0" w:space="0" w:color="auto"/>
      </w:divBdr>
    </w:div>
    <w:div w:id="1695382937">
      <w:bodyDiv w:val="1"/>
      <w:marLeft w:val="0"/>
      <w:marRight w:val="0"/>
      <w:marTop w:val="0"/>
      <w:marBottom w:val="0"/>
      <w:divBdr>
        <w:top w:val="none" w:sz="0" w:space="0" w:color="auto"/>
        <w:left w:val="none" w:sz="0" w:space="0" w:color="auto"/>
        <w:bottom w:val="none" w:sz="0" w:space="0" w:color="auto"/>
        <w:right w:val="none" w:sz="0" w:space="0" w:color="auto"/>
      </w:divBdr>
    </w:div>
    <w:div w:id="1696690130">
      <w:bodyDiv w:val="1"/>
      <w:marLeft w:val="0"/>
      <w:marRight w:val="0"/>
      <w:marTop w:val="0"/>
      <w:marBottom w:val="0"/>
      <w:divBdr>
        <w:top w:val="none" w:sz="0" w:space="0" w:color="auto"/>
        <w:left w:val="none" w:sz="0" w:space="0" w:color="auto"/>
        <w:bottom w:val="none" w:sz="0" w:space="0" w:color="auto"/>
        <w:right w:val="none" w:sz="0" w:space="0" w:color="auto"/>
      </w:divBdr>
    </w:div>
    <w:div w:id="1697340851">
      <w:bodyDiv w:val="1"/>
      <w:marLeft w:val="0"/>
      <w:marRight w:val="0"/>
      <w:marTop w:val="0"/>
      <w:marBottom w:val="0"/>
      <w:divBdr>
        <w:top w:val="none" w:sz="0" w:space="0" w:color="auto"/>
        <w:left w:val="none" w:sz="0" w:space="0" w:color="auto"/>
        <w:bottom w:val="none" w:sz="0" w:space="0" w:color="auto"/>
        <w:right w:val="none" w:sz="0" w:space="0" w:color="auto"/>
      </w:divBdr>
    </w:div>
    <w:div w:id="1697735545">
      <w:bodyDiv w:val="1"/>
      <w:marLeft w:val="0"/>
      <w:marRight w:val="0"/>
      <w:marTop w:val="0"/>
      <w:marBottom w:val="0"/>
      <w:divBdr>
        <w:top w:val="none" w:sz="0" w:space="0" w:color="auto"/>
        <w:left w:val="none" w:sz="0" w:space="0" w:color="auto"/>
        <w:bottom w:val="none" w:sz="0" w:space="0" w:color="auto"/>
        <w:right w:val="none" w:sz="0" w:space="0" w:color="auto"/>
      </w:divBdr>
    </w:div>
    <w:div w:id="1698581060">
      <w:bodyDiv w:val="1"/>
      <w:marLeft w:val="0"/>
      <w:marRight w:val="0"/>
      <w:marTop w:val="0"/>
      <w:marBottom w:val="0"/>
      <w:divBdr>
        <w:top w:val="none" w:sz="0" w:space="0" w:color="auto"/>
        <w:left w:val="none" w:sz="0" w:space="0" w:color="auto"/>
        <w:bottom w:val="none" w:sz="0" w:space="0" w:color="auto"/>
        <w:right w:val="none" w:sz="0" w:space="0" w:color="auto"/>
      </w:divBdr>
    </w:div>
    <w:div w:id="1698770169">
      <w:bodyDiv w:val="1"/>
      <w:marLeft w:val="0"/>
      <w:marRight w:val="0"/>
      <w:marTop w:val="0"/>
      <w:marBottom w:val="0"/>
      <w:divBdr>
        <w:top w:val="none" w:sz="0" w:space="0" w:color="auto"/>
        <w:left w:val="none" w:sz="0" w:space="0" w:color="auto"/>
        <w:bottom w:val="none" w:sz="0" w:space="0" w:color="auto"/>
        <w:right w:val="none" w:sz="0" w:space="0" w:color="auto"/>
      </w:divBdr>
    </w:div>
    <w:div w:id="1700887644">
      <w:bodyDiv w:val="1"/>
      <w:marLeft w:val="0"/>
      <w:marRight w:val="0"/>
      <w:marTop w:val="0"/>
      <w:marBottom w:val="0"/>
      <w:divBdr>
        <w:top w:val="none" w:sz="0" w:space="0" w:color="auto"/>
        <w:left w:val="none" w:sz="0" w:space="0" w:color="auto"/>
        <w:bottom w:val="none" w:sz="0" w:space="0" w:color="auto"/>
        <w:right w:val="none" w:sz="0" w:space="0" w:color="auto"/>
      </w:divBdr>
    </w:div>
    <w:div w:id="1701781628">
      <w:bodyDiv w:val="1"/>
      <w:marLeft w:val="0"/>
      <w:marRight w:val="0"/>
      <w:marTop w:val="0"/>
      <w:marBottom w:val="0"/>
      <w:divBdr>
        <w:top w:val="none" w:sz="0" w:space="0" w:color="auto"/>
        <w:left w:val="none" w:sz="0" w:space="0" w:color="auto"/>
        <w:bottom w:val="none" w:sz="0" w:space="0" w:color="auto"/>
        <w:right w:val="none" w:sz="0" w:space="0" w:color="auto"/>
      </w:divBdr>
    </w:div>
    <w:div w:id="1702705581">
      <w:bodyDiv w:val="1"/>
      <w:marLeft w:val="0"/>
      <w:marRight w:val="0"/>
      <w:marTop w:val="0"/>
      <w:marBottom w:val="0"/>
      <w:divBdr>
        <w:top w:val="none" w:sz="0" w:space="0" w:color="auto"/>
        <w:left w:val="none" w:sz="0" w:space="0" w:color="auto"/>
        <w:bottom w:val="none" w:sz="0" w:space="0" w:color="auto"/>
        <w:right w:val="none" w:sz="0" w:space="0" w:color="auto"/>
      </w:divBdr>
    </w:div>
    <w:div w:id="1704397682">
      <w:bodyDiv w:val="1"/>
      <w:marLeft w:val="0"/>
      <w:marRight w:val="0"/>
      <w:marTop w:val="0"/>
      <w:marBottom w:val="0"/>
      <w:divBdr>
        <w:top w:val="none" w:sz="0" w:space="0" w:color="auto"/>
        <w:left w:val="none" w:sz="0" w:space="0" w:color="auto"/>
        <w:bottom w:val="none" w:sz="0" w:space="0" w:color="auto"/>
        <w:right w:val="none" w:sz="0" w:space="0" w:color="auto"/>
      </w:divBdr>
    </w:div>
    <w:div w:id="1704943999">
      <w:bodyDiv w:val="1"/>
      <w:marLeft w:val="0"/>
      <w:marRight w:val="0"/>
      <w:marTop w:val="0"/>
      <w:marBottom w:val="0"/>
      <w:divBdr>
        <w:top w:val="none" w:sz="0" w:space="0" w:color="auto"/>
        <w:left w:val="none" w:sz="0" w:space="0" w:color="auto"/>
        <w:bottom w:val="none" w:sz="0" w:space="0" w:color="auto"/>
        <w:right w:val="none" w:sz="0" w:space="0" w:color="auto"/>
      </w:divBdr>
    </w:div>
    <w:div w:id="1704987304">
      <w:bodyDiv w:val="1"/>
      <w:marLeft w:val="0"/>
      <w:marRight w:val="0"/>
      <w:marTop w:val="0"/>
      <w:marBottom w:val="0"/>
      <w:divBdr>
        <w:top w:val="none" w:sz="0" w:space="0" w:color="auto"/>
        <w:left w:val="none" w:sz="0" w:space="0" w:color="auto"/>
        <w:bottom w:val="none" w:sz="0" w:space="0" w:color="auto"/>
        <w:right w:val="none" w:sz="0" w:space="0" w:color="auto"/>
      </w:divBdr>
    </w:div>
    <w:div w:id="1705055255">
      <w:bodyDiv w:val="1"/>
      <w:marLeft w:val="0"/>
      <w:marRight w:val="0"/>
      <w:marTop w:val="0"/>
      <w:marBottom w:val="0"/>
      <w:divBdr>
        <w:top w:val="none" w:sz="0" w:space="0" w:color="auto"/>
        <w:left w:val="none" w:sz="0" w:space="0" w:color="auto"/>
        <w:bottom w:val="none" w:sz="0" w:space="0" w:color="auto"/>
        <w:right w:val="none" w:sz="0" w:space="0" w:color="auto"/>
      </w:divBdr>
    </w:div>
    <w:div w:id="1705205910">
      <w:bodyDiv w:val="1"/>
      <w:marLeft w:val="0"/>
      <w:marRight w:val="0"/>
      <w:marTop w:val="0"/>
      <w:marBottom w:val="0"/>
      <w:divBdr>
        <w:top w:val="none" w:sz="0" w:space="0" w:color="auto"/>
        <w:left w:val="none" w:sz="0" w:space="0" w:color="auto"/>
        <w:bottom w:val="none" w:sz="0" w:space="0" w:color="auto"/>
        <w:right w:val="none" w:sz="0" w:space="0" w:color="auto"/>
      </w:divBdr>
    </w:div>
    <w:div w:id="1707487584">
      <w:bodyDiv w:val="1"/>
      <w:marLeft w:val="0"/>
      <w:marRight w:val="0"/>
      <w:marTop w:val="0"/>
      <w:marBottom w:val="0"/>
      <w:divBdr>
        <w:top w:val="none" w:sz="0" w:space="0" w:color="auto"/>
        <w:left w:val="none" w:sz="0" w:space="0" w:color="auto"/>
        <w:bottom w:val="none" w:sz="0" w:space="0" w:color="auto"/>
        <w:right w:val="none" w:sz="0" w:space="0" w:color="auto"/>
      </w:divBdr>
    </w:div>
    <w:div w:id="1708680460">
      <w:bodyDiv w:val="1"/>
      <w:marLeft w:val="0"/>
      <w:marRight w:val="0"/>
      <w:marTop w:val="0"/>
      <w:marBottom w:val="0"/>
      <w:divBdr>
        <w:top w:val="none" w:sz="0" w:space="0" w:color="auto"/>
        <w:left w:val="none" w:sz="0" w:space="0" w:color="auto"/>
        <w:bottom w:val="none" w:sz="0" w:space="0" w:color="auto"/>
        <w:right w:val="none" w:sz="0" w:space="0" w:color="auto"/>
      </w:divBdr>
    </w:div>
    <w:div w:id="1709140807">
      <w:bodyDiv w:val="1"/>
      <w:marLeft w:val="0"/>
      <w:marRight w:val="0"/>
      <w:marTop w:val="0"/>
      <w:marBottom w:val="0"/>
      <w:divBdr>
        <w:top w:val="none" w:sz="0" w:space="0" w:color="auto"/>
        <w:left w:val="none" w:sz="0" w:space="0" w:color="auto"/>
        <w:bottom w:val="none" w:sz="0" w:space="0" w:color="auto"/>
        <w:right w:val="none" w:sz="0" w:space="0" w:color="auto"/>
      </w:divBdr>
    </w:div>
    <w:div w:id="1709800117">
      <w:bodyDiv w:val="1"/>
      <w:marLeft w:val="0"/>
      <w:marRight w:val="0"/>
      <w:marTop w:val="0"/>
      <w:marBottom w:val="0"/>
      <w:divBdr>
        <w:top w:val="none" w:sz="0" w:space="0" w:color="auto"/>
        <w:left w:val="none" w:sz="0" w:space="0" w:color="auto"/>
        <w:bottom w:val="none" w:sz="0" w:space="0" w:color="auto"/>
        <w:right w:val="none" w:sz="0" w:space="0" w:color="auto"/>
      </w:divBdr>
    </w:div>
    <w:div w:id="1711759753">
      <w:bodyDiv w:val="1"/>
      <w:marLeft w:val="0"/>
      <w:marRight w:val="0"/>
      <w:marTop w:val="0"/>
      <w:marBottom w:val="0"/>
      <w:divBdr>
        <w:top w:val="none" w:sz="0" w:space="0" w:color="auto"/>
        <w:left w:val="none" w:sz="0" w:space="0" w:color="auto"/>
        <w:bottom w:val="none" w:sz="0" w:space="0" w:color="auto"/>
        <w:right w:val="none" w:sz="0" w:space="0" w:color="auto"/>
      </w:divBdr>
    </w:div>
    <w:div w:id="1711801490">
      <w:bodyDiv w:val="1"/>
      <w:marLeft w:val="0"/>
      <w:marRight w:val="0"/>
      <w:marTop w:val="0"/>
      <w:marBottom w:val="0"/>
      <w:divBdr>
        <w:top w:val="none" w:sz="0" w:space="0" w:color="auto"/>
        <w:left w:val="none" w:sz="0" w:space="0" w:color="auto"/>
        <w:bottom w:val="none" w:sz="0" w:space="0" w:color="auto"/>
        <w:right w:val="none" w:sz="0" w:space="0" w:color="auto"/>
      </w:divBdr>
    </w:div>
    <w:div w:id="1712412705">
      <w:bodyDiv w:val="1"/>
      <w:marLeft w:val="0"/>
      <w:marRight w:val="0"/>
      <w:marTop w:val="0"/>
      <w:marBottom w:val="0"/>
      <w:divBdr>
        <w:top w:val="none" w:sz="0" w:space="0" w:color="auto"/>
        <w:left w:val="none" w:sz="0" w:space="0" w:color="auto"/>
        <w:bottom w:val="none" w:sz="0" w:space="0" w:color="auto"/>
        <w:right w:val="none" w:sz="0" w:space="0" w:color="auto"/>
      </w:divBdr>
    </w:div>
    <w:div w:id="1712412925">
      <w:bodyDiv w:val="1"/>
      <w:marLeft w:val="0"/>
      <w:marRight w:val="0"/>
      <w:marTop w:val="0"/>
      <w:marBottom w:val="0"/>
      <w:divBdr>
        <w:top w:val="none" w:sz="0" w:space="0" w:color="auto"/>
        <w:left w:val="none" w:sz="0" w:space="0" w:color="auto"/>
        <w:bottom w:val="none" w:sz="0" w:space="0" w:color="auto"/>
        <w:right w:val="none" w:sz="0" w:space="0" w:color="auto"/>
      </w:divBdr>
    </w:div>
    <w:div w:id="1713768578">
      <w:bodyDiv w:val="1"/>
      <w:marLeft w:val="0"/>
      <w:marRight w:val="0"/>
      <w:marTop w:val="0"/>
      <w:marBottom w:val="0"/>
      <w:divBdr>
        <w:top w:val="none" w:sz="0" w:space="0" w:color="auto"/>
        <w:left w:val="none" w:sz="0" w:space="0" w:color="auto"/>
        <w:bottom w:val="none" w:sz="0" w:space="0" w:color="auto"/>
        <w:right w:val="none" w:sz="0" w:space="0" w:color="auto"/>
      </w:divBdr>
    </w:div>
    <w:div w:id="1714571284">
      <w:bodyDiv w:val="1"/>
      <w:marLeft w:val="0"/>
      <w:marRight w:val="0"/>
      <w:marTop w:val="0"/>
      <w:marBottom w:val="0"/>
      <w:divBdr>
        <w:top w:val="none" w:sz="0" w:space="0" w:color="auto"/>
        <w:left w:val="none" w:sz="0" w:space="0" w:color="auto"/>
        <w:bottom w:val="none" w:sz="0" w:space="0" w:color="auto"/>
        <w:right w:val="none" w:sz="0" w:space="0" w:color="auto"/>
      </w:divBdr>
    </w:div>
    <w:div w:id="1714891526">
      <w:bodyDiv w:val="1"/>
      <w:marLeft w:val="0"/>
      <w:marRight w:val="0"/>
      <w:marTop w:val="0"/>
      <w:marBottom w:val="0"/>
      <w:divBdr>
        <w:top w:val="none" w:sz="0" w:space="0" w:color="auto"/>
        <w:left w:val="none" w:sz="0" w:space="0" w:color="auto"/>
        <w:bottom w:val="none" w:sz="0" w:space="0" w:color="auto"/>
        <w:right w:val="none" w:sz="0" w:space="0" w:color="auto"/>
      </w:divBdr>
    </w:div>
    <w:div w:id="1715036043">
      <w:bodyDiv w:val="1"/>
      <w:marLeft w:val="0"/>
      <w:marRight w:val="0"/>
      <w:marTop w:val="0"/>
      <w:marBottom w:val="0"/>
      <w:divBdr>
        <w:top w:val="none" w:sz="0" w:space="0" w:color="auto"/>
        <w:left w:val="none" w:sz="0" w:space="0" w:color="auto"/>
        <w:bottom w:val="none" w:sz="0" w:space="0" w:color="auto"/>
        <w:right w:val="none" w:sz="0" w:space="0" w:color="auto"/>
      </w:divBdr>
    </w:div>
    <w:div w:id="1715038132">
      <w:bodyDiv w:val="1"/>
      <w:marLeft w:val="0"/>
      <w:marRight w:val="0"/>
      <w:marTop w:val="0"/>
      <w:marBottom w:val="0"/>
      <w:divBdr>
        <w:top w:val="none" w:sz="0" w:space="0" w:color="auto"/>
        <w:left w:val="none" w:sz="0" w:space="0" w:color="auto"/>
        <w:bottom w:val="none" w:sz="0" w:space="0" w:color="auto"/>
        <w:right w:val="none" w:sz="0" w:space="0" w:color="auto"/>
      </w:divBdr>
    </w:div>
    <w:div w:id="1716005284">
      <w:bodyDiv w:val="1"/>
      <w:marLeft w:val="0"/>
      <w:marRight w:val="0"/>
      <w:marTop w:val="0"/>
      <w:marBottom w:val="0"/>
      <w:divBdr>
        <w:top w:val="none" w:sz="0" w:space="0" w:color="auto"/>
        <w:left w:val="none" w:sz="0" w:space="0" w:color="auto"/>
        <w:bottom w:val="none" w:sz="0" w:space="0" w:color="auto"/>
        <w:right w:val="none" w:sz="0" w:space="0" w:color="auto"/>
      </w:divBdr>
    </w:div>
    <w:div w:id="1716277570">
      <w:bodyDiv w:val="1"/>
      <w:marLeft w:val="0"/>
      <w:marRight w:val="0"/>
      <w:marTop w:val="0"/>
      <w:marBottom w:val="0"/>
      <w:divBdr>
        <w:top w:val="none" w:sz="0" w:space="0" w:color="auto"/>
        <w:left w:val="none" w:sz="0" w:space="0" w:color="auto"/>
        <w:bottom w:val="none" w:sz="0" w:space="0" w:color="auto"/>
        <w:right w:val="none" w:sz="0" w:space="0" w:color="auto"/>
      </w:divBdr>
    </w:div>
    <w:div w:id="1717972986">
      <w:bodyDiv w:val="1"/>
      <w:marLeft w:val="0"/>
      <w:marRight w:val="0"/>
      <w:marTop w:val="0"/>
      <w:marBottom w:val="0"/>
      <w:divBdr>
        <w:top w:val="none" w:sz="0" w:space="0" w:color="auto"/>
        <w:left w:val="none" w:sz="0" w:space="0" w:color="auto"/>
        <w:bottom w:val="none" w:sz="0" w:space="0" w:color="auto"/>
        <w:right w:val="none" w:sz="0" w:space="0" w:color="auto"/>
      </w:divBdr>
    </w:div>
    <w:div w:id="1718121192">
      <w:bodyDiv w:val="1"/>
      <w:marLeft w:val="0"/>
      <w:marRight w:val="0"/>
      <w:marTop w:val="0"/>
      <w:marBottom w:val="0"/>
      <w:divBdr>
        <w:top w:val="none" w:sz="0" w:space="0" w:color="auto"/>
        <w:left w:val="none" w:sz="0" w:space="0" w:color="auto"/>
        <w:bottom w:val="none" w:sz="0" w:space="0" w:color="auto"/>
        <w:right w:val="none" w:sz="0" w:space="0" w:color="auto"/>
      </w:divBdr>
    </w:div>
    <w:div w:id="1718355714">
      <w:bodyDiv w:val="1"/>
      <w:marLeft w:val="0"/>
      <w:marRight w:val="0"/>
      <w:marTop w:val="0"/>
      <w:marBottom w:val="0"/>
      <w:divBdr>
        <w:top w:val="none" w:sz="0" w:space="0" w:color="auto"/>
        <w:left w:val="none" w:sz="0" w:space="0" w:color="auto"/>
        <w:bottom w:val="none" w:sz="0" w:space="0" w:color="auto"/>
        <w:right w:val="none" w:sz="0" w:space="0" w:color="auto"/>
      </w:divBdr>
    </w:div>
    <w:div w:id="1720473114">
      <w:bodyDiv w:val="1"/>
      <w:marLeft w:val="0"/>
      <w:marRight w:val="0"/>
      <w:marTop w:val="0"/>
      <w:marBottom w:val="0"/>
      <w:divBdr>
        <w:top w:val="none" w:sz="0" w:space="0" w:color="auto"/>
        <w:left w:val="none" w:sz="0" w:space="0" w:color="auto"/>
        <w:bottom w:val="none" w:sz="0" w:space="0" w:color="auto"/>
        <w:right w:val="none" w:sz="0" w:space="0" w:color="auto"/>
      </w:divBdr>
    </w:div>
    <w:div w:id="1720980662">
      <w:bodyDiv w:val="1"/>
      <w:marLeft w:val="0"/>
      <w:marRight w:val="0"/>
      <w:marTop w:val="0"/>
      <w:marBottom w:val="0"/>
      <w:divBdr>
        <w:top w:val="none" w:sz="0" w:space="0" w:color="auto"/>
        <w:left w:val="none" w:sz="0" w:space="0" w:color="auto"/>
        <w:bottom w:val="none" w:sz="0" w:space="0" w:color="auto"/>
        <w:right w:val="none" w:sz="0" w:space="0" w:color="auto"/>
      </w:divBdr>
    </w:div>
    <w:div w:id="1721056858">
      <w:bodyDiv w:val="1"/>
      <w:marLeft w:val="0"/>
      <w:marRight w:val="0"/>
      <w:marTop w:val="0"/>
      <w:marBottom w:val="0"/>
      <w:divBdr>
        <w:top w:val="none" w:sz="0" w:space="0" w:color="auto"/>
        <w:left w:val="none" w:sz="0" w:space="0" w:color="auto"/>
        <w:bottom w:val="none" w:sz="0" w:space="0" w:color="auto"/>
        <w:right w:val="none" w:sz="0" w:space="0" w:color="auto"/>
      </w:divBdr>
    </w:div>
    <w:div w:id="1721246313">
      <w:bodyDiv w:val="1"/>
      <w:marLeft w:val="0"/>
      <w:marRight w:val="0"/>
      <w:marTop w:val="0"/>
      <w:marBottom w:val="0"/>
      <w:divBdr>
        <w:top w:val="none" w:sz="0" w:space="0" w:color="auto"/>
        <w:left w:val="none" w:sz="0" w:space="0" w:color="auto"/>
        <w:bottom w:val="none" w:sz="0" w:space="0" w:color="auto"/>
        <w:right w:val="none" w:sz="0" w:space="0" w:color="auto"/>
      </w:divBdr>
    </w:div>
    <w:div w:id="1721397365">
      <w:bodyDiv w:val="1"/>
      <w:marLeft w:val="0"/>
      <w:marRight w:val="0"/>
      <w:marTop w:val="0"/>
      <w:marBottom w:val="0"/>
      <w:divBdr>
        <w:top w:val="none" w:sz="0" w:space="0" w:color="auto"/>
        <w:left w:val="none" w:sz="0" w:space="0" w:color="auto"/>
        <w:bottom w:val="none" w:sz="0" w:space="0" w:color="auto"/>
        <w:right w:val="none" w:sz="0" w:space="0" w:color="auto"/>
      </w:divBdr>
    </w:div>
    <w:div w:id="1721972731">
      <w:bodyDiv w:val="1"/>
      <w:marLeft w:val="0"/>
      <w:marRight w:val="0"/>
      <w:marTop w:val="0"/>
      <w:marBottom w:val="0"/>
      <w:divBdr>
        <w:top w:val="none" w:sz="0" w:space="0" w:color="auto"/>
        <w:left w:val="none" w:sz="0" w:space="0" w:color="auto"/>
        <w:bottom w:val="none" w:sz="0" w:space="0" w:color="auto"/>
        <w:right w:val="none" w:sz="0" w:space="0" w:color="auto"/>
      </w:divBdr>
    </w:div>
    <w:div w:id="1722053773">
      <w:bodyDiv w:val="1"/>
      <w:marLeft w:val="0"/>
      <w:marRight w:val="0"/>
      <w:marTop w:val="0"/>
      <w:marBottom w:val="0"/>
      <w:divBdr>
        <w:top w:val="none" w:sz="0" w:space="0" w:color="auto"/>
        <w:left w:val="none" w:sz="0" w:space="0" w:color="auto"/>
        <w:bottom w:val="none" w:sz="0" w:space="0" w:color="auto"/>
        <w:right w:val="none" w:sz="0" w:space="0" w:color="auto"/>
      </w:divBdr>
    </w:div>
    <w:div w:id="1722316755">
      <w:bodyDiv w:val="1"/>
      <w:marLeft w:val="0"/>
      <w:marRight w:val="0"/>
      <w:marTop w:val="0"/>
      <w:marBottom w:val="0"/>
      <w:divBdr>
        <w:top w:val="none" w:sz="0" w:space="0" w:color="auto"/>
        <w:left w:val="none" w:sz="0" w:space="0" w:color="auto"/>
        <w:bottom w:val="none" w:sz="0" w:space="0" w:color="auto"/>
        <w:right w:val="none" w:sz="0" w:space="0" w:color="auto"/>
      </w:divBdr>
    </w:div>
    <w:div w:id="1722360602">
      <w:bodyDiv w:val="1"/>
      <w:marLeft w:val="0"/>
      <w:marRight w:val="0"/>
      <w:marTop w:val="0"/>
      <w:marBottom w:val="0"/>
      <w:divBdr>
        <w:top w:val="none" w:sz="0" w:space="0" w:color="auto"/>
        <w:left w:val="none" w:sz="0" w:space="0" w:color="auto"/>
        <w:bottom w:val="none" w:sz="0" w:space="0" w:color="auto"/>
        <w:right w:val="none" w:sz="0" w:space="0" w:color="auto"/>
      </w:divBdr>
    </w:div>
    <w:div w:id="1724718196">
      <w:bodyDiv w:val="1"/>
      <w:marLeft w:val="0"/>
      <w:marRight w:val="0"/>
      <w:marTop w:val="0"/>
      <w:marBottom w:val="0"/>
      <w:divBdr>
        <w:top w:val="none" w:sz="0" w:space="0" w:color="auto"/>
        <w:left w:val="none" w:sz="0" w:space="0" w:color="auto"/>
        <w:bottom w:val="none" w:sz="0" w:space="0" w:color="auto"/>
        <w:right w:val="none" w:sz="0" w:space="0" w:color="auto"/>
      </w:divBdr>
    </w:div>
    <w:div w:id="1725835337">
      <w:bodyDiv w:val="1"/>
      <w:marLeft w:val="0"/>
      <w:marRight w:val="0"/>
      <w:marTop w:val="0"/>
      <w:marBottom w:val="0"/>
      <w:divBdr>
        <w:top w:val="none" w:sz="0" w:space="0" w:color="auto"/>
        <w:left w:val="none" w:sz="0" w:space="0" w:color="auto"/>
        <w:bottom w:val="none" w:sz="0" w:space="0" w:color="auto"/>
        <w:right w:val="none" w:sz="0" w:space="0" w:color="auto"/>
      </w:divBdr>
    </w:div>
    <w:div w:id="1726175640">
      <w:bodyDiv w:val="1"/>
      <w:marLeft w:val="0"/>
      <w:marRight w:val="0"/>
      <w:marTop w:val="0"/>
      <w:marBottom w:val="0"/>
      <w:divBdr>
        <w:top w:val="none" w:sz="0" w:space="0" w:color="auto"/>
        <w:left w:val="none" w:sz="0" w:space="0" w:color="auto"/>
        <w:bottom w:val="none" w:sz="0" w:space="0" w:color="auto"/>
        <w:right w:val="none" w:sz="0" w:space="0" w:color="auto"/>
      </w:divBdr>
    </w:div>
    <w:div w:id="1726249612">
      <w:bodyDiv w:val="1"/>
      <w:marLeft w:val="0"/>
      <w:marRight w:val="0"/>
      <w:marTop w:val="0"/>
      <w:marBottom w:val="0"/>
      <w:divBdr>
        <w:top w:val="none" w:sz="0" w:space="0" w:color="auto"/>
        <w:left w:val="none" w:sz="0" w:space="0" w:color="auto"/>
        <w:bottom w:val="none" w:sz="0" w:space="0" w:color="auto"/>
        <w:right w:val="none" w:sz="0" w:space="0" w:color="auto"/>
      </w:divBdr>
    </w:div>
    <w:div w:id="1726760628">
      <w:bodyDiv w:val="1"/>
      <w:marLeft w:val="0"/>
      <w:marRight w:val="0"/>
      <w:marTop w:val="0"/>
      <w:marBottom w:val="0"/>
      <w:divBdr>
        <w:top w:val="none" w:sz="0" w:space="0" w:color="auto"/>
        <w:left w:val="none" w:sz="0" w:space="0" w:color="auto"/>
        <w:bottom w:val="none" w:sz="0" w:space="0" w:color="auto"/>
        <w:right w:val="none" w:sz="0" w:space="0" w:color="auto"/>
      </w:divBdr>
    </w:div>
    <w:div w:id="1727489408">
      <w:bodyDiv w:val="1"/>
      <w:marLeft w:val="0"/>
      <w:marRight w:val="0"/>
      <w:marTop w:val="0"/>
      <w:marBottom w:val="0"/>
      <w:divBdr>
        <w:top w:val="none" w:sz="0" w:space="0" w:color="auto"/>
        <w:left w:val="none" w:sz="0" w:space="0" w:color="auto"/>
        <w:bottom w:val="none" w:sz="0" w:space="0" w:color="auto"/>
        <w:right w:val="none" w:sz="0" w:space="0" w:color="auto"/>
      </w:divBdr>
    </w:div>
    <w:div w:id="1727677112">
      <w:bodyDiv w:val="1"/>
      <w:marLeft w:val="0"/>
      <w:marRight w:val="0"/>
      <w:marTop w:val="0"/>
      <w:marBottom w:val="0"/>
      <w:divBdr>
        <w:top w:val="none" w:sz="0" w:space="0" w:color="auto"/>
        <w:left w:val="none" w:sz="0" w:space="0" w:color="auto"/>
        <w:bottom w:val="none" w:sz="0" w:space="0" w:color="auto"/>
        <w:right w:val="none" w:sz="0" w:space="0" w:color="auto"/>
      </w:divBdr>
    </w:div>
    <w:div w:id="1727801567">
      <w:bodyDiv w:val="1"/>
      <w:marLeft w:val="0"/>
      <w:marRight w:val="0"/>
      <w:marTop w:val="0"/>
      <w:marBottom w:val="0"/>
      <w:divBdr>
        <w:top w:val="none" w:sz="0" w:space="0" w:color="auto"/>
        <w:left w:val="none" w:sz="0" w:space="0" w:color="auto"/>
        <w:bottom w:val="none" w:sz="0" w:space="0" w:color="auto"/>
        <w:right w:val="none" w:sz="0" w:space="0" w:color="auto"/>
      </w:divBdr>
    </w:div>
    <w:div w:id="1727993936">
      <w:bodyDiv w:val="1"/>
      <w:marLeft w:val="0"/>
      <w:marRight w:val="0"/>
      <w:marTop w:val="0"/>
      <w:marBottom w:val="0"/>
      <w:divBdr>
        <w:top w:val="none" w:sz="0" w:space="0" w:color="auto"/>
        <w:left w:val="none" w:sz="0" w:space="0" w:color="auto"/>
        <w:bottom w:val="none" w:sz="0" w:space="0" w:color="auto"/>
        <w:right w:val="none" w:sz="0" w:space="0" w:color="auto"/>
      </w:divBdr>
    </w:div>
    <w:div w:id="1729114183">
      <w:bodyDiv w:val="1"/>
      <w:marLeft w:val="0"/>
      <w:marRight w:val="0"/>
      <w:marTop w:val="0"/>
      <w:marBottom w:val="0"/>
      <w:divBdr>
        <w:top w:val="none" w:sz="0" w:space="0" w:color="auto"/>
        <w:left w:val="none" w:sz="0" w:space="0" w:color="auto"/>
        <w:bottom w:val="none" w:sz="0" w:space="0" w:color="auto"/>
        <w:right w:val="none" w:sz="0" w:space="0" w:color="auto"/>
      </w:divBdr>
    </w:div>
    <w:div w:id="1729374220">
      <w:bodyDiv w:val="1"/>
      <w:marLeft w:val="0"/>
      <w:marRight w:val="0"/>
      <w:marTop w:val="0"/>
      <w:marBottom w:val="0"/>
      <w:divBdr>
        <w:top w:val="none" w:sz="0" w:space="0" w:color="auto"/>
        <w:left w:val="none" w:sz="0" w:space="0" w:color="auto"/>
        <w:bottom w:val="none" w:sz="0" w:space="0" w:color="auto"/>
        <w:right w:val="none" w:sz="0" w:space="0" w:color="auto"/>
      </w:divBdr>
    </w:div>
    <w:div w:id="1732342301">
      <w:bodyDiv w:val="1"/>
      <w:marLeft w:val="0"/>
      <w:marRight w:val="0"/>
      <w:marTop w:val="0"/>
      <w:marBottom w:val="0"/>
      <w:divBdr>
        <w:top w:val="none" w:sz="0" w:space="0" w:color="auto"/>
        <w:left w:val="none" w:sz="0" w:space="0" w:color="auto"/>
        <w:bottom w:val="none" w:sz="0" w:space="0" w:color="auto"/>
        <w:right w:val="none" w:sz="0" w:space="0" w:color="auto"/>
      </w:divBdr>
    </w:div>
    <w:div w:id="1732581386">
      <w:bodyDiv w:val="1"/>
      <w:marLeft w:val="0"/>
      <w:marRight w:val="0"/>
      <w:marTop w:val="0"/>
      <w:marBottom w:val="0"/>
      <w:divBdr>
        <w:top w:val="none" w:sz="0" w:space="0" w:color="auto"/>
        <w:left w:val="none" w:sz="0" w:space="0" w:color="auto"/>
        <w:bottom w:val="none" w:sz="0" w:space="0" w:color="auto"/>
        <w:right w:val="none" w:sz="0" w:space="0" w:color="auto"/>
      </w:divBdr>
    </w:div>
    <w:div w:id="1732730622">
      <w:bodyDiv w:val="1"/>
      <w:marLeft w:val="0"/>
      <w:marRight w:val="0"/>
      <w:marTop w:val="0"/>
      <w:marBottom w:val="0"/>
      <w:divBdr>
        <w:top w:val="none" w:sz="0" w:space="0" w:color="auto"/>
        <w:left w:val="none" w:sz="0" w:space="0" w:color="auto"/>
        <w:bottom w:val="none" w:sz="0" w:space="0" w:color="auto"/>
        <w:right w:val="none" w:sz="0" w:space="0" w:color="auto"/>
      </w:divBdr>
    </w:div>
    <w:div w:id="1734623644">
      <w:bodyDiv w:val="1"/>
      <w:marLeft w:val="0"/>
      <w:marRight w:val="0"/>
      <w:marTop w:val="0"/>
      <w:marBottom w:val="0"/>
      <w:divBdr>
        <w:top w:val="none" w:sz="0" w:space="0" w:color="auto"/>
        <w:left w:val="none" w:sz="0" w:space="0" w:color="auto"/>
        <w:bottom w:val="none" w:sz="0" w:space="0" w:color="auto"/>
        <w:right w:val="none" w:sz="0" w:space="0" w:color="auto"/>
      </w:divBdr>
    </w:div>
    <w:div w:id="1735934772">
      <w:bodyDiv w:val="1"/>
      <w:marLeft w:val="0"/>
      <w:marRight w:val="0"/>
      <w:marTop w:val="0"/>
      <w:marBottom w:val="0"/>
      <w:divBdr>
        <w:top w:val="none" w:sz="0" w:space="0" w:color="auto"/>
        <w:left w:val="none" w:sz="0" w:space="0" w:color="auto"/>
        <w:bottom w:val="none" w:sz="0" w:space="0" w:color="auto"/>
        <w:right w:val="none" w:sz="0" w:space="0" w:color="auto"/>
      </w:divBdr>
    </w:div>
    <w:div w:id="1736277079">
      <w:bodyDiv w:val="1"/>
      <w:marLeft w:val="0"/>
      <w:marRight w:val="0"/>
      <w:marTop w:val="0"/>
      <w:marBottom w:val="0"/>
      <w:divBdr>
        <w:top w:val="none" w:sz="0" w:space="0" w:color="auto"/>
        <w:left w:val="none" w:sz="0" w:space="0" w:color="auto"/>
        <w:bottom w:val="none" w:sz="0" w:space="0" w:color="auto"/>
        <w:right w:val="none" w:sz="0" w:space="0" w:color="auto"/>
      </w:divBdr>
    </w:div>
    <w:div w:id="1737701098">
      <w:bodyDiv w:val="1"/>
      <w:marLeft w:val="0"/>
      <w:marRight w:val="0"/>
      <w:marTop w:val="0"/>
      <w:marBottom w:val="0"/>
      <w:divBdr>
        <w:top w:val="none" w:sz="0" w:space="0" w:color="auto"/>
        <w:left w:val="none" w:sz="0" w:space="0" w:color="auto"/>
        <w:bottom w:val="none" w:sz="0" w:space="0" w:color="auto"/>
        <w:right w:val="none" w:sz="0" w:space="0" w:color="auto"/>
      </w:divBdr>
    </w:div>
    <w:div w:id="1737702551">
      <w:bodyDiv w:val="1"/>
      <w:marLeft w:val="0"/>
      <w:marRight w:val="0"/>
      <w:marTop w:val="0"/>
      <w:marBottom w:val="0"/>
      <w:divBdr>
        <w:top w:val="none" w:sz="0" w:space="0" w:color="auto"/>
        <w:left w:val="none" w:sz="0" w:space="0" w:color="auto"/>
        <w:bottom w:val="none" w:sz="0" w:space="0" w:color="auto"/>
        <w:right w:val="none" w:sz="0" w:space="0" w:color="auto"/>
      </w:divBdr>
    </w:div>
    <w:div w:id="1737892781">
      <w:bodyDiv w:val="1"/>
      <w:marLeft w:val="0"/>
      <w:marRight w:val="0"/>
      <w:marTop w:val="0"/>
      <w:marBottom w:val="0"/>
      <w:divBdr>
        <w:top w:val="none" w:sz="0" w:space="0" w:color="auto"/>
        <w:left w:val="none" w:sz="0" w:space="0" w:color="auto"/>
        <w:bottom w:val="none" w:sz="0" w:space="0" w:color="auto"/>
        <w:right w:val="none" w:sz="0" w:space="0" w:color="auto"/>
      </w:divBdr>
    </w:div>
    <w:div w:id="1739746571">
      <w:bodyDiv w:val="1"/>
      <w:marLeft w:val="0"/>
      <w:marRight w:val="0"/>
      <w:marTop w:val="0"/>
      <w:marBottom w:val="0"/>
      <w:divBdr>
        <w:top w:val="none" w:sz="0" w:space="0" w:color="auto"/>
        <w:left w:val="none" w:sz="0" w:space="0" w:color="auto"/>
        <w:bottom w:val="none" w:sz="0" w:space="0" w:color="auto"/>
        <w:right w:val="none" w:sz="0" w:space="0" w:color="auto"/>
      </w:divBdr>
    </w:div>
    <w:div w:id="1740402664">
      <w:bodyDiv w:val="1"/>
      <w:marLeft w:val="0"/>
      <w:marRight w:val="0"/>
      <w:marTop w:val="0"/>
      <w:marBottom w:val="0"/>
      <w:divBdr>
        <w:top w:val="none" w:sz="0" w:space="0" w:color="auto"/>
        <w:left w:val="none" w:sz="0" w:space="0" w:color="auto"/>
        <w:bottom w:val="none" w:sz="0" w:space="0" w:color="auto"/>
        <w:right w:val="none" w:sz="0" w:space="0" w:color="auto"/>
      </w:divBdr>
    </w:div>
    <w:div w:id="1740788041">
      <w:bodyDiv w:val="1"/>
      <w:marLeft w:val="0"/>
      <w:marRight w:val="0"/>
      <w:marTop w:val="0"/>
      <w:marBottom w:val="0"/>
      <w:divBdr>
        <w:top w:val="none" w:sz="0" w:space="0" w:color="auto"/>
        <w:left w:val="none" w:sz="0" w:space="0" w:color="auto"/>
        <w:bottom w:val="none" w:sz="0" w:space="0" w:color="auto"/>
        <w:right w:val="none" w:sz="0" w:space="0" w:color="auto"/>
      </w:divBdr>
    </w:div>
    <w:div w:id="1742831605">
      <w:bodyDiv w:val="1"/>
      <w:marLeft w:val="0"/>
      <w:marRight w:val="0"/>
      <w:marTop w:val="0"/>
      <w:marBottom w:val="0"/>
      <w:divBdr>
        <w:top w:val="none" w:sz="0" w:space="0" w:color="auto"/>
        <w:left w:val="none" w:sz="0" w:space="0" w:color="auto"/>
        <w:bottom w:val="none" w:sz="0" w:space="0" w:color="auto"/>
        <w:right w:val="none" w:sz="0" w:space="0" w:color="auto"/>
      </w:divBdr>
    </w:div>
    <w:div w:id="1744765059">
      <w:bodyDiv w:val="1"/>
      <w:marLeft w:val="0"/>
      <w:marRight w:val="0"/>
      <w:marTop w:val="0"/>
      <w:marBottom w:val="0"/>
      <w:divBdr>
        <w:top w:val="none" w:sz="0" w:space="0" w:color="auto"/>
        <w:left w:val="none" w:sz="0" w:space="0" w:color="auto"/>
        <w:bottom w:val="none" w:sz="0" w:space="0" w:color="auto"/>
        <w:right w:val="none" w:sz="0" w:space="0" w:color="auto"/>
      </w:divBdr>
    </w:div>
    <w:div w:id="1745029645">
      <w:bodyDiv w:val="1"/>
      <w:marLeft w:val="0"/>
      <w:marRight w:val="0"/>
      <w:marTop w:val="0"/>
      <w:marBottom w:val="0"/>
      <w:divBdr>
        <w:top w:val="none" w:sz="0" w:space="0" w:color="auto"/>
        <w:left w:val="none" w:sz="0" w:space="0" w:color="auto"/>
        <w:bottom w:val="none" w:sz="0" w:space="0" w:color="auto"/>
        <w:right w:val="none" w:sz="0" w:space="0" w:color="auto"/>
      </w:divBdr>
    </w:div>
    <w:div w:id="1745451273">
      <w:bodyDiv w:val="1"/>
      <w:marLeft w:val="0"/>
      <w:marRight w:val="0"/>
      <w:marTop w:val="0"/>
      <w:marBottom w:val="0"/>
      <w:divBdr>
        <w:top w:val="none" w:sz="0" w:space="0" w:color="auto"/>
        <w:left w:val="none" w:sz="0" w:space="0" w:color="auto"/>
        <w:bottom w:val="none" w:sz="0" w:space="0" w:color="auto"/>
        <w:right w:val="none" w:sz="0" w:space="0" w:color="auto"/>
      </w:divBdr>
    </w:div>
    <w:div w:id="1745760500">
      <w:bodyDiv w:val="1"/>
      <w:marLeft w:val="0"/>
      <w:marRight w:val="0"/>
      <w:marTop w:val="0"/>
      <w:marBottom w:val="0"/>
      <w:divBdr>
        <w:top w:val="none" w:sz="0" w:space="0" w:color="auto"/>
        <w:left w:val="none" w:sz="0" w:space="0" w:color="auto"/>
        <w:bottom w:val="none" w:sz="0" w:space="0" w:color="auto"/>
        <w:right w:val="none" w:sz="0" w:space="0" w:color="auto"/>
      </w:divBdr>
    </w:div>
    <w:div w:id="1745833176">
      <w:bodyDiv w:val="1"/>
      <w:marLeft w:val="0"/>
      <w:marRight w:val="0"/>
      <w:marTop w:val="0"/>
      <w:marBottom w:val="0"/>
      <w:divBdr>
        <w:top w:val="none" w:sz="0" w:space="0" w:color="auto"/>
        <w:left w:val="none" w:sz="0" w:space="0" w:color="auto"/>
        <w:bottom w:val="none" w:sz="0" w:space="0" w:color="auto"/>
        <w:right w:val="none" w:sz="0" w:space="0" w:color="auto"/>
      </w:divBdr>
    </w:div>
    <w:div w:id="1746342416">
      <w:bodyDiv w:val="1"/>
      <w:marLeft w:val="0"/>
      <w:marRight w:val="0"/>
      <w:marTop w:val="0"/>
      <w:marBottom w:val="0"/>
      <w:divBdr>
        <w:top w:val="none" w:sz="0" w:space="0" w:color="auto"/>
        <w:left w:val="none" w:sz="0" w:space="0" w:color="auto"/>
        <w:bottom w:val="none" w:sz="0" w:space="0" w:color="auto"/>
        <w:right w:val="none" w:sz="0" w:space="0" w:color="auto"/>
      </w:divBdr>
    </w:div>
    <w:div w:id="1746486114">
      <w:bodyDiv w:val="1"/>
      <w:marLeft w:val="0"/>
      <w:marRight w:val="0"/>
      <w:marTop w:val="0"/>
      <w:marBottom w:val="0"/>
      <w:divBdr>
        <w:top w:val="none" w:sz="0" w:space="0" w:color="auto"/>
        <w:left w:val="none" w:sz="0" w:space="0" w:color="auto"/>
        <w:bottom w:val="none" w:sz="0" w:space="0" w:color="auto"/>
        <w:right w:val="none" w:sz="0" w:space="0" w:color="auto"/>
      </w:divBdr>
    </w:div>
    <w:div w:id="1750614293">
      <w:bodyDiv w:val="1"/>
      <w:marLeft w:val="0"/>
      <w:marRight w:val="0"/>
      <w:marTop w:val="0"/>
      <w:marBottom w:val="0"/>
      <w:divBdr>
        <w:top w:val="none" w:sz="0" w:space="0" w:color="auto"/>
        <w:left w:val="none" w:sz="0" w:space="0" w:color="auto"/>
        <w:bottom w:val="none" w:sz="0" w:space="0" w:color="auto"/>
        <w:right w:val="none" w:sz="0" w:space="0" w:color="auto"/>
      </w:divBdr>
    </w:div>
    <w:div w:id="1750807295">
      <w:bodyDiv w:val="1"/>
      <w:marLeft w:val="0"/>
      <w:marRight w:val="0"/>
      <w:marTop w:val="0"/>
      <w:marBottom w:val="0"/>
      <w:divBdr>
        <w:top w:val="none" w:sz="0" w:space="0" w:color="auto"/>
        <w:left w:val="none" w:sz="0" w:space="0" w:color="auto"/>
        <w:bottom w:val="none" w:sz="0" w:space="0" w:color="auto"/>
        <w:right w:val="none" w:sz="0" w:space="0" w:color="auto"/>
      </w:divBdr>
    </w:div>
    <w:div w:id="1751148767">
      <w:bodyDiv w:val="1"/>
      <w:marLeft w:val="0"/>
      <w:marRight w:val="0"/>
      <w:marTop w:val="0"/>
      <w:marBottom w:val="0"/>
      <w:divBdr>
        <w:top w:val="none" w:sz="0" w:space="0" w:color="auto"/>
        <w:left w:val="none" w:sz="0" w:space="0" w:color="auto"/>
        <w:bottom w:val="none" w:sz="0" w:space="0" w:color="auto"/>
        <w:right w:val="none" w:sz="0" w:space="0" w:color="auto"/>
      </w:divBdr>
    </w:div>
    <w:div w:id="1751468417">
      <w:bodyDiv w:val="1"/>
      <w:marLeft w:val="0"/>
      <w:marRight w:val="0"/>
      <w:marTop w:val="0"/>
      <w:marBottom w:val="0"/>
      <w:divBdr>
        <w:top w:val="none" w:sz="0" w:space="0" w:color="auto"/>
        <w:left w:val="none" w:sz="0" w:space="0" w:color="auto"/>
        <w:bottom w:val="none" w:sz="0" w:space="0" w:color="auto"/>
        <w:right w:val="none" w:sz="0" w:space="0" w:color="auto"/>
      </w:divBdr>
    </w:div>
    <w:div w:id="1751855375">
      <w:bodyDiv w:val="1"/>
      <w:marLeft w:val="0"/>
      <w:marRight w:val="0"/>
      <w:marTop w:val="0"/>
      <w:marBottom w:val="0"/>
      <w:divBdr>
        <w:top w:val="none" w:sz="0" w:space="0" w:color="auto"/>
        <w:left w:val="none" w:sz="0" w:space="0" w:color="auto"/>
        <w:bottom w:val="none" w:sz="0" w:space="0" w:color="auto"/>
        <w:right w:val="none" w:sz="0" w:space="0" w:color="auto"/>
      </w:divBdr>
    </w:div>
    <w:div w:id="1755008455">
      <w:bodyDiv w:val="1"/>
      <w:marLeft w:val="0"/>
      <w:marRight w:val="0"/>
      <w:marTop w:val="0"/>
      <w:marBottom w:val="0"/>
      <w:divBdr>
        <w:top w:val="none" w:sz="0" w:space="0" w:color="auto"/>
        <w:left w:val="none" w:sz="0" w:space="0" w:color="auto"/>
        <w:bottom w:val="none" w:sz="0" w:space="0" w:color="auto"/>
        <w:right w:val="none" w:sz="0" w:space="0" w:color="auto"/>
      </w:divBdr>
    </w:div>
    <w:div w:id="1755128391">
      <w:bodyDiv w:val="1"/>
      <w:marLeft w:val="0"/>
      <w:marRight w:val="0"/>
      <w:marTop w:val="0"/>
      <w:marBottom w:val="0"/>
      <w:divBdr>
        <w:top w:val="none" w:sz="0" w:space="0" w:color="auto"/>
        <w:left w:val="none" w:sz="0" w:space="0" w:color="auto"/>
        <w:bottom w:val="none" w:sz="0" w:space="0" w:color="auto"/>
        <w:right w:val="none" w:sz="0" w:space="0" w:color="auto"/>
      </w:divBdr>
    </w:div>
    <w:div w:id="1755466414">
      <w:bodyDiv w:val="1"/>
      <w:marLeft w:val="0"/>
      <w:marRight w:val="0"/>
      <w:marTop w:val="0"/>
      <w:marBottom w:val="0"/>
      <w:divBdr>
        <w:top w:val="none" w:sz="0" w:space="0" w:color="auto"/>
        <w:left w:val="none" w:sz="0" w:space="0" w:color="auto"/>
        <w:bottom w:val="none" w:sz="0" w:space="0" w:color="auto"/>
        <w:right w:val="none" w:sz="0" w:space="0" w:color="auto"/>
      </w:divBdr>
    </w:div>
    <w:div w:id="1756395488">
      <w:bodyDiv w:val="1"/>
      <w:marLeft w:val="0"/>
      <w:marRight w:val="0"/>
      <w:marTop w:val="0"/>
      <w:marBottom w:val="0"/>
      <w:divBdr>
        <w:top w:val="none" w:sz="0" w:space="0" w:color="auto"/>
        <w:left w:val="none" w:sz="0" w:space="0" w:color="auto"/>
        <w:bottom w:val="none" w:sz="0" w:space="0" w:color="auto"/>
        <w:right w:val="none" w:sz="0" w:space="0" w:color="auto"/>
      </w:divBdr>
    </w:div>
    <w:div w:id="1756900481">
      <w:bodyDiv w:val="1"/>
      <w:marLeft w:val="0"/>
      <w:marRight w:val="0"/>
      <w:marTop w:val="0"/>
      <w:marBottom w:val="0"/>
      <w:divBdr>
        <w:top w:val="none" w:sz="0" w:space="0" w:color="auto"/>
        <w:left w:val="none" w:sz="0" w:space="0" w:color="auto"/>
        <w:bottom w:val="none" w:sz="0" w:space="0" w:color="auto"/>
        <w:right w:val="none" w:sz="0" w:space="0" w:color="auto"/>
      </w:divBdr>
    </w:div>
    <w:div w:id="1758362446">
      <w:bodyDiv w:val="1"/>
      <w:marLeft w:val="0"/>
      <w:marRight w:val="0"/>
      <w:marTop w:val="0"/>
      <w:marBottom w:val="0"/>
      <w:divBdr>
        <w:top w:val="none" w:sz="0" w:space="0" w:color="auto"/>
        <w:left w:val="none" w:sz="0" w:space="0" w:color="auto"/>
        <w:bottom w:val="none" w:sz="0" w:space="0" w:color="auto"/>
        <w:right w:val="none" w:sz="0" w:space="0" w:color="auto"/>
      </w:divBdr>
    </w:div>
    <w:div w:id="1758595269">
      <w:bodyDiv w:val="1"/>
      <w:marLeft w:val="0"/>
      <w:marRight w:val="0"/>
      <w:marTop w:val="0"/>
      <w:marBottom w:val="0"/>
      <w:divBdr>
        <w:top w:val="none" w:sz="0" w:space="0" w:color="auto"/>
        <w:left w:val="none" w:sz="0" w:space="0" w:color="auto"/>
        <w:bottom w:val="none" w:sz="0" w:space="0" w:color="auto"/>
        <w:right w:val="none" w:sz="0" w:space="0" w:color="auto"/>
      </w:divBdr>
    </w:div>
    <w:div w:id="1760783832">
      <w:bodyDiv w:val="1"/>
      <w:marLeft w:val="0"/>
      <w:marRight w:val="0"/>
      <w:marTop w:val="0"/>
      <w:marBottom w:val="0"/>
      <w:divBdr>
        <w:top w:val="none" w:sz="0" w:space="0" w:color="auto"/>
        <w:left w:val="none" w:sz="0" w:space="0" w:color="auto"/>
        <w:bottom w:val="none" w:sz="0" w:space="0" w:color="auto"/>
        <w:right w:val="none" w:sz="0" w:space="0" w:color="auto"/>
      </w:divBdr>
    </w:div>
    <w:div w:id="1761028863">
      <w:bodyDiv w:val="1"/>
      <w:marLeft w:val="0"/>
      <w:marRight w:val="0"/>
      <w:marTop w:val="0"/>
      <w:marBottom w:val="0"/>
      <w:divBdr>
        <w:top w:val="none" w:sz="0" w:space="0" w:color="auto"/>
        <w:left w:val="none" w:sz="0" w:space="0" w:color="auto"/>
        <w:bottom w:val="none" w:sz="0" w:space="0" w:color="auto"/>
        <w:right w:val="none" w:sz="0" w:space="0" w:color="auto"/>
      </w:divBdr>
    </w:div>
    <w:div w:id="1761179712">
      <w:bodyDiv w:val="1"/>
      <w:marLeft w:val="0"/>
      <w:marRight w:val="0"/>
      <w:marTop w:val="0"/>
      <w:marBottom w:val="0"/>
      <w:divBdr>
        <w:top w:val="none" w:sz="0" w:space="0" w:color="auto"/>
        <w:left w:val="none" w:sz="0" w:space="0" w:color="auto"/>
        <w:bottom w:val="none" w:sz="0" w:space="0" w:color="auto"/>
        <w:right w:val="none" w:sz="0" w:space="0" w:color="auto"/>
      </w:divBdr>
    </w:div>
    <w:div w:id="1761291245">
      <w:bodyDiv w:val="1"/>
      <w:marLeft w:val="0"/>
      <w:marRight w:val="0"/>
      <w:marTop w:val="0"/>
      <w:marBottom w:val="0"/>
      <w:divBdr>
        <w:top w:val="none" w:sz="0" w:space="0" w:color="auto"/>
        <w:left w:val="none" w:sz="0" w:space="0" w:color="auto"/>
        <w:bottom w:val="none" w:sz="0" w:space="0" w:color="auto"/>
        <w:right w:val="none" w:sz="0" w:space="0" w:color="auto"/>
      </w:divBdr>
    </w:div>
    <w:div w:id="1762146005">
      <w:bodyDiv w:val="1"/>
      <w:marLeft w:val="0"/>
      <w:marRight w:val="0"/>
      <w:marTop w:val="0"/>
      <w:marBottom w:val="0"/>
      <w:divBdr>
        <w:top w:val="none" w:sz="0" w:space="0" w:color="auto"/>
        <w:left w:val="none" w:sz="0" w:space="0" w:color="auto"/>
        <w:bottom w:val="none" w:sz="0" w:space="0" w:color="auto"/>
        <w:right w:val="none" w:sz="0" w:space="0" w:color="auto"/>
      </w:divBdr>
    </w:div>
    <w:div w:id="1763448176">
      <w:bodyDiv w:val="1"/>
      <w:marLeft w:val="0"/>
      <w:marRight w:val="0"/>
      <w:marTop w:val="0"/>
      <w:marBottom w:val="0"/>
      <w:divBdr>
        <w:top w:val="none" w:sz="0" w:space="0" w:color="auto"/>
        <w:left w:val="none" w:sz="0" w:space="0" w:color="auto"/>
        <w:bottom w:val="none" w:sz="0" w:space="0" w:color="auto"/>
        <w:right w:val="none" w:sz="0" w:space="0" w:color="auto"/>
      </w:divBdr>
    </w:div>
    <w:div w:id="1763526803">
      <w:bodyDiv w:val="1"/>
      <w:marLeft w:val="0"/>
      <w:marRight w:val="0"/>
      <w:marTop w:val="0"/>
      <w:marBottom w:val="0"/>
      <w:divBdr>
        <w:top w:val="none" w:sz="0" w:space="0" w:color="auto"/>
        <w:left w:val="none" w:sz="0" w:space="0" w:color="auto"/>
        <w:bottom w:val="none" w:sz="0" w:space="0" w:color="auto"/>
        <w:right w:val="none" w:sz="0" w:space="0" w:color="auto"/>
      </w:divBdr>
    </w:div>
    <w:div w:id="1764493919">
      <w:bodyDiv w:val="1"/>
      <w:marLeft w:val="0"/>
      <w:marRight w:val="0"/>
      <w:marTop w:val="0"/>
      <w:marBottom w:val="0"/>
      <w:divBdr>
        <w:top w:val="none" w:sz="0" w:space="0" w:color="auto"/>
        <w:left w:val="none" w:sz="0" w:space="0" w:color="auto"/>
        <w:bottom w:val="none" w:sz="0" w:space="0" w:color="auto"/>
        <w:right w:val="none" w:sz="0" w:space="0" w:color="auto"/>
      </w:divBdr>
    </w:div>
    <w:div w:id="1768192555">
      <w:bodyDiv w:val="1"/>
      <w:marLeft w:val="0"/>
      <w:marRight w:val="0"/>
      <w:marTop w:val="0"/>
      <w:marBottom w:val="0"/>
      <w:divBdr>
        <w:top w:val="none" w:sz="0" w:space="0" w:color="auto"/>
        <w:left w:val="none" w:sz="0" w:space="0" w:color="auto"/>
        <w:bottom w:val="none" w:sz="0" w:space="0" w:color="auto"/>
        <w:right w:val="none" w:sz="0" w:space="0" w:color="auto"/>
      </w:divBdr>
    </w:div>
    <w:div w:id="1768385914">
      <w:bodyDiv w:val="1"/>
      <w:marLeft w:val="0"/>
      <w:marRight w:val="0"/>
      <w:marTop w:val="0"/>
      <w:marBottom w:val="0"/>
      <w:divBdr>
        <w:top w:val="none" w:sz="0" w:space="0" w:color="auto"/>
        <w:left w:val="none" w:sz="0" w:space="0" w:color="auto"/>
        <w:bottom w:val="none" w:sz="0" w:space="0" w:color="auto"/>
        <w:right w:val="none" w:sz="0" w:space="0" w:color="auto"/>
      </w:divBdr>
    </w:div>
    <w:div w:id="1769422578">
      <w:bodyDiv w:val="1"/>
      <w:marLeft w:val="0"/>
      <w:marRight w:val="0"/>
      <w:marTop w:val="0"/>
      <w:marBottom w:val="0"/>
      <w:divBdr>
        <w:top w:val="none" w:sz="0" w:space="0" w:color="auto"/>
        <w:left w:val="none" w:sz="0" w:space="0" w:color="auto"/>
        <w:bottom w:val="none" w:sz="0" w:space="0" w:color="auto"/>
        <w:right w:val="none" w:sz="0" w:space="0" w:color="auto"/>
      </w:divBdr>
    </w:div>
    <w:div w:id="1769617703">
      <w:bodyDiv w:val="1"/>
      <w:marLeft w:val="0"/>
      <w:marRight w:val="0"/>
      <w:marTop w:val="0"/>
      <w:marBottom w:val="0"/>
      <w:divBdr>
        <w:top w:val="none" w:sz="0" w:space="0" w:color="auto"/>
        <w:left w:val="none" w:sz="0" w:space="0" w:color="auto"/>
        <w:bottom w:val="none" w:sz="0" w:space="0" w:color="auto"/>
        <w:right w:val="none" w:sz="0" w:space="0" w:color="auto"/>
      </w:divBdr>
    </w:div>
    <w:div w:id="1770466241">
      <w:bodyDiv w:val="1"/>
      <w:marLeft w:val="0"/>
      <w:marRight w:val="0"/>
      <w:marTop w:val="0"/>
      <w:marBottom w:val="0"/>
      <w:divBdr>
        <w:top w:val="none" w:sz="0" w:space="0" w:color="auto"/>
        <w:left w:val="none" w:sz="0" w:space="0" w:color="auto"/>
        <w:bottom w:val="none" w:sz="0" w:space="0" w:color="auto"/>
        <w:right w:val="none" w:sz="0" w:space="0" w:color="auto"/>
      </w:divBdr>
    </w:div>
    <w:div w:id="1771658864">
      <w:bodyDiv w:val="1"/>
      <w:marLeft w:val="0"/>
      <w:marRight w:val="0"/>
      <w:marTop w:val="0"/>
      <w:marBottom w:val="0"/>
      <w:divBdr>
        <w:top w:val="none" w:sz="0" w:space="0" w:color="auto"/>
        <w:left w:val="none" w:sz="0" w:space="0" w:color="auto"/>
        <w:bottom w:val="none" w:sz="0" w:space="0" w:color="auto"/>
        <w:right w:val="none" w:sz="0" w:space="0" w:color="auto"/>
      </w:divBdr>
    </w:div>
    <w:div w:id="1771972574">
      <w:bodyDiv w:val="1"/>
      <w:marLeft w:val="0"/>
      <w:marRight w:val="0"/>
      <w:marTop w:val="0"/>
      <w:marBottom w:val="0"/>
      <w:divBdr>
        <w:top w:val="none" w:sz="0" w:space="0" w:color="auto"/>
        <w:left w:val="none" w:sz="0" w:space="0" w:color="auto"/>
        <w:bottom w:val="none" w:sz="0" w:space="0" w:color="auto"/>
        <w:right w:val="none" w:sz="0" w:space="0" w:color="auto"/>
      </w:divBdr>
    </w:div>
    <w:div w:id="1772506072">
      <w:bodyDiv w:val="1"/>
      <w:marLeft w:val="0"/>
      <w:marRight w:val="0"/>
      <w:marTop w:val="0"/>
      <w:marBottom w:val="0"/>
      <w:divBdr>
        <w:top w:val="none" w:sz="0" w:space="0" w:color="auto"/>
        <w:left w:val="none" w:sz="0" w:space="0" w:color="auto"/>
        <w:bottom w:val="none" w:sz="0" w:space="0" w:color="auto"/>
        <w:right w:val="none" w:sz="0" w:space="0" w:color="auto"/>
      </w:divBdr>
    </w:div>
    <w:div w:id="1773041886">
      <w:bodyDiv w:val="1"/>
      <w:marLeft w:val="0"/>
      <w:marRight w:val="0"/>
      <w:marTop w:val="0"/>
      <w:marBottom w:val="0"/>
      <w:divBdr>
        <w:top w:val="none" w:sz="0" w:space="0" w:color="auto"/>
        <w:left w:val="none" w:sz="0" w:space="0" w:color="auto"/>
        <w:bottom w:val="none" w:sz="0" w:space="0" w:color="auto"/>
        <w:right w:val="none" w:sz="0" w:space="0" w:color="auto"/>
      </w:divBdr>
    </w:div>
    <w:div w:id="1773436323">
      <w:bodyDiv w:val="1"/>
      <w:marLeft w:val="0"/>
      <w:marRight w:val="0"/>
      <w:marTop w:val="0"/>
      <w:marBottom w:val="0"/>
      <w:divBdr>
        <w:top w:val="none" w:sz="0" w:space="0" w:color="auto"/>
        <w:left w:val="none" w:sz="0" w:space="0" w:color="auto"/>
        <w:bottom w:val="none" w:sz="0" w:space="0" w:color="auto"/>
        <w:right w:val="none" w:sz="0" w:space="0" w:color="auto"/>
      </w:divBdr>
    </w:div>
    <w:div w:id="1774469433">
      <w:bodyDiv w:val="1"/>
      <w:marLeft w:val="0"/>
      <w:marRight w:val="0"/>
      <w:marTop w:val="0"/>
      <w:marBottom w:val="0"/>
      <w:divBdr>
        <w:top w:val="none" w:sz="0" w:space="0" w:color="auto"/>
        <w:left w:val="none" w:sz="0" w:space="0" w:color="auto"/>
        <w:bottom w:val="none" w:sz="0" w:space="0" w:color="auto"/>
        <w:right w:val="none" w:sz="0" w:space="0" w:color="auto"/>
      </w:divBdr>
    </w:div>
    <w:div w:id="1774738759">
      <w:bodyDiv w:val="1"/>
      <w:marLeft w:val="0"/>
      <w:marRight w:val="0"/>
      <w:marTop w:val="0"/>
      <w:marBottom w:val="0"/>
      <w:divBdr>
        <w:top w:val="none" w:sz="0" w:space="0" w:color="auto"/>
        <w:left w:val="none" w:sz="0" w:space="0" w:color="auto"/>
        <w:bottom w:val="none" w:sz="0" w:space="0" w:color="auto"/>
        <w:right w:val="none" w:sz="0" w:space="0" w:color="auto"/>
      </w:divBdr>
    </w:div>
    <w:div w:id="1775009113">
      <w:bodyDiv w:val="1"/>
      <w:marLeft w:val="0"/>
      <w:marRight w:val="0"/>
      <w:marTop w:val="0"/>
      <w:marBottom w:val="0"/>
      <w:divBdr>
        <w:top w:val="none" w:sz="0" w:space="0" w:color="auto"/>
        <w:left w:val="none" w:sz="0" w:space="0" w:color="auto"/>
        <w:bottom w:val="none" w:sz="0" w:space="0" w:color="auto"/>
        <w:right w:val="none" w:sz="0" w:space="0" w:color="auto"/>
      </w:divBdr>
    </w:div>
    <w:div w:id="1775327194">
      <w:bodyDiv w:val="1"/>
      <w:marLeft w:val="0"/>
      <w:marRight w:val="0"/>
      <w:marTop w:val="0"/>
      <w:marBottom w:val="0"/>
      <w:divBdr>
        <w:top w:val="none" w:sz="0" w:space="0" w:color="auto"/>
        <w:left w:val="none" w:sz="0" w:space="0" w:color="auto"/>
        <w:bottom w:val="none" w:sz="0" w:space="0" w:color="auto"/>
        <w:right w:val="none" w:sz="0" w:space="0" w:color="auto"/>
      </w:divBdr>
    </w:div>
    <w:div w:id="1775436910">
      <w:bodyDiv w:val="1"/>
      <w:marLeft w:val="0"/>
      <w:marRight w:val="0"/>
      <w:marTop w:val="0"/>
      <w:marBottom w:val="0"/>
      <w:divBdr>
        <w:top w:val="none" w:sz="0" w:space="0" w:color="auto"/>
        <w:left w:val="none" w:sz="0" w:space="0" w:color="auto"/>
        <w:bottom w:val="none" w:sz="0" w:space="0" w:color="auto"/>
        <w:right w:val="none" w:sz="0" w:space="0" w:color="auto"/>
      </w:divBdr>
    </w:div>
    <w:div w:id="1777283418">
      <w:bodyDiv w:val="1"/>
      <w:marLeft w:val="0"/>
      <w:marRight w:val="0"/>
      <w:marTop w:val="0"/>
      <w:marBottom w:val="0"/>
      <w:divBdr>
        <w:top w:val="none" w:sz="0" w:space="0" w:color="auto"/>
        <w:left w:val="none" w:sz="0" w:space="0" w:color="auto"/>
        <w:bottom w:val="none" w:sz="0" w:space="0" w:color="auto"/>
        <w:right w:val="none" w:sz="0" w:space="0" w:color="auto"/>
      </w:divBdr>
    </w:div>
    <w:div w:id="1777940878">
      <w:bodyDiv w:val="1"/>
      <w:marLeft w:val="0"/>
      <w:marRight w:val="0"/>
      <w:marTop w:val="0"/>
      <w:marBottom w:val="0"/>
      <w:divBdr>
        <w:top w:val="none" w:sz="0" w:space="0" w:color="auto"/>
        <w:left w:val="none" w:sz="0" w:space="0" w:color="auto"/>
        <w:bottom w:val="none" w:sz="0" w:space="0" w:color="auto"/>
        <w:right w:val="none" w:sz="0" w:space="0" w:color="auto"/>
      </w:divBdr>
    </w:div>
    <w:div w:id="1778016735">
      <w:bodyDiv w:val="1"/>
      <w:marLeft w:val="0"/>
      <w:marRight w:val="0"/>
      <w:marTop w:val="0"/>
      <w:marBottom w:val="0"/>
      <w:divBdr>
        <w:top w:val="none" w:sz="0" w:space="0" w:color="auto"/>
        <w:left w:val="none" w:sz="0" w:space="0" w:color="auto"/>
        <w:bottom w:val="none" w:sz="0" w:space="0" w:color="auto"/>
        <w:right w:val="none" w:sz="0" w:space="0" w:color="auto"/>
      </w:divBdr>
    </w:div>
    <w:div w:id="1780099492">
      <w:bodyDiv w:val="1"/>
      <w:marLeft w:val="0"/>
      <w:marRight w:val="0"/>
      <w:marTop w:val="0"/>
      <w:marBottom w:val="0"/>
      <w:divBdr>
        <w:top w:val="none" w:sz="0" w:space="0" w:color="auto"/>
        <w:left w:val="none" w:sz="0" w:space="0" w:color="auto"/>
        <w:bottom w:val="none" w:sz="0" w:space="0" w:color="auto"/>
        <w:right w:val="none" w:sz="0" w:space="0" w:color="auto"/>
      </w:divBdr>
    </w:div>
    <w:div w:id="1781291136">
      <w:bodyDiv w:val="1"/>
      <w:marLeft w:val="0"/>
      <w:marRight w:val="0"/>
      <w:marTop w:val="0"/>
      <w:marBottom w:val="0"/>
      <w:divBdr>
        <w:top w:val="none" w:sz="0" w:space="0" w:color="auto"/>
        <w:left w:val="none" w:sz="0" w:space="0" w:color="auto"/>
        <w:bottom w:val="none" w:sz="0" w:space="0" w:color="auto"/>
        <w:right w:val="none" w:sz="0" w:space="0" w:color="auto"/>
      </w:divBdr>
    </w:div>
    <w:div w:id="1781797793">
      <w:bodyDiv w:val="1"/>
      <w:marLeft w:val="0"/>
      <w:marRight w:val="0"/>
      <w:marTop w:val="0"/>
      <w:marBottom w:val="0"/>
      <w:divBdr>
        <w:top w:val="none" w:sz="0" w:space="0" w:color="auto"/>
        <w:left w:val="none" w:sz="0" w:space="0" w:color="auto"/>
        <w:bottom w:val="none" w:sz="0" w:space="0" w:color="auto"/>
        <w:right w:val="none" w:sz="0" w:space="0" w:color="auto"/>
      </w:divBdr>
    </w:div>
    <w:div w:id="1781949691">
      <w:bodyDiv w:val="1"/>
      <w:marLeft w:val="0"/>
      <w:marRight w:val="0"/>
      <w:marTop w:val="0"/>
      <w:marBottom w:val="0"/>
      <w:divBdr>
        <w:top w:val="none" w:sz="0" w:space="0" w:color="auto"/>
        <w:left w:val="none" w:sz="0" w:space="0" w:color="auto"/>
        <w:bottom w:val="none" w:sz="0" w:space="0" w:color="auto"/>
        <w:right w:val="none" w:sz="0" w:space="0" w:color="auto"/>
      </w:divBdr>
    </w:div>
    <w:div w:id="1781953578">
      <w:bodyDiv w:val="1"/>
      <w:marLeft w:val="0"/>
      <w:marRight w:val="0"/>
      <w:marTop w:val="0"/>
      <w:marBottom w:val="0"/>
      <w:divBdr>
        <w:top w:val="none" w:sz="0" w:space="0" w:color="auto"/>
        <w:left w:val="none" w:sz="0" w:space="0" w:color="auto"/>
        <w:bottom w:val="none" w:sz="0" w:space="0" w:color="auto"/>
        <w:right w:val="none" w:sz="0" w:space="0" w:color="auto"/>
      </w:divBdr>
    </w:div>
    <w:div w:id="1782337867">
      <w:bodyDiv w:val="1"/>
      <w:marLeft w:val="0"/>
      <w:marRight w:val="0"/>
      <w:marTop w:val="0"/>
      <w:marBottom w:val="0"/>
      <w:divBdr>
        <w:top w:val="none" w:sz="0" w:space="0" w:color="auto"/>
        <w:left w:val="none" w:sz="0" w:space="0" w:color="auto"/>
        <w:bottom w:val="none" w:sz="0" w:space="0" w:color="auto"/>
        <w:right w:val="none" w:sz="0" w:space="0" w:color="auto"/>
      </w:divBdr>
    </w:div>
    <w:div w:id="1782453236">
      <w:bodyDiv w:val="1"/>
      <w:marLeft w:val="0"/>
      <w:marRight w:val="0"/>
      <w:marTop w:val="0"/>
      <w:marBottom w:val="0"/>
      <w:divBdr>
        <w:top w:val="none" w:sz="0" w:space="0" w:color="auto"/>
        <w:left w:val="none" w:sz="0" w:space="0" w:color="auto"/>
        <w:bottom w:val="none" w:sz="0" w:space="0" w:color="auto"/>
        <w:right w:val="none" w:sz="0" w:space="0" w:color="auto"/>
      </w:divBdr>
    </w:div>
    <w:div w:id="1783959069">
      <w:bodyDiv w:val="1"/>
      <w:marLeft w:val="0"/>
      <w:marRight w:val="0"/>
      <w:marTop w:val="0"/>
      <w:marBottom w:val="0"/>
      <w:divBdr>
        <w:top w:val="none" w:sz="0" w:space="0" w:color="auto"/>
        <w:left w:val="none" w:sz="0" w:space="0" w:color="auto"/>
        <w:bottom w:val="none" w:sz="0" w:space="0" w:color="auto"/>
        <w:right w:val="none" w:sz="0" w:space="0" w:color="auto"/>
      </w:divBdr>
    </w:div>
    <w:div w:id="1784037932">
      <w:bodyDiv w:val="1"/>
      <w:marLeft w:val="0"/>
      <w:marRight w:val="0"/>
      <w:marTop w:val="0"/>
      <w:marBottom w:val="0"/>
      <w:divBdr>
        <w:top w:val="none" w:sz="0" w:space="0" w:color="auto"/>
        <w:left w:val="none" w:sz="0" w:space="0" w:color="auto"/>
        <w:bottom w:val="none" w:sz="0" w:space="0" w:color="auto"/>
        <w:right w:val="none" w:sz="0" w:space="0" w:color="auto"/>
      </w:divBdr>
    </w:div>
    <w:div w:id="1784231737">
      <w:bodyDiv w:val="1"/>
      <w:marLeft w:val="0"/>
      <w:marRight w:val="0"/>
      <w:marTop w:val="0"/>
      <w:marBottom w:val="0"/>
      <w:divBdr>
        <w:top w:val="none" w:sz="0" w:space="0" w:color="auto"/>
        <w:left w:val="none" w:sz="0" w:space="0" w:color="auto"/>
        <w:bottom w:val="none" w:sz="0" w:space="0" w:color="auto"/>
        <w:right w:val="none" w:sz="0" w:space="0" w:color="auto"/>
      </w:divBdr>
    </w:div>
    <w:div w:id="1784301164">
      <w:bodyDiv w:val="1"/>
      <w:marLeft w:val="0"/>
      <w:marRight w:val="0"/>
      <w:marTop w:val="0"/>
      <w:marBottom w:val="0"/>
      <w:divBdr>
        <w:top w:val="none" w:sz="0" w:space="0" w:color="auto"/>
        <w:left w:val="none" w:sz="0" w:space="0" w:color="auto"/>
        <w:bottom w:val="none" w:sz="0" w:space="0" w:color="auto"/>
        <w:right w:val="none" w:sz="0" w:space="0" w:color="auto"/>
      </w:divBdr>
    </w:div>
    <w:div w:id="1785419180">
      <w:bodyDiv w:val="1"/>
      <w:marLeft w:val="0"/>
      <w:marRight w:val="0"/>
      <w:marTop w:val="0"/>
      <w:marBottom w:val="0"/>
      <w:divBdr>
        <w:top w:val="none" w:sz="0" w:space="0" w:color="auto"/>
        <w:left w:val="none" w:sz="0" w:space="0" w:color="auto"/>
        <w:bottom w:val="none" w:sz="0" w:space="0" w:color="auto"/>
        <w:right w:val="none" w:sz="0" w:space="0" w:color="auto"/>
      </w:divBdr>
    </w:div>
    <w:div w:id="1786073014">
      <w:bodyDiv w:val="1"/>
      <w:marLeft w:val="0"/>
      <w:marRight w:val="0"/>
      <w:marTop w:val="0"/>
      <w:marBottom w:val="0"/>
      <w:divBdr>
        <w:top w:val="none" w:sz="0" w:space="0" w:color="auto"/>
        <w:left w:val="none" w:sz="0" w:space="0" w:color="auto"/>
        <w:bottom w:val="none" w:sz="0" w:space="0" w:color="auto"/>
        <w:right w:val="none" w:sz="0" w:space="0" w:color="auto"/>
      </w:divBdr>
    </w:div>
    <w:div w:id="1786777208">
      <w:bodyDiv w:val="1"/>
      <w:marLeft w:val="0"/>
      <w:marRight w:val="0"/>
      <w:marTop w:val="0"/>
      <w:marBottom w:val="0"/>
      <w:divBdr>
        <w:top w:val="none" w:sz="0" w:space="0" w:color="auto"/>
        <w:left w:val="none" w:sz="0" w:space="0" w:color="auto"/>
        <w:bottom w:val="none" w:sz="0" w:space="0" w:color="auto"/>
        <w:right w:val="none" w:sz="0" w:space="0" w:color="auto"/>
      </w:divBdr>
    </w:div>
    <w:div w:id="1788157658">
      <w:bodyDiv w:val="1"/>
      <w:marLeft w:val="0"/>
      <w:marRight w:val="0"/>
      <w:marTop w:val="0"/>
      <w:marBottom w:val="0"/>
      <w:divBdr>
        <w:top w:val="none" w:sz="0" w:space="0" w:color="auto"/>
        <w:left w:val="none" w:sz="0" w:space="0" w:color="auto"/>
        <w:bottom w:val="none" w:sz="0" w:space="0" w:color="auto"/>
        <w:right w:val="none" w:sz="0" w:space="0" w:color="auto"/>
      </w:divBdr>
    </w:div>
    <w:div w:id="1788160744">
      <w:bodyDiv w:val="1"/>
      <w:marLeft w:val="0"/>
      <w:marRight w:val="0"/>
      <w:marTop w:val="0"/>
      <w:marBottom w:val="0"/>
      <w:divBdr>
        <w:top w:val="none" w:sz="0" w:space="0" w:color="auto"/>
        <w:left w:val="none" w:sz="0" w:space="0" w:color="auto"/>
        <w:bottom w:val="none" w:sz="0" w:space="0" w:color="auto"/>
        <w:right w:val="none" w:sz="0" w:space="0" w:color="auto"/>
      </w:divBdr>
    </w:div>
    <w:div w:id="1788432363">
      <w:bodyDiv w:val="1"/>
      <w:marLeft w:val="0"/>
      <w:marRight w:val="0"/>
      <w:marTop w:val="0"/>
      <w:marBottom w:val="0"/>
      <w:divBdr>
        <w:top w:val="none" w:sz="0" w:space="0" w:color="auto"/>
        <w:left w:val="none" w:sz="0" w:space="0" w:color="auto"/>
        <w:bottom w:val="none" w:sz="0" w:space="0" w:color="auto"/>
        <w:right w:val="none" w:sz="0" w:space="0" w:color="auto"/>
      </w:divBdr>
    </w:div>
    <w:div w:id="1788696459">
      <w:bodyDiv w:val="1"/>
      <w:marLeft w:val="0"/>
      <w:marRight w:val="0"/>
      <w:marTop w:val="0"/>
      <w:marBottom w:val="0"/>
      <w:divBdr>
        <w:top w:val="none" w:sz="0" w:space="0" w:color="auto"/>
        <w:left w:val="none" w:sz="0" w:space="0" w:color="auto"/>
        <w:bottom w:val="none" w:sz="0" w:space="0" w:color="auto"/>
        <w:right w:val="none" w:sz="0" w:space="0" w:color="auto"/>
      </w:divBdr>
    </w:div>
    <w:div w:id="1790473074">
      <w:bodyDiv w:val="1"/>
      <w:marLeft w:val="0"/>
      <w:marRight w:val="0"/>
      <w:marTop w:val="0"/>
      <w:marBottom w:val="0"/>
      <w:divBdr>
        <w:top w:val="none" w:sz="0" w:space="0" w:color="auto"/>
        <w:left w:val="none" w:sz="0" w:space="0" w:color="auto"/>
        <w:bottom w:val="none" w:sz="0" w:space="0" w:color="auto"/>
        <w:right w:val="none" w:sz="0" w:space="0" w:color="auto"/>
      </w:divBdr>
    </w:div>
    <w:div w:id="1790851557">
      <w:bodyDiv w:val="1"/>
      <w:marLeft w:val="0"/>
      <w:marRight w:val="0"/>
      <w:marTop w:val="0"/>
      <w:marBottom w:val="0"/>
      <w:divBdr>
        <w:top w:val="none" w:sz="0" w:space="0" w:color="auto"/>
        <w:left w:val="none" w:sz="0" w:space="0" w:color="auto"/>
        <w:bottom w:val="none" w:sz="0" w:space="0" w:color="auto"/>
        <w:right w:val="none" w:sz="0" w:space="0" w:color="auto"/>
      </w:divBdr>
    </w:div>
    <w:div w:id="1790930363">
      <w:bodyDiv w:val="1"/>
      <w:marLeft w:val="0"/>
      <w:marRight w:val="0"/>
      <w:marTop w:val="0"/>
      <w:marBottom w:val="0"/>
      <w:divBdr>
        <w:top w:val="none" w:sz="0" w:space="0" w:color="auto"/>
        <w:left w:val="none" w:sz="0" w:space="0" w:color="auto"/>
        <w:bottom w:val="none" w:sz="0" w:space="0" w:color="auto"/>
        <w:right w:val="none" w:sz="0" w:space="0" w:color="auto"/>
      </w:divBdr>
    </w:div>
    <w:div w:id="1791246979">
      <w:bodyDiv w:val="1"/>
      <w:marLeft w:val="0"/>
      <w:marRight w:val="0"/>
      <w:marTop w:val="0"/>
      <w:marBottom w:val="0"/>
      <w:divBdr>
        <w:top w:val="none" w:sz="0" w:space="0" w:color="auto"/>
        <w:left w:val="none" w:sz="0" w:space="0" w:color="auto"/>
        <w:bottom w:val="none" w:sz="0" w:space="0" w:color="auto"/>
        <w:right w:val="none" w:sz="0" w:space="0" w:color="auto"/>
      </w:divBdr>
    </w:div>
    <w:div w:id="1791777398">
      <w:bodyDiv w:val="1"/>
      <w:marLeft w:val="0"/>
      <w:marRight w:val="0"/>
      <w:marTop w:val="0"/>
      <w:marBottom w:val="0"/>
      <w:divBdr>
        <w:top w:val="none" w:sz="0" w:space="0" w:color="auto"/>
        <w:left w:val="none" w:sz="0" w:space="0" w:color="auto"/>
        <w:bottom w:val="none" w:sz="0" w:space="0" w:color="auto"/>
        <w:right w:val="none" w:sz="0" w:space="0" w:color="auto"/>
      </w:divBdr>
    </w:div>
    <w:div w:id="1791780102">
      <w:bodyDiv w:val="1"/>
      <w:marLeft w:val="0"/>
      <w:marRight w:val="0"/>
      <w:marTop w:val="0"/>
      <w:marBottom w:val="0"/>
      <w:divBdr>
        <w:top w:val="none" w:sz="0" w:space="0" w:color="auto"/>
        <w:left w:val="none" w:sz="0" w:space="0" w:color="auto"/>
        <w:bottom w:val="none" w:sz="0" w:space="0" w:color="auto"/>
        <w:right w:val="none" w:sz="0" w:space="0" w:color="auto"/>
      </w:divBdr>
    </w:div>
    <w:div w:id="1792087758">
      <w:bodyDiv w:val="1"/>
      <w:marLeft w:val="0"/>
      <w:marRight w:val="0"/>
      <w:marTop w:val="0"/>
      <w:marBottom w:val="0"/>
      <w:divBdr>
        <w:top w:val="none" w:sz="0" w:space="0" w:color="auto"/>
        <w:left w:val="none" w:sz="0" w:space="0" w:color="auto"/>
        <w:bottom w:val="none" w:sz="0" w:space="0" w:color="auto"/>
        <w:right w:val="none" w:sz="0" w:space="0" w:color="auto"/>
      </w:divBdr>
    </w:div>
    <w:div w:id="1792242810">
      <w:bodyDiv w:val="1"/>
      <w:marLeft w:val="0"/>
      <w:marRight w:val="0"/>
      <w:marTop w:val="0"/>
      <w:marBottom w:val="0"/>
      <w:divBdr>
        <w:top w:val="none" w:sz="0" w:space="0" w:color="auto"/>
        <w:left w:val="none" w:sz="0" w:space="0" w:color="auto"/>
        <w:bottom w:val="none" w:sz="0" w:space="0" w:color="auto"/>
        <w:right w:val="none" w:sz="0" w:space="0" w:color="auto"/>
      </w:divBdr>
    </w:div>
    <w:div w:id="1792702946">
      <w:bodyDiv w:val="1"/>
      <w:marLeft w:val="0"/>
      <w:marRight w:val="0"/>
      <w:marTop w:val="0"/>
      <w:marBottom w:val="0"/>
      <w:divBdr>
        <w:top w:val="none" w:sz="0" w:space="0" w:color="auto"/>
        <w:left w:val="none" w:sz="0" w:space="0" w:color="auto"/>
        <w:bottom w:val="none" w:sz="0" w:space="0" w:color="auto"/>
        <w:right w:val="none" w:sz="0" w:space="0" w:color="auto"/>
      </w:divBdr>
    </w:div>
    <w:div w:id="1793161545">
      <w:bodyDiv w:val="1"/>
      <w:marLeft w:val="0"/>
      <w:marRight w:val="0"/>
      <w:marTop w:val="0"/>
      <w:marBottom w:val="0"/>
      <w:divBdr>
        <w:top w:val="none" w:sz="0" w:space="0" w:color="auto"/>
        <w:left w:val="none" w:sz="0" w:space="0" w:color="auto"/>
        <w:bottom w:val="none" w:sz="0" w:space="0" w:color="auto"/>
        <w:right w:val="none" w:sz="0" w:space="0" w:color="auto"/>
      </w:divBdr>
    </w:div>
    <w:div w:id="1794053858">
      <w:bodyDiv w:val="1"/>
      <w:marLeft w:val="0"/>
      <w:marRight w:val="0"/>
      <w:marTop w:val="0"/>
      <w:marBottom w:val="0"/>
      <w:divBdr>
        <w:top w:val="none" w:sz="0" w:space="0" w:color="auto"/>
        <w:left w:val="none" w:sz="0" w:space="0" w:color="auto"/>
        <w:bottom w:val="none" w:sz="0" w:space="0" w:color="auto"/>
        <w:right w:val="none" w:sz="0" w:space="0" w:color="auto"/>
      </w:divBdr>
    </w:div>
    <w:div w:id="1795518839">
      <w:bodyDiv w:val="1"/>
      <w:marLeft w:val="0"/>
      <w:marRight w:val="0"/>
      <w:marTop w:val="0"/>
      <w:marBottom w:val="0"/>
      <w:divBdr>
        <w:top w:val="none" w:sz="0" w:space="0" w:color="auto"/>
        <w:left w:val="none" w:sz="0" w:space="0" w:color="auto"/>
        <w:bottom w:val="none" w:sz="0" w:space="0" w:color="auto"/>
        <w:right w:val="none" w:sz="0" w:space="0" w:color="auto"/>
      </w:divBdr>
    </w:div>
    <w:div w:id="1796100689">
      <w:bodyDiv w:val="1"/>
      <w:marLeft w:val="0"/>
      <w:marRight w:val="0"/>
      <w:marTop w:val="0"/>
      <w:marBottom w:val="0"/>
      <w:divBdr>
        <w:top w:val="none" w:sz="0" w:space="0" w:color="auto"/>
        <w:left w:val="none" w:sz="0" w:space="0" w:color="auto"/>
        <w:bottom w:val="none" w:sz="0" w:space="0" w:color="auto"/>
        <w:right w:val="none" w:sz="0" w:space="0" w:color="auto"/>
      </w:divBdr>
    </w:div>
    <w:div w:id="1796101640">
      <w:bodyDiv w:val="1"/>
      <w:marLeft w:val="0"/>
      <w:marRight w:val="0"/>
      <w:marTop w:val="0"/>
      <w:marBottom w:val="0"/>
      <w:divBdr>
        <w:top w:val="none" w:sz="0" w:space="0" w:color="auto"/>
        <w:left w:val="none" w:sz="0" w:space="0" w:color="auto"/>
        <w:bottom w:val="none" w:sz="0" w:space="0" w:color="auto"/>
        <w:right w:val="none" w:sz="0" w:space="0" w:color="auto"/>
      </w:divBdr>
    </w:div>
    <w:div w:id="1797798810">
      <w:bodyDiv w:val="1"/>
      <w:marLeft w:val="0"/>
      <w:marRight w:val="0"/>
      <w:marTop w:val="0"/>
      <w:marBottom w:val="0"/>
      <w:divBdr>
        <w:top w:val="none" w:sz="0" w:space="0" w:color="auto"/>
        <w:left w:val="none" w:sz="0" w:space="0" w:color="auto"/>
        <w:bottom w:val="none" w:sz="0" w:space="0" w:color="auto"/>
        <w:right w:val="none" w:sz="0" w:space="0" w:color="auto"/>
      </w:divBdr>
    </w:div>
    <w:div w:id="1798989543">
      <w:bodyDiv w:val="1"/>
      <w:marLeft w:val="0"/>
      <w:marRight w:val="0"/>
      <w:marTop w:val="0"/>
      <w:marBottom w:val="0"/>
      <w:divBdr>
        <w:top w:val="none" w:sz="0" w:space="0" w:color="auto"/>
        <w:left w:val="none" w:sz="0" w:space="0" w:color="auto"/>
        <w:bottom w:val="none" w:sz="0" w:space="0" w:color="auto"/>
        <w:right w:val="none" w:sz="0" w:space="0" w:color="auto"/>
      </w:divBdr>
    </w:div>
    <w:div w:id="1799572012">
      <w:bodyDiv w:val="1"/>
      <w:marLeft w:val="0"/>
      <w:marRight w:val="0"/>
      <w:marTop w:val="0"/>
      <w:marBottom w:val="0"/>
      <w:divBdr>
        <w:top w:val="none" w:sz="0" w:space="0" w:color="auto"/>
        <w:left w:val="none" w:sz="0" w:space="0" w:color="auto"/>
        <w:bottom w:val="none" w:sz="0" w:space="0" w:color="auto"/>
        <w:right w:val="none" w:sz="0" w:space="0" w:color="auto"/>
      </w:divBdr>
    </w:div>
    <w:div w:id="1799882614">
      <w:bodyDiv w:val="1"/>
      <w:marLeft w:val="0"/>
      <w:marRight w:val="0"/>
      <w:marTop w:val="0"/>
      <w:marBottom w:val="0"/>
      <w:divBdr>
        <w:top w:val="none" w:sz="0" w:space="0" w:color="auto"/>
        <w:left w:val="none" w:sz="0" w:space="0" w:color="auto"/>
        <w:bottom w:val="none" w:sz="0" w:space="0" w:color="auto"/>
        <w:right w:val="none" w:sz="0" w:space="0" w:color="auto"/>
      </w:divBdr>
    </w:div>
    <w:div w:id="1800143110">
      <w:bodyDiv w:val="1"/>
      <w:marLeft w:val="0"/>
      <w:marRight w:val="0"/>
      <w:marTop w:val="0"/>
      <w:marBottom w:val="0"/>
      <w:divBdr>
        <w:top w:val="none" w:sz="0" w:space="0" w:color="auto"/>
        <w:left w:val="none" w:sz="0" w:space="0" w:color="auto"/>
        <w:bottom w:val="none" w:sz="0" w:space="0" w:color="auto"/>
        <w:right w:val="none" w:sz="0" w:space="0" w:color="auto"/>
      </w:divBdr>
    </w:div>
    <w:div w:id="1800412522">
      <w:bodyDiv w:val="1"/>
      <w:marLeft w:val="0"/>
      <w:marRight w:val="0"/>
      <w:marTop w:val="0"/>
      <w:marBottom w:val="0"/>
      <w:divBdr>
        <w:top w:val="none" w:sz="0" w:space="0" w:color="auto"/>
        <w:left w:val="none" w:sz="0" w:space="0" w:color="auto"/>
        <w:bottom w:val="none" w:sz="0" w:space="0" w:color="auto"/>
        <w:right w:val="none" w:sz="0" w:space="0" w:color="auto"/>
      </w:divBdr>
    </w:div>
    <w:div w:id="1800612377">
      <w:bodyDiv w:val="1"/>
      <w:marLeft w:val="0"/>
      <w:marRight w:val="0"/>
      <w:marTop w:val="0"/>
      <w:marBottom w:val="0"/>
      <w:divBdr>
        <w:top w:val="none" w:sz="0" w:space="0" w:color="auto"/>
        <w:left w:val="none" w:sz="0" w:space="0" w:color="auto"/>
        <w:bottom w:val="none" w:sz="0" w:space="0" w:color="auto"/>
        <w:right w:val="none" w:sz="0" w:space="0" w:color="auto"/>
      </w:divBdr>
    </w:div>
    <w:div w:id="1800878636">
      <w:bodyDiv w:val="1"/>
      <w:marLeft w:val="0"/>
      <w:marRight w:val="0"/>
      <w:marTop w:val="0"/>
      <w:marBottom w:val="0"/>
      <w:divBdr>
        <w:top w:val="none" w:sz="0" w:space="0" w:color="auto"/>
        <w:left w:val="none" w:sz="0" w:space="0" w:color="auto"/>
        <w:bottom w:val="none" w:sz="0" w:space="0" w:color="auto"/>
        <w:right w:val="none" w:sz="0" w:space="0" w:color="auto"/>
      </w:divBdr>
    </w:div>
    <w:div w:id="1802187540">
      <w:bodyDiv w:val="1"/>
      <w:marLeft w:val="0"/>
      <w:marRight w:val="0"/>
      <w:marTop w:val="0"/>
      <w:marBottom w:val="0"/>
      <w:divBdr>
        <w:top w:val="none" w:sz="0" w:space="0" w:color="auto"/>
        <w:left w:val="none" w:sz="0" w:space="0" w:color="auto"/>
        <w:bottom w:val="none" w:sz="0" w:space="0" w:color="auto"/>
        <w:right w:val="none" w:sz="0" w:space="0" w:color="auto"/>
      </w:divBdr>
    </w:div>
    <w:div w:id="1802191344">
      <w:bodyDiv w:val="1"/>
      <w:marLeft w:val="0"/>
      <w:marRight w:val="0"/>
      <w:marTop w:val="0"/>
      <w:marBottom w:val="0"/>
      <w:divBdr>
        <w:top w:val="none" w:sz="0" w:space="0" w:color="auto"/>
        <w:left w:val="none" w:sz="0" w:space="0" w:color="auto"/>
        <w:bottom w:val="none" w:sz="0" w:space="0" w:color="auto"/>
        <w:right w:val="none" w:sz="0" w:space="0" w:color="auto"/>
      </w:divBdr>
    </w:div>
    <w:div w:id="1802261588">
      <w:bodyDiv w:val="1"/>
      <w:marLeft w:val="0"/>
      <w:marRight w:val="0"/>
      <w:marTop w:val="0"/>
      <w:marBottom w:val="0"/>
      <w:divBdr>
        <w:top w:val="none" w:sz="0" w:space="0" w:color="auto"/>
        <w:left w:val="none" w:sz="0" w:space="0" w:color="auto"/>
        <w:bottom w:val="none" w:sz="0" w:space="0" w:color="auto"/>
        <w:right w:val="none" w:sz="0" w:space="0" w:color="auto"/>
      </w:divBdr>
    </w:div>
    <w:div w:id="1804930552">
      <w:bodyDiv w:val="1"/>
      <w:marLeft w:val="0"/>
      <w:marRight w:val="0"/>
      <w:marTop w:val="0"/>
      <w:marBottom w:val="0"/>
      <w:divBdr>
        <w:top w:val="none" w:sz="0" w:space="0" w:color="auto"/>
        <w:left w:val="none" w:sz="0" w:space="0" w:color="auto"/>
        <w:bottom w:val="none" w:sz="0" w:space="0" w:color="auto"/>
        <w:right w:val="none" w:sz="0" w:space="0" w:color="auto"/>
      </w:divBdr>
    </w:div>
    <w:div w:id="1805155297">
      <w:bodyDiv w:val="1"/>
      <w:marLeft w:val="0"/>
      <w:marRight w:val="0"/>
      <w:marTop w:val="0"/>
      <w:marBottom w:val="0"/>
      <w:divBdr>
        <w:top w:val="none" w:sz="0" w:space="0" w:color="auto"/>
        <w:left w:val="none" w:sz="0" w:space="0" w:color="auto"/>
        <w:bottom w:val="none" w:sz="0" w:space="0" w:color="auto"/>
        <w:right w:val="none" w:sz="0" w:space="0" w:color="auto"/>
      </w:divBdr>
    </w:div>
    <w:div w:id="1805655459">
      <w:bodyDiv w:val="1"/>
      <w:marLeft w:val="0"/>
      <w:marRight w:val="0"/>
      <w:marTop w:val="0"/>
      <w:marBottom w:val="0"/>
      <w:divBdr>
        <w:top w:val="none" w:sz="0" w:space="0" w:color="auto"/>
        <w:left w:val="none" w:sz="0" w:space="0" w:color="auto"/>
        <w:bottom w:val="none" w:sz="0" w:space="0" w:color="auto"/>
        <w:right w:val="none" w:sz="0" w:space="0" w:color="auto"/>
      </w:divBdr>
    </w:div>
    <w:div w:id="1806000934">
      <w:bodyDiv w:val="1"/>
      <w:marLeft w:val="0"/>
      <w:marRight w:val="0"/>
      <w:marTop w:val="0"/>
      <w:marBottom w:val="0"/>
      <w:divBdr>
        <w:top w:val="none" w:sz="0" w:space="0" w:color="auto"/>
        <w:left w:val="none" w:sz="0" w:space="0" w:color="auto"/>
        <w:bottom w:val="none" w:sz="0" w:space="0" w:color="auto"/>
        <w:right w:val="none" w:sz="0" w:space="0" w:color="auto"/>
      </w:divBdr>
    </w:div>
    <w:div w:id="1808157857">
      <w:bodyDiv w:val="1"/>
      <w:marLeft w:val="0"/>
      <w:marRight w:val="0"/>
      <w:marTop w:val="0"/>
      <w:marBottom w:val="0"/>
      <w:divBdr>
        <w:top w:val="none" w:sz="0" w:space="0" w:color="auto"/>
        <w:left w:val="none" w:sz="0" w:space="0" w:color="auto"/>
        <w:bottom w:val="none" w:sz="0" w:space="0" w:color="auto"/>
        <w:right w:val="none" w:sz="0" w:space="0" w:color="auto"/>
      </w:divBdr>
    </w:div>
    <w:div w:id="1808938768">
      <w:bodyDiv w:val="1"/>
      <w:marLeft w:val="0"/>
      <w:marRight w:val="0"/>
      <w:marTop w:val="0"/>
      <w:marBottom w:val="0"/>
      <w:divBdr>
        <w:top w:val="none" w:sz="0" w:space="0" w:color="auto"/>
        <w:left w:val="none" w:sz="0" w:space="0" w:color="auto"/>
        <w:bottom w:val="none" w:sz="0" w:space="0" w:color="auto"/>
        <w:right w:val="none" w:sz="0" w:space="0" w:color="auto"/>
      </w:divBdr>
    </w:div>
    <w:div w:id="1810248128">
      <w:bodyDiv w:val="1"/>
      <w:marLeft w:val="0"/>
      <w:marRight w:val="0"/>
      <w:marTop w:val="0"/>
      <w:marBottom w:val="0"/>
      <w:divBdr>
        <w:top w:val="none" w:sz="0" w:space="0" w:color="auto"/>
        <w:left w:val="none" w:sz="0" w:space="0" w:color="auto"/>
        <w:bottom w:val="none" w:sz="0" w:space="0" w:color="auto"/>
        <w:right w:val="none" w:sz="0" w:space="0" w:color="auto"/>
      </w:divBdr>
    </w:div>
    <w:div w:id="1810588218">
      <w:bodyDiv w:val="1"/>
      <w:marLeft w:val="0"/>
      <w:marRight w:val="0"/>
      <w:marTop w:val="0"/>
      <w:marBottom w:val="0"/>
      <w:divBdr>
        <w:top w:val="none" w:sz="0" w:space="0" w:color="auto"/>
        <w:left w:val="none" w:sz="0" w:space="0" w:color="auto"/>
        <w:bottom w:val="none" w:sz="0" w:space="0" w:color="auto"/>
        <w:right w:val="none" w:sz="0" w:space="0" w:color="auto"/>
      </w:divBdr>
    </w:div>
    <w:div w:id="1810633967">
      <w:bodyDiv w:val="1"/>
      <w:marLeft w:val="0"/>
      <w:marRight w:val="0"/>
      <w:marTop w:val="0"/>
      <w:marBottom w:val="0"/>
      <w:divBdr>
        <w:top w:val="none" w:sz="0" w:space="0" w:color="auto"/>
        <w:left w:val="none" w:sz="0" w:space="0" w:color="auto"/>
        <w:bottom w:val="none" w:sz="0" w:space="0" w:color="auto"/>
        <w:right w:val="none" w:sz="0" w:space="0" w:color="auto"/>
      </w:divBdr>
    </w:div>
    <w:div w:id="1811166050">
      <w:bodyDiv w:val="1"/>
      <w:marLeft w:val="0"/>
      <w:marRight w:val="0"/>
      <w:marTop w:val="0"/>
      <w:marBottom w:val="0"/>
      <w:divBdr>
        <w:top w:val="none" w:sz="0" w:space="0" w:color="auto"/>
        <w:left w:val="none" w:sz="0" w:space="0" w:color="auto"/>
        <w:bottom w:val="none" w:sz="0" w:space="0" w:color="auto"/>
        <w:right w:val="none" w:sz="0" w:space="0" w:color="auto"/>
      </w:divBdr>
    </w:div>
    <w:div w:id="1811246475">
      <w:bodyDiv w:val="1"/>
      <w:marLeft w:val="0"/>
      <w:marRight w:val="0"/>
      <w:marTop w:val="0"/>
      <w:marBottom w:val="0"/>
      <w:divBdr>
        <w:top w:val="none" w:sz="0" w:space="0" w:color="auto"/>
        <w:left w:val="none" w:sz="0" w:space="0" w:color="auto"/>
        <w:bottom w:val="none" w:sz="0" w:space="0" w:color="auto"/>
        <w:right w:val="none" w:sz="0" w:space="0" w:color="auto"/>
      </w:divBdr>
    </w:div>
    <w:div w:id="1812819036">
      <w:bodyDiv w:val="1"/>
      <w:marLeft w:val="0"/>
      <w:marRight w:val="0"/>
      <w:marTop w:val="0"/>
      <w:marBottom w:val="0"/>
      <w:divBdr>
        <w:top w:val="none" w:sz="0" w:space="0" w:color="auto"/>
        <w:left w:val="none" w:sz="0" w:space="0" w:color="auto"/>
        <w:bottom w:val="none" w:sz="0" w:space="0" w:color="auto"/>
        <w:right w:val="none" w:sz="0" w:space="0" w:color="auto"/>
      </w:divBdr>
    </w:div>
    <w:div w:id="1813785533">
      <w:bodyDiv w:val="1"/>
      <w:marLeft w:val="0"/>
      <w:marRight w:val="0"/>
      <w:marTop w:val="0"/>
      <w:marBottom w:val="0"/>
      <w:divBdr>
        <w:top w:val="none" w:sz="0" w:space="0" w:color="auto"/>
        <w:left w:val="none" w:sz="0" w:space="0" w:color="auto"/>
        <w:bottom w:val="none" w:sz="0" w:space="0" w:color="auto"/>
        <w:right w:val="none" w:sz="0" w:space="0" w:color="auto"/>
      </w:divBdr>
    </w:div>
    <w:div w:id="1814055723">
      <w:bodyDiv w:val="1"/>
      <w:marLeft w:val="0"/>
      <w:marRight w:val="0"/>
      <w:marTop w:val="0"/>
      <w:marBottom w:val="0"/>
      <w:divBdr>
        <w:top w:val="none" w:sz="0" w:space="0" w:color="auto"/>
        <w:left w:val="none" w:sz="0" w:space="0" w:color="auto"/>
        <w:bottom w:val="none" w:sz="0" w:space="0" w:color="auto"/>
        <w:right w:val="none" w:sz="0" w:space="0" w:color="auto"/>
      </w:divBdr>
    </w:div>
    <w:div w:id="1814326654">
      <w:bodyDiv w:val="1"/>
      <w:marLeft w:val="0"/>
      <w:marRight w:val="0"/>
      <w:marTop w:val="0"/>
      <w:marBottom w:val="0"/>
      <w:divBdr>
        <w:top w:val="none" w:sz="0" w:space="0" w:color="auto"/>
        <w:left w:val="none" w:sz="0" w:space="0" w:color="auto"/>
        <w:bottom w:val="none" w:sz="0" w:space="0" w:color="auto"/>
        <w:right w:val="none" w:sz="0" w:space="0" w:color="auto"/>
      </w:divBdr>
    </w:div>
    <w:div w:id="1814911671">
      <w:bodyDiv w:val="1"/>
      <w:marLeft w:val="0"/>
      <w:marRight w:val="0"/>
      <w:marTop w:val="0"/>
      <w:marBottom w:val="0"/>
      <w:divBdr>
        <w:top w:val="none" w:sz="0" w:space="0" w:color="auto"/>
        <w:left w:val="none" w:sz="0" w:space="0" w:color="auto"/>
        <w:bottom w:val="none" w:sz="0" w:space="0" w:color="auto"/>
        <w:right w:val="none" w:sz="0" w:space="0" w:color="auto"/>
      </w:divBdr>
    </w:div>
    <w:div w:id="1816022749">
      <w:bodyDiv w:val="1"/>
      <w:marLeft w:val="0"/>
      <w:marRight w:val="0"/>
      <w:marTop w:val="0"/>
      <w:marBottom w:val="0"/>
      <w:divBdr>
        <w:top w:val="none" w:sz="0" w:space="0" w:color="auto"/>
        <w:left w:val="none" w:sz="0" w:space="0" w:color="auto"/>
        <w:bottom w:val="none" w:sz="0" w:space="0" w:color="auto"/>
        <w:right w:val="none" w:sz="0" w:space="0" w:color="auto"/>
      </w:divBdr>
    </w:div>
    <w:div w:id="1816725787">
      <w:bodyDiv w:val="1"/>
      <w:marLeft w:val="0"/>
      <w:marRight w:val="0"/>
      <w:marTop w:val="0"/>
      <w:marBottom w:val="0"/>
      <w:divBdr>
        <w:top w:val="none" w:sz="0" w:space="0" w:color="auto"/>
        <w:left w:val="none" w:sz="0" w:space="0" w:color="auto"/>
        <w:bottom w:val="none" w:sz="0" w:space="0" w:color="auto"/>
        <w:right w:val="none" w:sz="0" w:space="0" w:color="auto"/>
      </w:divBdr>
    </w:div>
    <w:div w:id="1819497411">
      <w:bodyDiv w:val="1"/>
      <w:marLeft w:val="0"/>
      <w:marRight w:val="0"/>
      <w:marTop w:val="0"/>
      <w:marBottom w:val="0"/>
      <w:divBdr>
        <w:top w:val="none" w:sz="0" w:space="0" w:color="auto"/>
        <w:left w:val="none" w:sz="0" w:space="0" w:color="auto"/>
        <w:bottom w:val="none" w:sz="0" w:space="0" w:color="auto"/>
        <w:right w:val="none" w:sz="0" w:space="0" w:color="auto"/>
      </w:divBdr>
    </w:div>
    <w:div w:id="1819953666">
      <w:bodyDiv w:val="1"/>
      <w:marLeft w:val="0"/>
      <w:marRight w:val="0"/>
      <w:marTop w:val="0"/>
      <w:marBottom w:val="0"/>
      <w:divBdr>
        <w:top w:val="none" w:sz="0" w:space="0" w:color="auto"/>
        <w:left w:val="none" w:sz="0" w:space="0" w:color="auto"/>
        <w:bottom w:val="none" w:sz="0" w:space="0" w:color="auto"/>
        <w:right w:val="none" w:sz="0" w:space="0" w:color="auto"/>
      </w:divBdr>
    </w:div>
    <w:div w:id="1821190374">
      <w:bodyDiv w:val="1"/>
      <w:marLeft w:val="0"/>
      <w:marRight w:val="0"/>
      <w:marTop w:val="0"/>
      <w:marBottom w:val="0"/>
      <w:divBdr>
        <w:top w:val="none" w:sz="0" w:space="0" w:color="auto"/>
        <w:left w:val="none" w:sz="0" w:space="0" w:color="auto"/>
        <w:bottom w:val="none" w:sz="0" w:space="0" w:color="auto"/>
        <w:right w:val="none" w:sz="0" w:space="0" w:color="auto"/>
      </w:divBdr>
    </w:div>
    <w:div w:id="1822850030">
      <w:bodyDiv w:val="1"/>
      <w:marLeft w:val="0"/>
      <w:marRight w:val="0"/>
      <w:marTop w:val="0"/>
      <w:marBottom w:val="0"/>
      <w:divBdr>
        <w:top w:val="none" w:sz="0" w:space="0" w:color="auto"/>
        <w:left w:val="none" w:sz="0" w:space="0" w:color="auto"/>
        <w:bottom w:val="none" w:sz="0" w:space="0" w:color="auto"/>
        <w:right w:val="none" w:sz="0" w:space="0" w:color="auto"/>
      </w:divBdr>
    </w:div>
    <w:div w:id="1823888188">
      <w:bodyDiv w:val="1"/>
      <w:marLeft w:val="0"/>
      <w:marRight w:val="0"/>
      <w:marTop w:val="0"/>
      <w:marBottom w:val="0"/>
      <w:divBdr>
        <w:top w:val="none" w:sz="0" w:space="0" w:color="auto"/>
        <w:left w:val="none" w:sz="0" w:space="0" w:color="auto"/>
        <w:bottom w:val="none" w:sz="0" w:space="0" w:color="auto"/>
        <w:right w:val="none" w:sz="0" w:space="0" w:color="auto"/>
      </w:divBdr>
    </w:div>
    <w:div w:id="1823888199">
      <w:bodyDiv w:val="1"/>
      <w:marLeft w:val="0"/>
      <w:marRight w:val="0"/>
      <w:marTop w:val="0"/>
      <w:marBottom w:val="0"/>
      <w:divBdr>
        <w:top w:val="none" w:sz="0" w:space="0" w:color="auto"/>
        <w:left w:val="none" w:sz="0" w:space="0" w:color="auto"/>
        <w:bottom w:val="none" w:sz="0" w:space="0" w:color="auto"/>
        <w:right w:val="none" w:sz="0" w:space="0" w:color="auto"/>
      </w:divBdr>
    </w:div>
    <w:div w:id="1824010015">
      <w:bodyDiv w:val="1"/>
      <w:marLeft w:val="0"/>
      <w:marRight w:val="0"/>
      <w:marTop w:val="0"/>
      <w:marBottom w:val="0"/>
      <w:divBdr>
        <w:top w:val="none" w:sz="0" w:space="0" w:color="auto"/>
        <w:left w:val="none" w:sz="0" w:space="0" w:color="auto"/>
        <w:bottom w:val="none" w:sz="0" w:space="0" w:color="auto"/>
        <w:right w:val="none" w:sz="0" w:space="0" w:color="auto"/>
      </w:divBdr>
    </w:div>
    <w:div w:id="1824352256">
      <w:bodyDiv w:val="1"/>
      <w:marLeft w:val="0"/>
      <w:marRight w:val="0"/>
      <w:marTop w:val="0"/>
      <w:marBottom w:val="0"/>
      <w:divBdr>
        <w:top w:val="none" w:sz="0" w:space="0" w:color="auto"/>
        <w:left w:val="none" w:sz="0" w:space="0" w:color="auto"/>
        <w:bottom w:val="none" w:sz="0" w:space="0" w:color="auto"/>
        <w:right w:val="none" w:sz="0" w:space="0" w:color="auto"/>
      </w:divBdr>
    </w:div>
    <w:div w:id="1825008066">
      <w:bodyDiv w:val="1"/>
      <w:marLeft w:val="0"/>
      <w:marRight w:val="0"/>
      <w:marTop w:val="0"/>
      <w:marBottom w:val="0"/>
      <w:divBdr>
        <w:top w:val="none" w:sz="0" w:space="0" w:color="auto"/>
        <w:left w:val="none" w:sz="0" w:space="0" w:color="auto"/>
        <w:bottom w:val="none" w:sz="0" w:space="0" w:color="auto"/>
        <w:right w:val="none" w:sz="0" w:space="0" w:color="auto"/>
      </w:divBdr>
    </w:div>
    <w:div w:id="1825588177">
      <w:bodyDiv w:val="1"/>
      <w:marLeft w:val="0"/>
      <w:marRight w:val="0"/>
      <w:marTop w:val="0"/>
      <w:marBottom w:val="0"/>
      <w:divBdr>
        <w:top w:val="none" w:sz="0" w:space="0" w:color="auto"/>
        <w:left w:val="none" w:sz="0" w:space="0" w:color="auto"/>
        <w:bottom w:val="none" w:sz="0" w:space="0" w:color="auto"/>
        <w:right w:val="none" w:sz="0" w:space="0" w:color="auto"/>
      </w:divBdr>
    </w:div>
    <w:div w:id="1825968449">
      <w:bodyDiv w:val="1"/>
      <w:marLeft w:val="0"/>
      <w:marRight w:val="0"/>
      <w:marTop w:val="0"/>
      <w:marBottom w:val="0"/>
      <w:divBdr>
        <w:top w:val="none" w:sz="0" w:space="0" w:color="auto"/>
        <w:left w:val="none" w:sz="0" w:space="0" w:color="auto"/>
        <w:bottom w:val="none" w:sz="0" w:space="0" w:color="auto"/>
        <w:right w:val="none" w:sz="0" w:space="0" w:color="auto"/>
      </w:divBdr>
    </w:div>
    <w:div w:id="1826700528">
      <w:bodyDiv w:val="1"/>
      <w:marLeft w:val="0"/>
      <w:marRight w:val="0"/>
      <w:marTop w:val="0"/>
      <w:marBottom w:val="0"/>
      <w:divBdr>
        <w:top w:val="none" w:sz="0" w:space="0" w:color="auto"/>
        <w:left w:val="none" w:sz="0" w:space="0" w:color="auto"/>
        <w:bottom w:val="none" w:sz="0" w:space="0" w:color="auto"/>
        <w:right w:val="none" w:sz="0" w:space="0" w:color="auto"/>
      </w:divBdr>
    </w:div>
    <w:div w:id="1827815318">
      <w:bodyDiv w:val="1"/>
      <w:marLeft w:val="0"/>
      <w:marRight w:val="0"/>
      <w:marTop w:val="0"/>
      <w:marBottom w:val="0"/>
      <w:divBdr>
        <w:top w:val="none" w:sz="0" w:space="0" w:color="auto"/>
        <w:left w:val="none" w:sz="0" w:space="0" w:color="auto"/>
        <w:bottom w:val="none" w:sz="0" w:space="0" w:color="auto"/>
        <w:right w:val="none" w:sz="0" w:space="0" w:color="auto"/>
      </w:divBdr>
    </w:div>
    <w:div w:id="1828520595">
      <w:bodyDiv w:val="1"/>
      <w:marLeft w:val="0"/>
      <w:marRight w:val="0"/>
      <w:marTop w:val="0"/>
      <w:marBottom w:val="0"/>
      <w:divBdr>
        <w:top w:val="none" w:sz="0" w:space="0" w:color="auto"/>
        <w:left w:val="none" w:sz="0" w:space="0" w:color="auto"/>
        <w:bottom w:val="none" w:sz="0" w:space="0" w:color="auto"/>
        <w:right w:val="none" w:sz="0" w:space="0" w:color="auto"/>
      </w:divBdr>
    </w:div>
    <w:div w:id="1828782531">
      <w:bodyDiv w:val="1"/>
      <w:marLeft w:val="0"/>
      <w:marRight w:val="0"/>
      <w:marTop w:val="0"/>
      <w:marBottom w:val="0"/>
      <w:divBdr>
        <w:top w:val="none" w:sz="0" w:space="0" w:color="auto"/>
        <w:left w:val="none" w:sz="0" w:space="0" w:color="auto"/>
        <w:bottom w:val="none" w:sz="0" w:space="0" w:color="auto"/>
        <w:right w:val="none" w:sz="0" w:space="0" w:color="auto"/>
      </w:divBdr>
    </w:div>
    <w:div w:id="1829710286">
      <w:bodyDiv w:val="1"/>
      <w:marLeft w:val="0"/>
      <w:marRight w:val="0"/>
      <w:marTop w:val="0"/>
      <w:marBottom w:val="0"/>
      <w:divBdr>
        <w:top w:val="none" w:sz="0" w:space="0" w:color="auto"/>
        <w:left w:val="none" w:sz="0" w:space="0" w:color="auto"/>
        <w:bottom w:val="none" w:sz="0" w:space="0" w:color="auto"/>
        <w:right w:val="none" w:sz="0" w:space="0" w:color="auto"/>
      </w:divBdr>
    </w:div>
    <w:div w:id="1829979651">
      <w:bodyDiv w:val="1"/>
      <w:marLeft w:val="0"/>
      <w:marRight w:val="0"/>
      <w:marTop w:val="0"/>
      <w:marBottom w:val="0"/>
      <w:divBdr>
        <w:top w:val="none" w:sz="0" w:space="0" w:color="auto"/>
        <w:left w:val="none" w:sz="0" w:space="0" w:color="auto"/>
        <w:bottom w:val="none" w:sz="0" w:space="0" w:color="auto"/>
        <w:right w:val="none" w:sz="0" w:space="0" w:color="auto"/>
      </w:divBdr>
    </w:div>
    <w:div w:id="1830094228">
      <w:bodyDiv w:val="1"/>
      <w:marLeft w:val="0"/>
      <w:marRight w:val="0"/>
      <w:marTop w:val="0"/>
      <w:marBottom w:val="0"/>
      <w:divBdr>
        <w:top w:val="none" w:sz="0" w:space="0" w:color="auto"/>
        <w:left w:val="none" w:sz="0" w:space="0" w:color="auto"/>
        <w:bottom w:val="none" w:sz="0" w:space="0" w:color="auto"/>
        <w:right w:val="none" w:sz="0" w:space="0" w:color="auto"/>
      </w:divBdr>
    </w:div>
    <w:div w:id="1831823262">
      <w:bodyDiv w:val="1"/>
      <w:marLeft w:val="0"/>
      <w:marRight w:val="0"/>
      <w:marTop w:val="0"/>
      <w:marBottom w:val="0"/>
      <w:divBdr>
        <w:top w:val="none" w:sz="0" w:space="0" w:color="auto"/>
        <w:left w:val="none" w:sz="0" w:space="0" w:color="auto"/>
        <w:bottom w:val="none" w:sz="0" w:space="0" w:color="auto"/>
        <w:right w:val="none" w:sz="0" w:space="0" w:color="auto"/>
      </w:divBdr>
    </w:div>
    <w:div w:id="1832136684">
      <w:bodyDiv w:val="1"/>
      <w:marLeft w:val="0"/>
      <w:marRight w:val="0"/>
      <w:marTop w:val="0"/>
      <w:marBottom w:val="0"/>
      <w:divBdr>
        <w:top w:val="none" w:sz="0" w:space="0" w:color="auto"/>
        <w:left w:val="none" w:sz="0" w:space="0" w:color="auto"/>
        <w:bottom w:val="none" w:sz="0" w:space="0" w:color="auto"/>
        <w:right w:val="none" w:sz="0" w:space="0" w:color="auto"/>
      </w:divBdr>
    </w:div>
    <w:div w:id="1832863209">
      <w:bodyDiv w:val="1"/>
      <w:marLeft w:val="0"/>
      <w:marRight w:val="0"/>
      <w:marTop w:val="0"/>
      <w:marBottom w:val="0"/>
      <w:divBdr>
        <w:top w:val="none" w:sz="0" w:space="0" w:color="auto"/>
        <w:left w:val="none" w:sz="0" w:space="0" w:color="auto"/>
        <w:bottom w:val="none" w:sz="0" w:space="0" w:color="auto"/>
        <w:right w:val="none" w:sz="0" w:space="0" w:color="auto"/>
      </w:divBdr>
    </w:div>
    <w:div w:id="1832990230">
      <w:bodyDiv w:val="1"/>
      <w:marLeft w:val="0"/>
      <w:marRight w:val="0"/>
      <w:marTop w:val="0"/>
      <w:marBottom w:val="0"/>
      <w:divBdr>
        <w:top w:val="none" w:sz="0" w:space="0" w:color="auto"/>
        <w:left w:val="none" w:sz="0" w:space="0" w:color="auto"/>
        <w:bottom w:val="none" w:sz="0" w:space="0" w:color="auto"/>
        <w:right w:val="none" w:sz="0" w:space="0" w:color="auto"/>
      </w:divBdr>
    </w:div>
    <w:div w:id="1833325585">
      <w:bodyDiv w:val="1"/>
      <w:marLeft w:val="0"/>
      <w:marRight w:val="0"/>
      <w:marTop w:val="0"/>
      <w:marBottom w:val="0"/>
      <w:divBdr>
        <w:top w:val="none" w:sz="0" w:space="0" w:color="auto"/>
        <w:left w:val="none" w:sz="0" w:space="0" w:color="auto"/>
        <w:bottom w:val="none" w:sz="0" w:space="0" w:color="auto"/>
        <w:right w:val="none" w:sz="0" w:space="0" w:color="auto"/>
      </w:divBdr>
    </w:div>
    <w:div w:id="1833567678">
      <w:bodyDiv w:val="1"/>
      <w:marLeft w:val="0"/>
      <w:marRight w:val="0"/>
      <w:marTop w:val="0"/>
      <w:marBottom w:val="0"/>
      <w:divBdr>
        <w:top w:val="none" w:sz="0" w:space="0" w:color="auto"/>
        <w:left w:val="none" w:sz="0" w:space="0" w:color="auto"/>
        <w:bottom w:val="none" w:sz="0" w:space="0" w:color="auto"/>
        <w:right w:val="none" w:sz="0" w:space="0" w:color="auto"/>
      </w:divBdr>
    </w:div>
    <w:div w:id="1833714666">
      <w:bodyDiv w:val="1"/>
      <w:marLeft w:val="0"/>
      <w:marRight w:val="0"/>
      <w:marTop w:val="0"/>
      <w:marBottom w:val="0"/>
      <w:divBdr>
        <w:top w:val="none" w:sz="0" w:space="0" w:color="auto"/>
        <w:left w:val="none" w:sz="0" w:space="0" w:color="auto"/>
        <w:bottom w:val="none" w:sz="0" w:space="0" w:color="auto"/>
        <w:right w:val="none" w:sz="0" w:space="0" w:color="auto"/>
      </w:divBdr>
    </w:div>
    <w:div w:id="1834368519">
      <w:bodyDiv w:val="1"/>
      <w:marLeft w:val="0"/>
      <w:marRight w:val="0"/>
      <w:marTop w:val="0"/>
      <w:marBottom w:val="0"/>
      <w:divBdr>
        <w:top w:val="none" w:sz="0" w:space="0" w:color="auto"/>
        <w:left w:val="none" w:sz="0" w:space="0" w:color="auto"/>
        <w:bottom w:val="none" w:sz="0" w:space="0" w:color="auto"/>
        <w:right w:val="none" w:sz="0" w:space="0" w:color="auto"/>
      </w:divBdr>
    </w:div>
    <w:div w:id="1835340709">
      <w:bodyDiv w:val="1"/>
      <w:marLeft w:val="0"/>
      <w:marRight w:val="0"/>
      <w:marTop w:val="0"/>
      <w:marBottom w:val="0"/>
      <w:divBdr>
        <w:top w:val="none" w:sz="0" w:space="0" w:color="auto"/>
        <w:left w:val="none" w:sz="0" w:space="0" w:color="auto"/>
        <w:bottom w:val="none" w:sz="0" w:space="0" w:color="auto"/>
        <w:right w:val="none" w:sz="0" w:space="0" w:color="auto"/>
      </w:divBdr>
    </w:div>
    <w:div w:id="1835564549">
      <w:bodyDiv w:val="1"/>
      <w:marLeft w:val="0"/>
      <w:marRight w:val="0"/>
      <w:marTop w:val="0"/>
      <w:marBottom w:val="0"/>
      <w:divBdr>
        <w:top w:val="none" w:sz="0" w:space="0" w:color="auto"/>
        <w:left w:val="none" w:sz="0" w:space="0" w:color="auto"/>
        <w:bottom w:val="none" w:sz="0" w:space="0" w:color="auto"/>
        <w:right w:val="none" w:sz="0" w:space="0" w:color="auto"/>
      </w:divBdr>
    </w:div>
    <w:div w:id="1836534886">
      <w:bodyDiv w:val="1"/>
      <w:marLeft w:val="0"/>
      <w:marRight w:val="0"/>
      <w:marTop w:val="0"/>
      <w:marBottom w:val="0"/>
      <w:divBdr>
        <w:top w:val="none" w:sz="0" w:space="0" w:color="auto"/>
        <w:left w:val="none" w:sz="0" w:space="0" w:color="auto"/>
        <w:bottom w:val="none" w:sz="0" w:space="0" w:color="auto"/>
        <w:right w:val="none" w:sz="0" w:space="0" w:color="auto"/>
      </w:divBdr>
    </w:div>
    <w:div w:id="1838688411">
      <w:bodyDiv w:val="1"/>
      <w:marLeft w:val="0"/>
      <w:marRight w:val="0"/>
      <w:marTop w:val="0"/>
      <w:marBottom w:val="0"/>
      <w:divBdr>
        <w:top w:val="none" w:sz="0" w:space="0" w:color="auto"/>
        <w:left w:val="none" w:sz="0" w:space="0" w:color="auto"/>
        <w:bottom w:val="none" w:sz="0" w:space="0" w:color="auto"/>
        <w:right w:val="none" w:sz="0" w:space="0" w:color="auto"/>
      </w:divBdr>
    </w:div>
    <w:div w:id="1838838183">
      <w:bodyDiv w:val="1"/>
      <w:marLeft w:val="0"/>
      <w:marRight w:val="0"/>
      <w:marTop w:val="0"/>
      <w:marBottom w:val="0"/>
      <w:divBdr>
        <w:top w:val="none" w:sz="0" w:space="0" w:color="auto"/>
        <w:left w:val="none" w:sz="0" w:space="0" w:color="auto"/>
        <w:bottom w:val="none" w:sz="0" w:space="0" w:color="auto"/>
        <w:right w:val="none" w:sz="0" w:space="0" w:color="auto"/>
      </w:divBdr>
    </w:div>
    <w:div w:id="1839036413">
      <w:bodyDiv w:val="1"/>
      <w:marLeft w:val="0"/>
      <w:marRight w:val="0"/>
      <w:marTop w:val="0"/>
      <w:marBottom w:val="0"/>
      <w:divBdr>
        <w:top w:val="none" w:sz="0" w:space="0" w:color="auto"/>
        <w:left w:val="none" w:sz="0" w:space="0" w:color="auto"/>
        <w:bottom w:val="none" w:sz="0" w:space="0" w:color="auto"/>
        <w:right w:val="none" w:sz="0" w:space="0" w:color="auto"/>
      </w:divBdr>
    </w:div>
    <w:div w:id="1840775755">
      <w:bodyDiv w:val="1"/>
      <w:marLeft w:val="0"/>
      <w:marRight w:val="0"/>
      <w:marTop w:val="0"/>
      <w:marBottom w:val="0"/>
      <w:divBdr>
        <w:top w:val="none" w:sz="0" w:space="0" w:color="auto"/>
        <w:left w:val="none" w:sz="0" w:space="0" w:color="auto"/>
        <w:bottom w:val="none" w:sz="0" w:space="0" w:color="auto"/>
        <w:right w:val="none" w:sz="0" w:space="0" w:color="auto"/>
      </w:divBdr>
    </w:div>
    <w:div w:id="1840997640">
      <w:bodyDiv w:val="1"/>
      <w:marLeft w:val="0"/>
      <w:marRight w:val="0"/>
      <w:marTop w:val="0"/>
      <w:marBottom w:val="0"/>
      <w:divBdr>
        <w:top w:val="none" w:sz="0" w:space="0" w:color="auto"/>
        <w:left w:val="none" w:sz="0" w:space="0" w:color="auto"/>
        <w:bottom w:val="none" w:sz="0" w:space="0" w:color="auto"/>
        <w:right w:val="none" w:sz="0" w:space="0" w:color="auto"/>
      </w:divBdr>
    </w:div>
    <w:div w:id="1842352697">
      <w:bodyDiv w:val="1"/>
      <w:marLeft w:val="0"/>
      <w:marRight w:val="0"/>
      <w:marTop w:val="0"/>
      <w:marBottom w:val="0"/>
      <w:divBdr>
        <w:top w:val="none" w:sz="0" w:space="0" w:color="auto"/>
        <w:left w:val="none" w:sz="0" w:space="0" w:color="auto"/>
        <w:bottom w:val="none" w:sz="0" w:space="0" w:color="auto"/>
        <w:right w:val="none" w:sz="0" w:space="0" w:color="auto"/>
      </w:divBdr>
    </w:div>
    <w:div w:id="1843011846">
      <w:bodyDiv w:val="1"/>
      <w:marLeft w:val="0"/>
      <w:marRight w:val="0"/>
      <w:marTop w:val="0"/>
      <w:marBottom w:val="0"/>
      <w:divBdr>
        <w:top w:val="none" w:sz="0" w:space="0" w:color="auto"/>
        <w:left w:val="none" w:sz="0" w:space="0" w:color="auto"/>
        <w:bottom w:val="none" w:sz="0" w:space="0" w:color="auto"/>
        <w:right w:val="none" w:sz="0" w:space="0" w:color="auto"/>
      </w:divBdr>
    </w:div>
    <w:div w:id="1845901563">
      <w:bodyDiv w:val="1"/>
      <w:marLeft w:val="0"/>
      <w:marRight w:val="0"/>
      <w:marTop w:val="0"/>
      <w:marBottom w:val="0"/>
      <w:divBdr>
        <w:top w:val="none" w:sz="0" w:space="0" w:color="auto"/>
        <w:left w:val="none" w:sz="0" w:space="0" w:color="auto"/>
        <w:bottom w:val="none" w:sz="0" w:space="0" w:color="auto"/>
        <w:right w:val="none" w:sz="0" w:space="0" w:color="auto"/>
      </w:divBdr>
    </w:div>
    <w:div w:id="1846281409">
      <w:bodyDiv w:val="1"/>
      <w:marLeft w:val="0"/>
      <w:marRight w:val="0"/>
      <w:marTop w:val="0"/>
      <w:marBottom w:val="0"/>
      <w:divBdr>
        <w:top w:val="none" w:sz="0" w:space="0" w:color="auto"/>
        <w:left w:val="none" w:sz="0" w:space="0" w:color="auto"/>
        <w:bottom w:val="none" w:sz="0" w:space="0" w:color="auto"/>
        <w:right w:val="none" w:sz="0" w:space="0" w:color="auto"/>
      </w:divBdr>
    </w:div>
    <w:div w:id="1846551840">
      <w:bodyDiv w:val="1"/>
      <w:marLeft w:val="0"/>
      <w:marRight w:val="0"/>
      <w:marTop w:val="0"/>
      <w:marBottom w:val="0"/>
      <w:divBdr>
        <w:top w:val="none" w:sz="0" w:space="0" w:color="auto"/>
        <w:left w:val="none" w:sz="0" w:space="0" w:color="auto"/>
        <w:bottom w:val="none" w:sz="0" w:space="0" w:color="auto"/>
        <w:right w:val="none" w:sz="0" w:space="0" w:color="auto"/>
      </w:divBdr>
    </w:div>
    <w:div w:id="1846556545">
      <w:bodyDiv w:val="1"/>
      <w:marLeft w:val="0"/>
      <w:marRight w:val="0"/>
      <w:marTop w:val="0"/>
      <w:marBottom w:val="0"/>
      <w:divBdr>
        <w:top w:val="none" w:sz="0" w:space="0" w:color="auto"/>
        <w:left w:val="none" w:sz="0" w:space="0" w:color="auto"/>
        <w:bottom w:val="none" w:sz="0" w:space="0" w:color="auto"/>
        <w:right w:val="none" w:sz="0" w:space="0" w:color="auto"/>
      </w:divBdr>
    </w:div>
    <w:div w:id="1846701299">
      <w:bodyDiv w:val="1"/>
      <w:marLeft w:val="0"/>
      <w:marRight w:val="0"/>
      <w:marTop w:val="0"/>
      <w:marBottom w:val="0"/>
      <w:divBdr>
        <w:top w:val="none" w:sz="0" w:space="0" w:color="auto"/>
        <w:left w:val="none" w:sz="0" w:space="0" w:color="auto"/>
        <w:bottom w:val="none" w:sz="0" w:space="0" w:color="auto"/>
        <w:right w:val="none" w:sz="0" w:space="0" w:color="auto"/>
      </w:divBdr>
    </w:div>
    <w:div w:id="1847091483">
      <w:bodyDiv w:val="1"/>
      <w:marLeft w:val="0"/>
      <w:marRight w:val="0"/>
      <w:marTop w:val="0"/>
      <w:marBottom w:val="0"/>
      <w:divBdr>
        <w:top w:val="none" w:sz="0" w:space="0" w:color="auto"/>
        <w:left w:val="none" w:sz="0" w:space="0" w:color="auto"/>
        <w:bottom w:val="none" w:sz="0" w:space="0" w:color="auto"/>
        <w:right w:val="none" w:sz="0" w:space="0" w:color="auto"/>
      </w:divBdr>
    </w:div>
    <w:div w:id="1850363088">
      <w:bodyDiv w:val="1"/>
      <w:marLeft w:val="0"/>
      <w:marRight w:val="0"/>
      <w:marTop w:val="0"/>
      <w:marBottom w:val="0"/>
      <w:divBdr>
        <w:top w:val="none" w:sz="0" w:space="0" w:color="auto"/>
        <w:left w:val="none" w:sz="0" w:space="0" w:color="auto"/>
        <w:bottom w:val="none" w:sz="0" w:space="0" w:color="auto"/>
        <w:right w:val="none" w:sz="0" w:space="0" w:color="auto"/>
      </w:divBdr>
    </w:div>
    <w:div w:id="1851600958">
      <w:bodyDiv w:val="1"/>
      <w:marLeft w:val="0"/>
      <w:marRight w:val="0"/>
      <w:marTop w:val="0"/>
      <w:marBottom w:val="0"/>
      <w:divBdr>
        <w:top w:val="none" w:sz="0" w:space="0" w:color="auto"/>
        <w:left w:val="none" w:sz="0" w:space="0" w:color="auto"/>
        <w:bottom w:val="none" w:sz="0" w:space="0" w:color="auto"/>
        <w:right w:val="none" w:sz="0" w:space="0" w:color="auto"/>
      </w:divBdr>
    </w:div>
    <w:div w:id="1852066722">
      <w:bodyDiv w:val="1"/>
      <w:marLeft w:val="0"/>
      <w:marRight w:val="0"/>
      <w:marTop w:val="0"/>
      <w:marBottom w:val="0"/>
      <w:divBdr>
        <w:top w:val="none" w:sz="0" w:space="0" w:color="auto"/>
        <w:left w:val="none" w:sz="0" w:space="0" w:color="auto"/>
        <w:bottom w:val="none" w:sz="0" w:space="0" w:color="auto"/>
        <w:right w:val="none" w:sz="0" w:space="0" w:color="auto"/>
      </w:divBdr>
    </w:div>
    <w:div w:id="1852376423">
      <w:bodyDiv w:val="1"/>
      <w:marLeft w:val="0"/>
      <w:marRight w:val="0"/>
      <w:marTop w:val="0"/>
      <w:marBottom w:val="0"/>
      <w:divBdr>
        <w:top w:val="none" w:sz="0" w:space="0" w:color="auto"/>
        <w:left w:val="none" w:sz="0" w:space="0" w:color="auto"/>
        <w:bottom w:val="none" w:sz="0" w:space="0" w:color="auto"/>
        <w:right w:val="none" w:sz="0" w:space="0" w:color="auto"/>
      </w:divBdr>
    </w:div>
    <w:div w:id="1852917272">
      <w:bodyDiv w:val="1"/>
      <w:marLeft w:val="0"/>
      <w:marRight w:val="0"/>
      <w:marTop w:val="0"/>
      <w:marBottom w:val="0"/>
      <w:divBdr>
        <w:top w:val="none" w:sz="0" w:space="0" w:color="auto"/>
        <w:left w:val="none" w:sz="0" w:space="0" w:color="auto"/>
        <w:bottom w:val="none" w:sz="0" w:space="0" w:color="auto"/>
        <w:right w:val="none" w:sz="0" w:space="0" w:color="auto"/>
      </w:divBdr>
    </w:div>
    <w:div w:id="1853104220">
      <w:bodyDiv w:val="1"/>
      <w:marLeft w:val="0"/>
      <w:marRight w:val="0"/>
      <w:marTop w:val="0"/>
      <w:marBottom w:val="0"/>
      <w:divBdr>
        <w:top w:val="none" w:sz="0" w:space="0" w:color="auto"/>
        <w:left w:val="none" w:sz="0" w:space="0" w:color="auto"/>
        <w:bottom w:val="none" w:sz="0" w:space="0" w:color="auto"/>
        <w:right w:val="none" w:sz="0" w:space="0" w:color="auto"/>
      </w:divBdr>
    </w:div>
    <w:div w:id="1854218403">
      <w:bodyDiv w:val="1"/>
      <w:marLeft w:val="0"/>
      <w:marRight w:val="0"/>
      <w:marTop w:val="0"/>
      <w:marBottom w:val="0"/>
      <w:divBdr>
        <w:top w:val="none" w:sz="0" w:space="0" w:color="auto"/>
        <w:left w:val="none" w:sz="0" w:space="0" w:color="auto"/>
        <w:bottom w:val="none" w:sz="0" w:space="0" w:color="auto"/>
        <w:right w:val="none" w:sz="0" w:space="0" w:color="auto"/>
      </w:divBdr>
    </w:div>
    <w:div w:id="1854876656">
      <w:bodyDiv w:val="1"/>
      <w:marLeft w:val="0"/>
      <w:marRight w:val="0"/>
      <w:marTop w:val="0"/>
      <w:marBottom w:val="0"/>
      <w:divBdr>
        <w:top w:val="none" w:sz="0" w:space="0" w:color="auto"/>
        <w:left w:val="none" w:sz="0" w:space="0" w:color="auto"/>
        <w:bottom w:val="none" w:sz="0" w:space="0" w:color="auto"/>
        <w:right w:val="none" w:sz="0" w:space="0" w:color="auto"/>
      </w:divBdr>
    </w:div>
    <w:div w:id="1856991928">
      <w:bodyDiv w:val="1"/>
      <w:marLeft w:val="0"/>
      <w:marRight w:val="0"/>
      <w:marTop w:val="0"/>
      <w:marBottom w:val="0"/>
      <w:divBdr>
        <w:top w:val="none" w:sz="0" w:space="0" w:color="auto"/>
        <w:left w:val="none" w:sz="0" w:space="0" w:color="auto"/>
        <w:bottom w:val="none" w:sz="0" w:space="0" w:color="auto"/>
        <w:right w:val="none" w:sz="0" w:space="0" w:color="auto"/>
      </w:divBdr>
    </w:div>
    <w:div w:id="1856993141">
      <w:bodyDiv w:val="1"/>
      <w:marLeft w:val="0"/>
      <w:marRight w:val="0"/>
      <w:marTop w:val="0"/>
      <w:marBottom w:val="0"/>
      <w:divBdr>
        <w:top w:val="none" w:sz="0" w:space="0" w:color="auto"/>
        <w:left w:val="none" w:sz="0" w:space="0" w:color="auto"/>
        <w:bottom w:val="none" w:sz="0" w:space="0" w:color="auto"/>
        <w:right w:val="none" w:sz="0" w:space="0" w:color="auto"/>
      </w:divBdr>
    </w:div>
    <w:div w:id="1857038346">
      <w:bodyDiv w:val="1"/>
      <w:marLeft w:val="0"/>
      <w:marRight w:val="0"/>
      <w:marTop w:val="0"/>
      <w:marBottom w:val="0"/>
      <w:divBdr>
        <w:top w:val="none" w:sz="0" w:space="0" w:color="auto"/>
        <w:left w:val="none" w:sz="0" w:space="0" w:color="auto"/>
        <w:bottom w:val="none" w:sz="0" w:space="0" w:color="auto"/>
        <w:right w:val="none" w:sz="0" w:space="0" w:color="auto"/>
      </w:divBdr>
    </w:div>
    <w:div w:id="1857495757">
      <w:bodyDiv w:val="1"/>
      <w:marLeft w:val="0"/>
      <w:marRight w:val="0"/>
      <w:marTop w:val="0"/>
      <w:marBottom w:val="0"/>
      <w:divBdr>
        <w:top w:val="none" w:sz="0" w:space="0" w:color="auto"/>
        <w:left w:val="none" w:sz="0" w:space="0" w:color="auto"/>
        <w:bottom w:val="none" w:sz="0" w:space="0" w:color="auto"/>
        <w:right w:val="none" w:sz="0" w:space="0" w:color="auto"/>
      </w:divBdr>
    </w:div>
    <w:div w:id="1858159060">
      <w:bodyDiv w:val="1"/>
      <w:marLeft w:val="0"/>
      <w:marRight w:val="0"/>
      <w:marTop w:val="0"/>
      <w:marBottom w:val="0"/>
      <w:divBdr>
        <w:top w:val="none" w:sz="0" w:space="0" w:color="auto"/>
        <w:left w:val="none" w:sz="0" w:space="0" w:color="auto"/>
        <w:bottom w:val="none" w:sz="0" w:space="0" w:color="auto"/>
        <w:right w:val="none" w:sz="0" w:space="0" w:color="auto"/>
      </w:divBdr>
    </w:div>
    <w:div w:id="1860661274">
      <w:bodyDiv w:val="1"/>
      <w:marLeft w:val="0"/>
      <w:marRight w:val="0"/>
      <w:marTop w:val="0"/>
      <w:marBottom w:val="0"/>
      <w:divBdr>
        <w:top w:val="none" w:sz="0" w:space="0" w:color="auto"/>
        <w:left w:val="none" w:sz="0" w:space="0" w:color="auto"/>
        <w:bottom w:val="none" w:sz="0" w:space="0" w:color="auto"/>
        <w:right w:val="none" w:sz="0" w:space="0" w:color="auto"/>
      </w:divBdr>
    </w:div>
    <w:div w:id="1863477186">
      <w:bodyDiv w:val="1"/>
      <w:marLeft w:val="0"/>
      <w:marRight w:val="0"/>
      <w:marTop w:val="0"/>
      <w:marBottom w:val="0"/>
      <w:divBdr>
        <w:top w:val="none" w:sz="0" w:space="0" w:color="auto"/>
        <w:left w:val="none" w:sz="0" w:space="0" w:color="auto"/>
        <w:bottom w:val="none" w:sz="0" w:space="0" w:color="auto"/>
        <w:right w:val="none" w:sz="0" w:space="0" w:color="auto"/>
      </w:divBdr>
    </w:div>
    <w:div w:id="1863785050">
      <w:bodyDiv w:val="1"/>
      <w:marLeft w:val="0"/>
      <w:marRight w:val="0"/>
      <w:marTop w:val="0"/>
      <w:marBottom w:val="0"/>
      <w:divBdr>
        <w:top w:val="none" w:sz="0" w:space="0" w:color="auto"/>
        <w:left w:val="none" w:sz="0" w:space="0" w:color="auto"/>
        <w:bottom w:val="none" w:sz="0" w:space="0" w:color="auto"/>
        <w:right w:val="none" w:sz="0" w:space="0" w:color="auto"/>
      </w:divBdr>
    </w:div>
    <w:div w:id="1864587020">
      <w:bodyDiv w:val="1"/>
      <w:marLeft w:val="0"/>
      <w:marRight w:val="0"/>
      <w:marTop w:val="0"/>
      <w:marBottom w:val="0"/>
      <w:divBdr>
        <w:top w:val="none" w:sz="0" w:space="0" w:color="auto"/>
        <w:left w:val="none" w:sz="0" w:space="0" w:color="auto"/>
        <w:bottom w:val="none" w:sz="0" w:space="0" w:color="auto"/>
        <w:right w:val="none" w:sz="0" w:space="0" w:color="auto"/>
      </w:divBdr>
    </w:div>
    <w:div w:id="1864704252">
      <w:bodyDiv w:val="1"/>
      <w:marLeft w:val="0"/>
      <w:marRight w:val="0"/>
      <w:marTop w:val="0"/>
      <w:marBottom w:val="0"/>
      <w:divBdr>
        <w:top w:val="none" w:sz="0" w:space="0" w:color="auto"/>
        <w:left w:val="none" w:sz="0" w:space="0" w:color="auto"/>
        <w:bottom w:val="none" w:sz="0" w:space="0" w:color="auto"/>
        <w:right w:val="none" w:sz="0" w:space="0" w:color="auto"/>
      </w:divBdr>
    </w:div>
    <w:div w:id="1866795559">
      <w:bodyDiv w:val="1"/>
      <w:marLeft w:val="0"/>
      <w:marRight w:val="0"/>
      <w:marTop w:val="0"/>
      <w:marBottom w:val="0"/>
      <w:divBdr>
        <w:top w:val="none" w:sz="0" w:space="0" w:color="auto"/>
        <w:left w:val="none" w:sz="0" w:space="0" w:color="auto"/>
        <w:bottom w:val="none" w:sz="0" w:space="0" w:color="auto"/>
        <w:right w:val="none" w:sz="0" w:space="0" w:color="auto"/>
      </w:divBdr>
    </w:div>
    <w:div w:id="1868253981">
      <w:bodyDiv w:val="1"/>
      <w:marLeft w:val="0"/>
      <w:marRight w:val="0"/>
      <w:marTop w:val="0"/>
      <w:marBottom w:val="0"/>
      <w:divBdr>
        <w:top w:val="none" w:sz="0" w:space="0" w:color="auto"/>
        <w:left w:val="none" w:sz="0" w:space="0" w:color="auto"/>
        <w:bottom w:val="none" w:sz="0" w:space="0" w:color="auto"/>
        <w:right w:val="none" w:sz="0" w:space="0" w:color="auto"/>
      </w:divBdr>
    </w:div>
    <w:div w:id="1868643587">
      <w:bodyDiv w:val="1"/>
      <w:marLeft w:val="0"/>
      <w:marRight w:val="0"/>
      <w:marTop w:val="0"/>
      <w:marBottom w:val="0"/>
      <w:divBdr>
        <w:top w:val="none" w:sz="0" w:space="0" w:color="auto"/>
        <w:left w:val="none" w:sz="0" w:space="0" w:color="auto"/>
        <w:bottom w:val="none" w:sz="0" w:space="0" w:color="auto"/>
        <w:right w:val="none" w:sz="0" w:space="0" w:color="auto"/>
      </w:divBdr>
    </w:div>
    <w:div w:id="1868828237">
      <w:bodyDiv w:val="1"/>
      <w:marLeft w:val="0"/>
      <w:marRight w:val="0"/>
      <w:marTop w:val="0"/>
      <w:marBottom w:val="0"/>
      <w:divBdr>
        <w:top w:val="none" w:sz="0" w:space="0" w:color="auto"/>
        <w:left w:val="none" w:sz="0" w:space="0" w:color="auto"/>
        <w:bottom w:val="none" w:sz="0" w:space="0" w:color="auto"/>
        <w:right w:val="none" w:sz="0" w:space="0" w:color="auto"/>
      </w:divBdr>
    </w:div>
    <w:div w:id="1869682659">
      <w:bodyDiv w:val="1"/>
      <w:marLeft w:val="0"/>
      <w:marRight w:val="0"/>
      <w:marTop w:val="0"/>
      <w:marBottom w:val="0"/>
      <w:divBdr>
        <w:top w:val="none" w:sz="0" w:space="0" w:color="auto"/>
        <w:left w:val="none" w:sz="0" w:space="0" w:color="auto"/>
        <w:bottom w:val="none" w:sz="0" w:space="0" w:color="auto"/>
        <w:right w:val="none" w:sz="0" w:space="0" w:color="auto"/>
      </w:divBdr>
    </w:div>
    <w:div w:id="1870952658">
      <w:bodyDiv w:val="1"/>
      <w:marLeft w:val="0"/>
      <w:marRight w:val="0"/>
      <w:marTop w:val="0"/>
      <w:marBottom w:val="0"/>
      <w:divBdr>
        <w:top w:val="none" w:sz="0" w:space="0" w:color="auto"/>
        <w:left w:val="none" w:sz="0" w:space="0" w:color="auto"/>
        <w:bottom w:val="none" w:sz="0" w:space="0" w:color="auto"/>
        <w:right w:val="none" w:sz="0" w:space="0" w:color="auto"/>
      </w:divBdr>
    </w:div>
    <w:div w:id="1871720821">
      <w:bodyDiv w:val="1"/>
      <w:marLeft w:val="0"/>
      <w:marRight w:val="0"/>
      <w:marTop w:val="0"/>
      <w:marBottom w:val="0"/>
      <w:divBdr>
        <w:top w:val="none" w:sz="0" w:space="0" w:color="auto"/>
        <w:left w:val="none" w:sz="0" w:space="0" w:color="auto"/>
        <w:bottom w:val="none" w:sz="0" w:space="0" w:color="auto"/>
        <w:right w:val="none" w:sz="0" w:space="0" w:color="auto"/>
      </w:divBdr>
    </w:div>
    <w:div w:id="1872760638">
      <w:bodyDiv w:val="1"/>
      <w:marLeft w:val="0"/>
      <w:marRight w:val="0"/>
      <w:marTop w:val="0"/>
      <w:marBottom w:val="0"/>
      <w:divBdr>
        <w:top w:val="none" w:sz="0" w:space="0" w:color="auto"/>
        <w:left w:val="none" w:sz="0" w:space="0" w:color="auto"/>
        <w:bottom w:val="none" w:sz="0" w:space="0" w:color="auto"/>
        <w:right w:val="none" w:sz="0" w:space="0" w:color="auto"/>
      </w:divBdr>
    </w:div>
    <w:div w:id="1874461859">
      <w:bodyDiv w:val="1"/>
      <w:marLeft w:val="0"/>
      <w:marRight w:val="0"/>
      <w:marTop w:val="0"/>
      <w:marBottom w:val="0"/>
      <w:divBdr>
        <w:top w:val="none" w:sz="0" w:space="0" w:color="auto"/>
        <w:left w:val="none" w:sz="0" w:space="0" w:color="auto"/>
        <w:bottom w:val="none" w:sz="0" w:space="0" w:color="auto"/>
        <w:right w:val="none" w:sz="0" w:space="0" w:color="auto"/>
      </w:divBdr>
    </w:div>
    <w:div w:id="1875464825">
      <w:bodyDiv w:val="1"/>
      <w:marLeft w:val="0"/>
      <w:marRight w:val="0"/>
      <w:marTop w:val="0"/>
      <w:marBottom w:val="0"/>
      <w:divBdr>
        <w:top w:val="none" w:sz="0" w:space="0" w:color="auto"/>
        <w:left w:val="none" w:sz="0" w:space="0" w:color="auto"/>
        <w:bottom w:val="none" w:sz="0" w:space="0" w:color="auto"/>
        <w:right w:val="none" w:sz="0" w:space="0" w:color="auto"/>
      </w:divBdr>
    </w:div>
    <w:div w:id="1877548165">
      <w:bodyDiv w:val="1"/>
      <w:marLeft w:val="0"/>
      <w:marRight w:val="0"/>
      <w:marTop w:val="0"/>
      <w:marBottom w:val="0"/>
      <w:divBdr>
        <w:top w:val="none" w:sz="0" w:space="0" w:color="auto"/>
        <w:left w:val="none" w:sz="0" w:space="0" w:color="auto"/>
        <w:bottom w:val="none" w:sz="0" w:space="0" w:color="auto"/>
        <w:right w:val="none" w:sz="0" w:space="0" w:color="auto"/>
      </w:divBdr>
    </w:div>
    <w:div w:id="1877696650">
      <w:bodyDiv w:val="1"/>
      <w:marLeft w:val="0"/>
      <w:marRight w:val="0"/>
      <w:marTop w:val="0"/>
      <w:marBottom w:val="0"/>
      <w:divBdr>
        <w:top w:val="none" w:sz="0" w:space="0" w:color="auto"/>
        <w:left w:val="none" w:sz="0" w:space="0" w:color="auto"/>
        <w:bottom w:val="none" w:sz="0" w:space="0" w:color="auto"/>
        <w:right w:val="none" w:sz="0" w:space="0" w:color="auto"/>
      </w:divBdr>
    </w:div>
    <w:div w:id="1877960482">
      <w:bodyDiv w:val="1"/>
      <w:marLeft w:val="0"/>
      <w:marRight w:val="0"/>
      <w:marTop w:val="0"/>
      <w:marBottom w:val="0"/>
      <w:divBdr>
        <w:top w:val="none" w:sz="0" w:space="0" w:color="auto"/>
        <w:left w:val="none" w:sz="0" w:space="0" w:color="auto"/>
        <w:bottom w:val="none" w:sz="0" w:space="0" w:color="auto"/>
        <w:right w:val="none" w:sz="0" w:space="0" w:color="auto"/>
      </w:divBdr>
    </w:div>
    <w:div w:id="1878472229">
      <w:bodyDiv w:val="1"/>
      <w:marLeft w:val="0"/>
      <w:marRight w:val="0"/>
      <w:marTop w:val="0"/>
      <w:marBottom w:val="0"/>
      <w:divBdr>
        <w:top w:val="none" w:sz="0" w:space="0" w:color="auto"/>
        <w:left w:val="none" w:sz="0" w:space="0" w:color="auto"/>
        <w:bottom w:val="none" w:sz="0" w:space="0" w:color="auto"/>
        <w:right w:val="none" w:sz="0" w:space="0" w:color="auto"/>
      </w:divBdr>
    </w:div>
    <w:div w:id="1879271162">
      <w:bodyDiv w:val="1"/>
      <w:marLeft w:val="0"/>
      <w:marRight w:val="0"/>
      <w:marTop w:val="0"/>
      <w:marBottom w:val="0"/>
      <w:divBdr>
        <w:top w:val="none" w:sz="0" w:space="0" w:color="auto"/>
        <w:left w:val="none" w:sz="0" w:space="0" w:color="auto"/>
        <w:bottom w:val="none" w:sz="0" w:space="0" w:color="auto"/>
        <w:right w:val="none" w:sz="0" w:space="0" w:color="auto"/>
      </w:divBdr>
    </w:div>
    <w:div w:id="1879779058">
      <w:bodyDiv w:val="1"/>
      <w:marLeft w:val="0"/>
      <w:marRight w:val="0"/>
      <w:marTop w:val="0"/>
      <w:marBottom w:val="0"/>
      <w:divBdr>
        <w:top w:val="none" w:sz="0" w:space="0" w:color="auto"/>
        <w:left w:val="none" w:sz="0" w:space="0" w:color="auto"/>
        <w:bottom w:val="none" w:sz="0" w:space="0" w:color="auto"/>
        <w:right w:val="none" w:sz="0" w:space="0" w:color="auto"/>
      </w:divBdr>
    </w:div>
    <w:div w:id="1880125857">
      <w:bodyDiv w:val="1"/>
      <w:marLeft w:val="0"/>
      <w:marRight w:val="0"/>
      <w:marTop w:val="0"/>
      <w:marBottom w:val="0"/>
      <w:divBdr>
        <w:top w:val="none" w:sz="0" w:space="0" w:color="auto"/>
        <w:left w:val="none" w:sz="0" w:space="0" w:color="auto"/>
        <w:bottom w:val="none" w:sz="0" w:space="0" w:color="auto"/>
        <w:right w:val="none" w:sz="0" w:space="0" w:color="auto"/>
      </w:divBdr>
    </w:div>
    <w:div w:id="1880584880">
      <w:bodyDiv w:val="1"/>
      <w:marLeft w:val="0"/>
      <w:marRight w:val="0"/>
      <w:marTop w:val="0"/>
      <w:marBottom w:val="0"/>
      <w:divBdr>
        <w:top w:val="none" w:sz="0" w:space="0" w:color="auto"/>
        <w:left w:val="none" w:sz="0" w:space="0" w:color="auto"/>
        <w:bottom w:val="none" w:sz="0" w:space="0" w:color="auto"/>
        <w:right w:val="none" w:sz="0" w:space="0" w:color="auto"/>
      </w:divBdr>
    </w:div>
    <w:div w:id="1881477457">
      <w:bodyDiv w:val="1"/>
      <w:marLeft w:val="0"/>
      <w:marRight w:val="0"/>
      <w:marTop w:val="0"/>
      <w:marBottom w:val="0"/>
      <w:divBdr>
        <w:top w:val="none" w:sz="0" w:space="0" w:color="auto"/>
        <w:left w:val="none" w:sz="0" w:space="0" w:color="auto"/>
        <w:bottom w:val="none" w:sz="0" w:space="0" w:color="auto"/>
        <w:right w:val="none" w:sz="0" w:space="0" w:color="auto"/>
      </w:divBdr>
    </w:div>
    <w:div w:id="1881942275">
      <w:bodyDiv w:val="1"/>
      <w:marLeft w:val="0"/>
      <w:marRight w:val="0"/>
      <w:marTop w:val="0"/>
      <w:marBottom w:val="0"/>
      <w:divBdr>
        <w:top w:val="none" w:sz="0" w:space="0" w:color="auto"/>
        <w:left w:val="none" w:sz="0" w:space="0" w:color="auto"/>
        <w:bottom w:val="none" w:sz="0" w:space="0" w:color="auto"/>
        <w:right w:val="none" w:sz="0" w:space="0" w:color="auto"/>
      </w:divBdr>
    </w:div>
    <w:div w:id="1883471506">
      <w:bodyDiv w:val="1"/>
      <w:marLeft w:val="0"/>
      <w:marRight w:val="0"/>
      <w:marTop w:val="0"/>
      <w:marBottom w:val="0"/>
      <w:divBdr>
        <w:top w:val="none" w:sz="0" w:space="0" w:color="auto"/>
        <w:left w:val="none" w:sz="0" w:space="0" w:color="auto"/>
        <w:bottom w:val="none" w:sz="0" w:space="0" w:color="auto"/>
        <w:right w:val="none" w:sz="0" w:space="0" w:color="auto"/>
      </w:divBdr>
    </w:div>
    <w:div w:id="1886863942">
      <w:bodyDiv w:val="1"/>
      <w:marLeft w:val="0"/>
      <w:marRight w:val="0"/>
      <w:marTop w:val="0"/>
      <w:marBottom w:val="0"/>
      <w:divBdr>
        <w:top w:val="none" w:sz="0" w:space="0" w:color="auto"/>
        <w:left w:val="none" w:sz="0" w:space="0" w:color="auto"/>
        <w:bottom w:val="none" w:sz="0" w:space="0" w:color="auto"/>
        <w:right w:val="none" w:sz="0" w:space="0" w:color="auto"/>
      </w:divBdr>
    </w:div>
    <w:div w:id="1887254247">
      <w:bodyDiv w:val="1"/>
      <w:marLeft w:val="0"/>
      <w:marRight w:val="0"/>
      <w:marTop w:val="0"/>
      <w:marBottom w:val="0"/>
      <w:divBdr>
        <w:top w:val="none" w:sz="0" w:space="0" w:color="auto"/>
        <w:left w:val="none" w:sz="0" w:space="0" w:color="auto"/>
        <w:bottom w:val="none" w:sz="0" w:space="0" w:color="auto"/>
        <w:right w:val="none" w:sz="0" w:space="0" w:color="auto"/>
      </w:divBdr>
    </w:div>
    <w:div w:id="1887599749">
      <w:bodyDiv w:val="1"/>
      <w:marLeft w:val="0"/>
      <w:marRight w:val="0"/>
      <w:marTop w:val="0"/>
      <w:marBottom w:val="0"/>
      <w:divBdr>
        <w:top w:val="none" w:sz="0" w:space="0" w:color="auto"/>
        <w:left w:val="none" w:sz="0" w:space="0" w:color="auto"/>
        <w:bottom w:val="none" w:sz="0" w:space="0" w:color="auto"/>
        <w:right w:val="none" w:sz="0" w:space="0" w:color="auto"/>
      </w:divBdr>
    </w:div>
    <w:div w:id="1887983250">
      <w:bodyDiv w:val="1"/>
      <w:marLeft w:val="0"/>
      <w:marRight w:val="0"/>
      <w:marTop w:val="0"/>
      <w:marBottom w:val="0"/>
      <w:divBdr>
        <w:top w:val="none" w:sz="0" w:space="0" w:color="auto"/>
        <w:left w:val="none" w:sz="0" w:space="0" w:color="auto"/>
        <w:bottom w:val="none" w:sz="0" w:space="0" w:color="auto"/>
        <w:right w:val="none" w:sz="0" w:space="0" w:color="auto"/>
      </w:divBdr>
    </w:div>
    <w:div w:id="1888762521">
      <w:bodyDiv w:val="1"/>
      <w:marLeft w:val="0"/>
      <w:marRight w:val="0"/>
      <w:marTop w:val="0"/>
      <w:marBottom w:val="0"/>
      <w:divBdr>
        <w:top w:val="none" w:sz="0" w:space="0" w:color="auto"/>
        <w:left w:val="none" w:sz="0" w:space="0" w:color="auto"/>
        <w:bottom w:val="none" w:sz="0" w:space="0" w:color="auto"/>
        <w:right w:val="none" w:sz="0" w:space="0" w:color="auto"/>
      </w:divBdr>
    </w:div>
    <w:div w:id="1889604675">
      <w:bodyDiv w:val="1"/>
      <w:marLeft w:val="0"/>
      <w:marRight w:val="0"/>
      <w:marTop w:val="0"/>
      <w:marBottom w:val="0"/>
      <w:divBdr>
        <w:top w:val="none" w:sz="0" w:space="0" w:color="auto"/>
        <w:left w:val="none" w:sz="0" w:space="0" w:color="auto"/>
        <w:bottom w:val="none" w:sz="0" w:space="0" w:color="auto"/>
        <w:right w:val="none" w:sz="0" w:space="0" w:color="auto"/>
      </w:divBdr>
    </w:div>
    <w:div w:id="1892419688">
      <w:bodyDiv w:val="1"/>
      <w:marLeft w:val="0"/>
      <w:marRight w:val="0"/>
      <w:marTop w:val="0"/>
      <w:marBottom w:val="0"/>
      <w:divBdr>
        <w:top w:val="none" w:sz="0" w:space="0" w:color="auto"/>
        <w:left w:val="none" w:sz="0" w:space="0" w:color="auto"/>
        <w:bottom w:val="none" w:sz="0" w:space="0" w:color="auto"/>
        <w:right w:val="none" w:sz="0" w:space="0" w:color="auto"/>
      </w:divBdr>
    </w:div>
    <w:div w:id="1892619677">
      <w:bodyDiv w:val="1"/>
      <w:marLeft w:val="0"/>
      <w:marRight w:val="0"/>
      <w:marTop w:val="0"/>
      <w:marBottom w:val="0"/>
      <w:divBdr>
        <w:top w:val="none" w:sz="0" w:space="0" w:color="auto"/>
        <w:left w:val="none" w:sz="0" w:space="0" w:color="auto"/>
        <w:bottom w:val="none" w:sz="0" w:space="0" w:color="auto"/>
        <w:right w:val="none" w:sz="0" w:space="0" w:color="auto"/>
      </w:divBdr>
    </w:div>
    <w:div w:id="1893538517">
      <w:bodyDiv w:val="1"/>
      <w:marLeft w:val="0"/>
      <w:marRight w:val="0"/>
      <w:marTop w:val="0"/>
      <w:marBottom w:val="0"/>
      <w:divBdr>
        <w:top w:val="none" w:sz="0" w:space="0" w:color="auto"/>
        <w:left w:val="none" w:sz="0" w:space="0" w:color="auto"/>
        <w:bottom w:val="none" w:sz="0" w:space="0" w:color="auto"/>
        <w:right w:val="none" w:sz="0" w:space="0" w:color="auto"/>
      </w:divBdr>
    </w:div>
    <w:div w:id="1893541123">
      <w:bodyDiv w:val="1"/>
      <w:marLeft w:val="0"/>
      <w:marRight w:val="0"/>
      <w:marTop w:val="0"/>
      <w:marBottom w:val="0"/>
      <w:divBdr>
        <w:top w:val="none" w:sz="0" w:space="0" w:color="auto"/>
        <w:left w:val="none" w:sz="0" w:space="0" w:color="auto"/>
        <w:bottom w:val="none" w:sz="0" w:space="0" w:color="auto"/>
        <w:right w:val="none" w:sz="0" w:space="0" w:color="auto"/>
      </w:divBdr>
    </w:div>
    <w:div w:id="1893615660">
      <w:bodyDiv w:val="1"/>
      <w:marLeft w:val="0"/>
      <w:marRight w:val="0"/>
      <w:marTop w:val="0"/>
      <w:marBottom w:val="0"/>
      <w:divBdr>
        <w:top w:val="none" w:sz="0" w:space="0" w:color="auto"/>
        <w:left w:val="none" w:sz="0" w:space="0" w:color="auto"/>
        <w:bottom w:val="none" w:sz="0" w:space="0" w:color="auto"/>
        <w:right w:val="none" w:sz="0" w:space="0" w:color="auto"/>
      </w:divBdr>
    </w:div>
    <w:div w:id="1894268837">
      <w:bodyDiv w:val="1"/>
      <w:marLeft w:val="0"/>
      <w:marRight w:val="0"/>
      <w:marTop w:val="0"/>
      <w:marBottom w:val="0"/>
      <w:divBdr>
        <w:top w:val="none" w:sz="0" w:space="0" w:color="auto"/>
        <w:left w:val="none" w:sz="0" w:space="0" w:color="auto"/>
        <w:bottom w:val="none" w:sz="0" w:space="0" w:color="auto"/>
        <w:right w:val="none" w:sz="0" w:space="0" w:color="auto"/>
      </w:divBdr>
    </w:div>
    <w:div w:id="1895314289">
      <w:bodyDiv w:val="1"/>
      <w:marLeft w:val="0"/>
      <w:marRight w:val="0"/>
      <w:marTop w:val="0"/>
      <w:marBottom w:val="0"/>
      <w:divBdr>
        <w:top w:val="none" w:sz="0" w:space="0" w:color="auto"/>
        <w:left w:val="none" w:sz="0" w:space="0" w:color="auto"/>
        <w:bottom w:val="none" w:sz="0" w:space="0" w:color="auto"/>
        <w:right w:val="none" w:sz="0" w:space="0" w:color="auto"/>
      </w:divBdr>
    </w:div>
    <w:div w:id="1896352358">
      <w:bodyDiv w:val="1"/>
      <w:marLeft w:val="0"/>
      <w:marRight w:val="0"/>
      <w:marTop w:val="0"/>
      <w:marBottom w:val="0"/>
      <w:divBdr>
        <w:top w:val="none" w:sz="0" w:space="0" w:color="auto"/>
        <w:left w:val="none" w:sz="0" w:space="0" w:color="auto"/>
        <w:bottom w:val="none" w:sz="0" w:space="0" w:color="auto"/>
        <w:right w:val="none" w:sz="0" w:space="0" w:color="auto"/>
      </w:divBdr>
    </w:div>
    <w:div w:id="1897086144">
      <w:bodyDiv w:val="1"/>
      <w:marLeft w:val="0"/>
      <w:marRight w:val="0"/>
      <w:marTop w:val="0"/>
      <w:marBottom w:val="0"/>
      <w:divBdr>
        <w:top w:val="none" w:sz="0" w:space="0" w:color="auto"/>
        <w:left w:val="none" w:sz="0" w:space="0" w:color="auto"/>
        <w:bottom w:val="none" w:sz="0" w:space="0" w:color="auto"/>
        <w:right w:val="none" w:sz="0" w:space="0" w:color="auto"/>
      </w:divBdr>
    </w:div>
    <w:div w:id="1901868328">
      <w:bodyDiv w:val="1"/>
      <w:marLeft w:val="0"/>
      <w:marRight w:val="0"/>
      <w:marTop w:val="0"/>
      <w:marBottom w:val="0"/>
      <w:divBdr>
        <w:top w:val="none" w:sz="0" w:space="0" w:color="auto"/>
        <w:left w:val="none" w:sz="0" w:space="0" w:color="auto"/>
        <w:bottom w:val="none" w:sz="0" w:space="0" w:color="auto"/>
        <w:right w:val="none" w:sz="0" w:space="0" w:color="auto"/>
      </w:divBdr>
    </w:div>
    <w:div w:id="1901943380">
      <w:bodyDiv w:val="1"/>
      <w:marLeft w:val="0"/>
      <w:marRight w:val="0"/>
      <w:marTop w:val="0"/>
      <w:marBottom w:val="0"/>
      <w:divBdr>
        <w:top w:val="none" w:sz="0" w:space="0" w:color="auto"/>
        <w:left w:val="none" w:sz="0" w:space="0" w:color="auto"/>
        <w:bottom w:val="none" w:sz="0" w:space="0" w:color="auto"/>
        <w:right w:val="none" w:sz="0" w:space="0" w:color="auto"/>
      </w:divBdr>
    </w:div>
    <w:div w:id="1902641288">
      <w:bodyDiv w:val="1"/>
      <w:marLeft w:val="0"/>
      <w:marRight w:val="0"/>
      <w:marTop w:val="0"/>
      <w:marBottom w:val="0"/>
      <w:divBdr>
        <w:top w:val="none" w:sz="0" w:space="0" w:color="auto"/>
        <w:left w:val="none" w:sz="0" w:space="0" w:color="auto"/>
        <w:bottom w:val="none" w:sz="0" w:space="0" w:color="auto"/>
        <w:right w:val="none" w:sz="0" w:space="0" w:color="auto"/>
      </w:divBdr>
    </w:div>
    <w:div w:id="1902985002">
      <w:bodyDiv w:val="1"/>
      <w:marLeft w:val="0"/>
      <w:marRight w:val="0"/>
      <w:marTop w:val="0"/>
      <w:marBottom w:val="0"/>
      <w:divBdr>
        <w:top w:val="none" w:sz="0" w:space="0" w:color="auto"/>
        <w:left w:val="none" w:sz="0" w:space="0" w:color="auto"/>
        <w:bottom w:val="none" w:sz="0" w:space="0" w:color="auto"/>
        <w:right w:val="none" w:sz="0" w:space="0" w:color="auto"/>
      </w:divBdr>
    </w:div>
    <w:div w:id="1903522161">
      <w:bodyDiv w:val="1"/>
      <w:marLeft w:val="0"/>
      <w:marRight w:val="0"/>
      <w:marTop w:val="0"/>
      <w:marBottom w:val="0"/>
      <w:divBdr>
        <w:top w:val="none" w:sz="0" w:space="0" w:color="auto"/>
        <w:left w:val="none" w:sz="0" w:space="0" w:color="auto"/>
        <w:bottom w:val="none" w:sz="0" w:space="0" w:color="auto"/>
        <w:right w:val="none" w:sz="0" w:space="0" w:color="auto"/>
      </w:divBdr>
    </w:div>
    <w:div w:id="1903566244">
      <w:bodyDiv w:val="1"/>
      <w:marLeft w:val="0"/>
      <w:marRight w:val="0"/>
      <w:marTop w:val="0"/>
      <w:marBottom w:val="0"/>
      <w:divBdr>
        <w:top w:val="none" w:sz="0" w:space="0" w:color="auto"/>
        <w:left w:val="none" w:sz="0" w:space="0" w:color="auto"/>
        <w:bottom w:val="none" w:sz="0" w:space="0" w:color="auto"/>
        <w:right w:val="none" w:sz="0" w:space="0" w:color="auto"/>
      </w:divBdr>
    </w:div>
    <w:div w:id="1904288700">
      <w:bodyDiv w:val="1"/>
      <w:marLeft w:val="0"/>
      <w:marRight w:val="0"/>
      <w:marTop w:val="0"/>
      <w:marBottom w:val="0"/>
      <w:divBdr>
        <w:top w:val="none" w:sz="0" w:space="0" w:color="auto"/>
        <w:left w:val="none" w:sz="0" w:space="0" w:color="auto"/>
        <w:bottom w:val="none" w:sz="0" w:space="0" w:color="auto"/>
        <w:right w:val="none" w:sz="0" w:space="0" w:color="auto"/>
      </w:divBdr>
    </w:div>
    <w:div w:id="1905067356">
      <w:bodyDiv w:val="1"/>
      <w:marLeft w:val="0"/>
      <w:marRight w:val="0"/>
      <w:marTop w:val="0"/>
      <w:marBottom w:val="0"/>
      <w:divBdr>
        <w:top w:val="none" w:sz="0" w:space="0" w:color="auto"/>
        <w:left w:val="none" w:sz="0" w:space="0" w:color="auto"/>
        <w:bottom w:val="none" w:sz="0" w:space="0" w:color="auto"/>
        <w:right w:val="none" w:sz="0" w:space="0" w:color="auto"/>
      </w:divBdr>
    </w:div>
    <w:div w:id="1905094547">
      <w:bodyDiv w:val="1"/>
      <w:marLeft w:val="0"/>
      <w:marRight w:val="0"/>
      <w:marTop w:val="0"/>
      <w:marBottom w:val="0"/>
      <w:divBdr>
        <w:top w:val="none" w:sz="0" w:space="0" w:color="auto"/>
        <w:left w:val="none" w:sz="0" w:space="0" w:color="auto"/>
        <w:bottom w:val="none" w:sz="0" w:space="0" w:color="auto"/>
        <w:right w:val="none" w:sz="0" w:space="0" w:color="auto"/>
      </w:divBdr>
    </w:div>
    <w:div w:id="1905214839">
      <w:bodyDiv w:val="1"/>
      <w:marLeft w:val="0"/>
      <w:marRight w:val="0"/>
      <w:marTop w:val="0"/>
      <w:marBottom w:val="0"/>
      <w:divBdr>
        <w:top w:val="none" w:sz="0" w:space="0" w:color="auto"/>
        <w:left w:val="none" w:sz="0" w:space="0" w:color="auto"/>
        <w:bottom w:val="none" w:sz="0" w:space="0" w:color="auto"/>
        <w:right w:val="none" w:sz="0" w:space="0" w:color="auto"/>
      </w:divBdr>
    </w:div>
    <w:div w:id="1906450078">
      <w:bodyDiv w:val="1"/>
      <w:marLeft w:val="0"/>
      <w:marRight w:val="0"/>
      <w:marTop w:val="0"/>
      <w:marBottom w:val="0"/>
      <w:divBdr>
        <w:top w:val="none" w:sz="0" w:space="0" w:color="auto"/>
        <w:left w:val="none" w:sz="0" w:space="0" w:color="auto"/>
        <w:bottom w:val="none" w:sz="0" w:space="0" w:color="auto"/>
        <w:right w:val="none" w:sz="0" w:space="0" w:color="auto"/>
      </w:divBdr>
    </w:div>
    <w:div w:id="1906914976">
      <w:bodyDiv w:val="1"/>
      <w:marLeft w:val="0"/>
      <w:marRight w:val="0"/>
      <w:marTop w:val="0"/>
      <w:marBottom w:val="0"/>
      <w:divBdr>
        <w:top w:val="none" w:sz="0" w:space="0" w:color="auto"/>
        <w:left w:val="none" w:sz="0" w:space="0" w:color="auto"/>
        <w:bottom w:val="none" w:sz="0" w:space="0" w:color="auto"/>
        <w:right w:val="none" w:sz="0" w:space="0" w:color="auto"/>
      </w:divBdr>
    </w:div>
    <w:div w:id="1907951431">
      <w:bodyDiv w:val="1"/>
      <w:marLeft w:val="0"/>
      <w:marRight w:val="0"/>
      <w:marTop w:val="0"/>
      <w:marBottom w:val="0"/>
      <w:divBdr>
        <w:top w:val="none" w:sz="0" w:space="0" w:color="auto"/>
        <w:left w:val="none" w:sz="0" w:space="0" w:color="auto"/>
        <w:bottom w:val="none" w:sz="0" w:space="0" w:color="auto"/>
        <w:right w:val="none" w:sz="0" w:space="0" w:color="auto"/>
      </w:divBdr>
    </w:div>
    <w:div w:id="1908224351">
      <w:bodyDiv w:val="1"/>
      <w:marLeft w:val="0"/>
      <w:marRight w:val="0"/>
      <w:marTop w:val="0"/>
      <w:marBottom w:val="0"/>
      <w:divBdr>
        <w:top w:val="none" w:sz="0" w:space="0" w:color="auto"/>
        <w:left w:val="none" w:sz="0" w:space="0" w:color="auto"/>
        <w:bottom w:val="none" w:sz="0" w:space="0" w:color="auto"/>
        <w:right w:val="none" w:sz="0" w:space="0" w:color="auto"/>
      </w:divBdr>
    </w:div>
    <w:div w:id="1908489471">
      <w:bodyDiv w:val="1"/>
      <w:marLeft w:val="0"/>
      <w:marRight w:val="0"/>
      <w:marTop w:val="0"/>
      <w:marBottom w:val="0"/>
      <w:divBdr>
        <w:top w:val="none" w:sz="0" w:space="0" w:color="auto"/>
        <w:left w:val="none" w:sz="0" w:space="0" w:color="auto"/>
        <w:bottom w:val="none" w:sz="0" w:space="0" w:color="auto"/>
        <w:right w:val="none" w:sz="0" w:space="0" w:color="auto"/>
      </w:divBdr>
    </w:div>
    <w:div w:id="1909460175">
      <w:bodyDiv w:val="1"/>
      <w:marLeft w:val="0"/>
      <w:marRight w:val="0"/>
      <w:marTop w:val="0"/>
      <w:marBottom w:val="0"/>
      <w:divBdr>
        <w:top w:val="none" w:sz="0" w:space="0" w:color="auto"/>
        <w:left w:val="none" w:sz="0" w:space="0" w:color="auto"/>
        <w:bottom w:val="none" w:sz="0" w:space="0" w:color="auto"/>
        <w:right w:val="none" w:sz="0" w:space="0" w:color="auto"/>
      </w:divBdr>
    </w:div>
    <w:div w:id="1909881608">
      <w:bodyDiv w:val="1"/>
      <w:marLeft w:val="0"/>
      <w:marRight w:val="0"/>
      <w:marTop w:val="0"/>
      <w:marBottom w:val="0"/>
      <w:divBdr>
        <w:top w:val="none" w:sz="0" w:space="0" w:color="auto"/>
        <w:left w:val="none" w:sz="0" w:space="0" w:color="auto"/>
        <w:bottom w:val="none" w:sz="0" w:space="0" w:color="auto"/>
        <w:right w:val="none" w:sz="0" w:space="0" w:color="auto"/>
      </w:divBdr>
    </w:div>
    <w:div w:id="1912302594">
      <w:bodyDiv w:val="1"/>
      <w:marLeft w:val="0"/>
      <w:marRight w:val="0"/>
      <w:marTop w:val="0"/>
      <w:marBottom w:val="0"/>
      <w:divBdr>
        <w:top w:val="none" w:sz="0" w:space="0" w:color="auto"/>
        <w:left w:val="none" w:sz="0" w:space="0" w:color="auto"/>
        <w:bottom w:val="none" w:sz="0" w:space="0" w:color="auto"/>
        <w:right w:val="none" w:sz="0" w:space="0" w:color="auto"/>
      </w:divBdr>
    </w:div>
    <w:div w:id="1912345991">
      <w:bodyDiv w:val="1"/>
      <w:marLeft w:val="0"/>
      <w:marRight w:val="0"/>
      <w:marTop w:val="0"/>
      <w:marBottom w:val="0"/>
      <w:divBdr>
        <w:top w:val="none" w:sz="0" w:space="0" w:color="auto"/>
        <w:left w:val="none" w:sz="0" w:space="0" w:color="auto"/>
        <w:bottom w:val="none" w:sz="0" w:space="0" w:color="auto"/>
        <w:right w:val="none" w:sz="0" w:space="0" w:color="auto"/>
      </w:divBdr>
    </w:div>
    <w:div w:id="1913193121">
      <w:bodyDiv w:val="1"/>
      <w:marLeft w:val="0"/>
      <w:marRight w:val="0"/>
      <w:marTop w:val="0"/>
      <w:marBottom w:val="0"/>
      <w:divBdr>
        <w:top w:val="none" w:sz="0" w:space="0" w:color="auto"/>
        <w:left w:val="none" w:sz="0" w:space="0" w:color="auto"/>
        <w:bottom w:val="none" w:sz="0" w:space="0" w:color="auto"/>
        <w:right w:val="none" w:sz="0" w:space="0" w:color="auto"/>
      </w:divBdr>
    </w:div>
    <w:div w:id="1913199386">
      <w:bodyDiv w:val="1"/>
      <w:marLeft w:val="0"/>
      <w:marRight w:val="0"/>
      <w:marTop w:val="0"/>
      <w:marBottom w:val="0"/>
      <w:divBdr>
        <w:top w:val="none" w:sz="0" w:space="0" w:color="auto"/>
        <w:left w:val="none" w:sz="0" w:space="0" w:color="auto"/>
        <w:bottom w:val="none" w:sz="0" w:space="0" w:color="auto"/>
        <w:right w:val="none" w:sz="0" w:space="0" w:color="auto"/>
      </w:divBdr>
    </w:div>
    <w:div w:id="1913540097">
      <w:bodyDiv w:val="1"/>
      <w:marLeft w:val="0"/>
      <w:marRight w:val="0"/>
      <w:marTop w:val="0"/>
      <w:marBottom w:val="0"/>
      <w:divBdr>
        <w:top w:val="none" w:sz="0" w:space="0" w:color="auto"/>
        <w:left w:val="none" w:sz="0" w:space="0" w:color="auto"/>
        <w:bottom w:val="none" w:sz="0" w:space="0" w:color="auto"/>
        <w:right w:val="none" w:sz="0" w:space="0" w:color="auto"/>
      </w:divBdr>
    </w:div>
    <w:div w:id="1914047263">
      <w:bodyDiv w:val="1"/>
      <w:marLeft w:val="0"/>
      <w:marRight w:val="0"/>
      <w:marTop w:val="0"/>
      <w:marBottom w:val="0"/>
      <w:divBdr>
        <w:top w:val="none" w:sz="0" w:space="0" w:color="auto"/>
        <w:left w:val="none" w:sz="0" w:space="0" w:color="auto"/>
        <w:bottom w:val="none" w:sz="0" w:space="0" w:color="auto"/>
        <w:right w:val="none" w:sz="0" w:space="0" w:color="auto"/>
      </w:divBdr>
    </w:div>
    <w:div w:id="1914925792">
      <w:bodyDiv w:val="1"/>
      <w:marLeft w:val="0"/>
      <w:marRight w:val="0"/>
      <w:marTop w:val="0"/>
      <w:marBottom w:val="0"/>
      <w:divBdr>
        <w:top w:val="none" w:sz="0" w:space="0" w:color="auto"/>
        <w:left w:val="none" w:sz="0" w:space="0" w:color="auto"/>
        <w:bottom w:val="none" w:sz="0" w:space="0" w:color="auto"/>
        <w:right w:val="none" w:sz="0" w:space="0" w:color="auto"/>
      </w:divBdr>
    </w:div>
    <w:div w:id="1915239251">
      <w:bodyDiv w:val="1"/>
      <w:marLeft w:val="0"/>
      <w:marRight w:val="0"/>
      <w:marTop w:val="0"/>
      <w:marBottom w:val="0"/>
      <w:divBdr>
        <w:top w:val="none" w:sz="0" w:space="0" w:color="auto"/>
        <w:left w:val="none" w:sz="0" w:space="0" w:color="auto"/>
        <w:bottom w:val="none" w:sz="0" w:space="0" w:color="auto"/>
        <w:right w:val="none" w:sz="0" w:space="0" w:color="auto"/>
      </w:divBdr>
    </w:div>
    <w:div w:id="1916472875">
      <w:bodyDiv w:val="1"/>
      <w:marLeft w:val="0"/>
      <w:marRight w:val="0"/>
      <w:marTop w:val="0"/>
      <w:marBottom w:val="0"/>
      <w:divBdr>
        <w:top w:val="none" w:sz="0" w:space="0" w:color="auto"/>
        <w:left w:val="none" w:sz="0" w:space="0" w:color="auto"/>
        <w:bottom w:val="none" w:sz="0" w:space="0" w:color="auto"/>
        <w:right w:val="none" w:sz="0" w:space="0" w:color="auto"/>
      </w:divBdr>
    </w:div>
    <w:div w:id="1916476963">
      <w:bodyDiv w:val="1"/>
      <w:marLeft w:val="0"/>
      <w:marRight w:val="0"/>
      <w:marTop w:val="0"/>
      <w:marBottom w:val="0"/>
      <w:divBdr>
        <w:top w:val="none" w:sz="0" w:space="0" w:color="auto"/>
        <w:left w:val="none" w:sz="0" w:space="0" w:color="auto"/>
        <w:bottom w:val="none" w:sz="0" w:space="0" w:color="auto"/>
        <w:right w:val="none" w:sz="0" w:space="0" w:color="auto"/>
      </w:divBdr>
    </w:div>
    <w:div w:id="1916553837">
      <w:bodyDiv w:val="1"/>
      <w:marLeft w:val="0"/>
      <w:marRight w:val="0"/>
      <w:marTop w:val="0"/>
      <w:marBottom w:val="0"/>
      <w:divBdr>
        <w:top w:val="none" w:sz="0" w:space="0" w:color="auto"/>
        <w:left w:val="none" w:sz="0" w:space="0" w:color="auto"/>
        <w:bottom w:val="none" w:sz="0" w:space="0" w:color="auto"/>
        <w:right w:val="none" w:sz="0" w:space="0" w:color="auto"/>
      </w:divBdr>
    </w:div>
    <w:div w:id="1916622481">
      <w:bodyDiv w:val="1"/>
      <w:marLeft w:val="0"/>
      <w:marRight w:val="0"/>
      <w:marTop w:val="0"/>
      <w:marBottom w:val="0"/>
      <w:divBdr>
        <w:top w:val="none" w:sz="0" w:space="0" w:color="auto"/>
        <w:left w:val="none" w:sz="0" w:space="0" w:color="auto"/>
        <w:bottom w:val="none" w:sz="0" w:space="0" w:color="auto"/>
        <w:right w:val="none" w:sz="0" w:space="0" w:color="auto"/>
      </w:divBdr>
    </w:div>
    <w:div w:id="1916937781">
      <w:bodyDiv w:val="1"/>
      <w:marLeft w:val="0"/>
      <w:marRight w:val="0"/>
      <w:marTop w:val="0"/>
      <w:marBottom w:val="0"/>
      <w:divBdr>
        <w:top w:val="none" w:sz="0" w:space="0" w:color="auto"/>
        <w:left w:val="none" w:sz="0" w:space="0" w:color="auto"/>
        <w:bottom w:val="none" w:sz="0" w:space="0" w:color="auto"/>
        <w:right w:val="none" w:sz="0" w:space="0" w:color="auto"/>
      </w:divBdr>
    </w:div>
    <w:div w:id="1918589489">
      <w:bodyDiv w:val="1"/>
      <w:marLeft w:val="0"/>
      <w:marRight w:val="0"/>
      <w:marTop w:val="0"/>
      <w:marBottom w:val="0"/>
      <w:divBdr>
        <w:top w:val="none" w:sz="0" w:space="0" w:color="auto"/>
        <w:left w:val="none" w:sz="0" w:space="0" w:color="auto"/>
        <w:bottom w:val="none" w:sz="0" w:space="0" w:color="auto"/>
        <w:right w:val="none" w:sz="0" w:space="0" w:color="auto"/>
      </w:divBdr>
    </w:div>
    <w:div w:id="1918711015">
      <w:bodyDiv w:val="1"/>
      <w:marLeft w:val="0"/>
      <w:marRight w:val="0"/>
      <w:marTop w:val="0"/>
      <w:marBottom w:val="0"/>
      <w:divBdr>
        <w:top w:val="none" w:sz="0" w:space="0" w:color="auto"/>
        <w:left w:val="none" w:sz="0" w:space="0" w:color="auto"/>
        <w:bottom w:val="none" w:sz="0" w:space="0" w:color="auto"/>
        <w:right w:val="none" w:sz="0" w:space="0" w:color="auto"/>
      </w:divBdr>
    </w:div>
    <w:div w:id="1919097283">
      <w:bodyDiv w:val="1"/>
      <w:marLeft w:val="0"/>
      <w:marRight w:val="0"/>
      <w:marTop w:val="0"/>
      <w:marBottom w:val="0"/>
      <w:divBdr>
        <w:top w:val="none" w:sz="0" w:space="0" w:color="auto"/>
        <w:left w:val="none" w:sz="0" w:space="0" w:color="auto"/>
        <w:bottom w:val="none" w:sz="0" w:space="0" w:color="auto"/>
        <w:right w:val="none" w:sz="0" w:space="0" w:color="auto"/>
      </w:divBdr>
    </w:div>
    <w:div w:id="1919901786">
      <w:bodyDiv w:val="1"/>
      <w:marLeft w:val="0"/>
      <w:marRight w:val="0"/>
      <w:marTop w:val="0"/>
      <w:marBottom w:val="0"/>
      <w:divBdr>
        <w:top w:val="none" w:sz="0" w:space="0" w:color="auto"/>
        <w:left w:val="none" w:sz="0" w:space="0" w:color="auto"/>
        <w:bottom w:val="none" w:sz="0" w:space="0" w:color="auto"/>
        <w:right w:val="none" w:sz="0" w:space="0" w:color="auto"/>
      </w:divBdr>
    </w:div>
    <w:div w:id="1920361364">
      <w:bodyDiv w:val="1"/>
      <w:marLeft w:val="0"/>
      <w:marRight w:val="0"/>
      <w:marTop w:val="0"/>
      <w:marBottom w:val="0"/>
      <w:divBdr>
        <w:top w:val="none" w:sz="0" w:space="0" w:color="auto"/>
        <w:left w:val="none" w:sz="0" w:space="0" w:color="auto"/>
        <w:bottom w:val="none" w:sz="0" w:space="0" w:color="auto"/>
        <w:right w:val="none" w:sz="0" w:space="0" w:color="auto"/>
      </w:divBdr>
    </w:div>
    <w:div w:id="1920628759">
      <w:bodyDiv w:val="1"/>
      <w:marLeft w:val="0"/>
      <w:marRight w:val="0"/>
      <w:marTop w:val="0"/>
      <w:marBottom w:val="0"/>
      <w:divBdr>
        <w:top w:val="none" w:sz="0" w:space="0" w:color="auto"/>
        <w:left w:val="none" w:sz="0" w:space="0" w:color="auto"/>
        <w:bottom w:val="none" w:sz="0" w:space="0" w:color="auto"/>
        <w:right w:val="none" w:sz="0" w:space="0" w:color="auto"/>
      </w:divBdr>
    </w:div>
    <w:div w:id="1921330728">
      <w:bodyDiv w:val="1"/>
      <w:marLeft w:val="0"/>
      <w:marRight w:val="0"/>
      <w:marTop w:val="0"/>
      <w:marBottom w:val="0"/>
      <w:divBdr>
        <w:top w:val="none" w:sz="0" w:space="0" w:color="auto"/>
        <w:left w:val="none" w:sz="0" w:space="0" w:color="auto"/>
        <w:bottom w:val="none" w:sz="0" w:space="0" w:color="auto"/>
        <w:right w:val="none" w:sz="0" w:space="0" w:color="auto"/>
      </w:divBdr>
    </w:div>
    <w:div w:id="1921988825">
      <w:bodyDiv w:val="1"/>
      <w:marLeft w:val="0"/>
      <w:marRight w:val="0"/>
      <w:marTop w:val="0"/>
      <w:marBottom w:val="0"/>
      <w:divBdr>
        <w:top w:val="none" w:sz="0" w:space="0" w:color="auto"/>
        <w:left w:val="none" w:sz="0" w:space="0" w:color="auto"/>
        <w:bottom w:val="none" w:sz="0" w:space="0" w:color="auto"/>
        <w:right w:val="none" w:sz="0" w:space="0" w:color="auto"/>
      </w:divBdr>
    </w:div>
    <w:div w:id="1922258031">
      <w:bodyDiv w:val="1"/>
      <w:marLeft w:val="0"/>
      <w:marRight w:val="0"/>
      <w:marTop w:val="0"/>
      <w:marBottom w:val="0"/>
      <w:divBdr>
        <w:top w:val="none" w:sz="0" w:space="0" w:color="auto"/>
        <w:left w:val="none" w:sz="0" w:space="0" w:color="auto"/>
        <w:bottom w:val="none" w:sz="0" w:space="0" w:color="auto"/>
        <w:right w:val="none" w:sz="0" w:space="0" w:color="auto"/>
      </w:divBdr>
    </w:div>
    <w:div w:id="1923904041">
      <w:bodyDiv w:val="1"/>
      <w:marLeft w:val="0"/>
      <w:marRight w:val="0"/>
      <w:marTop w:val="0"/>
      <w:marBottom w:val="0"/>
      <w:divBdr>
        <w:top w:val="none" w:sz="0" w:space="0" w:color="auto"/>
        <w:left w:val="none" w:sz="0" w:space="0" w:color="auto"/>
        <w:bottom w:val="none" w:sz="0" w:space="0" w:color="auto"/>
        <w:right w:val="none" w:sz="0" w:space="0" w:color="auto"/>
      </w:divBdr>
    </w:div>
    <w:div w:id="1924411155">
      <w:bodyDiv w:val="1"/>
      <w:marLeft w:val="0"/>
      <w:marRight w:val="0"/>
      <w:marTop w:val="0"/>
      <w:marBottom w:val="0"/>
      <w:divBdr>
        <w:top w:val="none" w:sz="0" w:space="0" w:color="auto"/>
        <w:left w:val="none" w:sz="0" w:space="0" w:color="auto"/>
        <w:bottom w:val="none" w:sz="0" w:space="0" w:color="auto"/>
        <w:right w:val="none" w:sz="0" w:space="0" w:color="auto"/>
      </w:divBdr>
    </w:div>
    <w:div w:id="1924680742">
      <w:bodyDiv w:val="1"/>
      <w:marLeft w:val="0"/>
      <w:marRight w:val="0"/>
      <w:marTop w:val="0"/>
      <w:marBottom w:val="0"/>
      <w:divBdr>
        <w:top w:val="none" w:sz="0" w:space="0" w:color="auto"/>
        <w:left w:val="none" w:sz="0" w:space="0" w:color="auto"/>
        <w:bottom w:val="none" w:sz="0" w:space="0" w:color="auto"/>
        <w:right w:val="none" w:sz="0" w:space="0" w:color="auto"/>
      </w:divBdr>
    </w:div>
    <w:div w:id="1926760881">
      <w:bodyDiv w:val="1"/>
      <w:marLeft w:val="0"/>
      <w:marRight w:val="0"/>
      <w:marTop w:val="0"/>
      <w:marBottom w:val="0"/>
      <w:divBdr>
        <w:top w:val="none" w:sz="0" w:space="0" w:color="auto"/>
        <w:left w:val="none" w:sz="0" w:space="0" w:color="auto"/>
        <w:bottom w:val="none" w:sz="0" w:space="0" w:color="auto"/>
        <w:right w:val="none" w:sz="0" w:space="0" w:color="auto"/>
      </w:divBdr>
    </w:div>
    <w:div w:id="1928493677">
      <w:bodyDiv w:val="1"/>
      <w:marLeft w:val="0"/>
      <w:marRight w:val="0"/>
      <w:marTop w:val="0"/>
      <w:marBottom w:val="0"/>
      <w:divBdr>
        <w:top w:val="none" w:sz="0" w:space="0" w:color="auto"/>
        <w:left w:val="none" w:sz="0" w:space="0" w:color="auto"/>
        <w:bottom w:val="none" w:sz="0" w:space="0" w:color="auto"/>
        <w:right w:val="none" w:sz="0" w:space="0" w:color="auto"/>
      </w:divBdr>
    </w:div>
    <w:div w:id="1928927469">
      <w:bodyDiv w:val="1"/>
      <w:marLeft w:val="0"/>
      <w:marRight w:val="0"/>
      <w:marTop w:val="0"/>
      <w:marBottom w:val="0"/>
      <w:divBdr>
        <w:top w:val="none" w:sz="0" w:space="0" w:color="auto"/>
        <w:left w:val="none" w:sz="0" w:space="0" w:color="auto"/>
        <w:bottom w:val="none" w:sz="0" w:space="0" w:color="auto"/>
        <w:right w:val="none" w:sz="0" w:space="0" w:color="auto"/>
      </w:divBdr>
    </w:div>
    <w:div w:id="1930117445">
      <w:bodyDiv w:val="1"/>
      <w:marLeft w:val="0"/>
      <w:marRight w:val="0"/>
      <w:marTop w:val="0"/>
      <w:marBottom w:val="0"/>
      <w:divBdr>
        <w:top w:val="none" w:sz="0" w:space="0" w:color="auto"/>
        <w:left w:val="none" w:sz="0" w:space="0" w:color="auto"/>
        <w:bottom w:val="none" w:sz="0" w:space="0" w:color="auto"/>
        <w:right w:val="none" w:sz="0" w:space="0" w:color="auto"/>
      </w:divBdr>
    </w:div>
    <w:div w:id="1930189493">
      <w:bodyDiv w:val="1"/>
      <w:marLeft w:val="0"/>
      <w:marRight w:val="0"/>
      <w:marTop w:val="0"/>
      <w:marBottom w:val="0"/>
      <w:divBdr>
        <w:top w:val="none" w:sz="0" w:space="0" w:color="auto"/>
        <w:left w:val="none" w:sz="0" w:space="0" w:color="auto"/>
        <w:bottom w:val="none" w:sz="0" w:space="0" w:color="auto"/>
        <w:right w:val="none" w:sz="0" w:space="0" w:color="auto"/>
      </w:divBdr>
    </w:div>
    <w:div w:id="1930771566">
      <w:bodyDiv w:val="1"/>
      <w:marLeft w:val="0"/>
      <w:marRight w:val="0"/>
      <w:marTop w:val="0"/>
      <w:marBottom w:val="0"/>
      <w:divBdr>
        <w:top w:val="none" w:sz="0" w:space="0" w:color="auto"/>
        <w:left w:val="none" w:sz="0" w:space="0" w:color="auto"/>
        <w:bottom w:val="none" w:sz="0" w:space="0" w:color="auto"/>
        <w:right w:val="none" w:sz="0" w:space="0" w:color="auto"/>
      </w:divBdr>
    </w:div>
    <w:div w:id="1932274550">
      <w:bodyDiv w:val="1"/>
      <w:marLeft w:val="0"/>
      <w:marRight w:val="0"/>
      <w:marTop w:val="0"/>
      <w:marBottom w:val="0"/>
      <w:divBdr>
        <w:top w:val="none" w:sz="0" w:space="0" w:color="auto"/>
        <w:left w:val="none" w:sz="0" w:space="0" w:color="auto"/>
        <w:bottom w:val="none" w:sz="0" w:space="0" w:color="auto"/>
        <w:right w:val="none" w:sz="0" w:space="0" w:color="auto"/>
      </w:divBdr>
    </w:div>
    <w:div w:id="1934512744">
      <w:bodyDiv w:val="1"/>
      <w:marLeft w:val="0"/>
      <w:marRight w:val="0"/>
      <w:marTop w:val="0"/>
      <w:marBottom w:val="0"/>
      <w:divBdr>
        <w:top w:val="none" w:sz="0" w:space="0" w:color="auto"/>
        <w:left w:val="none" w:sz="0" w:space="0" w:color="auto"/>
        <w:bottom w:val="none" w:sz="0" w:space="0" w:color="auto"/>
        <w:right w:val="none" w:sz="0" w:space="0" w:color="auto"/>
      </w:divBdr>
    </w:div>
    <w:div w:id="1934588123">
      <w:bodyDiv w:val="1"/>
      <w:marLeft w:val="0"/>
      <w:marRight w:val="0"/>
      <w:marTop w:val="0"/>
      <w:marBottom w:val="0"/>
      <w:divBdr>
        <w:top w:val="none" w:sz="0" w:space="0" w:color="auto"/>
        <w:left w:val="none" w:sz="0" w:space="0" w:color="auto"/>
        <w:bottom w:val="none" w:sz="0" w:space="0" w:color="auto"/>
        <w:right w:val="none" w:sz="0" w:space="0" w:color="auto"/>
      </w:divBdr>
    </w:div>
    <w:div w:id="1934967433">
      <w:bodyDiv w:val="1"/>
      <w:marLeft w:val="0"/>
      <w:marRight w:val="0"/>
      <w:marTop w:val="0"/>
      <w:marBottom w:val="0"/>
      <w:divBdr>
        <w:top w:val="none" w:sz="0" w:space="0" w:color="auto"/>
        <w:left w:val="none" w:sz="0" w:space="0" w:color="auto"/>
        <w:bottom w:val="none" w:sz="0" w:space="0" w:color="auto"/>
        <w:right w:val="none" w:sz="0" w:space="0" w:color="auto"/>
      </w:divBdr>
    </w:div>
    <w:div w:id="1935674000">
      <w:bodyDiv w:val="1"/>
      <w:marLeft w:val="0"/>
      <w:marRight w:val="0"/>
      <w:marTop w:val="0"/>
      <w:marBottom w:val="0"/>
      <w:divBdr>
        <w:top w:val="none" w:sz="0" w:space="0" w:color="auto"/>
        <w:left w:val="none" w:sz="0" w:space="0" w:color="auto"/>
        <w:bottom w:val="none" w:sz="0" w:space="0" w:color="auto"/>
        <w:right w:val="none" w:sz="0" w:space="0" w:color="auto"/>
      </w:divBdr>
    </w:div>
    <w:div w:id="1936135877">
      <w:bodyDiv w:val="1"/>
      <w:marLeft w:val="0"/>
      <w:marRight w:val="0"/>
      <w:marTop w:val="0"/>
      <w:marBottom w:val="0"/>
      <w:divBdr>
        <w:top w:val="none" w:sz="0" w:space="0" w:color="auto"/>
        <w:left w:val="none" w:sz="0" w:space="0" w:color="auto"/>
        <w:bottom w:val="none" w:sz="0" w:space="0" w:color="auto"/>
        <w:right w:val="none" w:sz="0" w:space="0" w:color="auto"/>
      </w:divBdr>
    </w:div>
    <w:div w:id="1937638466">
      <w:bodyDiv w:val="1"/>
      <w:marLeft w:val="0"/>
      <w:marRight w:val="0"/>
      <w:marTop w:val="0"/>
      <w:marBottom w:val="0"/>
      <w:divBdr>
        <w:top w:val="none" w:sz="0" w:space="0" w:color="auto"/>
        <w:left w:val="none" w:sz="0" w:space="0" w:color="auto"/>
        <w:bottom w:val="none" w:sz="0" w:space="0" w:color="auto"/>
        <w:right w:val="none" w:sz="0" w:space="0" w:color="auto"/>
      </w:divBdr>
    </w:div>
    <w:div w:id="1937669448">
      <w:bodyDiv w:val="1"/>
      <w:marLeft w:val="0"/>
      <w:marRight w:val="0"/>
      <w:marTop w:val="0"/>
      <w:marBottom w:val="0"/>
      <w:divBdr>
        <w:top w:val="none" w:sz="0" w:space="0" w:color="auto"/>
        <w:left w:val="none" w:sz="0" w:space="0" w:color="auto"/>
        <w:bottom w:val="none" w:sz="0" w:space="0" w:color="auto"/>
        <w:right w:val="none" w:sz="0" w:space="0" w:color="auto"/>
      </w:divBdr>
    </w:div>
    <w:div w:id="1937857548">
      <w:bodyDiv w:val="1"/>
      <w:marLeft w:val="0"/>
      <w:marRight w:val="0"/>
      <w:marTop w:val="0"/>
      <w:marBottom w:val="0"/>
      <w:divBdr>
        <w:top w:val="none" w:sz="0" w:space="0" w:color="auto"/>
        <w:left w:val="none" w:sz="0" w:space="0" w:color="auto"/>
        <w:bottom w:val="none" w:sz="0" w:space="0" w:color="auto"/>
        <w:right w:val="none" w:sz="0" w:space="0" w:color="auto"/>
      </w:divBdr>
    </w:div>
    <w:div w:id="1938099408">
      <w:bodyDiv w:val="1"/>
      <w:marLeft w:val="0"/>
      <w:marRight w:val="0"/>
      <w:marTop w:val="0"/>
      <w:marBottom w:val="0"/>
      <w:divBdr>
        <w:top w:val="none" w:sz="0" w:space="0" w:color="auto"/>
        <w:left w:val="none" w:sz="0" w:space="0" w:color="auto"/>
        <w:bottom w:val="none" w:sz="0" w:space="0" w:color="auto"/>
        <w:right w:val="none" w:sz="0" w:space="0" w:color="auto"/>
      </w:divBdr>
    </w:div>
    <w:div w:id="1938363189">
      <w:bodyDiv w:val="1"/>
      <w:marLeft w:val="0"/>
      <w:marRight w:val="0"/>
      <w:marTop w:val="0"/>
      <w:marBottom w:val="0"/>
      <w:divBdr>
        <w:top w:val="none" w:sz="0" w:space="0" w:color="auto"/>
        <w:left w:val="none" w:sz="0" w:space="0" w:color="auto"/>
        <w:bottom w:val="none" w:sz="0" w:space="0" w:color="auto"/>
        <w:right w:val="none" w:sz="0" w:space="0" w:color="auto"/>
      </w:divBdr>
    </w:div>
    <w:div w:id="1940988794">
      <w:bodyDiv w:val="1"/>
      <w:marLeft w:val="0"/>
      <w:marRight w:val="0"/>
      <w:marTop w:val="0"/>
      <w:marBottom w:val="0"/>
      <w:divBdr>
        <w:top w:val="none" w:sz="0" w:space="0" w:color="auto"/>
        <w:left w:val="none" w:sz="0" w:space="0" w:color="auto"/>
        <w:bottom w:val="none" w:sz="0" w:space="0" w:color="auto"/>
        <w:right w:val="none" w:sz="0" w:space="0" w:color="auto"/>
      </w:divBdr>
    </w:div>
    <w:div w:id="1941446414">
      <w:bodyDiv w:val="1"/>
      <w:marLeft w:val="0"/>
      <w:marRight w:val="0"/>
      <w:marTop w:val="0"/>
      <w:marBottom w:val="0"/>
      <w:divBdr>
        <w:top w:val="none" w:sz="0" w:space="0" w:color="auto"/>
        <w:left w:val="none" w:sz="0" w:space="0" w:color="auto"/>
        <w:bottom w:val="none" w:sz="0" w:space="0" w:color="auto"/>
        <w:right w:val="none" w:sz="0" w:space="0" w:color="auto"/>
      </w:divBdr>
    </w:div>
    <w:div w:id="1942491073">
      <w:bodyDiv w:val="1"/>
      <w:marLeft w:val="0"/>
      <w:marRight w:val="0"/>
      <w:marTop w:val="0"/>
      <w:marBottom w:val="0"/>
      <w:divBdr>
        <w:top w:val="none" w:sz="0" w:space="0" w:color="auto"/>
        <w:left w:val="none" w:sz="0" w:space="0" w:color="auto"/>
        <w:bottom w:val="none" w:sz="0" w:space="0" w:color="auto"/>
        <w:right w:val="none" w:sz="0" w:space="0" w:color="auto"/>
      </w:divBdr>
    </w:div>
    <w:div w:id="1942688317">
      <w:bodyDiv w:val="1"/>
      <w:marLeft w:val="0"/>
      <w:marRight w:val="0"/>
      <w:marTop w:val="0"/>
      <w:marBottom w:val="0"/>
      <w:divBdr>
        <w:top w:val="none" w:sz="0" w:space="0" w:color="auto"/>
        <w:left w:val="none" w:sz="0" w:space="0" w:color="auto"/>
        <w:bottom w:val="none" w:sz="0" w:space="0" w:color="auto"/>
        <w:right w:val="none" w:sz="0" w:space="0" w:color="auto"/>
      </w:divBdr>
    </w:div>
    <w:div w:id="1943613177">
      <w:bodyDiv w:val="1"/>
      <w:marLeft w:val="0"/>
      <w:marRight w:val="0"/>
      <w:marTop w:val="0"/>
      <w:marBottom w:val="0"/>
      <w:divBdr>
        <w:top w:val="none" w:sz="0" w:space="0" w:color="auto"/>
        <w:left w:val="none" w:sz="0" w:space="0" w:color="auto"/>
        <w:bottom w:val="none" w:sz="0" w:space="0" w:color="auto"/>
        <w:right w:val="none" w:sz="0" w:space="0" w:color="auto"/>
      </w:divBdr>
    </w:div>
    <w:div w:id="1944530792">
      <w:bodyDiv w:val="1"/>
      <w:marLeft w:val="0"/>
      <w:marRight w:val="0"/>
      <w:marTop w:val="0"/>
      <w:marBottom w:val="0"/>
      <w:divBdr>
        <w:top w:val="none" w:sz="0" w:space="0" w:color="auto"/>
        <w:left w:val="none" w:sz="0" w:space="0" w:color="auto"/>
        <w:bottom w:val="none" w:sz="0" w:space="0" w:color="auto"/>
        <w:right w:val="none" w:sz="0" w:space="0" w:color="auto"/>
      </w:divBdr>
    </w:div>
    <w:div w:id="1944679589">
      <w:bodyDiv w:val="1"/>
      <w:marLeft w:val="0"/>
      <w:marRight w:val="0"/>
      <w:marTop w:val="0"/>
      <w:marBottom w:val="0"/>
      <w:divBdr>
        <w:top w:val="none" w:sz="0" w:space="0" w:color="auto"/>
        <w:left w:val="none" w:sz="0" w:space="0" w:color="auto"/>
        <w:bottom w:val="none" w:sz="0" w:space="0" w:color="auto"/>
        <w:right w:val="none" w:sz="0" w:space="0" w:color="auto"/>
      </w:divBdr>
    </w:div>
    <w:div w:id="1944721826">
      <w:bodyDiv w:val="1"/>
      <w:marLeft w:val="0"/>
      <w:marRight w:val="0"/>
      <w:marTop w:val="0"/>
      <w:marBottom w:val="0"/>
      <w:divBdr>
        <w:top w:val="none" w:sz="0" w:space="0" w:color="auto"/>
        <w:left w:val="none" w:sz="0" w:space="0" w:color="auto"/>
        <w:bottom w:val="none" w:sz="0" w:space="0" w:color="auto"/>
        <w:right w:val="none" w:sz="0" w:space="0" w:color="auto"/>
      </w:divBdr>
    </w:div>
    <w:div w:id="1945652286">
      <w:bodyDiv w:val="1"/>
      <w:marLeft w:val="0"/>
      <w:marRight w:val="0"/>
      <w:marTop w:val="0"/>
      <w:marBottom w:val="0"/>
      <w:divBdr>
        <w:top w:val="none" w:sz="0" w:space="0" w:color="auto"/>
        <w:left w:val="none" w:sz="0" w:space="0" w:color="auto"/>
        <w:bottom w:val="none" w:sz="0" w:space="0" w:color="auto"/>
        <w:right w:val="none" w:sz="0" w:space="0" w:color="auto"/>
      </w:divBdr>
    </w:div>
    <w:div w:id="1946569088">
      <w:bodyDiv w:val="1"/>
      <w:marLeft w:val="0"/>
      <w:marRight w:val="0"/>
      <w:marTop w:val="0"/>
      <w:marBottom w:val="0"/>
      <w:divBdr>
        <w:top w:val="none" w:sz="0" w:space="0" w:color="auto"/>
        <w:left w:val="none" w:sz="0" w:space="0" w:color="auto"/>
        <w:bottom w:val="none" w:sz="0" w:space="0" w:color="auto"/>
        <w:right w:val="none" w:sz="0" w:space="0" w:color="auto"/>
      </w:divBdr>
    </w:div>
    <w:div w:id="1946886053">
      <w:bodyDiv w:val="1"/>
      <w:marLeft w:val="0"/>
      <w:marRight w:val="0"/>
      <w:marTop w:val="0"/>
      <w:marBottom w:val="0"/>
      <w:divBdr>
        <w:top w:val="none" w:sz="0" w:space="0" w:color="auto"/>
        <w:left w:val="none" w:sz="0" w:space="0" w:color="auto"/>
        <w:bottom w:val="none" w:sz="0" w:space="0" w:color="auto"/>
        <w:right w:val="none" w:sz="0" w:space="0" w:color="auto"/>
      </w:divBdr>
    </w:div>
    <w:div w:id="1947031140">
      <w:bodyDiv w:val="1"/>
      <w:marLeft w:val="0"/>
      <w:marRight w:val="0"/>
      <w:marTop w:val="0"/>
      <w:marBottom w:val="0"/>
      <w:divBdr>
        <w:top w:val="none" w:sz="0" w:space="0" w:color="auto"/>
        <w:left w:val="none" w:sz="0" w:space="0" w:color="auto"/>
        <w:bottom w:val="none" w:sz="0" w:space="0" w:color="auto"/>
        <w:right w:val="none" w:sz="0" w:space="0" w:color="auto"/>
      </w:divBdr>
    </w:div>
    <w:div w:id="1947614925">
      <w:bodyDiv w:val="1"/>
      <w:marLeft w:val="0"/>
      <w:marRight w:val="0"/>
      <w:marTop w:val="0"/>
      <w:marBottom w:val="0"/>
      <w:divBdr>
        <w:top w:val="none" w:sz="0" w:space="0" w:color="auto"/>
        <w:left w:val="none" w:sz="0" w:space="0" w:color="auto"/>
        <w:bottom w:val="none" w:sz="0" w:space="0" w:color="auto"/>
        <w:right w:val="none" w:sz="0" w:space="0" w:color="auto"/>
      </w:divBdr>
    </w:div>
    <w:div w:id="1947736189">
      <w:bodyDiv w:val="1"/>
      <w:marLeft w:val="0"/>
      <w:marRight w:val="0"/>
      <w:marTop w:val="0"/>
      <w:marBottom w:val="0"/>
      <w:divBdr>
        <w:top w:val="none" w:sz="0" w:space="0" w:color="auto"/>
        <w:left w:val="none" w:sz="0" w:space="0" w:color="auto"/>
        <w:bottom w:val="none" w:sz="0" w:space="0" w:color="auto"/>
        <w:right w:val="none" w:sz="0" w:space="0" w:color="auto"/>
      </w:divBdr>
    </w:div>
    <w:div w:id="1948921565">
      <w:bodyDiv w:val="1"/>
      <w:marLeft w:val="0"/>
      <w:marRight w:val="0"/>
      <w:marTop w:val="0"/>
      <w:marBottom w:val="0"/>
      <w:divBdr>
        <w:top w:val="none" w:sz="0" w:space="0" w:color="auto"/>
        <w:left w:val="none" w:sz="0" w:space="0" w:color="auto"/>
        <w:bottom w:val="none" w:sz="0" w:space="0" w:color="auto"/>
        <w:right w:val="none" w:sz="0" w:space="0" w:color="auto"/>
      </w:divBdr>
    </w:div>
    <w:div w:id="1949073248">
      <w:bodyDiv w:val="1"/>
      <w:marLeft w:val="0"/>
      <w:marRight w:val="0"/>
      <w:marTop w:val="0"/>
      <w:marBottom w:val="0"/>
      <w:divBdr>
        <w:top w:val="none" w:sz="0" w:space="0" w:color="auto"/>
        <w:left w:val="none" w:sz="0" w:space="0" w:color="auto"/>
        <w:bottom w:val="none" w:sz="0" w:space="0" w:color="auto"/>
        <w:right w:val="none" w:sz="0" w:space="0" w:color="auto"/>
      </w:divBdr>
    </w:div>
    <w:div w:id="1949727405">
      <w:bodyDiv w:val="1"/>
      <w:marLeft w:val="0"/>
      <w:marRight w:val="0"/>
      <w:marTop w:val="0"/>
      <w:marBottom w:val="0"/>
      <w:divBdr>
        <w:top w:val="none" w:sz="0" w:space="0" w:color="auto"/>
        <w:left w:val="none" w:sz="0" w:space="0" w:color="auto"/>
        <w:bottom w:val="none" w:sz="0" w:space="0" w:color="auto"/>
        <w:right w:val="none" w:sz="0" w:space="0" w:color="auto"/>
      </w:divBdr>
    </w:div>
    <w:div w:id="1950619032">
      <w:bodyDiv w:val="1"/>
      <w:marLeft w:val="0"/>
      <w:marRight w:val="0"/>
      <w:marTop w:val="0"/>
      <w:marBottom w:val="0"/>
      <w:divBdr>
        <w:top w:val="none" w:sz="0" w:space="0" w:color="auto"/>
        <w:left w:val="none" w:sz="0" w:space="0" w:color="auto"/>
        <w:bottom w:val="none" w:sz="0" w:space="0" w:color="auto"/>
        <w:right w:val="none" w:sz="0" w:space="0" w:color="auto"/>
      </w:divBdr>
    </w:div>
    <w:div w:id="1951349661">
      <w:bodyDiv w:val="1"/>
      <w:marLeft w:val="0"/>
      <w:marRight w:val="0"/>
      <w:marTop w:val="0"/>
      <w:marBottom w:val="0"/>
      <w:divBdr>
        <w:top w:val="none" w:sz="0" w:space="0" w:color="auto"/>
        <w:left w:val="none" w:sz="0" w:space="0" w:color="auto"/>
        <w:bottom w:val="none" w:sz="0" w:space="0" w:color="auto"/>
        <w:right w:val="none" w:sz="0" w:space="0" w:color="auto"/>
      </w:divBdr>
    </w:div>
    <w:div w:id="1951352546">
      <w:bodyDiv w:val="1"/>
      <w:marLeft w:val="0"/>
      <w:marRight w:val="0"/>
      <w:marTop w:val="0"/>
      <w:marBottom w:val="0"/>
      <w:divBdr>
        <w:top w:val="none" w:sz="0" w:space="0" w:color="auto"/>
        <w:left w:val="none" w:sz="0" w:space="0" w:color="auto"/>
        <w:bottom w:val="none" w:sz="0" w:space="0" w:color="auto"/>
        <w:right w:val="none" w:sz="0" w:space="0" w:color="auto"/>
      </w:divBdr>
    </w:div>
    <w:div w:id="1951472085">
      <w:bodyDiv w:val="1"/>
      <w:marLeft w:val="0"/>
      <w:marRight w:val="0"/>
      <w:marTop w:val="0"/>
      <w:marBottom w:val="0"/>
      <w:divBdr>
        <w:top w:val="none" w:sz="0" w:space="0" w:color="auto"/>
        <w:left w:val="none" w:sz="0" w:space="0" w:color="auto"/>
        <w:bottom w:val="none" w:sz="0" w:space="0" w:color="auto"/>
        <w:right w:val="none" w:sz="0" w:space="0" w:color="auto"/>
      </w:divBdr>
    </w:div>
    <w:div w:id="1954356597">
      <w:bodyDiv w:val="1"/>
      <w:marLeft w:val="0"/>
      <w:marRight w:val="0"/>
      <w:marTop w:val="0"/>
      <w:marBottom w:val="0"/>
      <w:divBdr>
        <w:top w:val="none" w:sz="0" w:space="0" w:color="auto"/>
        <w:left w:val="none" w:sz="0" w:space="0" w:color="auto"/>
        <w:bottom w:val="none" w:sz="0" w:space="0" w:color="auto"/>
        <w:right w:val="none" w:sz="0" w:space="0" w:color="auto"/>
      </w:divBdr>
    </w:div>
    <w:div w:id="1955399583">
      <w:bodyDiv w:val="1"/>
      <w:marLeft w:val="0"/>
      <w:marRight w:val="0"/>
      <w:marTop w:val="0"/>
      <w:marBottom w:val="0"/>
      <w:divBdr>
        <w:top w:val="none" w:sz="0" w:space="0" w:color="auto"/>
        <w:left w:val="none" w:sz="0" w:space="0" w:color="auto"/>
        <w:bottom w:val="none" w:sz="0" w:space="0" w:color="auto"/>
        <w:right w:val="none" w:sz="0" w:space="0" w:color="auto"/>
      </w:divBdr>
    </w:div>
    <w:div w:id="1956250492">
      <w:bodyDiv w:val="1"/>
      <w:marLeft w:val="0"/>
      <w:marRight w:val="0"/>
      <w:marTop w:val="0"/>
      <w:marBottom w:val="0"/>
      <w:divBdr>
        <w:top w:val="none" w:sz="0" w:space="0" w:color="auto"/>
        <w:left w:val="none" w:sz="0" w:space="0" w:color="auto"/>
        <w:bottom w:val="none" w:sz="0" w:space="0" w:color="auto"/>
        <w:right w:val="none" w:sz="0" w:space="0" w:color="auto"/>
      </w:divBdr>
    </w:div>
    <w:div w:id="1957130765">
      <w:bodyDiv w:val="1"/>
      <w:marLeft w:val="0"/>
      <w:marRight w:val="0"/>
      <w:marTop w:val="0"/>
      <w:marBottom w:val="0"/>
      <w:divBdr>
        <w:top w:val="none" w:sz="0" w:space="0" w:color="auto"/>
        <w:left w:val="none" w:sz="0" w:space="0" w:color="auto"/>
        <w:bottom w:val="none" w:sz="0" w:space="0" w:color="auto"/>
        <w:right w:val="none" w:sz="0" w:space="0" w:color="auto"/>
      </w:divBdr>
    </w:div>
    <w:div w:id="1958444624">
      <w:bodyDiv w:val="1"/>
      <w:marLeft w:val="0"/>
      <w:marRight w:val="0"/>
      <w:marTop w:val="0"/>
      <w:marBottom w:val="0"/>
      <w:divBdr>
        <w:top w:val="none" w:sz="0" w:space="0" w:color="auto"/>
        <w:left w:val="none" w:sz="0" w:space="0" w:color="auto"/>
        <w:bottom w:val="none" w:sz="0" w:space="0" w:color="auto"/>
        <w:right w:val="none" w:sz="0" w:space="0" w:color="auto"/>
      </w:divBdr>
    </w:div>
    <w:div w:id="1958680671">
      <w:bodyDiv w:val="1"/>
      <w:marLeft w:val="0"/>
      <w:marRight w:val="0"/>
      <w:marTop w:val="0"/>
      <w:marBottom w:val="0"/>
      <w:divBdr>
        <w:top w:val="none" w:sz="0" w:space="0" w:color="auto"/>
        <w:left w:val="none" w:sz="0" w:space="0" w:color="auto"/>
        <w:bottom w:val="none" w:sz="0" w:space="0" w:color="auto"/>
        <w:right w:val="none" w:sz="0" w:space="0" w:color="auto"/>
      </w:divBdr>
    </w:div>
    <w:div w:id="1959797015">
      <w:bodyDiv w:val="1"/>
      <w:marLeft w:val="0"/>
      <w:marRight w:val="0"/>
      <w:marTop w:val="0"/>
      <w:marBottom w:val="0"/>
      <w:divBdr>
        <w:top w:val="none" w:sz="0" w:space="0" w:color="auto"/>
        <w:left w:val="none" w:sz="0" w:space="0" w:color="auto"/>
        <w:bottom w:val="none" w:sz="0" w:space="0" w:color="auto"/>
        <w:right w:val="none" w:sz="0" w:space="0" w:color="auto"/>
      </w:divBdr>
    </w:div>
    <w:div w:id="1960799153">
      <w:bodyDiv w:val="1"/>
      <w:marLeft w:val="0"/>
      <w:marRight w:val="0"/>
      <w:marTop w:val="0"/>
      <w:marBottom w:val="0"/>
      <w:divBdr>
        <w:top w:val="none" w:sz="0" w:space="0" w:color="auto"/>
        <w:left w:val="none" w:sz="0" w:space="0" w:color="auto"/>
        <w:bottom w:val="none" w:sz="0" w:space="0" w:color="auto"/>
        <w:right w:val="none" w:sz="0" w:space="0" w:color="auto"/>
      </w:divBdr>
    </w:div>
    <w:div w:id="1961914854">
      <w:bodyDiv w:val="1"/>
      <w:marLeft w:val="0"/>
      <w:marRight w:val="0"/>
      <w:marTop w:val="0"/>
      <w:marBottom w:val="0"/>
      <w:divBdr>
        <w:top w:val="none" w:sz="0" w:space="0" w:color="auto"/>
        <w:left w:val="none" w:sz="0" w:space="0" w:color="auto"/>
        <w:bottom w:val="none" w:sz="0" w:space="0" w:color="auto"/>
        <w:right w:val="none" w:sz="0" w:space="0" w:color="auto"/>
      </w:divBdr>
    </w:div>
    <w:div w:id="1962373320">
      <w:bodyDiv w:val="1"/>
      <w:marLeft w:val="0"/>
      <w:marRight w:val="0"/>
      <w:marTop w:val="0"/>
      <w:marBottom w:val="0"/>
      <w:divBdr>
        <w:top w:val="none" w:sz="0" w:space="0" w:color="auto"/>
        <w:left w:val="none" w:sz="0" w:space="0" w:color="auto"/>
        <w:bottom w:val="none" w:sz="0" w:space="0" w:color="auto"/>
        <w:right w:val="none" w:sz="0" w:space="0" w:color="auto"/>
      </w:divBdr>
    </w:div>
    <w:div w:id="1962493288">
      <w:bodyDiv w:val="1"/>
      <w:marLeft w:val="0"/>
      <w:marRight w:val="0"/>
      <w:marTop w:val="0"/>
      <w:marBottom w:val="0"/>
      <w:divBdr>
        <w:top w:val="none" w:sz="0" w:space="0" w:color="auto"/>
        <w:left w:val="none" w:sz="0" w:space="0" w:color="auto"/>
        <w:bottom w:val="none" w:sz="0" w:space="0" w:color="auto"/>
        <w:right w:val="none" w:sz="0" w:space="0" w:color="auto"/>
      </w:divBdr>
    </w:div>
    <w:div w:id="1963412608">
      <w:bodyDiv w:val="1"/>
      <w:marLeft w:val="0"/>
      <w:marRight w:val="0"/>
      <w:marTop w:val="0"/>
      <w:marBottom w:val="0"/>
      <w:divBdr>
        <w:top w:val="none" w:sz="0" w:space="0" w:color="auto"/>
        <w:left w:val="none" w:sz="0" w:space="0" w:color="auto"/>
        <w:bottom w:val="none" w:sz="0" w:space="0" w:color="auto"/>
        <w:right w:val="none" w:sz="0" w:space="0" w:color="auto"/>
      </w:divBdr>
    </w:div>
    <w:div w:id="1963918099">
      <w:bodyDiv w:val="1"/>
      <w:marLeft w:val="0"/>
      <w:marRight w:val="0"/>
      <w:marTop w:val="0"/>
      <w:marBottom w:val="0"/>
      <w:divBdr>
        <w:top w:val="none" w:sz="0" w:space="0" w:color="auto"/>
        <w:left w:val="none" w:sz="0" w:space="0" w:color="auto"/>
        <w:bottom w:val="none" w:sz="0" w:space="0" w:color="auto"/>
        <w:right w:val="none" w:sz="0" w:space="0" w:color="auto"/>
      </w:divBdr>
    </w:div>
    <w:div w:id="1964265706">
      <w:bodyDiv w:val="1"/>
      <w:marLeft w:val="0"/>
      <w:marRight w:val="0"/>
      <w:marTop w:val="0"/>
      <w:marBottom w:val="0"/>
      <w:divBdr>
        <w:top w:val="none" w:sz="0" w:space="0" w:color="auto"/>
        <w:left w:val="none" w:sz="0" w:space="0" w:color="auto"/>
        <w:bottom w:val="none" w:sz="0" w:space="0" w:color="auto"/>
        <w:right w:val="none" w:sz="0" w:space="0" w:color="auto"/>
      </w:divBdr>
    </w:div>
    <w:div w:id="1964841592">
      <w:bodyDiv w:val="1"/>
      <w:marLeft w:val="0"/>
      <w:marRight w:val="0"/>
      <w:marTop w:val="0"/>
      <w:marBottom w:val="0"/>
      <w:divBdr>
        <w:top w:val="none" w:sz="0" w:space="0" w:color="auto"/>
        <w:left w:val="none" w:sz="0" w:space="0" w:color="auto"/>
        <w:bottom w:val="none" w:sz="0" w:space="0" w:color="auto"/>
        <w:right w:val="none" w:sz="0" w:space="0" w:color="auto"/>
      </w:divBdr>
    </w:div>
    <w:div w:id="1966110081">
      <w:bodyDiv w:val="1"/>
      <w:marLeft w:val="0"/>
      <w:marRight w:val="0"/>
      <w:marTop w:val="0"/>
      <w:marBottom w:val="0"/>
      <w:divBdr>
        <w:top w:val="none" w:sz="0" w:space="0" w:color="auto"/>
        <w:left w:val="none" w:sz="0" w:space="0" w:color="auto"/>
        <w:bottom w:val="none" w:sz="0" w:space="0" w:color="auto"/>
        <w:right w:val="none" w:sz="0" w:space="0" w:color="auto"/>
      </w:divBdr>
    </w:div>
    <w:div w:id="1968464488">
      <w:bodyDiv w:val="1"/>
      <w:marLeft w:val="0"/>
      <w:marRight w:val="0"/>
      <w:marTop w:val="0"/>
      <w:marBottom w:val="0"/>
      <w:divBdr>
        <w:top w:val="none" w:sz="0" w:space="0" w:color="auto"/>
        <w:left w:val="none" w:sz="0" w:space="0" w:color="auto"/>
        <w:bottom w:val="none" w:sz="0" w:space="0" w:color="auto"/>
        <w:right w:val="none" w:sz="0" w:space="0" w:color="auto"/>
      </w:divBdr>
    </w:div>
    <w:div w:id="1969120188">
      <w:bodyDiv w:val="1"/>
      <w:marLeft w:val="0"/>
      <w:marRight w:val="0"/>
      <w:marTop w:val="0"/>
      <w:marBottom w:val="0"/>
      <w:divBdr>
        <w:top w:val="none" w:sz="0" w:space="0" w:color="auto"/>
        <w:left w:val="none" w:sz="0" w:space="0" w:color="auto"/>
        <w:bottom w:val="none" w:sz="0" w:space="0" w:color="auto"/>
        <w:right w:val="none" w:sz="0" w:space="0" w:color="auto"/>
      </w:divBdr>
    </w:div>
    <w:div w:id="1969235980">
      <w:bodyDiv w:val="1"/>
      <w:marLeft w:val="0"/>
      <w:marRight w:val="0"/>
      <w:marTop w:val="0"/>
      <w:marBottom w:val="0"/>
      <w:divBdr>
        <w:top w:val="none" w:sz="0" w:space="0" w:color="auto"/>
        <w:left w:val="none" w:sz="0" w:space="0" w:color="auto"/>
        <w:bottom w:val="none" w:sz="0" w:space="0" w:color="auto"/>
        <w:right w:val="none" w:sz="0" w:space="0" w:color="auto"/>
      </w:divBdr>
    </w:div>
    <w:div w:id="1969582823">
      <w:bodyDiv w:val="1"/>
      <w:marLeft w:val="0"/>
      <w:marRight w:val="0"/>
      <w:marTop w:val="0"/>
      <w:marBottom w:val="0"/>
      <w:divBdr>
        <w:top w:val="none" w:sz="0" w:space="0" w:color="auto"/>
        <w:left w:val="none" w:sz="0" w:space="0" w:color="auto"/>
        <w:bottom w:val="none" w:sz="0" w:space="0" w:color="auto"/>
        <w:right w:val="none" w:sz="0" w:space="0" w:color="auto"/>
      </w:divBdr>
    </w:div>
    <w:div w:id="1969697448">
      <w:bodyDiv w:val="1"/>
      <w:marLeft w:val="0"/>
      <w:marRight w:val="0"/>
      <w:marTop w:val="0"/>
      <w:marBottom w:val="0"/>
      <w:divBdr>
        <w:top w:val="none" w:sz="0" w:space="0" w:color="auto"/>
        <w:left w:val="none" w:sz="0" w:space="0" w:color="auto"/>
        <w:bottom w:val="none" w:sz="0" w:space="0" w:color="auto"/>
        <w:right w:val="none" w:sz="0" w:space="0" w:color="auto"/>
      </w:divBdr>
    </w:div>
    <w:div w:id="1970546890">
      <w:bodyDiv w:val="1"/>
      <w:marLeft w:val="0"/>
      <w:marRight w:val="0"/>
      <w:marTop w:val="0"/>
      <w:marBottom w:val="0"/>
      <w:divBdr>
        <w:top w:val="none" w:sz="0" w:space="0" w:color="auto"/>
        <w:left w:val="none" w:sz="0" w:space="0" w:color="auto"/>
        <w:bottom w:val="none" w:sz="0" w:space="0" w:color="auto"/>
        <w:right w:val="none" w:sz="0" w:space="0" w:color="auto"/>
      </w:divBdr>
    </w:div>
    <w:div w:id="1971208166">
      <w:bodyDiv w:val="1"/>
      <w:marLeft w:val="0"/>
      <w:marRight w:val="0"/>
      <w:marTop w:val="0"/>
      <w:marBottom w:val="0"/>
      <w:divBdr>
        <w:top w:val="none" w:sz="0" w:space="0" w:color="auto"/>
        <w:left w:val="none" w:sz="0" w:space="0" w:color="auto"/>
        <w:bottom w:val="none" w:sz="0" w:space="0" w:color="auto"/>
        <w:right w:val="none" w:sz="0" w:space="0" w:color="auto"/>
      </w:divBdr>
    </w:div>
    <w:div w:id="1971471403">
      <w:bodyDiv w:val="1"/>
      <w:marLeft w:val="0"/>
      <w:marRight w:val="0"/>
      <w:marTop w:val="0"/>
      <w:marBottom w:val="0"/>
      <w:divBdr>
        <w:top w:val="none" w:sz="0" w:space="0" w:color="auto"/>
        <w:left w:val="none" w:sz="0" w:space="0" w:color="auto"/>
        <w:bottom w:val="none" w:sz="0" w:space="0" w:color="auto"/>
        <w:right w:val="none" w:sz="0" w:space="0" w:color="auto"/>
      </w:divBdr>
    </w:div>
    <w:div w:id="1971548789">
      <w:bodyDiv w:val="1"/>
      <w:marLeft w:val="0"/>
      <w:marRight w:val="0"/>
      <w:marTop w:val="0"/>
      <w:marBottom w:val="0"/>
      <w:divBdr>
        <w:top w:val="none" w:sz="0" w:space="0" w:color="auto"/>
        <w:left w:val="none" w:sz="0" w:space="0" w:color="auto"/>
        <w:bottom w:val="none" w:sz="0" w:space="0" w:color="auto"/>
        <w:right w:val="none" w:sz="0" w:space="0" w:color="auto"/>
      </w:divBdr>
    </w:div>
    <w:div w:id="1971864924">
      <w:bodyDiv w:val="1"/>
      <w:marLeft w:val="0"/>
      <w:marRight w:val="0"/>
      <w:marTop w:val="0"/>
      <w:marBottom w:val="0"/>
      <w:divBdr>
        <w:top w:val="none" w:sz="0" w:space="0" w:color="auto"/>
        <w:left w:val="none" w:sz="0" w:space="0" w:color="auto"/>
        <w:bottom w:val="none" w:sz="0" w:space="0" w:color="auto"/>
        <w:right w:val="none" w:sz="0" w:space="0" w:color="auto"/>
      </w:divBdr>
    </w:div>
    <w:div w:id="1972055134">
      <w:bodyDiv w:val="1"/>
      <w:marLeft w:val="0"/>
      <w:marRight w:val="0"/>
      <w:marTop w:val="0"/>
      <w:marBottom w:val="0"/>
      <w:divBdr>
        <w:top w:val="none" w:sz="0" w:space="0" w:color="auto"/>
        <w:left w:val="none" w:sz="0" w:space="0" w:color="auto"/>
        <w:bottom w:val="none" w:sz="0" w:space="0" w:color="auto"/>
        <w:right w:val="none" w:sz="0" w:space="0" w:color="auto"/>
      </w:divBdr>
    </w:div>
    <w:div w:id="1973556607">
      <w:bodyDiv w:val="1"/>
      <w:marLeft w:val="0"/>
      <w:marRight w:val="0"/>
      <w:marTop w:val="0"/>
      <w:marBottom w:val="0"/>
      <w:divBdr>
        <w:top w:val="none" w:sz="0" w:space="0" w:color="auto"/>
        <w:left w:val="none" w:sz="0" w:space="0" w:color="auto"/>
        <w:bottom w:val="none" w:sz="0" w:space="0" w:color="auto"/>
        <w:right w:val="none" w:sz="0" w:space="0" w:color="auto"/>
      </w:divBdr>
    </w:div>
    <w:div w:id="1974098231">
      <w:bodyDiv w:val="1"/>
      <w:marLeft w:val="0"/>
      <w:marRight w:val="0"/>
      <w:marTop w:val="0"/>
      <w:marBottom w:val="0"/>
      <w:divBdr>
        <w:top w:val="none" w:sz="0" w:space="0" w:color="auto"/>
        <w:left w:val="none" w:sz="0" w:space="0" w:color="auto"/>
        <w:bottom w:val="none" w:sz="0" w:space="0" w:color="auto"/>
        <w:right w:val="none" w:sz="0" w:space="0" w:color="auto"/>
      </w:divBdr>
    </w:div>
    <w:div w:id="1974745465">
      <w:bodyDiv w:val="1"/>
      <w:marLeft w:val="0"/>
      <w:marRight w:val="0"/>
      <w:marTop w:val="0"/>
      <w:marBottom w:val="0"/>
      <w:divBdr>
        <w:top w:val="none" w:sz="0" w:space="0" w:color="auto"/>
        <w:left w:val="none" w:sz="0" w:space="0" w:color="auto"/>
        <w:bottom w:val="none" w:sz="0" w:space="0" w:color="auto"/>
        <w:right w:val="none" w:sz="0" w:space="0" w:color="auto"/>
      </w:divBdr>
    </w:div>
    <w:div w:id="1974754200">
      <w:bodyDiv w:val="1"/>
      <w:marLeft w:val="0"/>
      <w:marRight w:val="0"/>
      <w:marTop w:val="0"/>
      <w:marBottom w:val="0"/>
      <w:divBdr>
        <w:top w:val="none" w:sz="0" w:space="0" w:color="auto"/>
        <w:left w:val="none" w:sz="0" w:space="0" w:color="auto"/>
        <w:bottom w:val="none" w:sz="0" w:space="0" w:color="auto"/>
        <w:right w:val="none" w:sz="0" w:space="0" w:color="auto"/>
      </w:divBdr>
    </w:div>
    <w:div w:id="1974941211">
      <w:bodyDiv w:val="1"/>
      <w:marLeft w:val="0"/>
      <w:marRight w:val="0"/>
      <w:marTop w:val="0"/>
      <w:marBottom w:val="0"/>
      <w:divBdr>
        <w:top w:val="none" w:sz="0" w:space="0" w:color="auto"/>
        <w:left w:val="none" w:sz="0" w:space="0" w:color="auto"/>
        <w:bottom w:val="none" w:sz="0" w:space="0" w:color="auto"/>
        <w:right w:val="none" w:sz="0" w:space="0" w:color="auto"/>
      </w:divBdr>
    </w:div>
    <w:div w:id="1975135953">
      <w:bodyDiv w:val="1"/>
      <w:marLeft w:val="0"/>
      <w:marRight w:val="0"/>
      <w:marTop w:val="0"/>
      <w:marBottom w:val="0"/>
      <w:divBdr>
        <w:top w:val="none" w:sz="0" w:space="0" w:color="auto"/>
        <w:left w:val="none" w:sz="0" w:space="0" w:color="auto"/>
        <w:bottom w:val="none" w:sz="0" w:space="0" w:color="auto"/>
        <w:right w:val="none" w:sz="0" w:space="0" w:color="auto"/>
      </w:divBdr>
    </w:div>
    <w:div w:id="1975787204">
      <w:bodyDiv w:val="1"/>
      <w:marLeft w:val="0"/>
      <w:marRight w:val="0"/>
      <w:marTop w:val="0"/>
      <w:marBottom w:val="0"/>
      <w:divBdr>
        <w:top w:val="none" w:sz="0" w:space="0" w:color="auto"/>
        <w:left w:val="none" w:sz="0" w:space="0" w:color="auto"/>
        <w:bottom w:val="none" w:sz="0" w:space="0" w:color="auto"/>
        <w:right w:val="none" w:sz="0" w:space="0" w:color="auto"/>
      </w:divBdr>
    </w:div>
    <w:div w:id="1976372202">
      <w:bodyDiv w:val="1"/>
      <w:marLeft w:val="0"/>
      <w:marRight w:val="0"/>
      <w:marTop w:val="0"/>
      <w:marBottom w:val="0"/>
      <w:divBdr>
        <w:top w:val="none" w:sz="0" w:space="0" w:color="auto"/>
        <w:left w:val="none" w:sz="0" w:space="0" w:color="auto"/>
        <w:bottom w:val="none" w:sz="0" w:space="0" w:color="auto"/>
        <w:right w:val="none" w:sz="0" w:space="0" w:color="auto"/>
      </w:divBdr>
    </w:div>
    <w:div w:id="1977418277">
      <w:bodyDiv w:val="1"/>
      <w:marLeft w:val="0"/>
      <w:marRight w:val="0"/>
      <w:marTop w:val="0"/>
      <w:marBottom w:val="0"/>
      <w:divBdr>
        <w:top w:val="none" w:sz="0" w:space="0" w:color="auto"/>
        <w:left w:val="none" w:sz="0" w:space="0" w:color="auto"/>
        <w:bottom w:val="none" w:sz="0" w:space="0" w:color="auto"/>
        <w:right w:val="none" w:sz="0" w:space="0" w:color="auto"/>
      </w:divBdr>
    </w:div>
    <w:div w:id="1978608090">
      <w:bodyDiv w:val="1"/>
      <w:marLeft w:val="0"/>
      <w:marRight w:val="0"/>
      <w:marTop w:val="0"/>
      <w:marBottom w:val="0"/>
      <w:divBdr>
        <w:top w:val="none" w:sz="0" w:space="0" w:color="auto"/>
        <w:left w:val="none" w:sz="0" w:space="0" w:color="auto"/>
        <w:bottom w:val="none" w:sz="0" w:space="0" w:color="auto"/>
        <w:right w:val="none" w:sz="0" w:space="0" w:color="auto"/>
      </w:divBdr>
    </w:div>
    <w:div w:id="1978952897">
      <w:bodyDiv w:val="1"/>
      <w:marLeft w:val="0"/>
      <w:marRight w:val="0"/>
      <w:marTop w:val="0"/>
      <w:marBottom w:val="0"/>
      <w:divBdr>
        <w:top w:val="none" w:sz="0" w:space="0" w:color="auto"/>
        <w:left w:val="none" w:sz="0" w:space="0" w:color="auto"/>
        <w:bottom w:val="none" w:sz="0" w:space="0" w:color="auto"/>
        <w:right w:val="none" w:sz="0" w:space="0" w:color="auto"/>
      </w:divBdr>
    </w:div>
    <w:div w:id="1981613691">
      <w:bodyDiv w:val="1"/>
      <w:marLeft w:val="0"/>
      <w:marRight w:val="0"/>
      <w:marTop w:val="0"/>
      <w:marBottom w:val="0"/>
      <w:divBdr>
        <w:top w:val="none" w:sz="0" w:space="0" w:color="auto"/>
        <w:left w:val="none" w:sz="0" w:space="0" w:color="auto"/>
        <w:bottom w:val="none" w:sz="0" w:space="0" w:color="auto"/>
        <w:right w:val="none" w:sz="0" w:space="0" w:color="auto"/>
      </w:divBdr>
    </w:div>
    <w:div w:id="1982929209">
      <w:bodyDiv w:val="1"/>
      <w:marLeft w:val="0"/>
      <w:marRight w:val="0"/>
      <w:marTop w:val="0"/>
      <w:marBottom w:val="0"/>
      <w:divBdr>
        <w:top w:val="none" w:sz="0" w:space="0" w:color="auto"/>
        <w:left w:val="none" w:sz="0" w:space="0" w:color="auto"/>
        <w:bottom w:val="none" w:sz="0" w:space="0" w:color="auto"/>
        <w:right w:val="none" w:sz="0" w:space="0" w:color="auto"/>
      </w:divBdr>
    </w:div>
    <w:div w:id="1984238118">
      <w:bodyDiv w:val="1"/>
      <w:marLeft w:val="0"/>
      <w:marRight w:val="0"/>
      <w:marTop w:val="0"/>
      <w:marBottom w:val="0"/>
      <w:divBdr>
        <w:top w:val="none" w:sz="0" w:space="0" w:color="auto"/>
        <w:left w:val="none" w:sz="0" w:space="0" w:color="auto"/>
        <w:bottom w:val="none" w:sz="0" w:space="0" w:color="auto"/>
        <w:right w:val="none" w:sz="0" w:space="0" w:color="auto"/>
      </w:divBdr>
    </w:div>
    <w:div w:id="1984889708">
      <w:bodyDiv w:val="1"/>
      <w:marLeft w:val="0"/>
      <w:marRight w:val="0"/>
      <w:marTop w:val="0"/>
      <w:marBottom w:val="0"/>
      <w:divBdr>
        <w:top w:val="none" w:sz="0" w:space="0" w:color="auto"/>
        <w:left w:val="none" w:sz="0" w:space="0" w:color="auto"/>
        <w:bottom w:val="none" w:sz="0" w:space="0" w:color="auto"/>
        <w:right w:val="none" w:sz="0" w:space="0" w:color="auto"/>
      </w:divBdr>
    </w:div>
    <w:div w:id="1985041840">
      <w:bodyDiv w:val="1"/>
      <w:marLeft w:val="0"/>
      <w:marRight w:val="0"/>
      <w:marTop w:val="0"/>
      <w:marBottom w:val="0"/>
      <w:divBdr>
        <w:top w:val="none" w:sz="0" w:space="0" w:color="auto"/>
        <w:left w:val="none" w:sz="0" w:space="0" w:color="auto"/>
        <w:bottom w:val="none" w:sz="0" w:space="0" w:color="auto"/>
        <w:right w:val="none" w:sz="0" w:space="0" w:color="auto"/>
      </w:divBdr>
    </w:div>
    <w:div w:id="1985115524">
      <w:bodyDiv w:val="1"/>
      <w:marLeft w:val="0"/>
      <w:marRight w:val="0"/>
      <w:marTop w:val="0"/>
      <w:marBottom w:val="0"/>
      <w:divBdr>
        <w:top w:val="none" w:sz="0" w:space="0" w:color="auto"/>
        <w:left w:val="none" w:sz="0" w:space="0" w:color="auto"/>
        <w:bottom w:val="none" w:sz="0" w:space="0" w:color="auto"/>
        <w:right w:val="none" w:sz="0" w:space="0" w:color="auto"/>
      </w:divBdr>
    </w:div>
    <w:div w:id="1985313273">
      <w:bodyDiv w:val="1"/>
      <w:marLeft w:val="0"/>
      <w:marRight w:val="0"/>
      <w:marTop w:val="0"/>
      <w:marBottom w:val="0"/>
      <w:divBdr>
        <w:top w:val="none" w:sz="0" w:space="0" w:color="auto"/>
        <w:left w:val="none" w:sz="0" w:space="0" w:color="auto"/>
        <w:bottom w:val="none" w:sz="0" w:space="0" w:color="auto"/>
        <w:right w:val="none" w:sz="0" w:space="0" w:color="auto"/>
      </w:divBdr>
    </w:div>
    <w:div w:id="1985886806">
      <w:bodyDiv w:val="1"/>
      <w:marLeft w:val="0"/>
      <w:marRight w:val="0"/>
      <w:marTop w:val="0"/>
      <w:marBottom w:val="0"/>
      <w:divBdr>
        <w:top w:val="none" w:sz="0" w:space="0" w:color="auto"/>
        <w:left w:val="none" w:sz="0" w:space="0" w:color="auto"/>
        <w:bottom w:val="none" w:sz="0" w:space="0" w:color="auto"/>
        <w:right w:val="none" w:sz="0" w:space="0" w:color="auto"/>
      </w:divBdr>
    </w:div>
    <w:div w:id="1986466903">
      <w:bodyDiv w:val="1"/>
      <w:marLeft w:val="0"/>
      <w:marRight w:val="0"/>
      <w:marTop w:val="0"/>
      <w:marBottom w:val="0"/>
      <w:divBdr>
        <w:top w:val="none" w:sz="0" w:space="0" w:color="auto"/>
        <w:left w:val="none" w:sz="0" w:space="0" w:color="auto"/>
        <w:bottom w:val="none" w:sz="0" w:space="0" w:color="auto"/>
        <w:right w:val="none" w:sz="0" w:space="0" w:color="auto"/>
      </w:divBdr>
    </w:div>
    <w:div w:id="1986739669">
      <w:bodyDiv w:val="1"/>
      <w:marLeft w:val="0"/>
      <w:marRight w:val="0"/>
      <w:marTop w:val="0"/>
      <w:marBottom w:val="0"/>
      <w:divBdr>
        <w:top w:val="none" w:sz="0" w:space="0" w:color="auto"/>
        <w:left w:val="none" w:sz="0" w:space="0" w:color="auto"/>
        <w:bottom w:val="none" w:sz="0" w:space="0" w:color="auto"/>
        <w:right w:val="none" w:sz="0" w:space="0" w:color="auto"/>
      </w:divBdr>
    </w:div>
    <w:div w:id="1987513655">
      <w:bodyDiv w:val="1"/>
      <w:marLeft w:val="0"/>
      <w:marRight w:val="0"/>
      <w:marTop w:val="0"/>
      <w:marBottom w:val="0"/>
      <w:divBdr>
        <w:top w:val="none" w:sz="0" w:space="0" w:color="auto"/>
        <w:left w:val="none" w:sz="0" w:space="0" w:color="auto"/>
        <w:bottom w:val="none" w:sz="0" w:space="0" w:color="auto"/>
        <w:right w:val="none" w:sz="0" w:space="0" w:color="auto"/>
      </w:divBdr>
    </w:div>
    <w:div w:id="1988900428">
      <w:bodyDiv w:val="1"/>
      <w:marLeft w:val="0"/>
      <w:marRight w:val="0"/>
      <w:marTop w:val="0"/>
      <w:marBottom w:val="0"/>
      <w:divBdr>
        <w:top w:val="none" w:sz="0" w:space="0" w:color="auto"/>
        <w:left w:val="none" w:sz="0" w:space="0" w:color="auto"/>
        <w:bottom w:val="none" w:sz="0" w:space="0" w:color="auto"/>
        <w:right w:val="none" w:sz="0" w:space="0" w:color="auto"/>
      </w:divBdr>
    </w:div>
    <w:div w:id="1989630323">
      <w:bodyDiv w:val="1"/>
      <w:marLeft w:val="0"/>
      <w:marRight w:val="0"/>
      <w:marTop w:val="0"/>
      <w:marBottom w:val="0"/>
      <w:divBdr>
        <w:top w:val="none" w:sz="0" w:space="0" w:color="auto"/>
        <w:left w:val="none" w:sz="0" w:space="0" w:color="auto"/>
        <w:bottom w:val="none" w:sz="0" w:space="0" w:color="auto"/>
        <w:right w:val="none" w:sz="0" w:space="0" w:color="auto"/>
      </w:divBdr>
    </w:div>
    <w:div w:id="1990015577">
      <w:bodyDiv w:val="1"/>
      <w:marLeft w:val="0"/>
      <w:marRight w:val="0"/>
      <w:marTop w:val="0"/>
      <w:marBottom w:val="0"/>
      <w:divBdr>
        <w:top w:val="none" w:sz="0" w:space="0" w:color="auto"/>
        <w:left w:val="none" w:sz="0" w:space="0" w:color="auto"/>
        <w:bottom w:val="none" w:sz="0" w:space="0" w:color="auto"/>
        <w:right w:val="none" w:sz="0" w:space="0" w:color="auto"/>
      </w:divBdr>
    </w:div>
    <w:div w:id="1990477293">
      <w:bodyDiv w:val="1"/>
      <w:marLeft w:val="0"/>
      <w:marRight w:val="0"/>
      <w:marTop w:val="0"/>
      <w:marBottom w:val="0"/>
      <w:divBdr>
        <w:top w:val="none" w:sz="0" w:space="0" w:color="auto"/>
        <w:left w:val="none" w:sz="0" w:space="0" w:color="auto"/>
        <w:bottom w:val="none" w:sz="0" w:space="0" w:color="auto"/>
        <w:right w:val="none" w:sz="0" w:space="0" w:color="auto"/>
      </w:divBdr>
    </w:div>
    <w:div w:id="1990669250">
      <w:bodyDiv w:val="1"/>
      <w:marLeft w:val="0"/>
      <w:marRight w:val="0"/>
      <w:marTop w:val="0"/>
      <w:marBottom w:val="0"/>
      <w:divBdr>
        <w:top w:val="none" w:sz="0" w:space="0" w:color="auto"/>
        <w:left w:val="none" w:sz="0" w:space="0" w:color="auto"/>
        <w:bottom w:val="none" w:sz="0" w:space="0" w:color="auto"/>
        <w:right w:val="none" w:sz="0" w:space="0" w:color="auto"/>
      </w:divBdr>
    </w:div>
    <w:div w:id="1990744880">
      <w:bodyDiv w:val="1"/>
      <w:marLeft w:val="0"/>
      <w:marRight w:val="0"/>
      <w:marTop w:val="0"/>
      <w:marBottom w:val="0"/>
      <w:divBdr>
        <w:top w:val="none" w:sz="0" w:space="0" w:color="auto"/>
        <w:left w:val="none" w:sz="0" w:space="0" w:color="auto"/>
        <w:bottom w:val="none" w:sz="0" w:space="0" w:color="auto"/>
        <w:right w:val="none" w:sz="0" w:space="0" w:color="auto"/>
      </w:divBdr>
    </w:div>
    <w:div w:id="1991131425">
      <w:bodyDiv w:val="1"/>
      <w:marLeft w:val="0"/>
      <w:marRight w:val="0"/>
      <w:marTop w:val="0"/>
      <w:marBottom w:val="0"/>
      <w:divBdr>
        <w:top w:val="none" w:sz="0" w:space="0" w:color="auto"/>
        <w:left w:val="none" w:sz="0" w:space="0" w:color="auto"/>
        <w:bottom w:val="none" w:sz="0" w:space="0" w:color="auto"/>
        <w:right w:val="none" w:sz="0" w:space="0" w:color="auto"/>
      </w:divBdr>
    </w:div>
    <w:div w:id="1991405077">
      <w:bodyDiv w:val="1"/>
      <w:marLeft w:val="0"/>
      <w:marRight w:val="0"/>
      <w:marTop w:val="0"/>
      <w:marBottom w:val="0"/>
      <w:divBdr>
        <w:top w:val="none" w:sz="0" w:space="0" w:color="auto"/>
        <w:left w:val="none" w:sz="0" w:space="0" w:color="auto"/>
        <w:bottom w:val="none" w:sz="0" w:space="0" w:color="auto"/>
        <w:right w:val="none" w:sz="0" w:space="0" w:color="auto"/>
      </w:divBdr>
    </w:div>
    <w:div w:id="1991597854">
      <w:bodyDiv w:val="1"/>
      <w:marLeft w:val="0"/>
      <w:marRight w:val="0"/>
      <w:marTop w:val="0"/>
      <w:marBottom w:val="0"/>
      <w:divBdr>
        <w:top w:val="none" w:sz="0" w:space="0" w:color="auto"/>
        <w:left w:val="none" w:sz="0" w:space="0" w:color="auto"/>
        <w:bottom w:val="none" w:sz="0" w:space="0" w:color="auto"/>
        <w:right w:val="none" w:sz="0" w:space="0" w:color="auto"/>
      </w:divBdr>
    </w:div>
    <w:div w:id="1992294858">
      <w:bodyDiv w:val="1"/>
      <w:marLeft w:val="0"/>
      <w:marRight w:val="0"/>
      <w:marTop w:val="0"/>
      <w:marBottom w:val="0"/>
      <w:divBdr>
        <w:top w:val="none" w:sz="0" w:space="0" w:color="auto"/>
        <w:left w:val="none" w:sz="0" w:space="0" w:color="auto"/>
        <w:bottom w:val="none" w:sz="0" w:space="0" w:color="auto"/>
        <w:right w:val="none" w:sz="0" w:space="0" w:color="auto"/>
      </w:divBdr>
    </w:div>
    <w:div w:id="1992636076">
      <w:bodyDiv w:val="1"/>
      <w:marLeft w:val="0"/>
      <w:marRight w:val="0"/>
      <w:marTop w:val="0"/>
      <w:marBottom w:val="0"/>
      <w:divBdr>
        <w:top w:val="none" w:sz="0" w:space="0" w:color="auto"/>
        <w:left w:val="none" w:sz="0" w:space="0" w:color="auto"/>
        <w:bottom w:val="none" w:sz="0" w:space="0" w:color="auto"/>
        <w:right w:val="none" w:sz="0" w:space="0" w:color="auto"/>
      </w:divBdr>
    </w:div>
    <w:div w:id="1992951298">
      <w:bodyDiv w:val="1"/>
      <w:marLeft w:val="0"/>
      <w:marRight w:val="0"/>
      <w:marTop w:val="0"/>
      <w:marBottom w:val="0"/>
      <w:divBdr>
        <w:top w:val="none" w:sz="0" w:space="0" w:color="auto"/>
        <w:left w:val="none" w:sz="0" w:space="0" w:color="auto"/>
        <w:bottom w:val="none" w:sz="0" w:space="0" w:color="auto"/>
        <w:right w:val="none" w:sz="0" w:space="0" w:color="auto"/>
      </w:divBdr>
    </w:div>
    <w:div w:id="1993830300">
      <w:bodyDiv w:val="1"/>
      <w:marLeft w:val="0"/>
      <w:marRight w:val="0"/>
      <w:marTop w:val="0"/>
      <w:marBottom w:val="0"/>
      <w:divBdr>
        <w:top w:val="none" w:sz="0" w:space="0" w:color="auto"/>
        <w:left w:val="none" w:sz="0" w:space="0" w:color="auto"/>
        <w:bottom w:val="none" w:sz="0" w:space="0" w:color="auto"/>
        <w:right w:val="none" w:sz="0" w:space="0" w:color="auto"/>
      </w:divBdr>
    </w:div>
    <w:div w:id="1994799206">
      <w:bodyDiv w:val="1"/>
      <w:marLeft w:val="0"/>
      <w:marRight w:val="0"/>
      <w:marTop w:val="0"/>
      <w:marBottom w:val="0"/>
      <w:divBdr>
        <w:top w:val="none" w:sz="0" w:space="0" w:color="auto"/>
        <w:left w:val="none" w:sz="0" w:space="0" w:color="auto"/>
        <w:bottom w:val="none" w:sz="0" w:space="0" w:color="auto"/>
        <w:right w:val="none" w:sz="0" w:space="0" w:color="auto"/>
      </w:divBdr>
    </w:div>
    <w:div w:id="1995794699">
      <w:bodyDiv w:val="1"/>
      <w:marLeft w:val="0"/>
      <w:marRight w:val="0"/>
      <w:marTop w:val="0"/>
      <w:marBottom w:val="0"/>
      <w:divBdr>
        <w:top w:val="none" w:sz="0" w:space="0" w:color="auto"/>
        <w:left w:val="none" w:sz="0" w:space="0" w:color="auto"/>
        <w:bottom w:val="none" w:sz="0" w:space="0" w:color="auto"/>
        <w:right w:val="none" w:sz="0" w:space="0" w:color="auto"/>
      </w:divBdr>
    </w:div>
    <w:div w:id="1996446083">
      <w:bodyDiv w:val="1"/>
      <w:marLeft w:val="0"/>
      <w:marRight w:val="0"/>
      <w:marTop w:val="0"/>
      <w:marBottom w:val="0"/>
      <w:divBdr>
        <w:top w:val="none" w:sz="0" w:space="0" w:color="auto"/>
        <w:left w:val="none" w:sz="0" w:space="0" w:color="auto"/>
        <w:bottom w:val="none" w:sz="0" w:space="0" w:color="auto"/>
        <w:right w:val="none" w:sz="0" w:space="0" w:color="auto"/>
      </w:divBdr>
    </w:div>
    <w:div w:id="1996450547">
      <w:bodyDiv w:val="1"/>
      <w:marLeft w:val="0"/>
      <w:marRight w:val="0"/>
      <w:marTop w:val="0"/>
      <w:marBottom w:val="0"/>
      <w:divBdr>
        <w:top w:val="none" w:sz="0" w:space="0" w:color="auto"/>
        <w:left w:val="none" w:sz="0" w:space="0" w:color="auto"/>
        <w:bottom w:val="none" w:sz="0" w:space="0" w:color="auto"/>
        <w:right w:val="none" w:sz="0" w:space="0" w:color="auto"/>
      </w:divBdr>
    </w:div>
    <w:div w:id="1996643755">
      <w:bodyDiv w:val="1"/>
      <w:marLeft w:val="0"/>
      <w:marRight w:val="0"/>
      <w:marTop w:val="0"/>
      <w:marBottom w:val="0"/>
      <w:divBdr>
        <w:top w:val="none" w:sz="0" w:space="0" w:color="auto"/>
        <w:left w:val="none" w:sz="0" w:space="0" w:color="auto"/>
        <w:bottom w:val="none" w:sz="0" w:space="0" w:color="auto"/>
        <w:right w:val="none" w:sz="0" w:space="0" w:color="auto"/>
      </w:divBdr>
    </w:div>
    <w:div w:id="1998261794">
      <w:bodyDiv w:val="1"/>
      <w:marLeft w:val="0"/>
      <w:marRight w:val="0"/>
      <w:marTop w:val="0"/>
      <w:marBottom w:val="0"/>
      <w:divBdr>
        <w:top w:val="none" w:sz="0" w:space="0" w:color="auto"/>
        <w:left w:val="none" w:sz="0" w:space="0" w:color="auto"/>
        <w:bottom w:val="none" w:sz="0" w:space="0" w:color="auto"/>
        <w:right w:val="none" w:sz="0" w:space="0" w:color="auto"/>
      </w:divBdr>
    </w:div>
    <w:div w:id="1998419374">
      <w:bodyDiv w:val="1"/>
      <w:marLeft w:val="0"/>
      <w:marRight w:val="0"/>
      <w:marTop w:val="0"/>
      <w:marBottom w:val="0"/>
      <w:divBdr>
        <w:top w:val="none" w:sz="0" w:space="0" w:color="auto"/>
        <w:left w:val="none" w:sz="0" w:space="0" w:color="auto"/>
        <w:bottom w:val="none" w:sz="0" w:space="0" w:color="auto"/>
        <w:right w:val="none" w:sz="0" w:space="0" w:color="auto"/>
      </w:divBdr>
    </w:div>
    <w:div w:id="2002659282">
      <w:bodyDiv w:val="1"/>
      <w:marLeft w:val="0"/>
      <w:marRight w:val="0"/>
      <w:marTop w:val="0"/>
      <w:marBottom w:val="0"/>
      <w:divBdr>
        <w:top w:val="none" w:sz="0" w:space="0" w:color="auto"/>
        <w:left w:val="none" w:sz="0" w:space="0" w:color="auto"/>
        <w:bottom w:val="none" w:sz="0" w:space="0" w:color="auto"/>
        <w:right w:val="none" w:sz="0" w:space="0" w:color="auto"/>
      </w:divBdr>
    </w:div>
    <w:div w:id="2002855161">
      <w:bodyDiv w:val="1"/>
      <w:marLeft w:val="0"/>
      <w:marRight w:val="0"/>
      <w:marTop w:val="0"/>
      <w:marBottom w:val="0"/>
      <w:divBdr>
        <w:top w:val="none" w:sz="0" w:space="0" w:color="auto"/>
        <w:left w:val="none" w:sz="0" w:space="0" w:color="auto"/>
        <w:bottom w:val="none" w:sz="0" w:space="0" w:color="auto"/>
        <w:right w:val="none" w:sz="0" w:space="0" w:color="auto"/>
      </w:divBdr>
    </w:div>
    <w:div w:id="2003702037">
      <w:bodyDiv w:val="1"/>
      <w:marLeft w:val="0"/>
      <w:marRight w:val="0"/>
      <w:marTop w:val="0"/>
      <w:marBottom w:val="0"/>
      <w:divBdr>
        <w:top w:val="none" w:sz="0" w:space="0" w:color="auto"/>
        <w:left w:val="none" w:sz="0" w:space="0" w:color="auto"/>
        <w:bottom w:val="none" w:sz="0" w:space="0" w:color="auto"/>
        <w:right w:val="none" w:sz="0" w:space="0" w:color="auto"/>
      </w:divBdr>
    </w:div>
    <w:div w:id="2003921639">
      <w:bodyDiv w:val="1"/>
      <w:marLeft w:val="0"/>
      <w:marRight w:val="0"/>
      <w:marTop w:val="0"/>
      <w:marBottom w:val="0"/>
      <w:divBdr>
        <w:top w:val="none" w:sz="0" w:space="0" w:color="auto"/>
        <w:left w:val="none" w:sz="0" w:space="0" w:color="auto"/>
        <w:bottom w:val="none" w:sz="0" w:space="0" w:color="auto"/>
        <w:right w:val="none" w:sz="0" w:space="0" w:color="auto"/>
      </w:divBdr>
    </w:div>
    <w:div w:id="2003964351">
      <w:bodyDiv w:val="1"/>
      <w:marLeft w:val="0"/>
      <w:marRight w:val="0"/>
      <w:marTop w:val="0"/>
      <w:marBottom w:val="0"/>
      <w:divBdr>
        <w:top w:val="none" w:sz="0" w:space="0" w:color="auto"/>
        <w:left w:val="none" w:sz="0" w:space="0" w:color="auto"/>
        <w:bottom w:val="none" w:sz="0" w:space="0" w:color="auto"/>
        <w:right w:val="none" w:sz="0" w:space="0" w:color="auto"/>
      </w:divBdr>
    </w:div>
    <w:div w:id="2005234491">
      <w:bodyDiv w:val="1"/>
      <w:marLeft w:val="0"/>
      <w:marRight w:val="0"/>
      <w:marTop w:val="0"/>
      <w:marBottom w:val="0"/>
      <w:divBdr>
        <w:top w:val="none" w:sz="0" w:space="0" w:color="auto"/>
        <w:left w:val="none" w:sz="0" w:space="0" w:color="auto"/>
        <w:bottom w:val="none" w:sz="0" w:space="0" w:color="auto"/>
        <w:right w:val="none" w:sz="0" w:space="0" w:color="auto"/>
      </w:divBdr>
    </w:div>
    <w:div w:id="2006349841">
      <w:bodyDiv w:val="1"/>
      <w:marLeft w:val="0"/>
      <w:marRight w:val="0"/>
      <w:marTop w:val="0"/>
      <w:marBottom w:val="0"/>
      <w:divBdr>
        <w:top w:val="none" w:sz="0" w:space="0" w:color="auto"/>
        <w:left w:val="none" w:sz="0" w:space="0" w:color="auto"/>
        <w:bottom w:val="none" w:sz="0" w:space="0" w:color="auto"/>
        <w:right w:val="none" w:sz="0" w:space="0" w:color="auto"/>
      </w:divBdr>
    </w:div>
    <w:div w:id="2006472942">
      <w:bodyDiv w:val="1"/>
      <w:marLeft w:val="0"/>
      <w:marRight w:val="0"/>
      <w:marTop w:val="0"/>
      <w:marBottom w:val="0"/>
      <w:divBdr>
        <w:top w:val="none" w:sz="0" w:space="0" w:color="auto"/>
        <w:left w:val="none" w:sz="0" w:space="0" w:color="auto"/>
        <w:bottom w:val="none" w:sz="0" w:space="0" w:color="auto"/>
        <w:right w:val="none" w:sz="0" w:space="0" w:color="auto"/>
      </w:divBdr>
    </w:div>
    <w:div w:id="2006736448">
      <w:bodyDiv w:val="1"/>
      <w:marLeft w:val="0"/>
      <w:marRight w:val="0"/>
      <w:marTop w:val="0"/>
      <w:marBottom w:val="0"/>
      <w:divBdr>
        <w:top w:val="none" w:sz="0" w:space="0" w:color="auto"/>
        <w:left w:val="none" w:sz="0" w:space="0" w:color="auto"/>
        <w:bottom w:val="none" w:sz="0" w:space="0" w:color="auto"/>
        <w:right w:val="none" w:sz="0" w:space="0" w:color="auto"/>
      </w:divBdr>
    </w:div>
    <w:div w:id="2006976625">
      <w:bodyDiv w:val="1"/>
      <w:marLeft w:val="0"/>
      <w:marRight w:val="0"/>
      <w:marTop w:val="0"/>
      <w:marBottom w:val="0"/>
      <w:divBdr>
        <w:top w:val="none" w:sz="0" w:space="0" w:color="auto"/>
        <w:left w:val="none" w:sz="0" w:space="0" w:color="auto"/>
        <w:bottom w:val="none" w:sz="0" w:space="0" w:color="auto"/>
        <w:right w:val="none" w:sz="0" w:space="0" w:color="auto"/>
      </w:divBdr>
    </w:div>
    <w:div w:id="2007325170">
      <w:bodyDiv w:val="1"/>
      <w:marLeft w:val="0"/>
      <w:marRight w:val="0"/>
      <w:marTop w:val="0"/>
      <w:marBottom w:val="0"/>
      <w:divBdr>
        <w:top w:val="none" w:sz="0" w:space="0" w:color="auto"/>
        <w:left w:val="none" w:sz="0" w:space="0" w:color="auto"/>
        <w:bottom w:val="none" w:sz="0" w:space="0" w:color="auto"/>
        <w:right w:val="none" w:sz="0" w:space="0" w:color="auto"/>
      </w:divBdr>
    </w:div>
    <w:div w:id="2007588456">
      <w:bodyDiv w:val="1"/>
      <w:marLeft w:val="0"/>
      <w:marRight w:val="0"/>
      <w:marTop w:val="0"/>
      <w:marBottom w:val="0"/>
      <w:divBdr>
        <w:top w:val="none" w:sz="0" w:space="0" w:color="auto"/>
        <w:left w:val="none" w:sz="0" w:space="0" w:color="auto"/>
        <w:bottom w:val="none" w:sz="0" w:space="0" w:color="auto"/>
        <w:right w:val="none" w:sz="0" w:space="0" w:color="auto"/>
      </w:divBdr>
    </w:div>
    <w:div w:id="2008091587">
      <w:bodyDiv w:val="1"/>
      <w:marLeft w:val="0"/>
      <w:marRight w:val="0"/>
      <w:marTop w:val="0"/>
      <w:marBottom w:val="0"/>
      <w:divBdr>
        <w:top w:val="none" w:sz="0" w:space="0" w:color="auto"/>
        <w:left w:val="none" w:sz="0" w:space="0" w:color="auto"/>
        <w:bottom w:val="none" w:sz="0" w:space="0" w:color="auto"/>
        <w:right w:val="none" w:sz="0" w:space="0" w:color="auto"/>
      </w:divBdr>
    </w:div>
    <w:div w:id="2009408039">
      <w:bodyDiv w:val="1"/>
      <w:marLeft w:val="0"/>
      <w:marRight w:val="0"/>
      <w:marTop w:val="0"/>
      <w:marBottom w:val="0"/>
      <w:divBdr>
        <w:top w:val="none" w:sz="0" w:space="0" w:color="auto"/>
        <w:left w:val="none" w:sz="0" w:space="0" w:color="auto"/>
        <w:bottom w:val="none" w:sz="0" w:space="0" w:color="auto"/>
        <w:right w:val="none" w:sz="0" w:space="0" w:color="auto"/>
      </w:divBdr>
    </w:div>
    <w:div w:id="2009823041">
      <w:bodyDiv w:val="1"/>
      <w:marLeft w:val="0"/>
      <w:marRight w:val="0"/>
      <w:marTop w:val="0"/>
      <w:marBottom w:val="0"/>
      <w:divBdr>
        <w:top w:val="none" w:sz="0" w:space="0" w:color="auto"/>
        <w:left w:val="none" w:sz="0" w:space="0" w:color="auto"/>
        <w:bottom w:val="none" w:sz="0" w:space="0" w:color="auto"/>
        <w:right w:val="none" w:sz="0" w:space="0" w:color="auto"/>
      </w:divBdr>
    </w:div>
    <w:div w:id="2010792614">
      <w:bodyDiv w:val="1"/>
      <w:marLeft w:val="0"/>
      <w:marRight w:val="0"/>
      <w:marTop w:val="0"/>
      <w:marBottom w:val="0"/>
      <w:divBdr>
        <w:top w:val="none" w:sz="0" w:space="0" w:color="auto"/>
        <w:left w:val="none" w:sz="0" w:space="0" w:color="auto"/>
        <w:bottom w:val="none" w:sz="0" w:space="0" w:color="auto"/>
        <w:right w:val="none" w:sz="0" w:space="0" w:color="auto"/>
      </w:divBdr>
    </w:div>
    <w:div w:id="2012217700">
      <w:bodyDiv w:val="1"/>
      <w:marLeft w:val="0"/>
      <w:marRight w:val="0"/>
      <w:marTop w:val="0"/>
      <w:marBottom w:val="0"/>
      <w:divBdr>
        <w:top w:val="none" w:sz="0" w:space="0" w:color="auto"/>
        <w:left w:val="none" w:sz="0" w:space="0" w:color="auto"/>
        <w:bottom w:val="none" w:sz="0" w:space="0" w:color="auto"/>
        <w:right w:val="none" w:sz="0" w:space="0" w:color="auto"/>
      </w:divBdr>
    </w:div>
    <w:div w:id="2012565883">
      <w:bodyDiv w:val="1"/>
      <w:marLeft w:val="0"/>
      <w:marRight w:val="0"/>
      <w:marTop w:val="0"/>
      <w:marBottom w:val="0"/>
      <w:divBdr>
        <w:top w:val="none" w:sz="0" w:space="0" w:color="auto"/>
        <w:left w:val="none" w:sz="0" w:space="0" w:color="auto"/>
        <w:bottom w:val="none" w:sz="0" w:space="0" w:color="auto"/>
        <w:right w:val="none" w:sz="0" w:space="0" w:color="auto"/>
      </w:divBdr>
    </w:div>
    <w:div w:id="2012758041">
      <w:bodyDiv w:val="1"/>
      <w:marLeft w:val="0"/>
      <w:marRight w:val="0"/>
      <w:marTop w:val="0"/>
      <w:marBottom w:val="0"/>
      <w:divBdr>
        <w:top w:val="none" w:sz="0" w:space="0" w:color="auto"/>
        <w:left w:val="none" w:sz="0" w:space="0" w:color="auto"/>
        <w:bottom w:val="none" w:sz="0" w:space="0" w:color="auto"/>
        <w:right w:val="none" w:sz="0" w:space="0" w:color="auto"/>
      </w:divBdr>
    </w:div>
    <w:div w:id="2013531387">
      <w:bodyDiv w:val="1"/>
      <w:marLeft w:val="0"/>
      <w:marRight w:val="0"/>
      <w:marTop w:val="0"/>
      <w:marBottom w:val="0"/>
      <w:divBdr>
        <w:top w:val="none" w:sz="0" w:space="0" w:color="auto"/>
        <w:left w:val="none" w:sz="0" w:space="0" w:color="auto"/>
        <w:bottom w:val="none" w:sz="0" w:space="0" w:color="auto"/>
        <w:right w:val="none" w:sz="0" w:space="0" w:color="auto"/>
      </w:divBdr>
    </w:div>
    <w:div w:id="2013682925">
      <w:bodyDiv w:val="1"/>
      <w:marLeft w:val="0"/>
      <w:marRight w:val="0"/>
      <w:marTop w:val="0"/>
      <w:marBottom w:val="0"/>
      <w:divBdr>
        <w:top w:val="none" w:sz="0" w:space="0" w:color="auto"/>
        <w:left w:val="none" w:sz="0" w:space="0" w:color="auto"/>
        <w:bottom w:val="none" w:sz="0" w:space="0" w:color="auto"/>
        <w:right w:val="none" w:sz="0" w:space="0" w:color="auto"/>
      </w:divBdr>
    </w:div>
    <w:div w:id="2013947751">
      <w:bodyDiv w:val="1"/>
      <w:marLeft w:val="0"/>
      <w:marRight w:val="0"/>
      <w:marTop w:val="0"/>
      <w:marBottom w:val="0"/>
      <w:divBdr>
        <w:top w:val="none" w:sz="0" w:space="0" w:color="auto"/>
        <w:left w:val="none" w:sz="0" w:space="0" w:color="auto"/>
        <w:bottom w:val="none" w:sz="0" w:space="0" w:color="auto"/>
        <w:right w:val="none" w:sz="0" w:space="0" w:color="auto"/>
      </w:divBdr>
    </w:div>
    <w:div w:id="2013994416">
      <w:bodyDiv w:val="1"/>
      <w:marLeft w:val="0"/>
      <w:marRight w:val="0"/>
      <w:marTop w:val="0"/>
      <w:marBottom w:val="0"/>
      <w:divBdr>
        <w:top w:val="none" w:sz="0" w:space="0" w:color="auto"/>
        <w:left w:val="none" w:sz="0" w:space="0" w:color="auto"/>
        <w:bottom w:val="none" w:sz="0" w:space="0" w:color="auto"/>
        <w:right w:val="none" w:sz="0" w:space="0" w:color="auto"/>
      </w:divBdr>
    </w:div>
    <w:div w:id="2014256693">
      <w:bodyDiv w:val="1"/>
      <w:marLeft w:val="0"/>
      <w:marRight w:val="0"/>
      <w:marTop w:val="0"/>
      <w:marBottom w:val="0"/>
      <w:divBdr>
        <w:top w:val="none" w:sz="0" w:space="0" w:color="auto"/>
        <w:left w:val="none" w:sz="0" w:space="0" w:color="auto"/>
        <w:bottom w:val="none" w:sz="0" w:space="0" w:color="auto"/>
        <w:right w:val="none" w:sz="0" w:space="0" w:color="auto"/>
      </w:divBdr>
    </w:div>
    <w:div w:id="2014643180">
      <w:bodyDiv w:val="1"/>
      <w:marLeft w:val="0"/>
      <w:marRight w:val="0"/>
      <w:marTop w:val="0"/>
      <w:marBottom w:val="0"/>
      <w:divBdr>
        <w:top w:val="none" w:sz="0" w:space="0" w:color="auto"/>
        <w:left w:val="none" w:sz="0" w:space="0" w:color="auto"/>
        <w:bottom w:val="none" w:sz="0" w:space="0" w:color="auto"/>
        <w:right w:val="none" w:sz="0" w:space="0" w:color="auto"/>
      </w:divBdr>
    </w:div>
    <w:div w:id="2014720915">
      <w:bodyDiv w:val="1"/>
      <w:marLeft w:val="0"/>
      <w:marRight w:val="0"/>
      <w:marTop w:val="0"/>
      <w:marBottom w:val="0"/>
      <w:divBdr>
        <w:top w:val="none" w:sz="0" w:space="0" w:color="auto"/>
        <w:left w:val="none" w:sz="0" w:space="0" w:color="auto"/>
        <w:bottom w:val="none" w:sz="0" w:space="0" w:color="auto"/>
        <w:right w:val="none" w:sz="0" w:space="0" w:color="auto"/>
      </w:divBdr>
    </w:div>
    <w:div w:id="2015452199">
      <w:bodyDiv w:val="1"/>
      <w:marLeft w:val="0"/>
      <w:marRight w:val="0"/>
      <w:marTop w:val="0"/>
      <w:marBottom w:val="0"/>
      <w:divBdr>
        <w:top w:val="none" w:sz="0" w:space="0" w:color="auto"/>
        <w:left w:val="none" w:sz="0" w:space="0" w:color="auto"/>
        <w:bottom w:val="none" w:sz="0" w:space="0" w:color="auto"/>
        <w:right w:val="none" w:sz="0" w:space="0" w:color="auto"/>
      </w:divBdr>
    </w:div>
    <w:div w:id="2015956225">
      <w:bodyDiv w:val="1"/>
      <w:marLeft w:val="0"/>
      <w:marRight w:val="0"/>
      <w:marTop w:val="0"/>
      <w:marBottom w:val="0"/>
      <w:divBdr>
        <w:top w:val="none" w:sz="0" w:space="0" w:color="auto"/>
        <w:left w:val="none" w:sz="0" w:space="0" w:color="auto"/>
        <w:bottom w:val="none" w:sz="0" w:space="0" w:color="auto"/>
        <w:right w:val="none" w:sz="0" w:space="0" w:color="auto"/>
      </w:divBdr>
    </w:div>
    <w:div w:id="2016179343">
      <w:bodyDiv w:val="1"/>
      <w:marLeft w:val="0"/>
      <w:marRight w:val="0"/>
      <w:marTop w:val="0"/>
      <w:marBottom w:val="0"/>
      <w:divBdr>
        <w:top w:val="none" w:sz="0" w:space="0" w:color="auto"/>
        <w:left w:val="none" w:sz="0" w:space="0" w:color="auto"/>
        <w:bottom w:val="none" w:sz="0" w:space="0" w:color="auto"/>
        <w:right w:val="none" w:sz="0" w:space="0" w:color="auto"/>
      </w:divBdr>
    </w:div>
    <w:div w:id="2017032645">
      <w:bodyDiv w:val="1"/>
      <w:marLeft w:val="0"/>
      <w:marRight w:val="0"/>
      <w:marTop w:val="0"/>
      <w:marBottom w:val="0"/>
      <w:divBdr>
        <w:top w:val="none" w:sz="0" w:space="0" w:color="auto"/>
        <w:left w:val="none" w:sz="0" w:space="0" w:color="auto"/>
        <w:bottom w:val="none" w:sz="0" w:space="0" w:color="auto"/>
        <w:right w:val="none" w:sz="0" w:space="0" w:color="auto"/>
      </w:divBdr>
    </w:div>
    <w:div w:id="2017799862">
      <w:bodyDiv w:val="1"/>
      <w:marLeft w:val="0"/>
      <w:marRight w:val="0"/>
      <w:marTop w:val="0"/>
      <w:marBottom w:val="0"/>
      <w:divBdr>
        <w:top w:val="none" w:sz="0" w:space="0" w:color="auto"/>
        <w:left w:val="none" w:sz="0" w:space="0" w:color="auto"/>
        <w:bottom w:val="none" w:sz="0" w:space="0" w:color="auto"/>
        <w:right w:val="none" w:sz="0" w:space="0" w:color="auto"/>
      </w:divBdr>
    </w:div>
    <w:div w:id="2018651682">
      <w:bodyDiv w:val="1"/>
      <w:marLeft w:val="0"/>
      <w:marRight w:val="0"/>
      <w:marTop w:val="0"/>
      <w:marBottom w:val="0"/>
      <w:divBdr>
        <w:top w:val="none" w:sz="0" w:space="0" w:color="auto"/>
        <w:left w:val="none" w:sz="0" w:space="0" w:color="auto"/>
        <w:bottom w:val="none" w:sz="0" w:space="0" w:color="auto"/>
        <w:right w:val="none" w:sz="0" w:space="0" w:color="auto"/>
      </w:divBdr>
    </w:div>
    <w:div w:id="2019035092">
      <w:bodyDiv w:val="1"/>
      <w:marLeft w:val="0"/>
      <w:marRight w:val="0"/>
      <w:marTop w:val="0"/>
      <w:marBottom w:val="0"/>
      <w:divBdr>
        <w:top w:val="none" w:sz="0" w:space="0" w:color="auto"/>
        <w:left w:val="none" w:sz="0" w:space="0" w:color="auto"/>
        <w:bottom w:val="none" w:sz="0" w:space="0" w:color="auto"/>
        <w:right w:val="none" w:sz="0" w:space="0" w:color="auto"/>
      </w:divBdr>
    </w:div>
    <w:div w:id="2022663532">
      <w:bodyDiv w:val="1"/>
      <w:marLeft w:val="0"/>
      <w:marRight w:val="0"/>
      <w:marTop w:val="0"/>
      <w:marBottom w:val="0"/>
      <w:divBdr>
        <w:top w:val="none" w:sz="0" w:space="0" w:color="auto"/>
        <w:left w:val="none" w:sz="0" w:space="0" w:color="auto"/>
        <w:bottom w:val="none" w:sz="0" w:space="0" w:color="auto"/>
        <w:right w:val="none" w:sz="0" w:space="0" w:color="auto"/>
      </w:divBdr>
    </w:div>
    <w:div w:id="2023893624">
      <w:bodyDiv w:val="1"/>
      <w:marLeft w:val="0"/>
      <w:marRight w:val="0"/>
      <w:marTop w:val="0"/>
      <w:marBottom w:val="0"/>
      <w:divBdr>
        <w:top w:val="none" w:sz="0" w:space="0" w:color="auto"/>
        <w:left w:val="none" w:sz="0" w:space="0" w:color="auto"/>
        <w:bottom w:val="none" w:sz="0" w:space="0" w:color="auto"/>
        <w:right w:val="none" w:sz="0" w:space="0" w:color="auto"/>
      </w:divBdr>
    </w:div>
    <w:div w:id="2026056435">
      <w:bodyDiv w:val="1"/>
      <w:marLeft w:val="0"/>
      <w:marRight w:val="0"/>
      <w:marTop w:val="0"/>
      <w:marBottom w:val="0"/>
      <w:divBdr>
        <w:top w:val="none" w:sz="0" w:space="0" w:color="auto"/>
        <w:left w:val="none" w:sz="0" w:space="0" w:color="auto"/>
        <w:bottom w:val="none" w:sz="0" w:space="0" w:color="auto"/>
        <w:right w:val="none" w:sz="0" w:space="0" w:color="auto"/>
      </w:divBdr>
    </w:div>
    <w:div w:id="2026443892">
      <w:bodyDiv w:val="1"/>
      <w:marLeft w:val="0"/>
      <w:marRight w:val="0"/>
      <w:marTop w:val="0"/>
      <w:marBottom w:val="0"/>
      <w:divBdr>
        <w:top w:val="none" w:sz="0" w:space="0" w:color="auto"/>
        <w:left w:val="none" w:sz="0" w:space="0" w:color="auto"/>
        <w:bottom w:val="none" w:sz="0" w:space="0" w:color="auto"/>
        <w:right w:val="none" w:sz="0" w:space="0" w:color="auto"/>
      </w:divBdr>
    </w:div>
    <w:div w:id="2027975621">
      <w:bodyDiv w:val="1"/>
      <w:marLeft w:val="0"/>
      <w:marRight w:val="0"/>
      <w:marTop w:val="0"/>
      <w:marBottom w:val="0"/>
      <w:divBdr>
        <w:top w:val="none" w:sz="0" w:space="0" w:color="auto"/>
        <w:left w:val="none" w:sz="0" w:space="0" w:color="auto"/>
        <w:bottom w:val="none" w:sz="0" w:space="0" w:color="auto"/>
        <w:right w:val="none" w:sz="0" w:space="0" w:color="auto"/>
      </w:divBdr>
    </w:div>
    <w:div w:id="2028828384">
      <w:bodyDiv w:val="1"/>
      <w:marLeft w:val="0"/>
      <w:marRight w:val="0"/>
      <w:marTop w:val="0"/>
      <w:marBottom w:val="0"/>
      <w:divBdr>
        <w:top w:val="none" w:sz="0" w:space="0" w:color="auto"/>
        <w:left w:val="none" w:sz="0" w:space="0" w:color="auto"/>
        <w:bottom w:val="none" w:sz="0" w:space="0" w:color="auto"/>
        <w:right w:val="none" w:sz="0" w:space="0" w:color="auto"/>
      </w:divBdr>
    </w:div>
    <w:div w:id="2029134645">
      <w:bodyDiv w:val="1"/>
      <w:marLeft w:val="0"/>
      <w:marRight w:val="0"/>
      <w:marTop w:val="0"/>
      <w:marBottom w:val="0"/>
      <w:divBdr>
        <w:top w:val="none" w:sz="0" w:space="0" w:color="auto"/>
        <w:left w:val="none" w:sz="0" w:space="0" w:color="auto"/>
        <w:bottom w:val="none" w:sz="0" w:space="0" w:color="auto"/>
        <w:right w:val="none" w:sz="0" w:space="0" w:color="auto"/>
      </w:divBdr>
    </w:div>
    <w:div w:id="2029257908">
      <w:bodyDiv w:val="1"/>
      <w:marLeft w:val="0"/>
      <w:marRight w:val="0"/>
      <w:marTop w:val="0"/>
      <w:marBottom w:val="0"/>
      <w:divBdr>
        <w:top w:val="none" w:sz="0" w:space="0" w:color="auto"/>
        <w:left w:val="none" w:sz="0" w:space="0" w:color="auto"/>
        <w:bottom w:val="none" w:sz="0" w:space="0" w:color="auto"/>
        <w:right w:val="none" w:sz="0" w:space="0" w:color="auto"/>
      </w:divBdr>
    </w:div>
    <w:div w:id="2030062497">
      <w:bodyDiv w:val="1"/>
      <w:marLeft w:val="0"/>
      <w:marRight w:val="0"/>
      <w:marTop w:val="0"/>
      <w:marBottom w:val="0"/>
      <w:divBdr>
        <w:top w:val="none" w:sz="0" w:space="0" w:color="auto"/>
        <w:left w:val="none" w:sz="0" w:space="0" w:color="auto"/>
        <w:bottom w:val="none" w:sz="0" w:space="0" w:color="auto"/>
        <w:right w:val="none" w:sz="0" w:space="0" w:color="auto"/>
      </w:divBdr>
    </w:div>
    <w:div w:id="2031101699">
      <w:bodyDiv w:val="1"/>
      <w:marLeft w:val="0"/>
      <w:marRight w:val="0"/>
      <w:marTop w:val="0"/>
      <w:marBottom w:val="0"/>
      <w:divBdr>
        <w:top w:val="none" w:sz="0" w:space="0" w:color="auto"/>
        <w:left w:val="none" w:sz="0" w:space="0" w:color="auto"/>
        <w:bottom w:val="none" w:sz="0" w:space="0" w:color="auto"/>
        <w:right w:val="none" w:sz="0" w:space="0" w:color="auto"/>
      </w:divBdr>
    </w:div>
    <w:div w:id="2032753958">
      <w:bodyDiv w:val="1"/>
      <w:marLeft w:val="0"/>
      <w:marRight w:val="0"/>
      <w:marTop w:val="0"/>
      <w:marBottom w:val="0"/>
      <w:divBdr>
        <w:top w:val="none" w:sz="0" w:space="0" w:color="auto"/>
        <w:left w:val="none" w:sz="0" w:space="0" w:color="auto"/>
        <w:bottom w:val="none" w:sz="0" w:space="0" w:color="auto"/>
        <w:right w:val="none" w:sz="0" w:space="0" w:color="auto"/>
      </w:divBdr>
    </w:div>
    <w:div w:id="2034258372">
      <w:bodyDiv w:val="1"/>
      <w:marLeft w:val="0"/>
      <w:marRight w:val="0"/>
      <w:marTop w:val="0"/>
      <w:marBottom w:val="0"/>
      <w:divBdr>
        <w:top w:val="none" w:sz="0" w:space="0" w:color="auto"/>
        <w:left w:val="none" w:sz="0" w:space="0" w:color="auto"/>
        <w:bottom w:val="none" w:sz="0" w:space="0" w:color="auto"/>
        <w:right w:val="none" w:sz="0" w:space="0" w:color="auto"/>
      </w:divBdr>
    </w:div>
    <w:div w:id="2034988052">
      <w:bodyDiv w:val="1"/>
      <w:marLeft w:val="0"/>
      <w:marRight w:val="0"/>
      <w:marTop w:val="0"/>
      <w:marBottom w:val="0"/>
      <w:divBdr>
        <w:top w:val="none" w:sz="0" w:space="0" w:color="auto"/>
        <w:left w:val="none" w:sz="0" w:space="0" w:color="auto"/>
        <w:bottom w:val="none" w:sz="0" w:space="0" w:color="auto"/>
        <w:right w:val="none" w:sz="0" w:space="0" w:color="auto"/>
      </w:divBdr>
    </w:div>
    <w:div w:id="2036230009">
      <w:bodyDiv w:val="1"/>
      <w:marLeft w:val="0"/>
      <w:marRight w:val="0"/>
      <w:marTop w:val="0"/>
      <w:marBottom w:val="0"/>
      <w:divBdr>
        <w:top w:val="none" w:sz="0" w:space="0" w:color="auto"/>
        <w:left w:val="none" w:sz="0" w:space="0" w:color="auto"/>
        <w:bottom w:val="none" w:sz="0" w:space="0" w:color="auto"/>
        <w:right w:val="none" w:sz="0" w:space="0" w:color="auto"/>
      </w:divBdr>
    </w:div>
    <w:div w:id="2037080617">
      <w:bodyDiv w:val="1"/>
      <w:marLeft w:val="0"/>
      <w:marRight w:val="0"/>
      <w:marTop w:val="0"/>
      <w:marBottom w:val="0"/>
      <w:divBdr>
        <w:top w:val="none" w:sz="0" w:space="0" w:color="auto"/>
        <w:left w:val="none" w:sz="0" w:space="0" w:color="auto"/>
        <w:bottom w:val="none" w:sz="0" w:space="0" w:color="auto"/>
        <w:right w:val="none" w:sz="0" w:space="0" w:color="auto"/>
      </w:divBdr>
    </w:div>
    <w:div w:id="2039768563">
      <w:bodyDiv w:val="1"/>
      <w:marLeft w:val="0"/>
      <w:marRight w:val="0"/>
      <w:marTop w:val="0"/>
      <w:marBottom w:val="0"/>
      <w:divBdr>
        <w:top w:val="none" w:sz="0" w:space="0" w:color="auto"/>
        <w:left w:val="none" w:sz="0" w:space="0" w:color="auto"/>
        <w:bottom w:val="none" w:sz="0" w:space="0" w:color="auto"/>
        <w:right w:val="none" w:sz="0" w:space="0" w:color="auto"/>
      </w:divBdr>
    </w:div>
    <w:div w:id="2042320272">
      <w:bodyDiv w:val="1"/>
      <w:marLeft w:val="0"/>
      <w:marRight w:val="0"/>
      <w:marTop w:val="0"/>
      <w:marBottom w:val="0"/>
      <w:divBdr>
        <w:top w:val="none" w:sz="0" w:space="0" w:color="auto"/>
        <w:left w:val="none" w:sz="0" w:space="0" w:color="auto"/>
        <w:bottom w:val="none" w:sz="0" w:space="0" w:color="auto"/>
        <w:right w:val="none" w:sz="0" w:space="0" w:color="auto"/>
      </w:divBdr>
    </w:div>
    <w:div w:id="2042365730">
      <w:bodyDiv w:val="1"/>
      <w:marLeft w:val="0"/>
      <w:marRight w:val="0"/>
      <w:marTop w:val="0"/>
      <w:marBottom w:val="0"/>
      <w:divBdr>
        <w:top w:val="none" w:sz="0" w:space="0" w:color="auto"/>
        <w:left w:val="none" w:sz="0" w:space="0" w:color="auto"/>
        <w:bottom w:val="none" w:sz="0" w:space="0" w:color="auto"/>
        <w:right w:val="none" w:sz="0" w:space="0" w:color="auto"/>
      </w:divBdr>
    </w:div>
    <w:div w:id="2042626616">
      <w:bodyDiv w:val="1"/>
      <w:marLeft w:val="0"/>
      <w:marRight w:val="0"/>
      <w:marTop w:val="0"/>
      <w:marBottom w:val="0"/>
      <w:divBdr>
        <w:top w:val="none" w:sz="0" w:space="0" w:color="auto"/>
        <w:left w:val="none" w:sz="0" w:space="0" w:color="auto"/>
        <w:bottom w:val="none" w:sz="0" w:space="0" w:color="auto"/>
        <w:right w:val="none" w:sz="0" w:space="0" w:color="auto"/>
      </w:divBdr>
    </w:div>
    <w:div w:id="2042701944">
      <w:bodyDiv w:val="1"/>
      <w:marLeft w:val="0"/>
      <w:marRight w:val="0"/>
      <w:marTop w:val="0"/>
      <w:marBottom w:val="0"/>
      <w:divBdr>
        <w:top w:val="none" w:sz="0" w:space="0" w:color="auto"/>
        <w:left w:val="none" w:sz="0" w:space="0" w:color="auto"/>
        <w:bottom w:val="none" w:sz="0" w:space="0" w:color="auto"/>
        <w:right w:val="none" w:sz="0" w:space="0" w:color="auto"/>
      </w:divBdr>
    </w:div>
    <w:div w:id="2042900526">
      <w:bodyDiv w:val="1"/>
      <w:marLeft w:val="0"/>
      <w:marRight w:val="0"/>
      <w:marTop w:val="0"/>
      <w:marBottom w:val="0"/>
      <w:divBdr>
        <w:top w:val="none" w:sz="0" w:space="0" w:color="auto"/>
        <w:left w:val="none" w:sz="0" w:space="0" w:color="auto"/>
        <w:bottom w:val="none" w:sz="0" w:space="0" w:color="auto"/>
        <w:right w:val="none" w:sz="0" w:space="0" w:color="auto"/>
      </w:divBdr>
    </w:div>
    <w:div w:id="2043165361">
      <w:bodyDiv w:val="1"/>
      <w:marLeft w:val="0"/>
      <w:marRight w:val="0"/>
      <w:marTop w:val="0"/>
      <w:marBottom w:val="0"/>
      <w:divBdr>
        <w:top w:val="none" w:sz="0" w:space="0" w:color="auto"/>
        <w:left w:val="none" w:sz="0" w:space="0" w:color="auto"/>
        <w:bottom w:val="none" w:sz="0" w:space="0" w:color="auto"/>
        <w:right w:val="none" w:sz="0" w:space="0" w:color="auto"/>
      </w:divBdr>
    </w:div>
    <w:div w:id="2044548293">
      <w:bodyDiv w:val="1"/>
      <w:marLeft w:val="0"/>
      <w:marRight w:val="0"/>
      <w:marTop w:val="0"/>
      <w:marBottom w:val="0"/>
      <w:divBdr>
        <w:top w:val="none" w:sz="0" w:space="0" w:color="auto"/>
        <w:left w:val="none" w:sz="0" w:space="0" w:color="auto"/>
        <w:bottom w:val="none" w:sz="0" w:space="0" w:color="auto"/>
        <w:right w:val="none" w:sz="0" w:space="0" w:color="auto"/>
      </w:divBdr>
    </w:div>
    <w:div w:id="2046173225">
      <w:bodyDiv w:val="1"/>
      <w:marLeft w:val="0"/>
      <w:marRight w:val="0"/>
      <w:marTop w:val="0"/>
      <w:marBottom w:val="0"/>
      <w:divBdr>
        <w:top w:val="none" w:sz="0" w:space="0" w:color="auto"/>
        <w:left w:val="none" w:sz="0" w:space="0" w:color="auto"/>
        <w:bottom w:val="none" w:sz="0" w:space="0" w:color="auto"/>
        <w:right w:val="none" w:sz="0" w:space="0" w:color="auto"/>
      </w:divBdr>
    </w:div>
    <w:div w:id="2046370121">
      <w:bodyDiv w:val="1"/>
      <w:marLeft w:val="0"/>
      <w:marRight w:val="0"/>
      <w:marTop w:val="0"/>
      <w:marBottom w:val="0"/>
      <w:divBdr>
        <w:top w:val="none" w:sz="0" w:space="0" w:color="auto"/>
        <w:left w:val="none" w:sz="0" w:space="0" w:color="auto"/>
        <w:bottom w:val="none" w:sz="0" w:space="0" w:color="auto"/>
        <w:right w:val="none" w:sz="0" w:space="0" w:color="auto"/>
      </w:divBdr>
    </w:div>
    <w:div w:id="2047441455">
      <w:bodyDiv w:val="1"/>
      <w:marLeft w:val="0"/>
      <w:marRight w:val="0"/>
      <w:marTop w:val="0"/>
      <w:marBottom w:val="0"/>
      <w:divBdr>
        <w:top w:val="none" w:sz="0" w:space="0" w:color="auto"/>
        <w:left w:val="none" w:sz="0" w:space="0" w:color="auto"/>
        <w:bottom w:val="none" w:sz="0" w:space="0" w:color="auto"/>
        <w:right w:val="none" w:sz="0" w:space="0" w:color="auto"/>
      </w:divBdr>
    </w:div>
    <w:div w:id="2047876125">
      <w:bodyDiv w:val="1"/>
      <w:marLeft w:val="0"/>
      <w:marRight w:val="0"/>
      <w:marTop w:val="0"/>
      <w:marBottom w:val="0"/>
      <w:divBdr>
        <w:top w:val="none" w:sz="0" w:space="0" w:color="auto"/>
        <w:left w:val="none" w:sz="0" w:space="0" w:color="auto"/>
        <w:bottom w:val="none" w:sz="0" w:space="0" w:color="auto"/>
        <w:right w:val="none" w:sz="0" w:space="0" w:color="auto"/>
      </w:divBdr>
    </w:div>
    <w:div w:id="2050834726">
      <w:bodyDiv w:val="1"/>
      <w:marLeft w:val="0"/>
      <w:marRight w:val="0"/>
      <w:marTop w:val="0"/>
      <w:marBottom w:val="0"/>
      <w:divBdr>
        <w:top w:val="none" w:sz="0" w:space="0" w:color="auto"/>
        <w:left w:val="none" w:sz="0" w:space="0" w:color="auto"/>
        <w:bottom w:val="none" w:sz="0" w:space="0" w:color="auto"/>
        <w:right w:val="none" w:sz="0" w:space="0" w:color="auto"/>
      </w:divBdr>
    </w:div>
    <w:div w:id="2051487159">
      <w:bodyDiv w:val="1"/>
      <w:marLeft w:val="0"/>
      <w:marRight w:val="0"/>
      <w:marTop w:val="0"/>
      <w:marBottom w:val="0"/>
      <w:divBdr>
        <w:top w:val="none" w:sz="0" w:space="0" w:color="auto"/>
        <w:left w:val="none" w:sz="0" w:space="0" w:color="auto"/>
        <w:bottom w:val="none" w:sz="0" w:space="0" w:color="auto"/>
        <w:right w:val="none" w:sz="0" w:space="0" w:color="auto"/>
      </w:divBdr>
    </w:div>
    <w:div w:id="2053191368">
      <w:bodyDiv w:val="1"/>
      <w:marLeft w:val="0"/>
      <w:marRight w:val="0"/>
      <w:marTop w:val="0"/>
      <w:marBottom w:val="0"/>
      <w:divBdr>
        <w:top w:val="none" w:sz="0" w:space="0" w:color="auto"/>
        <w:left w:val="none" w:sz="0" w:space="0" w:color="auto"/>
        <w:bottom w:val="none" w:sz="0" w:space="0" w:color="auto"/>
        <w:right w:val="none" w:sz="0" w:space="0" w:color="auto"/>
      </w:divBdr>
    </w:div>
    <w:div w:id="2053841086">
      <w:bodyDiv w:val="1"/>
      <w:marLeft w:val="0"/>
      <w:marRight w:val="0"/>
      <w:marTop w:val="0"/>
      <w:marBottom w:val="0"/>
      <w:divBdr>
        <w:top w:val="none" w:sz="0" w:space="0" w:color="auto"/>
        <w:left w:val="none" w:sz="0" w:space="0" w:color="auto"/>
        <w:bottom w:val="none" w:sz="0" w:space="0" w:color="auto"/>
        <w:right w:val="none" w:sz="0" w:space="0" w:color="auto"/>
      </w:divBdr>
    </w:div>
    <w:div w:id="2054697357">
      <w:bodyDiv w:val="1"/>
      <w:marLeft w:val="0"/>
      <w:marRight w:val="0"/>
      <w:marTop w:val="0"/>
      <w:marBottom w:val="0"/>
      <w:divBdr>
        <w:top w:val="none" w:sz="0" w:space="0" w:color="auto"/>
        <w:left w:val="none" w:sz="0" w:space="0" w:color="auto"/>
        <w:bottom w:val="none" w:sz="0" w:space="0" w:color="auto"/>
        <w:right w:val="none" w:sz="0" w:space="0" w:color="auto"/>
      </w:divBdr>
    </w:div>
    <w:div w:id="2055156634">
      <w:bodyDiv w:val="1"/>
      <w:marLeft w:val="0"/>
      <w:marRight w:val="0"/>
      <w:marTop w:val="0"/>
      <w:marBottom w:val="0"/>
      <w:divBdr>
        <w:top w:val="none" w:sz="0" w:space="0" w:color="auto"/>
        <w:left w:val="none" w:sz="0" w:space="0" w:color="auto"/>
        <w:bottom w:val="none" w:sz="0" w:space="0" w:color="auto"/>
        <w:right w:val="none" w:sz="0" w:space="0" w:color="auto"/>
      </w:divBdr>
    </w:div>
    <w:div w:id="2056074239">
      <w:bodyDiv w:val="1"/>
      <w:marLeft w:val="0"/>
      <w:marRight w:val="0"/>
      <w:marTop w:val="0"/>
      <w:marBottom w:val="0"/>
      <w:divBdr>
        <w:top w:val="none" w:sz="0" w:space="0" w:color="auto"/>
        <w:left w:val="none" w:sz="0" w:space="0" w:color="auto"/>
        <w:bottom w:val="none" w:sz="0" w:space="0" w:color="auto"/>
        <w:right w:val="none" w:sz="0" w:space="0" w:color="auto"/>
      </w:divBdr>
    </w:div>
    <w:div w:id="2056195722">
      <w:bodyDiv w:val="1"/>
      <w:marLeft w:val="0"/>
      <w:marRight w:val="0"/>
      <w:marTop w:val="0"/>
      <w:marBottom w:val="0"/>
      <w:divBdr>
        <w:top w:val="none" w:sz="0" w:space="0" w:color="auto"/>
        <w:left w:val="none" w:sz="0" w:space="0" w:color="auto"/>
        <w:bottom w:val="none" w:sz="0" w:space="0" w:color="auto"/>
        <w:right w:val="none" w:sz="0" w:space="0" w:color="auto"/>
      </w:divBdr>
    </w:div>
    <w:div w:id="2056271079">
      <w:bodyDiv w:val="1"/>
      <w:marLeft w:val="0"/>
      <w:marRight w:val="0"/>
      <w:marTop w:val="0"/>
      <w:marBottom w:val="0"/>
      <w:divBdr>
        <w:top w:val="none" w:sz="0" w:space="0" w:color="auto"/>
        <w:left w:val="none" w:sz="0" w:space="0" w:color="auto"/>
        <w:bottom w:val="none" w:sz="0" w:space="0" w:color="auto"/>
        <w:right w:val="none" w:sz="0" w:space="0" w:color="auto"/>
      </w:divBdr>
    </w:div>
    <w:div w:id="2056346603">
      <w:bodyDiv w:val="1"/>
      <w:marLeft w:val="0"/>
      <w:marRight w:val="0"/>
      <w:marTop w:val="0"/>
      <w:marBottom w:val="0"/>
      <w:divBdr>
        <w:top w:val="none" w:sz="0" w:space="0" w:color="auto"/>
        <w:left w:val="none" w:sz="0" w:space="0" w:color="auto"/>
        <w:bottom w:val="none" w:sz="0" w:space="0" w:color="auto"/>
        <w:right w:val="none" w:sz="0" w:space="0" w:color="auto"/>
      </w:divBdr>
    </w:div>
    <w:div w:id="2057386016">
      <w:bodyDiv w:val="1"/>
      <w:marLeft w:val="0"/>
      <w:marRight w:val="0"/>
      <w:marTop w:val="0"/>
      <w:marBottom w:val="0"/>
      <w:divBdr>
        <w:top w:val="none" w:sz="0" w:space="0" w:color="auto"/>
        <w:left w:val="none" w:sz="0" w:space="0" w:color="auto"/>
        <w:bottom w:val="none" w:sz="0" w:space="0" w:color="auto"/>
        <w:right w:val="none" w:sz="0" w:space="0" w:color="auto"/>
      </w:divBdr>
    </w:div>
    <w:div w:id="2057504086">
      <w:bodyDiv w:val="1"/>
      <w:marLeft w:val="0"/>
      <w:marRight w:val="0"/>
      <w:marTop w:val="0"/>
      <w:marBottom w:val="0"/>
      <w:divBdr>
        <w:top w:val="none" w:sz="0" w:space="0" w:color="auto"/>
        <w:left w:val="none" w:sz="0" w:space="0" w:color="auto"/>
        <w:bottom w:val="none" w:sz="0" w:space="0" w:color="auto"/>
        <w:right w:val="none" w:sz="0" w:space="0" w:color="auto"/>
      </w:divBdr>
    </w:div>
    <w:div w:id="2057851078">
      <w:bodyDiv w:val="1"/>
      <w:marLeft w:val="0"/>
      <w:marRight w:val="0"/>
      <w:marTop w:val="0"/>
      <w:marBottom w:val="0"/>
      <w:divBdr>
        <w:top w:val="none" w:sz="0" w:space="0" w:color="auto"/>
        <w:left w:val="none" w:sz="0" w:space="0" w:color="auto"/>
        <w:bottom w:val="none" w:sz="0" w:space="0" w:color="auto"/>
        <w:right w:val="none" w:sz="0" w:space="0" w:color="auto"/>
      </w:divBdr>
    </w:div>
    <w:div w:id="2058821568">
      <w:bodyDiv w:val="1"/>
      <w:marLeft w:val="0"/>
      <w:marRight w:val="0"/>
      <w:marTop w:val="0"/>
      <w:marBottom w:val="0"/>
      <w:divBdr>
        <w:top w:val="none" w:sz="0" w:space="0" w:color="auto"/>
        <w:left w:val="none" w:sz="0" w:space="0" w:color="auto"/>
        <w:bottom w:val="none" w:sz="0" w:space="0" w:color="auto"/>
        <w:right w:val="none" w:sz="0" w:space="0" w:color="auto"/>
      </w:divBdr>
    </w:div>
    <w:div w:id="2060470485">
      <w:bodyDiv w:val="1"/>
      <w:marLeft w:val="0"/>
      <w:marRight w:val="0"/>
      <w:marTop w:val="0"/>
      <w:marBottom w:val="0"/>
      <w:divBdr>
        <w:top w:val="none" w:sz="0" w:space="0" w:color="auto"/>
        <w:left w:val="none" w:sz="0" w:space="0" w:color="auto"/>
        <w:bottom w:val="none" w:sz="0" w:space="0" w:color="auto"/>
        <w:right w:val="none" w:sz="0" w:space="0" w:color="auto"/>
      </w:divBdr>
    </w:div>
    <w:div w:id="2060519393">
      <w:bodyDiv w:val="1"/>
      <w:marLeft w:val="0"/>
      <w:marRight w:val="0"/>
      <w:marTop w:val="0"/>
      <w:marBottom w:val="0"/>
      <w:divBdr>
        <w:top w:val="none" w:sz="0" w:space="0" w:color="auto"/>
        <w:left w:val="none" w:sz="0" w:space="0" w:color="auto"/>
        <w:bottom w:val="none" w:sz="0" w:space="0" w:color="auto"/>
        <w:right w:val="none" w:sz="0" w:space="0" w:color="auto"/>
      </w:divBdr>
    </w:div>
    <w:div w:id="2061050504">
      <w:bodyDiv w:val="1"/>
      <w:marLeft w:val="0"/>
      <w:marRight w:val="0"/>
      <w:marTop w:val="0"/>
      <w:marBottom w:val="0"/>
      <w:divBdr>
        <w:top w:val="none" w:sz="0" w:space="0" w:color="auto"/>
        <w:left w:val="none" w:sz="0" w:space="0" w:color="auto"/>
        <w:bottom w:val="none" w:sz="0" w:space="0" w:color="auto"/>
        <w:right w:val="none" w:sz="0" w:space="0" w:color="auto"/>
      </w:divBdr>
    </w:div>
    <w:div w:id="2061055715">
      <w:bodyDiv w:val="1"/>
      <w:marLeft w:val="0"/>
      <w:marRight w:val="0"/>
      <w:marTop w:val="0"/>
      <w:marBottom w:val="0"/>
      <w:divBdr>
        <w:top w:val="none" w:sz="0" w:space="0" w:color="auto"/>
        <w:left w:val="none" w:sz="0" w:space="0" w:color="auto"/>
        <w:bottom w:val="none" w:sz="0" w:space="0" w:color="auto"/>
        <w:right w:val="none" w:sz="0" w:space="0" w:color="auto"/>
      </w:divBdr>
    </w:div>
    <w:div w:id="2061443245">
      <w:bodyDiv w:val="1"/>
      <w:marLeft w:val="0"/>
      <w:marRight w:val="0"/>
      <w:marTop w:val="0"/>
      <w:marBottom w:val="0"/>
      <w:divBdr>
        <w:top w:val="none" w:sz="0" w:space="0" w:color="auto"/>
        <w:left w:val="none" w:sz="0" w:space="0" w:color="auto"/>
        <w:bottom w:val="none" w:sz="0" w:space="0" w:color="auto"/>
        <w:right w:val="none" w:sz="0" w:space="0" w:color="auto"/>
      </w:divBdr>
    </w:div>
    <w:div w:id="2062509616">
      <w:bodyDiv w:val="1"/>
      <w:marLeft w:val="0"/>
      <w:marRight w:val="0"/>
      <w:marTop w:val="0"/>
      <w:marBottom w:val="0"/>
      <w:divBdr>
        <w:top w:val="none" w:sz="0" w:space="0" w:color="auto"/>
        <w:left w:val="none" w:sz="0" w:space="0" w:color="auto"/>
        <w:bottom w:val="none" w:sz="0" w:space="0" w:color="auto"/>
        <w:right w:val="none" w:sz="0" w:space="0" w:color="auto"/>
      </w:divBdr>
    </w:div>
    <w:div w:id="2064864990">
      <w:bodyDiv w:val="1"/>
      <w:marLeft w:val="0"/>
      <w:marRight w:val="0"/>
      <w:marTop w:val="0"/>
      <w:marBottom w:val="0"/>
      <w:divBdr>
        <w:top w:val="none" w:sz="0" w:space="0" w:color="auto"/>
        <w:left w:val="none" w:sz="0" w:space="0" w:color="auto"/>
        <w:bottom w:val="none" w:sz="0" w:space="0" w:color="auto"/>
        <w:right w:val="none" w:sz="0" w:space="0" w:color="auto"/>
      </w:divBdr>
    </w:div>
    <w:div w:id="2065525984">
      <w:bodyDiv w:val="1"/>
      <w:marLeft w:val="0"/>
      <w:marRight w:val="0"/>
      <w:marTop w:val="0"/>
      <w:marBottom w:val="0"/>
      <w:divBdr>
        <w:top w:val="none" w:sz="0" w:space="0" w:color="auto"/>
        <w:left w:val="none" w:sz="0" w:space="0" w:color="auto"/>
        <w:bottom w:val="none" w:sz="0" w:space="0" w:color="auto"/>
        <w:right w:val="none" w:sz="0" w:space="0" w:color="auto"/>
      </w:divBdr>
    </w:div>
    <w:div w:id="2066447651">
      <w:bodyDiv w:val="1"/>
      <w:marLeft w:val="0"/>
      <w:marRight w:val="0"/>
      <w:marTop w:val="0"/>
      <w:marBottom w:val="0"/>
      <w:divBdr>
        <w:top w:val="none" w:sz="0" w:space="0" w:color="auto"/>
        <w:left w:val="none" w:sz="0" w:space="0" w:color="auto"/>
        <w:bottom w:val="none" w:sz="0" w:space="0" w:color="auto"/>
        <w:right w:val="none" w:sz="0" w:space="0" w:color="auto"/>
      </w:divBdr>
    </w:div>
    <w:div w:id="2066488261">
      <w:bodyDiv w:val="1"/>
      <w:marLeft w:val="0"/>
      <w:marRight w:val="0"/>
      <w:marTop w:val="0"/>
      <w:marBottom w:val="0"/>
      <w:divBdr>
        <w:top w:val="none" w:sz="0" w:space="0" w:color="auto"/>
        <w:left w:val="none" w:sz="0" w:space="0" w:color="auto"/>
        <w:bottom w:val="none" w:sz="0" w:space="0" w:color="auto"/>
        <w:right w:val="none" w:sz="0" w:space="0" w:color="auto"/>
      </w:divBdr>
    </w:div>
    <w:div w:id="2066754376">
      <w:bodyDiv w:val="1"/>
      <w:marLeft w:val="0"/>
      <w:marRight w:val="0"/>
      <w:marTop w:val="0"/>
      <w:marBottom w:val="0"/>
      <w:divBdr>
        <w:top w:val="none" w:sz="0" w:space="0" w:color="auto"/>
        <w:left w:val="none" w:sz="0" w:space="0" w:color="auto"/>
        <w:bottom w:val="none" w:sz="0" w:space="0" w:color="auto"/>
        <w:right w:val="none" w:sz="0" w:space="0" w:color="auto"/>
      </w:divBdr>
    </w:div>
    <w:div w:id="2067601134">
      <w:bodyDiv w:val="1"/>
      <w:marLeft w:val="0"/>
      <w:marRight w:val="0"/>
      <w:marTop w:val="0"/>
      <w:marBottom w:val="0"/>
      <w:divBdr>
        <w:top w:val="none" w:sz="0" w:space="0" w:color="auto"/>
        <w:left w:val="none" w:sz="0" w:space="0" w:color="auto"/>
        <w:bottom w:val="none" w:sz="0" w:space="0" w:color="auto"/>
        <w:right w:val="none" w:sz="0" w:space="0" w:color="auto"/>
      </w:divBdr>
    </w:div>
    <w:div w:id="2068020908">
      <w:bodyDiv w:val="1"/>
      <w:marLeft w:val="0"/>
      <w:marRight w:val="0"/>
      <w:marTop w:val="0"/>
      <w:marBottom w:val="0"/>
      <w:divBdr>
        <w:top w:val="none" w:sz="0" w:space="0" w:color="auto"/>
        <w:left w:val="none" w:sz="0" w:space="0" w:color="auto"/>
        <w:bottom w:val="none" w:sz="0" w:space="0" w:color="auto"/>
        <w:right w:val="none" w:sz="0" w:space="0" w:color="auto"/>
      </w:divBdr>
    </w:div>
    <w:div w:id="2068070273">
      <w:bodyDiv w:val="1"/>
      <w:marLeft w:val="0"/>
      <w:marRight w:val="0"/>
      <w:marTop w:val="0"/>
      <w:marBottom w:val="0"/>
      <w:divBdr>
        <w:top w:val="none" w:sz="0" w:space="0" w:color="auto"/>
        <w:left w:val="none" w:sz="0" w:space="0" w:color="auto"/>
        <w:bottom w:val="none" w:sz="0" w:space="0" w:color="auto"/>
        <w:right w:val="none" w:sz="0" w:space="0" w:color="auto"/>
      </w:divBdr>
    </w:div>
    <w:div w:id="2070499447">
      <w:bodyDiv w:val="1"/>
      <w:marLeft w:val="0"/>
      <w:marRight w:val="0"/>
      <w:marTop w:val="0"/>
      <w:marBottom w:val="0"/>
      <w:divBdr>
        <w:top w:val="none" w:sz="0" w:space="0" w:color="auto"/>
        <w:left w:val="none" w:sz="0" w:space="0" w:color="auto"/>
        <w:bottom w:val="none" w:sz="0" w:space="0" w:color="auto"/>
        <w:right w:val="none" w:sz="0" w:space="0" w:color="auto"/>
      </w:divBdr>
    </w:div>
    <w:div w:id="2070616432">
      <w:bodyDiv w:val="1"/>
      <w:marLeft w:val="0"/>
      <w:marRight w:val="0"/>
      <w:marTop w:val="0"/>
      <w:marBottom w:val="0"/>
      <w:divBdr>
        <w:top w:val="none" w:sz="0" w:space="0" w:color="auto"/>
        <w:left w:val="none" w:sz="0" w:space="0" w:color="auto"/>
        <w:bottom w:val="none" w:sz="0" w:space="0" w:color="auto"/>
        <w:right w:val="none" w:sz="0" w:space="0" w:color="auto"/>
      </w:divBdr>
    </w:div>
    <w:div w:id="2071340432">
      <w:bodyDiv w:val="1"/>
      <w:marLeft w:val="0"/>
      <w:marRight w:val="0"/>
      <w:marTop w:val="0"/>
      <w:marBottom w:val="0"/>
      <w:divBdr>
        <w:top w:val="none" w:sz="0" w:space="0" w:color="auto"/>
        <w:left w:val="none" w:sz="0" w:space="0" w:color="auto"/>
        <w:bottom w:val="none" w:sz="0" w:space="0" w:color="auto"/>
        <w:right w:val="none" w:sz="0" w:space="0" w:color="auto"/>
      </w:divBdr>
    </w:div>
    <w:div w:id="2073036760">
      <w:bodyDiv w:val="1"/>
      <w:marLeft w:val="0"/>
      <w:marRight w:val="0"/>
      <w:marTop w:val="0"/>
      <w:marBottom w:val="0"/>
      <w:divBdr>
        <w:top w:val="none" w:sz="0" w:space="0" w:color="auto"/>
        <w:left w:val="none" w:sz="0" w:space="0" w:color="auto"/>
        <w:bottom w:val="none" w:sz="0" w:space="0" w:color="auto"/>
        <w:right w:val="none" w:sz="0" w:space="0" w:color="auto"/>
      </w:divBdr>
    </w:div>
    <w:div w:id="2074309480">
      <w:bodyDiv w:val="1"/>
      <w:marLeft w:val="0"/>
      <w:marRight w:val="0"/>
      <w:marTop w:val="0"/>
      <w:marBottom w:val="0"/>
      <w:divBdr>
        <w:top w:val="none" w:sz="0" w:space="0" w:color="auto"/>
        <w:left w:val="none" w:sz="0" w:space="0" w:color="auto"/>
        <w:bottom w:val="none" w:sz="0" w:space="0" w:color="auto"/>
        <w:right w:val="none" w:sz="0" w:space="0" w:color="auto"/>
      </w:divBdr>
    </w:div>
    <w:div w:id="2074423809">
      <w:bodyDiv w:val="1"/>
      <w:marLeft w:val="0"/>
      <w:marRight w:val="0"/>
      <w:marTop w:val="0"/>
      <w:marBottom w:val="0"/>
      <w:divBdr>
        <w:top w:val="none" w:sz="0" w:space="0" w:color="auto"/>
        <w:left w:val="none" w:sz="0" w:space="0" w:color="auto"/>
        <w:bottom w:val="none" w:sz="0" w:space="0" w:color="auto"/>
        <w:right w:val="none" w:sz="0" w:space="0" w:color="auto"/>
      </w:divBdr>
    </w:div>
    <w:div w:id="2074817360">
      <w:bodyDiv w:val="1"/>
      <w:marLeft w:val="0"/>
      <w:marRight w:val="0"/>
      <w:marTop w:val="0"/>
      <w:marBottom w:val="0"/>
      <w:divBdr>
        <w:top w:val="none" w:sz="0" w:space="0" w:color="auto"/>
        <w:left w:val="none" w:sz="0" w:space="0" w:color="auto"/>
        <w:bottom w:val="none" w:sz="0" w:space="0" w:color="auto"/>
        <w:right w:val="none" w:sz="0" w:space="0" w:color="auto"/>
      </w:divBdr>
    </w:div>
    <w:div w:id="2074964448">
      <w:bodyDiv w:val="1"/>
      <w:marLeft w:val="0"/>
      <w:marRight w:val="0"/>
      <w:marTop w:val="0"/>
      <w:marBottom w:val="0"/>
      <w:divBdr>
        <w:top w:val="none" w:sz="0" w:space="0" w:color="auto"/>
        <w:left w:val="none" w:sz="0" w:space="0" w:color="auto"/>
        <w:bottom w:val="none" w:sz="0" w:space="0" w:color="auto"/>
        <w:right w:val="none" w:sz="0" w:space="0" w:color="auto"/>
      </w:divBdr>
    </w:div>
    <w:div w:id="2075656826">
      <w:bodyDiv w:val="1"/>
      <w:marLeft w:val="0"/>
      <w:marRight w:val="0"/>
      <w:marTop w:val="0"/>
      <w:marBottom w:val="0"/>
      <w:divBdr>
        <w:top w:val="none" w:sz="0" w:space="0" w:color="auto"/>
        <w:left w:val="none" w:sz="0" w:space="0" w:color="auto"/>
        <w:bottom w:val="none" w:sz="0" w:space="0" w:color="auto"/>
        <w:right w:val="none" w:sz="0" w:space="0" w:color="auto"/>
      </w:divBdr>
    </w:div>
    <w:div w:id="2076849718">
      <w:bodyDiv w:val="1"/>
      <w:marLeft w:val="0"/>
      <w:marRight w:val="0"/>
      <w:marTop w:val="0"/>
      <w:marBottom w:val="0"/>
      <w:divBdr>
        <w:top w:val="none" w:sz="0" w:space="0" w:color="auto"/>
        <w:left w:val="none" w:sz="0" w:space="0" w:color="auto"/>
        <w:bottom w:val="none" w:sz="0" w:space="0" w:color="auto"/>
        <w:right w:val="none" w:sz="0" w:space="0" w:color="auto"/>
      </w:divBdr>
    </w:div>
    <w:div w:id="2076932969">
      <w:bodyDiv w:val="1"/>
      <w:marLeft w:val="0"/>
      <w:marRight w:val="0"/>
      <w:marTop w:val="0"/>
      <w:marBottom w:val="0"/>
      <w:divBdr>
        <w:top w:val="none" w:sz="0" w:space="0" w:color="auto"/>
        <w:left w:val="none" w:sz="0" w:space="0" w:color="auto"/>
        <w:bottom w:val="none" w:sz="0" w:space="0" w:color="auto"/>
        <w:right w:val="none" w:sz="0" w:space="0" w:color="auto"/>
      </w:divBdr>
    </w:div>
    <w:div w:id="2077311478">
      <w:bodyDiv w:val="1"/>
      <w:marLeft w:val="0"/>
      <w:marRight w:val="0"/>
      <w:marTop w:val="0"/>
      <w:marBottom w:val="0"/>
      <w:divBdr>
        <w:top w:val="none" w:sz="0" w:space="0" w:color="auto"/>
        <w:left w:val="none" w:sz="0" w:space="0" w:color="auto"/>
        <w:bottom w:val="none" w:sz="0" w:space="0" w:color="auto"/>
        <w:right w:val="none" w:sz="0" w:space="0" w:color="auto"/>
      </w:divBdr>
    </w:div>
    <w:div w:id="2079396596">
      <w:bodyDiv w:val="1"/>
      <w:marLeft w:val="0"/>
      <w:marRight w:val="0"/>
      <w:marTop w:val="0"/>
      <w:marBottom w:val="0"/>
      <w:divBdr>
        <w:top w:val="none" w:sz="0" w:space="0" w:color="auto"/>
        <w:left w:val="none" w:sz="0" w:space="0" w:color="auto"/>
        <w:bottom w:val="none" w:sz="0" w:space="0" w:color="auto"/>
        <w:right w:val="none" w:sz="0" w:space="0" w:color="auto"/>
      </w:divBdr>
    </w:div>
    <w:div w:id="2080712377">
      <w:bodyDiv w:val="1"/>
      <w:marLeft w:val="0"/>
      <w:marRight w:val="0"/>
      <w:marTop w:val="0"/>
      <w:marBottom w:val="0"/>
      <w:divBdr>
        <w:top w:val="none" w:sz="0" w:space="0" w:color="auto"/>
        <w:left w:val="none" w:sz="0" w:space="0" w:color="auto"/>
        <w:bottom w:val="none" w:sz="0" w:space="0" w:color="auto"/>
        <w:right w:val="none" w:sz="0" w:space="0" w:color="auto"/>
      </w:divBdr>
    </w:div>
    <w:div w:id="2081172422">
      <w:bodyDiv w:val="1"/>
      <w:marLeft w:val="0"/>
      <w:marRight w:val="0"/>
      <w:marTop w:val="0"/>
      <w:marBottom w:val="0"/>
      <w:divBdr>
        <w:top w:val="none" w:sz="0" w:space="0" w:color="auto"/>
        <w:left w:val="none" w:sz="0" w:space="0" w:color="auto"/>
        <w:bottom w:val="none" w:sz="0" w:space="0" w:color="auto"/>
        <w:right w:val="none" w:sz="0" w:space="0" w:color="auto"/>
      </w:divBdr>
    </w:div>
    <w:div w:id="2083404963">
      <w:bodyDiv w:val="1"/>
      <w:marLeft w:val="0"/>
      <w:marRight w:val="0"/>
      <w:marTop w:val="0"/>
      <w:marBottom w:val="0"/>
      <w:divBdr>
        <w:top w:val="none" w:sz="0" w:space="0" w:color="auto"/>
        <w:left w:val="none" w:sz="0" w:space="0" w:color="auto"/>
        <w:bottom w:val="none" w:sz="0" w:space="0" w:color="auto"/>
        <w:right w:val="none" w:sz="0" w:space="0" w:color="auto"/>
      </w:divBdr>
    </w:div>
    <w:div w:id="2083989590">
      <w:bodyDiv w:val="1"/>
      <w:marLeft w:val="0"/>
      <w:marRight w:val="0"/>
      <w:marTop w:val="0"/>
      <w:marBottom w:val="0"/>
      <w:divBdr>
        <w:top w:val="none" w:sz="0" w:space="0" w:color="auto"/>
        <w:left w:val="none" w:sz="0" w:space="0" w:color="auto"/>
        <w:bottom w:val="none" w:sz="0" w:space="0" w:color="auto"/>
        <w:right w:val="none" w:sz="0" w:space="0" w:color="auto"/>
      </w:divBdr>
    </w:div>
    <w:div w:id="2085758171">
      <w:bodyDiv w:val="1"/>
      <w:marLeft w:val="0"/>
      <w:marRight w:val="0"/>
      <w:marTop w:val="0"/>
      <w:marBottom w:val="0"/>
      <w:divBdr>
        <w:top w:val="none" w:sz="0" w:space="0" w:color="auto"/>
        <w:left w:val="none" w:sz="0" w:space="0" w:color="auto"/>
        <w:bottom w:val="none" w:sz="0" w:space="0" w:color="auto"/>
        <w:right w:val="none" w:sz="0" w:space="0" w:color="auto"/>
      </w:divBdr>
    </w:div>
    <w:div w:id="2085761147">
      <w:bodyDiv w:val="1"/>
      <w:marLeft w:val="0"/>
      <w:marRight w:val="0"/>
      <w:marTop w:val="0"/>
      <w:marBottom w:val="0"/>
      <w:divBdr>
        <w:top w:val="none" w:sz="0" w:space="0" w:color="auto"/>
        <w:left w:val="none" w:sz="0" w:space="0" w:color="auto"/>
        <w:bottom w:val="none" w:sz="0" w:space="0" w:color="auto"/>
        <w:right w:val="none" w:sz="0" w:space="0" w:color="auto"/>
      </w:divBdr>
    </w:div>
    <w:div w:id="2086562081">
      <w:bodyDiv w:val="1"/>
      <w:marLeft w:val="0"/>
      <w:marRight w:val="0"/>
      <w:marTop w:val="0"/>
      <w:marBottom w:val="0"/>
      <w:divBdr>
        <w:top w:val="none" w:sz="0" w:space="0" w:color="auto"/>
        <w:left w:val="none" w:sz="0" w:space="0" w:color="auto"/>
        <w:bottom w:val="none" w:sz="0" w:space="0" w:color="auto"/>
        <w:right w:val="none" w:sz="0" w:space="0" w:color="auto"/>
      </w:divBdr>
    </w:div>
    <w:div w:id="2087022547">
      <w:bodyDiv w:val="1"/>
      <w:marLeft w:val="0"/>
      <w:marRight w:val="0"/>
      <w:marTop w:val="0"/>
      <w:marBottom w:val="0"/>
      <w:divBdr>
        <w:top w:val="none" w:sz="0" w:space="0" w:color="auto"/>
        <w:left w:val="none" w:sz="0" w:space="0" w:color="auto"/>
        <w:bottom w:val="none" w:sz="0" w:space="0" w:color="auto"/>
        <w:right w:val="none" w:sz="0" w:space="0" w:color="auto"/>
      </w:divBdr>
    </w:div>
    <w:div w:id="2087990957">
      <w:bodyDiv w:val="1"/>
      <w:marLeft w:val="0"/>
      <w:marRight w:val="0"/>
      <w:marTop w:val="0"/>
      <w:marBottom w:val="0"/>
      <w:divBdr>
        <w:top w:val="none" w:sz="0" w:space="0" w:color="auto"/>
        <w:left w:val="none" w:sz="0" w:space="0" w:color="auto"/>
        <w:bottom w:val="none" w:sz="0" w:space="0" w:color="auto"/>
        <w:right w:val="none" w:sz="0" w:space="0" w:color="auto"/>
      </w:divBdr>
    </w:div>
    <w:div w:id="2088072677">
      <w:bodyDiv w:val="1"/>
      <w:marLeft w:val="0"/>
      <w:marRight w:val="0"/>
      <w:marTop w:val="0"/>
      <w:marBottom w:val="0"/>
      <w:divBdr>
        <w:top w:val="none" w:sz="0" w:space="0" w:color="auto"/>
        <w:left w:val="none" w:sz="0" w:space="0" w:color="auto"/>
        <w:bottom w:val="none" w:sz="0" w:space="0" w:color="auto"/>
        <w:right w:val="none" w:sz="0" w:space="0" w:color="auto"/>
      </w:divBdr>
    </w:div>
    <w:div w:id="2089182998">
      <w:bodyDiv w:val="1"/>
      <w:marLeft w:val="0"/>
      <w:marRight w:val="0"/>
      <w:marTop w:val="0"/>
      <w:marBottom w:val="0"/>
      <w:divBdr>
        <w:top w:val="none" w:sz="0" w:space="0" w:color="auto"/>
        <w:left w:val="none" w:sz="0" w:space="0" w:color="auto"/>
        <w:bottom w:val="none" w:sz="0" w:space="0" w:color="auto"/>
        <w:right w:val="none" w:sz="0" w:space="0" w:color="auto"/>
      </w:divBdr>
    </w:div>
    <w:div w:id="2089569041">
      <w:bodyDiv w:val="1"/>
      <w:marLeft w:val="0"/>
      <w:marRight w:val="0"/>
      <w:marTop w:val="0"/>
      <w:marBottom w:val="0"/>
      <w:divBdr>
        <w:top w:val="none" w:sz="0" w:space="0" w:color="auto"/>
        <w:left w:val="none" w:sz="0" w:space="0" w:color="auto"/>
        <w:bottom w:val="none" w:sz="0" w:space="0" w:color="auto"/>
        <w:right w:val="none" w:sz="0" w:space="0" w:color="auto"/>
      </w:divBdr>
    </w:div>
    <w:div w:id="2090038050">
      <w:bodyDiv w:val="1"/>
      <w:marLeft w:val="0"/>
      <w:marRight w:val="0"/>
      <w:marTop w:val="0"/>
      <w:marBottom w:val="0"/>
      <w:divBdr>
        <w:top w:val="none" w:sz="0" w:space="0" w:color="auto"/>
        <w:left w:val="none" w:sz="0" w:space="0" w:color="auto"/>
        <w:bottom w:val="none" w:sz="0" w:space="0" w:color="auto"/>
        <w:right w:val="none" w:sz="0" w:space="0" w:color="auto"/>
      </w:divBdr>
    </w:div>
    <w:div w:id="2091195947">
      <w:bodyDiv w:val="1"/>
      <w:marLeft w:val="0"/>
      <w:marRight w:val="0"/>
      <w:marTop w:val="0"/>
      <w:marBottom w:val="0"/>
      <w:divBdr>
        <w:top w:val="none" w:sz="0" w:space="0" w:color="auto"/>
        <w:left w:val="none" w:sz="0" w:space="0" w:color="auto"/>
        <w:bottom w:val="none" w:sz="0" w:space="0" w:color="auto"/>
        <w:right w:val="none" w:sz="0" w:space="0" w:color="auto"/>
      </w:divBdr>
    </w:div>
    <w:div w:id="2091196619">
      <w:bodyDiv w:val="1"/>
      <w:marLeft w:val="0"/>
      <w:marRight w:val="0"/>
      <w:marTop w:val="0"/>
      <w:marBottom w:val="0"/>
      <w:divBdr>
        <w:top w:val="none" w:sz="0" w:space="0" w:color="auto"/>
        <w:left w:val="none" w:sz="0" w:space="0" w:color="auto"/>
        <w:bottom w:val="none" w:sz="0" w:space="0" w:color="auto"/>
        <w:right w:val="none" w:sz="0" w:space="0" w:color="auto"/>
      </w:divBdr>
    </w:div>
    <w:div w:id="2092653087">
      <w:bodyDiv w:val="1"/>
      <w:marLeft w:val="0"/>
      <w:marRight w:val="0"/>
      <w:marTop w:val="0"/>
      <w:marBottom w:val="0"/>
      <w:divBdr>
        <w:top w:val="none" w:sz="0" w:space="0" w:color="auto"/>
        <w:left w:val="none" w:sz="0" w:space="0" w:color="auto"/>
        <w:bottom w:val="none" w:sz="0" w:space="0" w:color="auto"/>
        <w:right w:val="none" w:sz="0" w:space="0" w:color="auto"/>
      </w:divBdr>
    </w:div>
    <w:div w:id="2092964348">
      <w:bodyDiv w:val="1"/>
      <w:marLeft w:val="0"/>
      <w:marRight w:val="0"/>
      <w:marTop w:val="0"/>
      <w:marBottom w:val="0"/>
      <w:divBdr>
        <w:top w:val="none" w:sz="0" w:space="0" w:color="auto"/>
        <w:left w:val="none" w:sz="0" w:space="0" w:color="auto"/>
        <w:bottom w:val="none" w:sz="0" w:space="0" w:color="auto"/>
        <w:right w:val="none" w:sz="0" w:space="0" w:color="auto"/>
      </w:divBdr>
    </w:div>
    <w:div w:id="2093307418">
      <w:bodyDiv w:val="1"/>
      <w:marLeft w:val="0"/>
      <w:marRight w:val="0"/>
      <w:marTop w:val="0"/>
      <w:marBottom w:val="0"/>
      <w:divBdr>
        <w:top w:val="none" w:sz="0" w:space="0" w:color="auto"/>
        <w:left w:val="none" w:sz="0" w:space="0" w:color="auto"/>
        <w:bottom w:val="none" w:sz="0" w:space="0" w:color="auto"/>
        <w:right w:val="none" w:sz="0" w:space="0" w:color="auto"/>
      </w:divBdr>
    </w:div>
    <w:div w:id="2094038650">
      <w:bodyDiv w:val="1"/>
      <w:marLeft w:val="0"/>
      <w:marRight w:val="0"/>
      <w:marTop w:val="0"/>
      <w:marBottom w:val="0"/>
      <w:divBdr>
        <w:top w:val="none" w:sz="0" w:space="0" w:color="auto"/>
        <w:left w:val="none" w:sz="0" w:space="0" w:color="auto"/>
        <w:bottom w:val="none" w:sz="0" w:space="0" w:color="auto"/>
        <w:right w:val="none" w:sz="0" w:space="0" w:color="auto"/>
      </w:divBdr>
    </w:div>
    <w:div w:id="2094160928">
      <w:bodyDiv w:val="1"/>
      <w:marLeft w:val="0"/>
      <w:marRight w:val="0"/>
      <w:marTop w:val="0"/>
      <w:marBottom w:val="0"/>
      <w:divBdr>
        <w:top w:val="none" w:sz="0" w:space="0" w:color="auto"/>
        <w:left w:val="none" w:sz="0" w:space="0" w:color="auto"/>
        <w:bottom w:val="none" w:sz="0" w:space="0" w:color="auto"/>
        <w:right w:val="none" w:sz="0" w:space="0" w:color="auto"/>
      </w:divBdr>
    </w:div>
    <w:div w:id="2094281984">
      <w:bodyDiv w:val="1"/>
      <w:marLeft w:val="0"/>
      <w:marRight w:val="0"/>
      <w:marTop w:val="0"/>
      <w:marBottom w:val="0"/>
      <w:divBdr>
        <w:top w:val="none" w:sz="0" w:space="0" w:color="auto"/>
        <w:left w:val="none" w:sz="0" w:space="0" w:color="auto"/>
        <w:bottom w:val="none" w:sz="0" w:space="0" w:color="auto"/>
        <w:right w:val="none" w:sz="0" w:space="0" w:color="auto"/>
      </w:divBdr>
    </w:div>
    <w:div w:id="2094812253">
      <w:bodyDiv w:val="1"/>
      <w:marLeft w:val="0"/>
      <w:marRight w:val="0"/>
      <w:marTop w:val="0"/>
      <w:marBottom w:val="0"/>
      <w:divBdr>
        <w:top w:val="none" w:sz="0" w:space="0" w:color="auto"/>
        <w:left w:val="none" w:sz="0" w:space="0" w:color="auto"/>
        <w:bottom w:val="none" w:sz="0" w:space="0" w:color="auto"/>
        <w:right w:val="none" w:sz="0" w:space="0" w:color="auto"/>
      </w:divBdr>
    </w:div>
    <w:div w:id="2096046986">
      <w:bodyDiv w:val="1"/>
      <w:marLeft w:val="0"/>
      <w:marRight w:val="0"/>
      <w:marTop w:val="0"/>
      <w:marBottom w:val="0"/>
      <w:divBdr>
        <w:top w:val="none" w:sz="0" w:space="0" w:color="auto"/>
        <w:left w:val="none" w:sz="0" w:space="0" w:color="auto"/>
        <w:bottom w:val="none" w:sz="0" w:space="0" w:color="auto"/>
        <w:right w:val="none" w:sz="0" w:space="0" w:color="auto"/>
      </w:divBdr>
    </w:div>
    <w:div w:id="2096970170">
      <w:bodyDiv w:val="1"/>
      <w:marLeft w:val="0"/>
      <w:marRight w:val="0"/>
      <w:marTop w:val="0"/>
      <w:marBottom w:val="0"/>
      <w:divBdr>
        <w:top w:val="none" w:sz="0" w:space="0" w:color="auto"/>
        <w:left w:val="none" w:sz="0" w:space="0" w:color="auto"/>
        <w:bottom w:val="none" w:sz="0" w:space="0" w:color="auto"/>
        <w:right w:val="none" w:sz="0" w:space="0" w:color="auto"/>
      </w:divBdr>
    </w:div>
    <w:div w:id="2097365204">
      <w:bodyDiv w:val="1"/>
      <w:marLeft w:val="0"/>
      <w:marRight w:val="0"/>
      <w:marTop w:val="0"/>
      <w:marBottom w:val="0"/>
      <w:divBdr>
        <w:top w:val="none" w:sz="0" w:space="0" w:color="auto"/>
        <w:left w:val="none" w:sz="0" w:space="0" w:color="auto"/>
        <w:bottom w:val="none" w:sz="0" w:space="0" w:color="auto"/>
        <w:right w:val="none" w:sz="0" w:space="0" w:color="auto"/>
      </w:divBdr>
    </w:div>
    <w:div w:id="2100133102">
      <w:bodyDiv w:val="1"/>
      <w:marLeft w:val="0"/>
      <w:marRight w:val="0"/>
      <w:marTop w:val="0"/>
      <w:marBottom w:val="0"/>
      <w:divBdr>
        <w:top w:val="none" w:sz="0" w:space="0" w:color="auto"/>
        <w:left w:val="none" w:sz="0" w:space="0" w:color="auto"/>
        <w:bottom w:val="none" w:sz="0" w:space="0" w:color="auto"/>
        <w:right w:val="none" w:sz="0" w:space="0" w:color="auto"/>
      </w:divBdr>
    </w:div>
    <w:div w:id="2100523213">
      <w:bodyDiv w:val="1"/>
      <w:marLeft w:val="0"/>
      <w:marRight w:val="0"/>
      <w:marTop w:val="0"/>
      <w:marBottom w:val="0"/>
      <w:divBdr>
        <w:top w:val="none" w:sz="0" w:space="0" w:color="auto"/>
        <w:left w:val="none" w:sz="0" w:space="0" w:color="auto"/>
        <w:bottom w:val="none" w:sz="0" w:space="0" w:color="auto"/>
        <w:right w:val="none" w:sz="0" w:space="0" w:color="auto"/>
      </w:divBdr>
    </w:div>
    <w:div w:id="2103136439">
      <w:bodyDiv w:val="1"/>
      <w:marLeft w:val="0"/>
      <w:marRight w:val="0"/>
      <w:marTop w:val="0"/>
      <w:marBottom w:val="0"/>
      <w:divBdr>
        <w:top w:val="none" w:sz="0" w:space="0" w:color="auto"/>
        <w:left w:val="none" w:sz="0" w:space="0" w:color="auto"/>
        <w:bottom w:val="none" w:sz="0" w:space="0" w:color="auto"/>
        <w:right w:val="none" w:sz="0" w:space="0" w:color="auto"/>
      </w:divBdr>
    </w:div>
    <w:div w:id="2105344868">
      <w:bodyDiv w:val="1"/>
      <w:marLeft w:val="0"/>
      <w:marRight w:val="0"/>
      <w:marTop w:val="0"/>
      <w:marBottom w:val="0"/>
      <w:divBdr>
        <w:top w:val="none" w:sz="0" w:space="0" w:color="auto"/>
        <w:left w:val="none" w:sz="0" w:space="0" w:color="auto"/>
        <w:bottom w:val="none" w:sz="0" w:space="0" w:color="auto"/>
        <w:right w:val="none" w:sz="0" w:space="0" w:color="auto"/>
      </w:divBdr>
    </w:div>
    <w:div w:id="2105418723">
      <w:bodyDiv w:val="1"/>
      <w:marLeft w:val="0"/>
      <w:marRight w:val="0"/>
      <w:marTop w:val="0"/>
      <w:marBottom w:val="0"/>
      <w:divBdr>
        <w:top w:val="none" w:sz="0" w:space="0" w:color="auto"/>
        <w:left w:val="none" w:sz="0" w:space="0" w:color="auto"/>
        <w:bottom w:val="none" w:sz="0" w:space="0" w:color="auto"/>
        <w:right w:val="none" w:sz="0" w:space="0" w:color="auto"/>
      </w:divBdr>
    </w:div>
    <w:div w:id="2105422160">
      <w:bodyDiv w:val="1"/>
      <w:marLeft w:val="0"/>
      <w:marRight w:val="0"/>
      <w:marTop w:val="0"/>
      <w:marBottom w:val="0"/>
      <w:divBdr>
        <w:top w:val="none" w:sz="0" w:space="0" w:color="auto"/>
        <w:left w:val="none" w:sz="0" w:space="0" w:color="auto"/>
        <w:bottom w:val="none" w:sz="0" w:space="0" w:color="auto"/>
        <w:right w:val="none" w:sz="0" w:space="0" w:color="auto"/>
      </w:divBdr>
    </w:div>
    <w:div w:id="2105569701">
      <w:bodyDiv w:val="1"/>
      <w:marLeft w:val="0"/>
      <w:marRight w:val="0"/>
      <w:marTop w:val="0"/>
      <w:marBottom w:val="0"/>
      <w:divBdr>
        <w:top w:val="none" w:sz="0" w:space="0" w:color="auto"/>
        <w:left w:val="none" w:sz="0" w:space="0" w:color="auto"/>
        <w:bottom w:val="none" w:sz="0" w:space="0" w:color="auto"/>
        <w:right w:val="none" w:sz="0" w:space="0" w:color="auto"/>
      </w:divBdr>
    </w:div>
    <w:div w:id="2106463824">
      <w:bodyDiv w:val="1"/>
      <w:marLeft w:val="0"/>
      <w:marRight w:val="0"/>
      <w:marTop w:val="0"/>
      <w:marBottom w:val="0"/>
      <w:divBdr>
        <w:top w:val="none" w:sz="0" w:space="0" w:color="auto"/>
        <w:left w:val="none" w:sz="0" w:space="0" w:color="auto"/>
        <w:bottom w:val="none" w:sz="0" w:space="0" w:color="auto"/>
        <w:right w:val="none" w:sz="0" w:space="0" w:color="auto"/>
      </w:divBdr>
    </w:div>
    <w:div w:id="2107379016">
      <w:bodyDiv w:val="1"/>
      <w:marLeft w:val="0"/>
      <w:marRight w:val="0"/>
      <w:marTop w:val="0"/>
      <w:marBottom w:val="0"/>
      <w:divBdr>
        <w:top w:val="none" w:sz="0" w:space="0" w:color="auto"/>
        <w:left w:val="none" w:sz="0" w:space="0" w:color="auto"/>
        <w:bottom w:val="none" w:sz="0" w:space="0" w:color="auto"/>
        <w:right w:val="none" w:sz="0" w:space="0" w:color="auto"/>
      </w:divBdr>
    </w:div>
    <w:div w:id="2107531988">
      <w:bodyDiv w:val="1"/>
      <w:marLeft w:val="0"/>
      <w:marRight w:val="0"/>
      <w:marTop w:val="0"/>
      <w:marBottom w:val="0"/>
      <w:divBdr>
        <w:top w:val="none" w:sz="0" w:space="0" w:color="auto"/>
        <w:left w:val="none" w:sz="0" w:space="0" w:color="auto"/>
        <w:bottom w:val="none" w:sz="0" w:space="0" w:color="auto"/>
        <w:right w:val="none" w:sz="0" w:space="0" w:color="auto"/>
      </w:divBdr>
    </w:div>
    <w:div w:id="2107579206">
      <w:bodyDiv w:val="1"/>
      <w:marLeft w:val="0"/>
      <w:marRight w:val="0"/>
      <w:marTop w:val="0"/>
      <w:marBottom w:val="0"/>
      <w:divBdr>
        <w:top w:val="none" w:sz="0" w:space="0" w:color="auto"/>
        <w:left w:val="none" w:sz="0" w:space="0" w:color="auto"/>
        <w:bottom w:val="none" w:sz="0" w:space="0" w:color="auto"/>
        <w:right w:val="none" w:sz="0" w:space="0" w:color="auto"/>
      </w:divBdr>
    </w:div>
    <w:div w:id="2107917811">
      <w:bodyDiv w:val="1"/>
      <w:marLeft w:val="0"/>
      <w:marRight w:val="0"/>
      <w:marTop w:val="0"/>
      <w:marBottom w:val="0"/>
      <w:divBdr>
        <w:top w:val="none" w:sz="0" w:space="0" w:color="auto"/>
        <w:left w:val="none" w:sz="0" w:space="0" w:color="auto"/>
        <w:bottom w:val="none" w:sz="0" w:space="0" w:color="auto"/>
        <w:right w:val="none" w:sz="0" w:space="0" w:color="auto"/>
      </w:divBdr>
    </w:div>
    <w:div w:id="2108622840">
      <w:bodyDiv w:val="1"/>
      <w:marLeft w:val="0"/>
      <w:marRight w:val="0"/>
      <w:marTop w:val="0"/>
      <w:marBottom w:val="0"/>
      <w:divBdr>
        <w:top w:val="none" w:sz="0" w:space="0" w:color="auto"/>
        <w:left w:val="none" w:sz="0" w:space="0" w:color="auto"/>
        <w:bottom w:val="none" w:sz="0" w:space="0" w:color="auto"/>
        <w:right w:val="none" w:sz="0" w:space="0" w:color="auto"/>
      </w:divBdr>
    </w:div>
    <w:div w:id="2109036808">
      <w:bodyDiv w:val="1"/>
      <w:marLeft w:val="0"/>
      <w:marRight w:val="0"/>
      <w:marTop w:val="0"/>
      <w:marBottom w:val="0"/>
      <w:divBdr>
        <w:top w:val="none" w:sz="0" w:space="0" w:color="auto"/>
        <w:left w:val="none" w:sz="0" w:space="0" w:color="auto"/>
        <w:bottom w:val="none" w:sz="0" w:space="0" w:color="auto"/>
        <w:right w:val="none" w:sz="0" w:space="0" w:color="auto"/>
      </w:divBdr>
    </w:div>
    <w:div w:id="2109228245">
      <w:bodyDiv w:val="1"/>
      <w:marLeft w:val="0"/>
      <w:marRight w:val="0"/>
      <w:marTop w:val="0"/>
      <w:marBottom w:val="0"/>
      <w:divBdr>
        <w:top w:val="none" w:sz="0" w:space="0" w:color="auto"/>
        <w:left w:val="none" w:sz="0" w:space="0" w:color="auto"/>
        <w:bottom w:val="none" w:sz="0" w:space="0" w:color="auto"/>
        <w:right w:val="none" w:sz="0" w:space="0" w:color="auto"/>
      </w:divBdr>
    </w:div>
    <w:div w:id="2109501406">
      <w:bodyDiv w:val="1"/>
      <w:marLeft w:val="0"/>
      <w:marRight w:val="0"/>
      <w:marTop w:val="0"/>
      <w:marBottom w:val="0"/>
      <w:divBdr>
        <w:top w:val="none" w:sz="0" w:space="0" w:color="auto"/>
        <w:left w:val="none" w:sz="0" w:space="0" w:color="auto"/>
        <w:bottom w:val="none" w:sz="0" w:space="0" w:color="auto"/>
        <w:right w:val="none" w:sz="0" w:space="0" w:color="auto"/>
      </w:divBdr>
    </w:div>
    <w:div w:id="2110659606">
      <w:bodyDiv w:val="1"/>
      <w:marLeft w:val="0"/>
      <w:marRight w:val="0"/>
      <w:marTop w:val="0"/>
      <w:marBottom w:val="0"/>
      <w:divBdr>
        <w:top w:val="none" w:sz="0" w:space="0" w:color="auto"/>
        <w:left w:val="none" w:sz="0" w:space="0" w:color="auto"/>
        <w:bottom w:val="none" w:sz="0" w:space="0" w:color="auto"/>
        <w:right w:val="none" w:sz="0" w:space="0" w:color="auto"/>
      </w:divBdr>
    </w:div>
    <w:div w:id="2111773638">
      <w:bodyDiv w:val="1"/>
      <w:marLeft w:val="0"/>
      <w:marRight w:val="0"/>
      <w:marTop w:val="0"/>
      <w:marBottom w:val="0"/>
      <w:divBdr>
        <w:top w:val="none" w:sz="0" w:space="0" w:color="auto"/>
        <w:left w:val="none" w:sz="0" w:space="0" w:color="auto"/>
        <w:bottom w:val="none" w:sz="0" w:space="0" w:color="auto"/>
        <w:right w:val="none" w:sz="0" w:space="0" w:color="auto"/>
      </w:divBdr>
    </w:div>
    <w:div w:id="2112624325">
      <w:bodyDiv w:val="1"/>
      <w:marLeft w:val="0"/>
      <w:marRight w:val="0"/>
      <w:marTop w:val="0"/>
      <w:marBottom w:val="0"/>
      <w:divBdr>
        <w:top w:val="none" w:sz="0" w:space="0" w:color="auto"/>
        <w:left w:val="none" w:sz="0" w:space="0" w:color="auto"/>
        <w:bottom w:val="none" w:sz="0" w:space="0" w:color="auto"/>
        <w:right w:val="none" w:sz="0" w:space="0" w:color="auto"/>
      </w:divBdr>
    </w:div>
    <w:div w:id="2113814953">
      <w:bodyDiv w:val="1"/>
      <w:marLeft w:val="0"/>
      <w:marRight w:val="0"/>
      <w:marTop w:val="0"/>
      <w:marBottom w:val="0"/>
      <w:divBdr>
        <w:top w:val="none" w:sz="0" w:space="0" w:color="auto"/>
        <w:left w:val="none" w:sz="0" w:space="0" w:color="auto"/>
        <w:bottom w:val="none" w:sz="0" w:space="0" w:color="auto"/>
        <w:right w:val="none" w:sz="0" w:space="0" w:color="auto"/>
      </w:divBdr>
    </w:div>
    <w:div w:id="2114275361">
      <w:bodyDiv w:val="1"/>
      <w:marLeft w:val="0"/>
      <w:marRight w:val="0"/>
      <w:marTop w:val="0"/>
      <w:marBottom w:val="0"/>
      <w:divBdr>
        <w:top w:val="none" w:sz="0" w:space="0" w:color="auto"/>
        <w:left w:val="none" w:sz="0" w:space="0" w:color="auto"/>
        <w:bottom w:val="none" w:sz="0" w:space="0" w:color="auto"/>
        <w:right w:val="none" w:sz="0" w:space="0" w:color="auto"/>
      </w:divBdr>
    </w:div>
    <w:div w:id="2114587927">
      <w:bodyDiv w:val="1"/>
      <w:marLeft w:val="0"/>
      <w:marRight w:val="0"/>
      <w:marTop w:val="0"/>
      <w:marBottom w:val="0"/>
      <w:divBdr>
        <w:top w:val="none" w:sz="0" w:space="0" w:color="auto"/>
        <w:left w:val="none" w:sz="0" w:space="0" w:color="auto"/>
        <w:bottom w:val="none" w:sz="0" w:space="0" w:color="auto"/>
        <w:right w:val="none" w:sz="0" w:space="0" w:color="auto"/>
      </w:divBdr>
    </w:div>
    <w:div w:id="2114666923">
      <w:bodyDiv w:val="1"/>
      <w:marLeft w:val="0"/>
      <w:marRight w:val="0"/>
      <w:marTop w:val="0"/>
      <w:marBottom w:val="0"/>
      <w:divBdr>
        <w:top w:val="none" w:sz="0" w:space="0" w:color="auto"/>
        <w:left w:val="none" w:sz="0" w:space="0" w:color="auto"/>
        <w:bottom w:val="none" w:sz="0" w:space="0" w:color="auto"/>
        <w:right w:val="none" w:sz="0" w:space="0" w:color="auto"/>
      </w:divBdr>
    </w:div>
    <w:div w:id="2115206164">
      <w:bodyDiv w:val="1"/>
      <w:marLeft w:val="0"/>
      <w:marRight w:val="0"/>
      <w:marTop w:val="0"/>
      <w:marBottom w:val="0"/>
      <w:divBdr>
        <w:top w:val="none" w:sz="0" w:space="0" w:color="auto"/>
        <w:left w:val="none" w:sz="0" w:space="0" w:color="auto"/>
        <w:bottom w:val="none" w:sz="0" w:space="0" w:color="auto"/>
        <w:right w:val="none" w:sz="0" w:space="0" w:color="auto"/>
      </w:divBdr>
    </w:div>
    <w:div w:id="2116249942">
      <w:bodyDiv w:val="1"/>
      <w:marLeft w:val="0"/>
      <w:marRight w:val="0"/>
      <w:marTop w:val="0"/>
      <w:marBottom w:val="0"/>
      <w:divBdr>
        <w:top w:val="none" w:sz="0" w:space="0" w:color="auto"/>
        <w:left w:val="none" w:sz="0" w:space="0" w:color="auto"/>
        <w:bottom w:val="none" w:sz="0" w:space="0" w:color="auto"/>
        <w:right w:val="none" w:sz="0" w:space="0" w:color="auto"/>
      </w:divBdr>
    </w:div>
    <w:div w:id="2117170797">
      <w:bodyDiv w:val="1"/>
      <w:marLeft w:val="0"/>
      <w:marRight w:val="0"/>
      <w:marTop w:val="0"/>
      <w:marBottom w:val="0"/>
      <w:divBdr>
        <w:top w:val="none" w:sz="0" w:space="0" w:color="auto"/>
        <w:left w:val="none" w:sz="0" w:space="0" w:color="auto"/>
        <w:bottom w:val="none" w:sz="0" w:space="0" w:color="auto"/>
        <w:right w:val="none" w:sz="0" w:space="0" w:color="auto"/>
      </w:divBdr>
    </w:div>
    <w:div w:id="2117172179">
      <w:bodyDiv w:val="1"/>
      <w:marLeft w:val="0"/>
      <w:marRight w:val="0"/>
      <w:marTop w:val="0"/>
      <w:marBottom w:val="0"/>
      <w:divBdr>
        <w:top w:val="none" w:sz="0" w:space="0" w:color="auto"/>
        <w:left w:val="none" w:sz="0" w:space="0" w:color="auto"/>
        <w:bottom w:val="none" w:sz="0" w:space="0" w:color="auto"/>
        <w:right w:val="none" w:sz="0" w:space="0" w:color="auto"/>
      </w:divBdr>
    </w:div>
    <w:div w:id="2119132807">
      <w:bodyDiv w:val="1"/>
      <w:marLeft w:val="0"/>
      <w:marRight w:val="0"/>
      <w:marTop w:val="0"/>
      <w:marBottom w:val="0"/>
      <w:divBdr>
        <w:top w:val="none" w:sz="0" w:space="0" w:color="auto"/>
        <w:left w:val="none" w:sz="0" w:space="0" w:color="auto"/>
        <w:bottom w:val="none" w:sz="0" w:space="0" w:color="auto"/>
        <w:right w:val="none" w:sz="0" w:space="0" w:color="auto"/>
      </w:divBdr>
    </w:div>
    <w:div w:id="2120829566">
      <w:bodyDiv w:val="1"/>
      <w:marLeft w:val="0"/>
      <w:marRight w:val="0"/>
      <w:marTop w:val="0"/>
      <w:marBottom w:val="0"/>
      <w:divBdr>
        <w:top w:val="none" w:sz="0" w:space="0" w:color="auto"/>
        <w:left w:val="none" w:sz="0" w:space="0" w:color="auto"/>
        <w:bottom w:val="none" w:sz="0" w:space="0" w:color="auto"/>
        <w:right w:val="none" w:sz="0" w:space="0" w:color="auto"/>
      </w:divBdr>
    </w:div>
    <w:div w:id="2121148690">
      <w:bodyDiv w:val="1"/>
      <w:marLeft w:val="0"/>
      <w:marRight w:val="0"/>
      <w:marTop w:val="0"/>
      <w:marBottom w:val="0"/>
      <w:divBdr>
        <w:top w:val="none" w:sz="0" w:space="0" w:color="auto"/>
        <w:left w:val="none" w:sz="0" w:space="0" w:color="auto"/>
        <w:bottom w:val="none" w:sz="0" w:space="0" w:color="auto"/>
        <w:right w:val="none" w:sz="0" w:space="0" w:color="auto"/>
      </w:divBdr>
    </w:div>
    <w:div w:id="2122412164">
      <w:bodyDiv w:val="1"/>
      <w:marLeft w:val="0"/>
      <w:marRight w:val="0"/>
      <w:marTop w:val="0"/>
      <w:marBottom w:val="0"/>
      <w:divBdr>
        <w:top w:val="none" w:sz="0" w:space="0" w:color="auto"/>
        <w:left w:val="none" w:sz="0" w:space="0" w:color="auto"/>
        <w:bottom w:val="none" w:sz="0" w:space="0" w:color="auto"/>
        <w:right w:val="none" w:sz="0" w:space="0" w:color="auto"/>
      </w:divBdr>
    </w:div>
    <w:div w:id="2122530642">
      <w:bodyDiv w:val="1"/>
      <w:marLeft w:val="0"/>
      <w:marRight w:val="0"/>
      <w:marTop w:val="0"/>
      <w:marBottom w:val="0"/>
      <w:divBdr>
        <w:top w:val="none" w:sz="0" w:space="0" w:color="auto"/>
        <w:left w:val="none" w:sz="0" w:space="0" w:color="auto"/>
        <w:bottom w:val="none" w:sz="0" w:space="0" w:color="auto"/>
        <w:right w:val="none" w:sz="0" w:space="0" w:color="auto"/>
      </w:divBdr>
    </w:div>
    <w:div w:id="2122912969">
      <w:bodyDiv w:val="1"/>
      <w:marLeft w:val="0"/>
      <w:marRight w:val="0"/>
      <w:marTop w:val="0"/>
      <w:marBottom w:val="0"/>
      <w:divBdr>
        <w:top w:val="none" w:sz="0" w:space="0" w:color="auto"/>
        <w:left w:val="none" w:sz="0" w:space="0" w:color="auto"/>
        <w:bottom w:val="none" w:sz="0" w:space="0" w:color="auto"/>
        <w:right w:val="none" w:sz="0" w:space="0" w:color="auto"/>
      </w:divBdr>
    </w:div>
    <w:div w:id="2123382192">
      <w:bodyDiv w:val="1"/>
      <w:marLeft w:val="0"/>
      <w:marRight w:val="0"/>
      <w:marTop w:val="0"/>
      <w:marBottom w:val="0"/>
      <w:divBdr>
        <w:top w:val="none" w:sz="0" w:space="0" w:color="auto"/>
        <w:left w:val="none" w:sz="0" w:space="0" w:color="auto"/>
        <w:bottom w:val="none" w:sz="0" w:space="0" w:color="auto"/>
        <w:right w:val="none" w:sz="0" w:space="0" w:color="auto"/>
      </w:divBdr>
    </w:div>
    <w:div w:id="2124765857">
      <w:bodyDiv w:val="1"/>
      <w:marLeft w:val="0"/>
      <w:marRight w:val="0"/>
      <w:marTop w:val="0"/>
      <w:marBottom w:val="0"/>
      <w:divBdr>
        <w:top w:val="none" w:sz="0" w:space="0" w:color="auto"/>
        <w:left w:val="none" w:sz="0" w:space="0" w:color="auto"/>
        <w:bottom w:val="none" w:sz="0" w:space="0" w:color="auto"/>
        <w:right w:val="none" w:sz="0" w:space="0" w:color="auto"/>
      </w:divBdr>
    </w:div>
    <w:div w:id="2125149306">
      <w:bodyDiv w:val="1"/>
      <w:marLeft w:val="0"/>
      <w:marRight w:val="0"/>
      <w:marTop w:val="0"/>
      <w:marBottom w:val="0"/>
      <w:divBdr>
        <w:top w:val="none" w:sz="0" w:space="0" w:color="auto"/>
        <w:left w:val="none" w:sz="0" w:space="0" w:color="auto"/>
        <w:bottom w:val="none" w:sz="0" w:space="0" w:color="auto"/>
        <w:right w:val="none" w:sz="0" w:space="0" w:color="auto"/>
      </w:divBdr>
    </w:div>
    <w:div w:id="2125537825">
      <w:bodyDiv w:val="1"/>
      <w:marLeft w:val="0"/>
      <w:marRight w:val="0"/>
      <w:marTop w:val="0"/>
      <w:marBottom w:val="0"/>
      <w:divBdr>
        <w:top w:val="none" w:sz="0" w:space="0" w:color="auto"/>
        <w:left w:val="none" w:sz="0" w:space="0" w:color="auto"/>
        <w:bottom w:val="none" w:sz="0" w:space="0" w:color="auto"/>
        <w:right w:val="none" w:sz="0" w:space="0" w:color="auto"/>
      </w:divBdr>
    </w:div>
    <w:div w:id="2125879462">
      <w:bodyDiv w:val="1"/>
      <w:marLeft w:val="0"/>
      <w:marRight w:val="0"/>
      <w:marTop w:val="0"/>
      <w:marBottom w:val="0"/>
      <w:divBdr>
        <w:top w:val="none" w:sz="0" w:space="0" w:color="auto"/>
        <w:left w:val="none" w:sz="0" w:space="0" w:color="auto"/>
        <w:bottom w:val="none" w:sz="0" w:space="0" w:color="auto"/>
        <w:right w:val="none" w:sz="0" w:space="0" w:color="auto"/>
      </w:divBdr>
    </w:div>
    <w:div w:id="2125884989">
      <w:bodyDiv w:val="1"/>
      <w:marLeft w:val="0"/>
      <w:marRight w:val="0"/>
      <w:marTop w:val="0"/>
      <w:marBottom w:val="0"/>
      <w:divBdr>
        <w:top w:val="none" w:sz="0" w:space="0" w:color="auto"/>
        <w:left w:val="none" w:sz="0" w:space="0" w:color="auto"/>
        <w:bottom w:val="none" w:sz="0" w:space="0" w:color="auto"/>
        <w:right w:val="none" w:sz="0" w:space="0" w:color="auto"/>
      </w:divBdr>
    </w:div>
    <w:div w:id="2125927962">
      <w:bodyDiv w:val="1"/>
      <w:marLeft w:val="0"/>
      <w:marRight w:val="0"/>
      <w:marTop w:val="0"/>
      <w:marBottom w:val="0"/>
      <w:divBdr>
        <w:top w:val="none" w:sz="0" w:space="0" w:color="auto"/>
        <w:left w:val="none" w:sz="0" w:space="0" w:color="auto"/>
        <w:bottom w:val="none" w:sz="0" w:space="0" w:color="auto"/>
        <w:right w:val="none" w:sz="0" w:space="0" w:color="auto"/>
      </w:divBdr>
    </w:div>
    <w:div w:id="2127234608">
      <w:bodyDiv w:val="1"/>
      <w:marLeft w:val="0"/>
      <w:marRight w:val="0"/>
      <w:marTop w:val="0"/>
      <w:marBottom w:val="0"/>
      <w:divBdr>
        <w:top w:val="none" w:sz="0" w:space="0" w:color="auto"/>
        <w:left w:val="none" w:sz="0" w:space="0" w:color="auto"/>
        <w:bottom w:val="none" w:sz="0" w:space="0" w:color="auto"/>
        <w:right w:val="none" w:sz="0" w:space="0" w:color="auto"/>
      </w:divBdr>
    </w:div>
    <w:div w:id="2128769308">
      <w:bodyDiv w:val="1"/>
      <w:marLeft w:val="0"/>
      <w:marRight w:val="0"/>
      <w:marTop w:val="0"/>
      <w:marBottom w:val="0"/>
      <w:divBdr>
        <w:top w:val="none" w:sz="0" w:space="0" w:color="auto"/>
        <w:left w:val="none" w:sz="0" w:space="0" w:color="auto"/>
        <w:bottom w:val="none" w:sz="0" w:space="0" w:color="auto"/>
        <w:right w:val="none" w:sz="0" w:space="0" w:color="auto"/>
      </w:divBdr>
    </w:div>
    <w:div w:id="2130001830">
      <w:bodyDiv w:val="1"/>
      <w:marLeft w:val="0"/>
      <w:marRight w:val="0"/>
      <w:marTop w:val="0"/>
      <w:marBottom w:val="0"/>
      <w:divBdr>
        <w:top w:val="none" w:sz="0" w:space="0" w:color="auto"/>
        <w:left w:val="none" w:sz="0" w:space="0" w:color="auto"/>
        <w:bottom w:val="none" w:sz="0" w:space="0" w:color="auto"/>
        <w:right w:val="none" w:sz="0" w:space="0" w:color="auto"/>
      </w:divBdr>
    </w:div>
    <w:div w:id="2130859208">
      <w:bodyDiv w:val="1"/>
      <w:marLeft w:val="0"/>
      <w:marRight w:val="0"/>
      <w:marTop w:val="0"/>
      <w:marBottom w:val="0"/>
      <w:divBdr>
        <w:top w:val="none" w:sz="0" w:space="0" w:color="auto"/>
        <w:left w:val="none" w:sz="0" w:space="0" w:color="auto"/>
        <w:bottom w:val="none" w:sz="0" w:space="0" w:color="auto"/>
        <w:right w:val="none" w:sz="0" w:space="0" w:color="auto"/>
      </w:divBdr>
    </w:div>
    <w:div w:id="2130934961">
      <w:bodyDiv w:val="1"/>
      <w:marLeft w:val="0"/>
      <w:marRight w:val="0"/>
      <w:marTop w:val="0"/>
      <w:marBottom w:val="0"/>
      <w:divBdr>
        <w:top w:val="none" w:sz="0" w:space="0" w:color="auto"/>
        <w:left w:val="none" w:sz="0" w:space="0" w:color="auto"/>
        <w:bottom w:val="none" w:sz="0" w:space="0" w:color="auto"/>
        <w:right w:val="none" w:sz="0" w:space="0" w:color="auto"/>
      </w:divBdr>
    </w:div>
    <w:div w:id="2131775048">
      <w:bodyDiv w:val="1"/>
      <w:marLeft w:val="0"/>
      <w:marRight w:val="0"/>
      <w:marTop w:val="0"/>
      <w:marBottom w:val="0"/>
      <w:divBdr>
        <w:top w:val="none" w:sz="0" w:space="0" w:color="auto"/>
        <w:left w:val="none" w:sz="0" w:space="0" w:color="auto"/>
        <w:bottom w:val="none" w:sz="0" w:space="0" w:color="auto"/>
        <w:right w:val="none" w:sz="0" w:space="0" w:color="auto"/>
      </w:divBdr>
    </w:div>
    <w:div w:id="2132087008">
      <w:bodyDiv w:val="1"/>
      <w:marLeft w:val="0"/>
      <w:marRight w:val="0"/>
      <w:marTop w:val="0"/>
      <w:marBottom w:val="0"/>
      <w:divBdr>
        <w:top w:val="none" w:sz="0" w:space="0" w:color="auto"/>
        <w:left w:val="none" w:sz="0" w:space="0" w:color="auto"/>
        <w:bottom w:val="none" w:sz="0" w:space="0" w:color="auto"/>
        <w:right w:val="none" w:sz="0" w:space="0" w:color="auto"/>
      </w:divBdr>
    </w:div>
    <w:div w:id="2132165050">
      <w:bodyDiv w:val="1"/>
      <w:marLeft w:val="0"/>
      <w:marRight w:val="0"/>
      <w:marTop w:val="0"/>
      <w:marBottom w:val="0"/>
      <w:divBdr>
        <w:top w:val="none" w:sz="0" w:space="0" w:color="auto"/>
        <w:left w:val="none" w:sz="0" w:space="0" w:color="auto"/>
        <w:bottom w:val="none" w:sz="0" w:space="0" w:color="auto"/>
        <w:right w:val="none" w:sz="0" w:space="0" w:color="auto"/>
      </w:divBdr>
    </w:div>
    <w:div w:id="2132240552">
      <w:bodyDiv w:val="1"/>
      <w:marLeft w:val="0"/>
      <w:marRight w:val="0"/>
      <w:marTop w:val="0"/>
      <w:marBottom w:val="0"/>
      <w:divBdr>
        <w:top w:val="none" w:sz="0" w:space="0" w:color="auto"/>
        <w:left w:val="none" w:sz="0" w:space="0" w:color="auto"/>
        <w:bottom w:val="none" w:sz="0" w:space="0" w:color="auto"/>
        <w:right w:val="none" w:sz="0" w:space="0" w:color="auto"/>
      </w:divBdr>
    </w:div>
    <w:div w:id="2133329504">
      <w:bodyDiv w:val="1"/>
      <w:marLeft w:val="0"/>
      <w:marRight w:val="0"/>
      <w:marTop w:val="0"/>
      <w:marBottom w:val="0"/>
      <w:divBdr>
        <w:top w:val="none" w:sz="0" w:space="0" w:color="auto"/>
        <w:left w:val="none" w:sz="0" w:space="0" w:color="auto"/>
        <w:bottom w:val="none" w:sz="0" w:space="0" w:color="auto"/>
        <w:right w:val="none" w:sz="0" w:space="0" w:color="auto"/>
      </w:divBdr>
    </w:div>
    <w:div w:id="2133473439">
      <w:bodyDiv w:val="1"/>
      <w:marLeft w:val="0"/>
      <w:marRight w:val="0"/>
      <w:marTop w:val="0"/>
      <w:marBottom w:val="0"/>
      <w:divBdr>
        <w:top w:val="none" w:sz="0" w:space="0" w:color="auto"/>
        <w:left w:val="none" w:sz="0" w:space="0" w:color="auto"/>
        <w:bottom w:val="none" w:sz="0" w:space="0" w:color="auto"/>
        <w:right w:val="none" w:sz="0" w:space="0" w:color="auto"/>
      </w:divBdr>
    </w:div>
    <w:div w:id="2133791161">
      <w:bodyDiv w:val="1"/>
      <w:marLeft w:val="0"/>
      <w:marRight w:val="0"/>
      <w:marTop w:val="0"/>
      <w:marBottom w:val="0"/>
      <w:divBdr>
        <w:top w:val="none" w:sz="0" w:space="0" w:color="auto"/>
        <w:left w:val="none" w:sz="0" w:space="0" w:color="auto"/>
        <w:bottom w:val="none" w:sz="0" w:space="0" w:color="auto"/>
        <w:right w:val="none" w:sz="0" w:space="0" w:color="auto"/>
      </w:divBdr>
    </w:div>
    <w:div w:id="2134203334">
      <w:bodyDiv w:val="1"/>
      <w:marLeft w:val="0"/>
      <w:marRight w:val="0"/>
      <w:marTop w:val="0"/>
      <w:marBottom w:val="0"/>
      <w:divBdr>
        <w:top w:val="none" w:sz="0" w:space="0" w:color="auto"/>
        <w:left w:val="none" w:sz="0" w:space="0" w:color="auto"/>
        <w:bottom w:val="none" w:sz="0" w:space="0" w:color="auto"/>
        <w:right w:val="none" w:sz="0" w:space="0" w:color="auto"/>
      </w:divBdr>
    </w:div>
    <w:div w:id="2134518277">
      <w:bodyDiv w:val="1"/>
      <w:marLeft w:val="0"/>
      <w:marRight w:val="0"/>
      <w:marTop w:val="0"/>
      <w:marBottom w:val="0"/>
      <w:divBdr>
        <w:top w:val="none" w:sz="0" w:space="0" w:color="auto"/>
        <w:left w:val="none" w:sz="0" w:space="0" w:color="auto"/>
        <w:bottom w:val="none" w:sz="0" w:space="0" w:color="auto"/>
        <w:right w:val="none" w:sz="0" w:space="0" w:color="auto"/>
      </w:divBdr>
    </w:div>
    <w:div w:id="2134983982">
      <w:bodyDiv w:val="1"/>
      <w:marLeft w:val="0"/>
      <w:marRight w:val="0"/>
      <w:marTop w:val="0"/>
      <w:marBottom w:val="0"/>
      <w:divBdr>
        <w:top w:val="none" w:sz="0" w:space="0" w:color="auto"/>
        <w:left w:val="none" w:sz="0" w:space="0" w:color="auto"/>
        <w:bottom w:val="none" w:sz="0" w:space="0" w:color="auto"/>
        <w:right w:val="none" w:sz="0" w:space="0" w:color="auto"/>
      </w:divBdr>
    </w:div>
    <w:div w:id="2135436931">
      <w:bodyDiv w:val="1"/>
      <w:marLeft w:val="0"/>
      <w:marRight w:val="0"/>
      <w:marTop w:val="0"/>
      <w:marBottom w:val="0"/>
      <w:divBdr>
        <w:top w:val="none" w:sz="0" w:space="0" w:color="auto"/>
        <w:left w:val="none" w:sz="0" w:space="0" w:color="auto"/>
        <w:bottom w:val="none" w:sz="0" w:space="0" w:color="auto"/>
        <w:right w:val="none" w:sz="0" w:space="0" w:color="auto"/>
      </w:divBdr>
    </w:div>
    <w:div w:id="2135638444">
      <w:bodyDiv w:val="1"/>
      <w:marLeft w:val="0"/>
      <w:marRight w:val="0"/>
      <w:marTop w:val="0"/>
      <w:marBottom w:val="0"/>
      <w:divBdr>
        <w:top w:val="none" w:sz="0" w:space="0" w:color="auto"/>
        <w:left w:val="none" w:sz="0" w:space="0" w:color="auto"/>
        <w:bottom w:val="none" w:sz="0" w:space="0" w:color="auto"/>
        <w:right w:val="none" w:sz="0" w:space="0" w:color="auto"/>
      </w:divBdr>
    </w:div>
    <w:div w:id="2135710928">
      <w:bodyDiv w:val="1"/>
      <w:marLeft w:val="0"/>
      <w:marRight w:val="0"/>
      <w:marTop w:val="0"/>
      <w:marBottom w:val="0"/>
      <w:divBdr>
        <w:top w:val="none" w:sz="0" w:space="0" w:color="auto"/>
        <w:left w:val="none" w:sz="0" w:space="0" w:color="auto"/>
        <w:bottom w:val="none" w:sz="0" w:space="0" w:color="auto"/>
        <w:right w:val="none" w:sz="0" w:space="0" w:color="auto"/>
      </w:divBdr>
    </w:div>
    <w:div w:id="2136755720">
      <w:bodyDiv w:val="1"/>
      <w:marLeft w:val="0"/>
      <w:marRight w:val="0"/>
      <w:marTop w:val="0"/>
      <w:marBottom w:val="0"/>
      <w:divBdr>
        <w:top w:val="none" w:sz="0" w:space="0" w:color="auto"/>
        <w:left w:val="none" w:sz="0" w:space="0" w:color="auto"/>
        <w:bottom w:val="none" w:sz="0" w:space="0" w:color="auto"/>
        <w:right w:val="none" w:sz="0" w:space="0" w:color="auto"/>
      </w:divBdr>
    </w:div>
    <w:div w:id="2138137928">
      <w:bodyDiv w:val="1"/>
      <w:marLeft w:val="0"/>
      <w:marRight w:val="0"/>
      <w:marTop w:val="0"/>
      <w:marBottom w:val="0"/>
      <w:divBdr>
        <w:top w:val="none" w:sz="0" w:space="0" w:color="auto"/>
        <w:left w:val="none" w:sz="0" w:space="0" w:color="auto"/>
        <w:bottom w:val="none" w:sz="0" w:space="0" w:color="auto"/>
        <w:right w:val="none" w:sz="0" w:space="0" w:color="auto"/>
      </w:divBdr>
    </w:div>
    <w:div w:id="2138570927">
      <w:bodyDiv w:val="1"/>
      <w:marLeft w:val="0"/>
      <w:marRight w:val="0"/>
      <w:marTop w:val="0"/>
      <w:marBottom w:val="0"/>
      <w:divBdr>
        <w:top w:val="none" w:sz="0" w:space="0" w:color="auto"/>
        <w:left w:val="none" w:sz="0" w:space="0" w:color="auto"/>
        <w:bottom w:val="none" w:sz="0" w:space="0" w:color="auto"/>
        <w:right w:val="none" w:sz="0" w:space="0" w:color="auto"/>
      </w:divBdr>
    </w:div>
    <w:div w:id="2138643551">
      <w:bodyDiv w:val="1"/>
      <w:marLeft w:val="0"/>
      <w:marRight w:val="0"/>
      <w:marTop w:val="0"/>
      <w:marBottom w:val="0"/>
      <w:divBdr>
        <w:top w:val="none" w:sz="0" w:space="0" w:color="auto"/>
        <w:left w:val="none" w:sz="0" w:space="0" w:color="auto"/>
        <w:bottom w:val="none" w:sz="0" w:space="0" w:color="auto"/>
        <w:right w:val="none" w:sz="0" w:space="0" w:color="auto"/>
      </w:divBdr>
    </w:div>
    <w:div w:id="2141340458">
      <w:bodyDiv w:val="1"/>
      <w:marLeft w:val="0"/>
      <w:marRight w:val="0"/>
      <w:marTop w:val="0"/>
      <w:marBottom w:val="0"/>
      <w:divBdr>
        <w:top w:val="none" w:sz="0" w:space="0" w:color="auto"/>
        <w:left w:val="none" w:sz="0" w:space="0" w:color="auto"/>
        <w:bottom w:val="none" w:sz="0" w:space="0" w:color="auto"/>
        <w:right w:val="none" w:sz="0" w:space="0" w:color="auto"/>
      </w:divBdr>
    </w:div>
    <w:div w:id="2141682631">
      <w:bodyDiv w:val="1"/>
      <w:marLeft w:val="0"/>
      <w:marRight w:val="0"/>
      <w:marTop w:val="0"/>
      <w:marBottom w:val="0"/>
      <w:divBdr>
        <w:top w:val="none" w:sz="0" w:space="0" w:color="auto"/>
        <w:left w:val="none" w:sz="0" w:space="0" w:color="auto"/>
        <w:bottom w:val="none" w:sz="0" w:space="0" w:color="auto"/>
        <w:right w:val="none" w:sz="0" w:space="0" w:color="auto"/>
      </w:divBdr>
    </w:div>
    <w:div w:id="2141726809">
      <w:bodyDiv w:val="1"/>
      <w:marLeft w:val="0"/>
      <w:marRight w:val="0"/>
      <w:marTop w:val="0"/>
      <w:marBottom w:val="0"/>
      <w:divBdr>
        <w:top w:val="none" w:sz="0" w:space="0" w:color="auto"/>
        <w:left w:val="none" w:sz="0" w:space="0" w:color="auto"/>
        <w:bottom w:val="none" w:sz="0" w:space="0" w:color="auto"/>
        <w:right w:val="none" w:sz="0" w:space="0" w:color="auto"/>
      </w:divBdr>
    </w:div>
    <w:div w:id="2141993133">
      <w:bodyDiv w:val="1"/>
      <w:marLeft w:val="0"/>
      <w:marRight w:val="0"/>
      <w:marTop w:val="0"/>
      <w:marBottom w:val="0"/>
      <w:divBdr>
        <w:top w:val="none" w:sz="0" w:space="0" w:color="auto"/>
        <w:left w:val="none" w:sz="0" w:space="0" w:color="auto"/>
        <w:bottom w:val="none" w:sz="0" w:space="0" w:color="auto"/>
        <w:right w:val="none" w:sz="0" w:space="0" w:color="auto"/>
      </w:divBdr>
    </w:div>
    <w:div w:id="2142184762">
      <w:bodyDiv w:val="1"/>
      <w:marLeft w:val="0"/>
      <w:marRight w:val="0"/>
      <w:marTop w:val="0"/>
      <w:marBottom w:val="0"/>
      <w:divBdr>
        <w:top w:val="none" w:sz="0" w:space="0" w:color="auto"/>
        <w:left w:val="none" w:sz="0" w:space="0" w:color="auto"/>
        <w:bottom w:val="none" w:sz="0" w:space="0" w:color="auto"/>
        <w:right w:val="none" w:sz="0" w:space="0" w:color="auto"/>
      </w:divBdr>
    </w:div>
    <w:div w:id="2142646377">
      <w:bodyDiv w:val="1"/>
      <w:marLeft w:val="0"/>
      <w:marRight w:val="0"/>
      <w:marTop w:val="0"/>
      <w:marBottom w:val="0"/>
      <w:divBdr>
        <w:top w:val="none" w:sz="0" w:space="0" w:color="auto"/>
        <w:left w:val="none" w:sz="0" w:space="0" w:color="auto"/>
        <w:bottom w:val="none" w:sz="0" w:space="0" w:color="auto"/>
        <w:right w:val="none" w:sz="0" w:space="0" w:color="auto"/>
      </w:divBdr>
    </w:div>
    <w:div w:id="2144540440">
      <w:bodyDiv w:val="1"/>
      <w:marLeft w:val="0"/>
      <w:marRight w:val="0"/>
      <w:marTop w:val="0"/>
      <w:marBottom w:val="0"/>
      <w:divBdr>
        <w:top w:val="none" w:sz="0" w:space="0" w:color="auto"/>
        <w:left w:val="none" w:sz="0" w:space="0" w:color="auto"/>
        <w:bottom w:val="none" w:sz="0" w:space="0" w:color="auto"/>
        <w:right w:val="none" w:sz="0" w:space="0" w:color="auto"/>
      </w:divBdr>
    </w:div>
    <w:div w:id="2145657415">
      <w:bodyDiv w:val="1"/>
      <w:marLeft w:val="0"/>
      <w:marRight w:val="0"/>
      <w:marTop w:val="0"/>
      <w:marBottom w:val="0"/>
      <w:divBdr>
        <w:top w:val="none" w:sz="0" w:space="0" w:color="auto"/>
        <w:left w:val="none" w:sz="0" w:space="0" w:color="auto"/>
        <w:bottom w:val="none" w:sz="0" w:space="0" w:color="auto"/>
        <w:right w:val="none" w:sz="0" w:space="0" w:color="auto"/>
      </w:divBdr>
    </w:div>
    <w:div w:id="2145809611">
      <w:bodyDiv w:val="1"/>
      <w:marLeft w:val="0"/>
      <w:marRight w:val="0"/>
      <w:marTop w:val="0"/>
      <w:marBottom w:val="0"/>
      <w:divBdr>
        <w:top w:val="none" w:sz="0" w:space="0" w:color="auto"/>
        <w:left w:val="none" w:sz="0" w:space="0" w:color="auto"/>
        <w:bottom w:val="none" w:sz="0" w:space="0" w:color="auto"/>
        <w:right w:val="none" w:sz="0" w:space="0" w:color="auto"/>
      </w:divBdr>
    </w:div>
    <w:div w:id="2146578683">
      <w:bodyDiv w:val="1"/>
      <w:marLeft w:val="0"/>
      <w:marRight w:val="0"/>
      <w:marTop w:val="0"/>
      <w:marBottom w:val="0"/>
      <w:divBdr>
        <w:top w:val="none" w:sz="0" w:space="0" w:color="auto"/>
        <w:left w:val="none" w:sz="0" w:space="0" w:color="auto"/>
        <w:bottom w:val="none" w:sz="0" w:space="0" w:color="auto"/>
        <w:right w:val="none" w:sz="0" w:space="0" w:color="auto"/>
      </w:divBdr>
    </w:div>
    <w:div w:id="2146727548">
      <w:bodyDiv w:val="1"/>
      <w:marLeft w:val="0"/>
      <w:marRight w:val="0"/>
      <w:marTop w:val="0"/>
      <w:marBottom w:val="0"/>
      <w:divBdr>
        <w:top w:val="none" w:sz="0" w:space="0" w:color="auto"/>
        <w:left w:val="none" w:sz="0" w:space="0" w:color="auto"/>
        <w:bottom w:val="none" w:sz="0" w:space="0" w:color="auto"/>
        <w:right w:val="none" w:sz="0" w:space="0" w:color="auto"/>
      </w:divBdr>
    </w:div>
    <w:div w:id="2146896387">
      <w:bodyDiv w:val="1"/>
      <w:marLeft w:val="0"/>
      <w:marRight w:val="0"/>
      <w:marTop w:val="0"/>
      <w:marBottom w:val="0"/>
      <w:divBdr>
        <w:top w:val="none" w:sz="0" w:space="0" w:color="auto"/>
        <w:left w:val="none" w:sz="0" w:space="0" w:color="auto"/>
        <w:bottom w:val="none" w:sz="0" w:space="0" w:color="auto"/>
        <w:right w:val="none" w:sz="0" w:space="0" w:color="auto"/>
      </w:divBdr>
    </w:div>
    <w:div w:id="21469715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s://aifs.gov.au/tentomen" TargetMode="External"/><Relationship Id="rId21" Type="http://schemas.openxmlformats.org/officeDocument/2006/relationships/footer" Target="footer5.xml"/><Relationship Id="rId42" Type="http://schemas.openxmlformats.org/officeDocument/2006/relationships/image" Target="media/image8.png"/><Relationship Id="rId63" Type="http://schemas.openxmlformats.org/officeDocument/2006/relationships/hyperlink" Target="https://www.who.int/publications/i/item/9789241506236" TargetMode="External"/><Relationship Id="rId84" Type="http://schemas.openxmlformats.org/officeDocument/2006/relationships/hyperlink" Target="https://www.aihw.gov.au/reports/chronic-disease/multimorbidity-in-australia/contents/summary" TargetMode="External"/><Relationship Id="rId138" Type="http://schemas.openxmlformats.org/officeDocument/2006/relationships/hyperlink" Target="https://www.abs.gov.au/statistics/people/people-and-communities/general-social-survey-summary-results-australia/latest-release" TargetMode="External"/><Relationship Id="rId159" Type="http://schemas.openxmlformats.org/officeDocument/2006/relationships/hyperlink" Target="https://www.abs.gov.au/statistics/people/people-and-communities/estimates-and-characteristics-lgbti-populations-australia/latest-release" TargetMode="External"/><Relationship Id="rId107" Type="http://schemas.openxmlformats.org/officeDocument/2006/relationships/hyperlink" Target="https://www.homeaffairs.gov.au/about-us/our-portfolios/multicultural-framework-review/australian-government-response" TargetMode="External"/><Relationship Id="rId11" Type="http://schemas.openxmlformats.org/officeDocument/2006/relationships/header" Target="header1.xml"/><Relationship Id="rId32" Type="http://schemas.openxmlformats.org/officeDocument/2006/relationships/hyperlink" Target="https://www.health.gov.au/resources/publications/australias-primary-health-care-10-year-plan-2022-2032" TargetMode="External"/><Relationship Id="rId53" Type="http://schemas.openxmlformats.org/officeDocument/2006/relationships/hyperlink" Target="https://www.abs.gov.au/statistics/standards/standard-sex-gender-variations-sex-characteristics-and-sexual-orientation-variables/latest-release" TargetMode="External"/><Relationship Id="rId74" Type="http://schemas.openxmlformats.org/officeDocument/2006/relationships/hyperlink" Target="https://www.pc.gov.au/research/completed/digital-healthcare" TargetMode="External"/><Relationship Id="rId128" Type="http://schemas.openxmlformats.org/officeDocument/2006/relationships/hyperlink" Target="https://www.aihw.gov.au/reports/risk-factors/nat-preventive-health-monitoring-dashboard/contents/about" TargetMode="External"/><Relationship Id="rId149" Type="http://schemas.openxmlformats.org/officeDocument/2006/relationships/hyperlink" Target="https://www.abs.gov.au/statistics/standards/australian-statistical-geography-standard-asgs-edition-3/jul2021-jun2026/remoteness-structure" TargetMode="External"/><Relationship Id="rId5" Type="http://schemas.openxmlformats.org/officeDocument/2006/relationships/numbering" Target="numbering.xml"/><Relationship Id="rId95" Type="http://schemas.openxmlformats.org/officeDocument/2006/relationships/hyperlink" Target="https://www.aihw.gov.au/reports/rural-remote-australians/rural-and-remote-health" TargetMode="External"/><Relationship Id="rId160" Type="http://schemas.openxmlformats.org/officeDocument/2006/relationships/hyperlink" Target="https://www.abs.gov.au/statistics/standards/standard-sex-gender-variations-sex-characteristics-and-sexual-orientation-variables/2020" TargetMode="External"/><Relationship Id="rId22" Type="http://schemas.openxmlformats.org/officeDocument/2006/relationships/header" Target="header6.xml"/><Relationship Id="rId43" Type="http://schemas.openxmlformats.org/officeDocument/2006/relationships/hyperlink" Target="https://www.safetyandquality.gov.au/our-work/partnering-consumers/australian-charter-healthcare-rights" TargetMode="External"/><Relationship Id="rId64" Type="http://schemas.openxmlformats.org/officeDocument/2006/relationships/hyperlink" Target="https://www.who.int/teams/health-promotion/enhanced-wellbeing/first-global-conference" TargetMode="External"/><Relationship Id="rId118" Type="http://schemas.openxmlformats.org/officeDocument/2006/relationships/hyperlink" Target="https://alswh.org.au/" TargetMode="External"/><Relationship Id="rId139" Type="http://schemas.openxmlformats.org/officeDocument/2006/relationships/hyperlink" Target="https://hwd.health.gov.au/" TargetMode="External"/><Relationship Id="rId85" Type="http://schemas.openxmlformats.org/officeDocument/2006/relationships/hyperlink" Target="https://www.pc.gov.au/research/completed/chronic-care-innovations" TargetMode="External"/><Relationship Id="rId150" Type="http://schemas.openxmlformats.org/officeDocument/2006/relationships/hyperlink" Target="https://www.health.gov.au/topics/rural-health-workforce/classifications/mmm" TargetMode="External"/><Relationship Id="rId12" Type="http://schemas.openxmlformats.org/officeDocument/2006/relationships/header" Target="header2.xml"/><Relationship Id="rId17" Type="http://schemas.openxmlformats.org/officeDocument/2006/relationships/hyperlink" Target="mailto:copyright@health.gov.au" TargetMode="External"/><Relationship Id="rId33" Type="http://schemas.openxmlformats.org/officeDocument/2006/relationships/hyperlink" Target="https://www.closingthegap.gov.au/national-agreement" TargetMode="External"/><Relationship Id="rId38" Type="http://schemas.openxmlformats.org/officeDocument/2006/relationships/hyperlink" Target="https://www.safetyandquality.gov.au/standards/nsqhs-standards/medication-safety-standard" TargetMode="External"/><Relationship Id="rId59" Type="http://schemas.openxmlformats.org/officeDocument/2006/relationships/hyperlink" Target="https://humanrights.gov.au/our-work/aboriginal-and-torres-strait-islander-social-justice/publications/wiyi-yani-u-thangani" TargetMode="External"/><Relationship Id="rId103" Type="http://schemas.openxmlformats.org/officeDocument/2006/relationships/hyperlink" Target="https://www.latrobe.edu.au/arcshs/work/private-lives-3" TargetMode="External"/><Relationship Id="rId108" Type="http://schemas.openxmlformats.org/officeDocument/2006/relationships/hyperlink" Target="https://healingfoundation.org.au/" TargetMode="External"/><Relationship Id="rId124" Type="http://schemas.openxmlformats.org/officeDocument/2006/relationships/hyperlink" Target="https://www.pc.gov.au/ongoing/report-on-government-services" TargetMode="External"/><Relationship Id="rId129" Type="http://schemas.openxmlformats.org/officeDocument/2006/relationships/hyperlink" Target="https://auo.org.au/" TargetMode="External"/><Relationship Id="rId54" Type="http://schemas.openxmlformats.org/officeDocument/2006/relationships/hyperlink" Target="https://www.health.gov.au/resources/publications/review-of-the-national-strategic-framework-for-chronic-conditions" TargetMode="External"/><Relationship Id="rId70" Type="http://schemas.openxmlformats.org/officeDocument/2006/relationships/hyperlink" Target="https://www.safetyandquality.gov.au/our-work/partnering-consumers/shared-decision-making" TargetMode="External"/><Relationship Id="rId75" Type="http://schemas.openxmlformats.org/officeDocument/2006/relationships/hyperlink" Target="https://www.aihw.gov.au/reports/australias-health/digital-health" TargetMode="External"/><Relationship Id="rId91" Type="http://schemas.openxmlformats.org/officeDocument/2006/relationships/hyperlink" Target="https://disability.royalcommission.gov.au/publications/final-report-volume-9-first-nations-people-disability" TargetMode="External"/><Relationship Id="rId96" Type="http://schemas.openxmlformats.org/officeDocument/2006/relationships/hyperlink" Target="https://www.aihw.gov.au/hospitals/topics/admitted-patient-safety-and-quality/potentially-preventable-hospitalisations" TargetMode="External"/><Relationship Id="rId140" Type="http://schemas.openxmlformats.org/officeDocument/2006/relationships/hyperlink" Target="https://www.safetyandquality.gov.au/our-work/indicators-measurement-and-reporting" TargetMode="External"/><Relationship Id="rId145" Type="http://schemas.openxmlformats.org/officeDocument/2006/relationships/hyperlink" Target="https://www.indigenoushpf.gov.au/" TargetMode="External"/><Relationship Id="rId161"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footer" Target="footer6.xml"/><Relationship Id="rId28" Type="http://schemas.openxmlformats.org/officeDocument/2006/relationships/hyperlink" Target="https://www.health.gov.au/resources/publications/national-preventive-health-strategy-2021-2030" TargetMode="External"/><Relationship Id="rId49" Type="http://schemas.openxmlformats.org/officeDocument/2006/relationships/hyperlink" Target="https://www.abs.gov.au/statistics/measuring-what-matters/measuring-what-matters-themes-and-indicators" TargetMode="External"/><Relationship Id="rId114" Type="http://schemas.openxmlformats.org/officeDocument/2006/relationships/hyperlink" Target="https://www.who.int/publications/i/item/9789240067530" TargetMode="External"/><Relationship Id="rId119" Type="http://schemas.openxmlformats.org/officeDocument/2006/relationships/hyperlink" Target="https://www.aihw.gov.au/reports-data/nhdh/data" TargetMode="External"/><Relationship Id="rId44" Type="http://schemas.openxmlformats.org/officeDocument/2006/relationships/hyperlink" Target="https://www.health.gov.au/resources/publications/national-aboriginal-and-torres-strait-islander-health-plan-2021-2031" TargetMode="External"/><Relationship Id="rId60" Type="http://schemas.openxmlformats.org/officeDocument/2006/relationships/hyperlink" Target="https://www.vic.gov.au/understanding-intersectionality" TargetMode="External"/><Relationship Id="rId65" Type="http://schemas.openxmlformats.org/officeDocument/2006/relationships/hyperlink" Target="https://www.health.gov.au/resources/publications/national-preventive-health-strategy-2021-2030" TargetMode="External"/><Relationship Id="rId81" Type="http://schemas.openxmlformats.org/officeDocument/2006/relationships/hyperlink" Target="https://www.health.gov.au/resources/collections/guiding-principles-for-medication-management-in-residential-aged-care-facilities-collection" TargetMode="External"/><Relationship Id="rId86" Type="http://schemas.openxmlformats.org/officeDocument/2006/relationships/hyperlink" Target="https://www.who.int/publications/i/item/9789290619765" TargetMode="External"/><Relationship Id="rId130" Type="http://schemas.openxmlformats.org/officeDocument/2006/relationships/hyperlink" Target="https://www.health.gov.au/topics/medicare/data-statistics-reporting" TargetMode="External"/><Relationship Id="rId135" Type="http://schemas.openxmlformats.org/officeDocument/2006/relationships/hyperlink" Target="https://www.health.gov.au/topics/immunisation/when-to-get-vaccinated/national-immunisation-program-schedule" TargetMode="External"/><Relationship Id="rId151" Type="http://schemas.openxmlformats.org/officeDocument/2006/relationships/hyperlink" Target="https://aifs.gov.au/building-new-life-australia" TargetMode="External"/><Relationship Id="rId156" Type="http://schemas.openxmlformats.org/officeDocument/2006/relationships/hyperlink" Target="https://www.aihw.gov.au/reports/disability/people-with-disability-in-australia/contents/about" TargetMode="External"/><Relationship Id="rId13" Type="http://schemas.openxmlformats.org/officeDocument/2006/relationships/footer" Target="footer1.xml"/><Relationship Id="rId18" Type="http://schemas.openxmlformats.org/officeDocument/2006/relationships/header" Target="header4.xml"/><Relationship Id="rId39" Type="http://schemas.openxmlformats.org/officeDocument/2006/relationships/hyperlink" Target="https://www.safetyandquality.gov.au/standards/nsqhs-standards" TargetMode="External"/><Relationship Id="rId109" Type="http://schemas.openxmlformats.org/officeDocument/2006/relationships/hyperlink" Target="https://professionals.blueknot.org.au/resources/publications/practice-guidelines/" TargetMode="External"/><Relationship Id="rId34" Type="http://schemas.openxmlformats.org/officeDocument/2006/relationships/hyperlink" Target="https://www.health.gov.au/resources/publications/national-preventive-health-strategy-2021-2030" TargetMode="External"/><Relationship Id="rId50" Type="http://schemas.openxmlformats.org/officeDocument/2006/relationships/hyperlink" Target="https://www.pc.gov.au/ongoing/report-on-government-services" TargetMode="External"/><Relationship Id="rId55" Type="http://schemas.openxmlformats.org/officeDocument/2006/relationships/hyperlink" Target="https://www.health.gov.au/topics/chronic-conditions/what-were-doing-about-chronic-conditions/what-were-doing-about-rare-diseases" TargetMode="External"/><Relationship Id="rId76" Type="http://schemas.openxmlformats.org/officeDocument/2006/relationships/hyperlink" Target="https://www.health.gov.au/resources/publications/national-framework-for-advance-care-planning-documents" TargetMode="External"/><Relationship Id="rId97" Type="http://schemas.openxmlformats.org/officeDocument/2006/relationships/hyperlink" Target="https://aifs.gov.au/building-new-life-australia/major-report/10-years-humanitarian-settlement-outcomes" TargetMode="External"/><Relationship Id="rId104" Type="http://schemas.openxmlformats.org/officeDocument/2006/relationships/hyperlink" Target="https://disability.royalcommission.gov.au/publications/final-report-volume-6-enabling-autonomy-and-access" TargetMode="External"/><Relationship Id="rId120" Type="http://schemas.openxmlformats.org/officeDocument/2006/relationships/hyperlink" Target="https://www.abs.gov.au/statistics/measuring-what-matters/measuring-what-matters-themes-and-indicators" TargetMode="External"/><Relationship Id="rId125" Type="http://schemas.openxmlformats.org/officeDocument/2006/relationships/hyperlink" Target="https://www.health.gov.au/resources/publications/national-mens-health-strategy-2020-2030" TargetMode="External"/><Relationship Id="rId141" Type="http://schemas.openxmlformats.org/officeDocument/2006/relationships/hyperlink" Target="https://www.digitalhealth.gov.au/about-us/annual-reports" TargetMode="External"/><Relationship Id="rId146" Type="http://schemas.openxmlformats.org/officeDocument/2006/relationships/hyperlink" Target="https://www.rific.gov.au/" TargetMode="External"/><Relationship Id="rId7" Type="http://schemas.openxmlformats.org/officeDocument/2006/relationships/settings" Target="settings.xml"/><Relationship Id="rId71" Type="http://schemas.openxmlformats.org/officeDocument/2006/relationships/hyperlink" Target="https://www.nesta.org.uk/report/the-business-case-for-people-powered-health/" TargetMode="External"/><Relationship Id="rId92" Type="http://schemas.openxmlformats.org/officeDocument/2006/relationships/hyperlink" Target="https://www.health.gov.au/resources/publications/national-aboriginal-and-torres-strait-islander-health-plan-2021-2031" TargetMode="External"/><Relationship Id="rId162" Type="http://schemas.openxmlformats.org/officeDocument/2006/relationships/footer" Target="footer7.xml"/><Relationship Id="rId2" Type="http://schemas.openxmlformats.org/officeDocument/2006/relationships/customXml" Target="../customXml/item2.xml"/><Relationship Id="rId29" Type="http://schemas.openxmlformats.org/officeDocument/2006/relationships/image" Target="media/image7.png"/><Relationship Id="rId24" Type="http://schemas.openxmlformats.org/officeDocument/2006/relationships/image" Target="media/image3.png"/><Relationship Id="rId40" Type="http://schemas.openxmlformats.org/officeDocument/2006/relationships/hyperlink" Target="https://www.health.gov.au/resources/publications/national-strategy-for-quality-use-of-medicines" TargetMode="External"/><Relationship Id="rId45" Type="http://schemas.openxmlformats.org/officeDocument/2006/relationships/hyperlink" Target="https://www.aihw.gov.au/reports/risk-factors/nat-preventive-health-monitoring-dashboard/contents/about-the-strategies-this-report" TargetMode="External"/><Relationship Id="rId66" Type="http://schemas.openxmlformats.org/officeDocument/2006/relationships/hyperlink" Target="https://www.aihw.gov.au/reports/burden-of-disease/australian-burden-of-disease-study-2024/contents/key-findings" TargetMode="External"/><Relationship Id="rId87" Type="http://schemas.openxmlformats.org/officeDocument/2006/relationships/hyperlink" Target="https://www.gacd.org/resources/researchers-and-students/open-access-resources" TargetMode="External"/><Relationship Id="rId110" Type="http://schemas.openxmlformats.org/officeDocument/2006/relationships/hyperlink" Target="https://www.fasstt.org.au/" TargetMode="External"/><Relationship Id="rId115" Type="http://schemas.openxmlformats.org/officeDocument/2006/relationships/hyperlink" Target="https://www.abs.gov.au/statistics/health/health-conditions-and-risks/national-health-survey/latest-release" TargetMode="External"/><Relationship Id="rId131" Type="http://schemas.openxmlformats.org/officeDocument/2006/relationships/hyperlink" Target="https://alswh.org.au/resources/interactive-report-card-australian-womens-preventative-health-checks-screening-and-vaccinations/" TargetMode="External"/><Relationship Id="rId136" Type="http://schemas.openxmlformats.org/officeDocument/2006/relationships/hyperlink" Target="https://www.abs.gov.au/statistics/health/health-services/patient-experiences/latest-release" TargetMode="External"/><Relationship Id="rId157" Type="http://schemas.openxmlformats.org/officeDocument/2006/relationships/hyperlink" Target="https://www.abs.gov.au/statistics/health/disability/disability-ageing-and-carers-australia-summary-findings/2022" TargetMode="External"/><Relationship Id="rId61" Type="http://schemas.openxmlformats.org/officeDocument/2006/relationships/hyperlink" Target="https://www.aihw.gov.au/reports/australias-health/what-are-determinants-of-health" TargetMode="External"/><Relationship Id="rId82" Type="http://schemas.openxmlformats.org/officeDocument/2006/relationships/hyperlink" Target="https://www.health.gov.au/resources/publications/guiding-principles-for-medication-management-in-the-community" TargetMode="External"/><Relationship Id="rId152" Type="http://schemas.openxmlformats.org/officeDocument/2006/relationships/hyperlink" Target="https://www.abs.gov.au/statistics/people/people-and-communities/permanent-migrants-australia/2021" TargetMode="External"/><Relationship Id="rId19" Type="http://schemas.openxmlformats.org/officeDocument/2006/relationships/header" Target="header5.xml"/><Relationship Id="rId14" Type="http://schemas.openxmlformats.org/officeDocument/2006/relationships/footer" Target="footer2.xml"/><Relationship Id="rId30" Type="http://schemas.openxmlformats.org/officeDocument/2006/relationships/hyperlink" Target="https://www.health.gov.au/resources/publications/strengthening-medicare-taskforce-report" TargetMode="External"/><Relationship Id="rId35" Type="http://schemas.openxmlformats.org/officeDocument/2006/relationships/hyperlink" Target="https://www.safetyandquality.gov.au/our-work/transitions-care/principles-safe-and-high-quality-transitions-care" TargetMode="External"/><Relationship Id="rId56" Type="http://schemas.openxmlformats.org/officeDocument/2006/relationships/hyperlink" Target="https://www.aihw.gov.au/reports/australias-health/australias-health-2016/contents/summary" TargetMode="External"/><Relationship Id="rId77" Type="http://schemas.openxmlformats.org/officeDocument/2006/relationships/hyperlink" Target="https://www.aihw.gov.au/reports/palliative-care-services/health-service-use-people-life-limiting-conditions/contents/summary" TargetMode="External"/><Relationship Id="rId100" Type="http://schemas.openxmlformats.org/officeDocument/2006/relationships/hyperlink" Target="https://www.aihw.gov.au/reports/disability/people-with-disability-in-australia/contents/health/access-to-health-services" TargetMode="External"/><Relationship Id="rId105" Type="http://schemas.openxmlformats.org/officeDocument/2006/relationships/hyperlink" Target="https://www.ahpra.gov.au/About-Ahpra/Aboriginal-and-Torres-Strait-Islander-Health-Strategy/health-and-cultural-safety-strategy.aspx" TargetMode="External"/><Relationship Id="rId126" Type="http://schemas.openxmlformats.org/officeDocument/2006/relationships/hyperlink" Target="https://www.health.gov.au/resources/publications/national-womens-health-strategy-2020-2030" TargetMode="External"/><Relationship Id="rId147" Type="http://schemas.openxmlformats.org/officeDocument/2006/relationships/hyperlink" Target="https://www.aihw.gov.au/reports/indigenous-australians/cultural-safety-health-care-framework/contents/summary" TargetMode="External"/><Relationship Id="rId8" Type="http://schemas.openxmlformats.org/officeDocument/2006/relationships/webSettings" Target="webSettings.xml"/><Relationship Id="rId51" Type="http://schemas.openxmlformats.org/officeDocument/2006/relationships/hyperlink" Target="https://www.aihw.gov.au/reports-data/population-health-monitoring" TargetMode="External"/><Relationship Id="rId72" Type="http://schemas.openxmlformats.org/officeDocument/2006/relationships/hyperlink" Target="https://www.abs.gov.au/statistics/health/mental-health/national-study-mental-health-and-wellbeing/2020-2022" TargetMode="External"/><Relationship Id="rId93" Type="http://schemas.openxmlformats.org/officeDocument/2006/relationships/hyperlink" Target="https://www.aihw.gov.au/reports-data/population-groups/rural-remote-australians/overview" TargetMode="External"/><Relationship Id="rId98" Type="http://schemas.openxmlformats.org/officeDocument/2006/relationships/hyperlink" Target="https://www.aihw.gov.au/reports/cald-australians/health-of-refugees-and-humanitarian-entrants/contents/summary" TargetMode="External"/><Relationship Id="rId121" Type="http://schemas.openxmlformats.org/officeDocument/2006/relationships/hyperlink" Target="https://www.aihw.gov.au/reports-data/ahpf/australias-health-performance-framework" TargetMode="External"/><Relationship Id="rId142" Type="http://schemas.openxmlformats.org/officeDocument/2006/relationships/hyperlink" Target="https://www.aihw.gov.au/about-our-data/our-data-collections/online-services-report-osr" TargetMode="External"/><Relationship Id="rId163" Type="http://schemas.openxmlformats.org/officeDocument/2006/relationships/fontTable" Target="fontTable.xml"/><Relationship Id="rId3" Type="http://schemas.openxmlformats.org/officeDocument/2006/relationships/customXml" Target="../customXml/item3.xml"/><Relationship Id="rId25" Type="http://schemas.openxmlformats.org/officeDocument/2006/relationships/image" Target="media/image4.png"/><Relationship Id="rId46" Type="http://schemas.openxmlformats.org/officeDocument/2006/relationships/hyperlink" Target="https://www.aihw.gov.au/reports-data/ahpf/australias-health-performance-framework" TargetMode="External"/><Relationship Id="rId67" Type="http://schemas.openxmlformats.org/officeDocument/2006/relationships/hyperlink" Target="https://www.aihw.gov.au/reports/burden-of-disease/illness-death-indigenous-2018/summary" TargetMode="External"/><Relationship Id="rId116" Type="http://schemas.openxmlformats.org/officeDocument/2006/relationships/hyperlink" Target="https://www.abs.gov.au/about/key-priorities/ihmhs" TargetMode="External"/><Relationship Id="rId137" Type="http://schemas.openxmlformats.org/officeDocument/2006/relationships/hyperlink" Target="https://www.abs.gov.au/statistics/health/health-conditions-and-risks/national-health-survey-health-literacy/latest-release" TargetMode="External"/><Relationship Id="rId158" Type="http://schemas.openxmlformats.org/officeDocument/2006/relationships/hyperlink" Target="https://www.aihw.gov.au/reports-data/population-groups/lgbtiq/overview" TargetMode="External"/><Relationship Id="rId20" Type="http://schemas.openxmlformats.org/officeDocument/2006/relationships/footer" Target="footer4.xml"/><Relationship Id="rId41" Type="http://schemas.openxmlformats.org/officeDocument/2006/relationships/hyperlink" Target="https://www.who.int/publications/i/item/9789290619765" TargetMode="External"/><Relationship Id="rId62" Type="http://schemas.openxmlformats.org/officeDocument/2006/relationships/hyperlink" Target="https://www.aihw.gov.au/reports/health-welfare-expenditure/health-system-spending-on-disease-and-injury-aus/contents/comparison-with-2021-22-and-historical-data" TargetMode="External"/><Relationship Id="rId83" Type="http://schemas.openxmlformats.org/officeDocument/2006/relationships/hyperlink" Target="https://www.health.gov.au/resources/publications/guiding-principles-to-achieve-continuity-in-medication-management" TargetMode="External"/><Relationship Id="rId88" Type="http://schemas.openxmlformats.org/officeDocument/2006/relationships/hyperlink" Target="https://www.racgp.org.au/clinical-resources/clinical-guidelines/key-racgp-guidelines/view-all-racgp-guidelines/silver-book/part-a/polypharmacy" TargetMode="External"/><Relationship Id="rId111" Type="http://schemas.openxmlformats.org/officeDocument/2006/relationships/hyperlink" Target="https://www.aihw.gov.au/reports/indigenous-australians/first-nations-people-primary-health-care/contents/factors-affecting-use-primary-health-first-nations/conceptual-overview" TargetMode="External"/><Relationship Id="rId132" Type="http://schemas.openxmlformats.org/officeDocument/2006/relationships/hyperlink" Target="https://www.health.gov.au/our-work/population-based-health-screening" TargetMode="External"/><Relationship Id="rId153" Type="http://schemas.openxmlformats.org/officeDocument/2006/relationships/hyperlink" Target="https://www.aihw.gov.au/reports-data/population-groups/cald-australians/overview" TargetMode="External"/><Relationship Id="rId15" Type="http://schemas.openxmlformats.org/officeDocument/2006/relationships/header" Target="header3.xml"/><Relationship Id="rId36" Type="http://schemas.openxmlformats.org/officeDocument/2006/relationships/hyperlink" Target="https://app.magicapp.org/?language=aus-P5" TargetMode="External"/><Relationship Id="rId57" Type="http://schemas.openxmlformats.org/officeDocument/2006/relationships/hyperlink" Target="https://www.aihw.gov.au/reports/australias-health/chronic-conditions-challenge" TargetMode="External"/><Relationship Id="rId106" Type="http://schemas.openxmlformats.org/officeDocument/2006/relationships/hyperlink" Target="https://csof.naccho.org.au/" TargetMode="External"/><Relationship Id="rId127" Type="http://schemas.openxmlformats.org/officeDocument/2006/relationships/hyperlink" Target="https://www.aihw.gov.au/about-our-data/our-data-collections/australian-burden-of-disease" TargetMode="External"/><Relationship Id="rId10" Type="http://schemas.openxmlformats.org/officeDocument/2006/relationships/endnotes" Target="endnotes.xml"/><Relationship Id="rId31" Type="http://schemas.openxmlformats.org/officeDocument/2006/relationships/hyperlink" Target="https://www.health.gov.au/resources/publications/national-preventive-health-strategy-2021-2030" TargetMode="External"/><Relationship Id="rId52" Type="http://schemas.openxmlformats.org/officeDocument/2006/relationships/hyperlink" Target="https://www.abs.gov.au/statistics/standards/standards-statistics-cultural-and-language-diversity/latest-release" TargetMode="External"/><Relationship Id="rId73" Type="http://schemas.openxmlformats.org/officeDocument/2006/relationships/hyperlink" Target="https://www.safetyandquality.gov.au/publications-and-resources/resource-library/paris-survey-australian-national-report-2025" TargetMode="External"/><Relationship Id="rId78" Type="http://schemas.openxmlformats.org/officeDocument/2006/relationships/hyperlink" Target="https://iris.who.int/handle/10665/42682" TargetMode="External"/><Relationship Id="rId94" Type="http://schemas.openxmlformats.org/officeDocument/2006/relationships/hyperlink" Target="https://www.aihw.gov.au/reports/chronic-disease/multimorbidity-in-australia/contents/how-common-is-multimorbidity" TargetMode="External"/><Relationship Id="rId99" Type="http://schemas.openxmlformats.org/officeDocument/2006/relationships/hyperlink" Target="https://www.aihw.gov.au/reports/disability/people-with-disability-in-australia/contents/health/chronic-conditions-and-disability" TargetMode="External"/><Relationship Id="rId101" Type="http://schemas.openxmlformats.org/officeDocument/2006/relationships/hyperlink" Target="https://disability.royalcommission.gov.au/public-hearings/public-hearing-4" TargetMode="External"/><Relationship Id="rId122" Type="http://schemas.openxmlformats.org/officeDocument/2006/relationships/hyperlink" Target="https://www.aihw.gov.au/reports-data/australias-health" TargetMode="External"/><Relationship Id="rId143" Type="http://schemas.openxmlformats.org/officeDocument/2006/relationships/hyperlink" Target="https://www.aihw.gov.au/reports/indigenous-australians/cultural-safety-health-care-framework/contents/summary" TargetMode="External"/><Relationship Id="rId148" Type="http://schemas.openxmlformats.org/officeDocument/2006/relationships/hyperlink" Target="https://www.aihw.gov.au/reports/rural-remote-australians/rural-and-remote-health" TargetMode="External"/><Relationship Id="rId16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image" Target="media/image5.png"/><Relationship Id="rId47" Type="http://schemas.openxmlformats.org/officeDocument/2006/relationships/hyperlink" Target="https://www.indigenoushpf.gov.au/measures" TargetMode="External"/><Relationship Id="rId68" Type="http://schemas.openxmlformats.org/officeDocument/2006/relationships/hyperlink" Target="https://www.safetyandquality.gov.au/publications-and-resources/resource-library/national-statement-health-literacy-taking-action-improve-safety-and-quality" TargetMode="External"/><Relationship Id="rId89" Type="http://schemas.openxmlformats.org/officeDocument/2006/relationships/hyperlink" Target="https://www.abs.gov.au/statistics/people/aboriginal-and-torres-strait-islander-peoples/national-aboriginal-and-torres-strait-islander-health-survey/2022-23" TargetMode="External"/><Relationship Id="rId112" Type="http://schemas.openxmlformats.org/officeDocument/2006/relationships/hyperlink" Target="https://www.health.gov.au/resources/publications/evaluation-of-outreach-programs-report" TargetMode="External"/><Relationship Id="rId133" Type="http://schemas.openxmlformats.org/officeDocument/2006/relationships/hyperlink" Target="https://www.servicesaustralia.gov.au/mbs-billing-for-health-assessments" TargetMode="External"/><Relationship Id="rId154" Type="http://schemas.openxmlformats.org/officeDocument/2006/relationships/hyperlink" Target="https://www.abs.gov.au/statistics/standards/standards-statistics-cultural-and-language-diversity/australia" TargetMode="External"/><Relationship Id="rId16" Type="http://schemas.openxmlformats.org/officeDocument/2006/relationships/footer" Target="footer3.xml"/><Relationship Id="rId37" Type="http://schemas.openxmlformats.org/officeDocument/2006/relationships/hyperlink" Target="https://www.health.gov.au/our-work/support-at-home" TargetMode="External"/><Relationship Id="rId58" Type="http://schemas.openxmlformats.org/officeDocument/2006/relationships/hyperlink" Target="https://www.aihw.gov.au/reports/australias-health/chronic-conditions" TargetMode="External"/><Relationship Id="rId79" Type="http://schemas.openxmlformats.org/officeDocument/2006/relationships/hyperlink" Target="https://www.health.gov.au/resources/publications/national-medicines-policy" TargetMode="External"/><Relationship Id="rId102" Type="http://schemas.openxmlformats.org/officeDocument/2006/relationships/hyperlink" Target="https://vahi.vic.gov.au/reports/population-health/health-and-wellbeing-lgbtiq-population-victoria" TargetMode="External"/><Relationship Id="rId123" Type="http://schemas.openxmlformats.org/officeDocument/2006/relationships/hyperlink" Target="https://www.aihw.gov.au/reports/australias-health/chronic-conditions" TargetMode="External"/><Relationship Id="rId144" Type="http://schemas.openxmlformats.org/officeDocument/2006/relationships/hyperlink" Target="https://www.abs.gov.au/statistics/people/aboriginal-and-torres-strait-islander-peoples/national-aboriginal-and-torres-strait-islander-health-survey/latest-release" TargetMode="External"/><Relationship Id="rId90" Type="http://schemas.openxmlformats.org/officeDocument/2006/relationships/hyperlink" Target="https://www.aihw.gov.au/reports/australias-health/australias-health-2024-in-brief/summary" TargetMode="External"/><Relationship Id="rId27" Type="http://schemas.openxmlformats.org/officeDocument/2006/relationships/image" Target="media/image6.png"/><Relationship Id="rId48" Type="http://schemas.openxmlformats.org/officeDocument/2006/relationships/hyperlink" Target="https://www.aihw.gov.au/reports/indigenous-australians/cultural-safety-health-care-framework/contents/about" TargetMode="External"/><Relationship Id="rId69" Type="http://schemas.openxmlformats.org/officeDocument/2006/relationships/hyperlink" Target="https://goodthingsaustralia.org/" TargetMode="External"/><Relationship Id="rId113" Type="http://schemas.openxmlformats.org/officeDocument/2006/relationships/hyperlink" Target="https://www.health.gov.au/resources/apps-and-tools/my-quitbuddy-app" TargetMode="External"/><Relationship Id="rId134" Type="http://schemas.openxmlformats.org/officeDocument/2006/relationships/hyperlink" Target="https://www.servicesaustralia.gov.au/what-australian-immunisation-register" TargetMode="External"/><Relationship Id="rId80" Type="http://schemas.openxmlformats.org/officeDocument/2006/relationships/hyperlink" Target="https://www.racgp.org.au/clinical-resources/clinical-guidelines/key-racgp-guidelines/view-all-racgp-guidelines/silver-book/part-a/deprescribing" TargetMode="External"/><Relationship Id="rId155" Type="http://schemas.openxmlformats.org/officeDocument/2006/relationships/hyperlink" Target="https://www.aihw.gov.au/australias-disability-strategy" TargetMode="External"/></Relationships>
</file>

<file path=word/_rels/endnotes.xml.rels><?xml version="1.0" encoding="UTF-8" standalone="yes"?>
<Relationships xmlns="http://schemas.openxmlformats.org/package/2006/relationships"><Relationship Id="rId2" Type="http://schemas.openxmlformats.org/officeDocument/2006/relationships/hyperlink" Target="https://www.who.int/publications/i/item/9789290619765" TargetMode="External"/><Relationship Id="rId1" Type="http://schemas.openxmlformats.org/officeDocument/2006/relationships/hyperlink" Target="https://www.aihw.gov.au/reports/burden-of-disease/abds-methods-supplementary-material-2018/contents/estimating-burden-of-disease-measures/years-lived-with-disability-yld"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akebe\Downloads\Department%20of%20Health,%20Disability%20and%20Ageing%20long%20document%20template.dotx" TargetMode="External"/></Relationships>
</file>

<file path=word/theme/theme1.xml><?xml version="1.0" encoding="utf-8"?>
<a:theme xmlns:a="http://schemas.openxmlformats.org/drawingml/2006/main" name="Office Theme">
  <a:themeElements>
    <a:clrScheme name="Health">
      <a:dk1>
        <a:sysClr val="windowText" lastClr="000000"/>
      </a:dk1>
      <a:lt1>
        <a:sysClr val="window" lastClr="FFFFFF"/>
      </a:lt1>
      <a:dk2>
        <a:srgbClr val="3F4A75"/>
      </a:dk2>
      <a:lt2>
        <a:srgbClr val="E6E6E6"/>
      </a:lt2>
      <a:accent1>
        <a:srgbClr val="3F4A75"/>
      </a:accent1>
      <a:accent2>
        <a:srgbClr val="358189"/>
      </a:accent2>
      <a:accent3>
        <a:srgbClr val="0078BF"/>
      </a:accent3>
      <a:accent4>
        <a:srgbClr val="9E4C6E"/>
      </a:accent4>
      <a:accent5>
        <a:srgbClr val="3998B5"/>
      </a:accent5>
      <a:accent6>
        <a:srgbClr val="97A92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55f32057-c7d7-4cf2-a083-f930dcef3185">
      <Value>5</Value>
    </TaxCatchAll>
    <lcf76f155ced4ddcb4097134ff3c332f xmlns="c4594a31-abeb-4eef-8e81-3201cbe04dc5">
      <Terms xmlns="http://schemas.microsoft.com/office/infopath/2007/PartnerControls"/>
    </lcf76f155ced4ddcb4097134ff3c332f>
    <Notes xmlns="c4594a31-abeb-4eef-8e81-3201cbe04dc5" xsi:nil="true"/>
  </documentManagement>
</p:properties>
</file>

<file path=customXml/item2.xml><?xml version="1.0" encoding="utf-8"?>
<b:Sources xmlns:b="http://schemas.openxmlformats.org/officeDocument/2006/bibliography" xmlns="http://schemas.openxmlformats.org/officeDocument/2006/bibliography" SelectedStyle="\IEEE2006OfficeOnline.xsl" StyleName="IEEE" Version="2006">
  <b:Source>
    <b:Tag>Dep23</b:Tag>
    <b:SourceType>Report</b:SourceType>
    <b:Guid>{63B15A05-926B-40B7-95B0-A24068A6A054}</b:Guid>
    <b:Author>
      <b:Author>
        <b:Corporate>Department of Health and Aged Care</b:Corporate>
      </b:Author>
    </b:Author>
    <b:Title>Review of the National Strategic Framework for Chronic Conditions: final report (summary)</b:Title>
    <b:Year>2023</b:Year>
    <b:Publisher>Department of Health and Aged Care, Australian Government</b:Publisher>
    <b:URL>https://www.health.gov.au/resources/publications/review-of-the-national-strategic-framework-for-chronic-conditions</b:URL>
    <b:RefOrder>1</b:RefOrder>
  </b:Source>
  <b:Source>
    <b:Tag>Jac18</b:Tag>
    <b:SourceType>JournalArticle</b:SourceType>
    <b:Guid>{84E580CE-B88F-41E4-A18B-1F51B2E71FE7}</b:Guid>
    <b:Title>Continuity of care: vital, but how do we measure and promote it?</b:Title>
    <b:JournalName>Australian Journal of General Practice</b:JournalName>
    <b:Year>2018</b:Year>
    <b:Author>
      <b:Author>
        <b:NameList>
          <b:Person>
            <b:Last>Jackson</b:Last>
            <b:Middle>L</b:Middle>
            <b:First>C</b:First>
          </b:Person>
          <b:Person>
            <b:Last>Ball</b:Last>
            <b:First>L</b:First>
          </b:Person>
        </b:NameList>
      </b:Author>
    </b:Author>
    <b:Pages>662-664</b:Pages>
    <b:Volume>47</b:Volume>
    <b:Issue>10</b:Issue>
    <b:DOI>10.31128/AJGP-05-18-4568</b:DOI>
    <b:RefOrder>37</b:RefOrder>
  </b:Source>
  <b:Source>
    <b:Tag>Per18</b:Tag>
    <b:SourceType>JournalArticle</b:SourceType>
    <b:Guid>{B7606CC8-0E75-416A-88C6-C226E03E1A4F}</b:Guid>
    <b:Title>Continuity of care with doctors – a matter or life and death? A systematic review of continuity of care and mortality</b:Title>
    <b:JournalName>BMJ Open</b:JournalName>
    <b:Year>2018</b:Year>
    <b:Pages>e021161</b:Pages>
    <b:Volume>8</b:Volume>
    <b:Issue>6</b:Issue>
    <b:Author>
      <b:Author>
        <b:NameList>
          <b:Person>
            <b:Last>Pereira Gray</b:Last>
            <b:Middle>J</b:Middle>
            <b:First>D</b:First>
          </b:Person>
          <b:Person>
            <b:Last>Sidaway-Lee</b:Last>
            <b:First>K</b:First>
          </b:Person>
          <b:Person>
            <b:Last>White</b:Last>
            <b:First>E</b:First>
          </b:Person>
          <b:Person>
            <b:Last>Thorne</b:Last>
            <b:First>A</b:First>
          </b:Person>
          <b:Person>
            <b:Last>Evans</b:Last>
            <b:Middle>H</b:Middle>
            <b:First>P</b:First>
          </b:Person>
        </b:NameList>
      </b:Author>
    </b:Author>
    <b:DOI>10.1136/bmjopen-2017-021161</b:DOI>
    <b:RefOrder>38</b:RefOrder>
  </b:Source>
  <b:Source>
    <b:Tag>Cut19</b:Tag>
    <b:SourceType>JournalArticle</b:SourceType>
    <b:Guid>{A64099DA-6401-4773-A577-F87D52EE6E99}</b:Guid>
    <b:Title>Pharmacist-led medication non-adherence intervention: reducing the economic burden placed on the Australian health care system</b:Title>
    <b:JournalName>Patient Prefer Adherence</b:JournalName>
    <b:Year>2019</b:Year>
    <b:Pages>853-862</b:Pages>
    <b:Volume>13</b:Volume>
    <b:Author>
      <b:Author>
        <b:NameList>
          <b:Person>
            <b:Last>Cutler</b:Last>
            <b:Middle>L</b:Middle>
            <b:First>R</b:First>
          </b:Person>
          <b:Person>
            <b:Last>Torres-Robles</b:Last>
            <b:First>A</b:First>
          </b:Person>
          <b:Person>
            <b:Last>Wiecek</b:Last>
            <b:First>E</b:First>
          </b:Person>
          <b:Person>
            <b:Last>Drake</b:Last>
            <b:First>B</b:First>
          </b:Person>
          <b:Person>
            <b:Last>Van der Linden</b:Last>
            <b:First>N</b:First>
          </b:Person>
          <b:Person>
            <b:Last>Benrimoj</b:Last>
            <b:Middle>IC</b:Middle>
            <b:First>S</b:First>
          </b:Person>
          <b:Person>
            <b:Last>Garcia-Cardenas</b:Last>
            <b:First>V</b:First>
          </b:Person>
        </b:NameList>
      </b:Author>
    </b:Author>
    <b:DOI>10.2147/PPA.S191482</b:DOI>
    <b:RefOrder>39</b:RefOrder>
  </b:Source>
  <b:Source>
    <b:Tag>Ush24</b:Tag>
    <b:SourceType>JournalArticle</b:SourceType>
    <b:Guid>{6A89E60E-CA34-42F6-AEA8-8DEFD2EFBC5A}</b:Guid>
    <b:Title>Therapeutic inertia</b:Title>
    <b:JournalName>Australian Prescriber</b:JournalName>
    <b:Year>2024</b:Year>
    <b:Pages>15-19</b:Pages>
    <b:Volume>47</b:Volume>
    <b:Issue>1</b:Issue>
    <b:Author>
      <b:Author>
        <b:NameList>
          <b:Person>
            <b:Last>Usherwood</b:Last>
            <b:First>T</b:First>
          </b:Person>
        </b:NameList>
      </b:Author>
    </b:Author>
    <b:DOI>10.18773/austprescr.2024.001</b:DOI>
    <b:RefOrder>109</b:RefOrder>
  </b:Source>
  <b:Source>
    <b:Tag>Str19</b:Tag>
    <b:SourceType>JournalArticle</b:SourceType>
    <b:Guid>{A31B3950-492A-46FA-BF6D-8A6B129F5E5C}</b:Guid>
    <b:Title>Continuity of care for patients with chronic conditions from rural or remote Australia: a systematic review</b:Title>
    <b:JournalName>The Australian Journal of Rural Health</b:JournalName>
    <b:Year>2019</b:Year>
    <b:Pages>196-202</b:Pages>
    <b:Volume>27</b:Volume>
    <b:Issue>3</b:Issue>
    <b:Author>
      <b:Author>
        <b:NameList>
          <b:Person>
            <b:Last>Street</b:Last>
            <b:Middle>D</b:Middle>
            <b:First>T</b:First>
          </b:Person>
          <b:Person>
            <b:Last>Somaray</b:Last>
            <b:First>K</b:First>
          </b:Person>
          <b:Person>
            <b:Last>Richards</b:Last>
            <b:Middle>C</b:Middle>
            <b:First>G</b:First>
          </b:Person>
          <b:Person>
            <b:Last>Lacey</b:Last>
            <b:Middle>J</b:Middle>
            <b:First>S</b:First>
          </b:Person>
        </b:NameList>
      </b:Author>
    </b:Author>
    <b:DOI>10.1111/ajr.12511</b:DOI>
    <b:RefOrder>40</b:RefOrder>
  </b:Source>
  <b:Source>
    <b:Tag>Kha23</b:Tag>
    <b:SourceType>JournalArticle</b:SourceType>
    <b:Guid>{C49615DF-DC58-43FA-922A-1A1EC57BDA71}</b:Guid>
    <b:Title>Continuity and care coordination of primary health care: a scoping review</b:Title>
    <b:JournalName>BMC Health Services Research</b:JournalName>
    <b:Year>2023</b:Year>
    <b:Pages>750</b:Pages>
    <b:Volume>23</b:Volume>
    <b:Issue>1</b:Issue>
    <b:Author>
      <b:Author>
        <b:NameList>
          <b:Person>
            <b:Last>Khatri</b:Last>
            <b:First>R</b:First>
          </b:Person>
          <b:Person>
            <b:Last>Endalamaw</b:Last>
            <b:First>A</b:First>
          </b:Person>
          <b:Person>
            <b:Last>Erku</b:Last>
            <b:First>D</b:First>
          </b:Person>
          <b:Person>
            <b:Last>Wolka</b:Last>
            <b:First>E</b:First>
          </b:Person>
          <b:Person>
            <b:Last>Nigatu</b:Last>
            <b:First>F</b:First>
          </b:Person>
          <b:Person>
            <b:Last>Zewdie</b:Last>
            <b:First>A</b:First>
          </b:Person>
          <b:Person>
            <b:Last>Assefa</b:Last>
            <b:First>Y</b:First>
          </b:Person>
        </b:NameList>
      </b:Author>
    </b:Author>
    <b:DOI>10.1186/s12913-023-09718-8</b:DOI>
    <b:RefOrder>110</b:RefOrder>
  </b:Source>
  <b:Source>
    <b:Tag>Dim23</b:Tag>
    <b:SourceType>JournalArticle</b:SourceType>
    <b:Guid>{ADBB564F-5141-4E65-8520-B04D550663E0}</b:Guid>
    <b:Title>Finding Your Way – A shared decision making resource developed by and for Aboriginal people in Australia: perceived acceptability, usability, and feasibility</b:Title>
    <b:JournalName>Patient Education and Counseling</b:JournalName>
    <b:Year>2023</b:Year>
    <b:Pages>107920</b:Pages>
    <b:Volume>115</b:Volume>
    <b:Author>
      <b:Author>
        <b:NameList>
          <b:Person>
            <b:Last>Dimopoulos-Bick</b:Last>
            <b:First>T</b:First>
          </b:Person>
          <b:Person>
            <b:Last>Follent</b:Last>
            <b:First>D</b:First>
          </b:Person>
          <b:Person>
            <b:Last>Kostovski</b:Last>
            <b:First>C</b:First>
          </b:Person>
          <b:Person>
            <b:Last>Middleton</b:Last>
            <b:First>V</b:First>
          </b:Person>
          <b:Person>
            <b:Last>Paulson</b:Last>
            <b:First>C</b:First>
          </b:Person>
          <b:Person>
            <b:Last>Sutherland</b:Last>
            <b:First>S</b:First>
          </b:Person>
          <b:Person>
            <b:Last>Cawley</b:Last>
            <b:First>M</b:First>
          </b:Person>
          <b:Person>
            <b:Last>Files</b:Last>
            <b:First>M</b:First>
          </b:Person>
          <b:Person>
            <b:Last>Follent</b:Last>
            <b:First>S</b:First>
          </b:Person>
          <b:Person>
            <b:Last>Osten</b:Last>
            <b:First>R</b:First>
          </b:Person>
          <b:Person>
            <b:Last>Trevena</b:Last>
            <b:First>L</b:First>
          </b:Person>
        </b:NameList>
      </b:Author>
    </b:Author>
    <b:DOI>10.1016/j.pec.2023.107920</b:DOI>
    <b:RefOrder>111</b:RefOrder>
  </b:Source>
  <b:Source>
    <b:Tag>Mur21</b:Tag>
    <b:SourceType>JournalArticle</b:SourceType>
    <b:Guid>{A647148A-336C-4E2A-BF56-879AFDB9F679}</b:Guid>
    <b:Title>Integrating primary and secondary care to enhance chronic disease management: a scoping review</b:Title>
    <b:JournalName>International Journal of Integrated Care</b:JournalName>
    <b:Year>2021</b:Year>
    <b:Pages>4</b:Pages>
    <b:Volume>21</b:Volume>
    <b:Issue>1</b:Issue>
    <b:Author>
      <b:Author>
        <b:NameList>
          <b:Person>
            <b:Last>Murtagh</b:Last>
            <b:First>S</b:First>
          </b:Person>
          <b:Person>
            <b:Last>McCombe</b:Last>
            <b:First>G</b:First>
          </b:Person>
          <b:Person>
            <b:Last>Broughan</b:Last>
            <b:First>J</b:First>
          </b:Person>
          <b:Person>
            <b:Last>Carroll</b:Last>
            <b:First>A</b:First>
          </b:Person>
          <b:Person>
            <b:Last>Casey</b:Last>
            <b:First>M</b:First>
          </b:Person>
          <b:Person>
            <b:Last>Harrold</b:Last>
            <b:First>A</b:First>
          </b:Person>
          <b:Person>
            <b:Last>Dennehy</b:Last>
            <b:First>T</b:First>
          </b:Person>
          <b:Person>
            <b:Last>Fawsitt</b:Last>
            <b:First>R</b:First>
          </b:Person>
          <b:Person>
            <b:Last>Cullen</b:Last>
            <b:First>W</b:First>
          </b:Person>
        </b:NameList>
      </b:Author>
    </b:Author>
    <b:DOI>10.5334/ijic.5508</b:DOI>
    <b:RefOrder>42</b:RefOrder>
  </b:Source>
  <b:Source>
    <b:Tag>Mur</b:Tag>
    <b:SourceType>JournalArticle</b:SourceType>
    <b:Guid>{456DD670-88E7-4264-B3DC-BE1DE10171AA}</b:Guid>
    <b:Author>
      <b:Author>
        <b:NameList>
          <b:Person>
            <b:Last>al.</b:Last>
            <b:First>Murtagh</b:First>
            <b:Middle>et</b:Middle>
          </b:Person>
        </b:NameList>
      </b:Author>
    </b:Author>
    <b:Title>Integrating primary and secondary care to enhance chronic disease management: a scoping review</b:Title>
    <b:RefOrder>112</b:RefOrder>
  </b:Source>
  <b:Source>
    <b:Tag>Foo21</b:Tag>
    <b:SourceType>JournalArticle</b:SourceType>
    <b:Guid>{AAE3F167-E3AD-4193-AFFE-BD2D7B94BEDD}</b:Guid>
    <b:Title>Primary Care Networks and Starfield's 4Cs: a case for enhanced chronic disease management</b:Title>
    <b:JournalName>International Journal of Environmental Research and Public Health</b:JournalName>
    <b:Year>2021</b:Year>
    <b:Pages>2926</b:Pages>
    <b:Volume>18</b:Volume>
    <b:Issue>6</b:Issue>
    <b:Author>
      <b:Author>
        <b:NameList>
          <b:Person>
            <b:Last>Foo</b:Last>
            <b:First>C</b:First>
          </b:Person>
          <b:Person>
            <b:Last>Surendran</b:Last>
            <b:First>S</b:First>
          </b:Person>
          <b:Person>
            <b:Last>Jimenez</b:Last>
            <b:First>G</b:First>
          </b:Person>
          <b:Person>
            <b:Last>Ansah</b:Last>
            <b:Middle>P</b:Middle>
            <b:First>J</b:First>
          </b:Person>
          <b:Person>
            <b:Last>Matchar</b:Last>
            <b:Middle>B</b:Middle>
            <b:First>D</b:First>
          </b:Person>
          <b:Person>
            <b:Last>Koh</b:Last>
            <b:Middle>C</b:Middle>
            <b:First>G</b:First>
          </b:Person>
        </b:NameList>
      </b:Author>
    </b:Author>
    <b:DOI>10.3390/ijerph18062926</b:DOI>
    <b:RefOrder>43</b:RefOrder>
  </b:Source>
  <b:Source>
    <b:Tag>Par22</b:Tag>
    <b:SourceType>JournalArticle</b:SourceType>
    <b:Guid>{6EE8526A-2946-41DE-AE5E-3CDCE68E3628}</b:Guid>
    <b:Title>The impact of COVID-19 on chronic disease management in primary care: lessons for Australia from the international experience</b:Title>
    <b:JournalName>Medical Journal of Australia</b:JournalName>
    <b:Year>2022</b:Year>
    <b:Pages>445-448</b:Pages>
    <b:Volume>216</b:Volume>
    <b:Issue>9</b:Issue>
    <b:Author>
      <b:Author>
        <b:NameList>
          <b:Person>
            <b:Last>Parkinson</b:Last>
            <b:First>A</b:First>
          </b:Person>
          <b:Person>
            <b:Last>Matenge</b:Last>
            <b:First>S</b:First>
          </b:Person>
          <b:Person>
            <b:Last>Desborough</b:Last>
            <b:First>J</b:First>
          </b:Person>
          <b:Person>
            <b:Last>Hall Dykgraaf</b:Last>
            <b:First>S</b:First>
          </b:Person>
          <b:Person>
            <b:Last>Ball</b:Last>
            <b:First>L</b:First>
          </b:Person>
          <b:Person>
            <b:Last>Wright</b:Last>
            <b:First>M</b:First>
          </b:Person>
          <b:Person>
            <b:Last>Sturgiss</b:Last>
            <b:Middle>A</b:Middle>
            <b:First>E</b:First>
          </b:Person>
          <b:Person>
            <b:Last>Kidd</b:Last>
            <b:First>M</b:First>
          </b:Person>
        </b:NameList>
      </b:Author>
    </b:Author>
    <b:DOI>10.5694/mja2.51497</b:DOI>
    <b:RefOrder>46</b:RefOrder>
  </b:Source>
  <b:Source>
    <b:Tag>Sta22</b:Tag>
    <b:SourceType>JournalArticle</b:SourceType>
    <b:Guid>{CF937CA9-FD7B-425A-B435-C4345FC49680}</b:Guid>
    <b:Title>The impact of the COVID-19 pandemic on the management of patients with chronic diseases in Primary Health Care</b:Title>
    <b:JournalName>Population Medicine</b:JournalName>
    <b:Year>2022</b:Year>
    <b:Pages>23</b:Pages>
    <b:Volume>4</b:Volume>
    <b:Author>
      <b:Author>
        <b:NameList>
          <b:Person>
            <b:Last>Stachteas</b:Last>
            <b:First>P</b:First>
          </b:Person>
          <b:Person>
            <b:Last>Symvoulakis</b:Last>
            <b:First>M</b:First>
          </b:Person>
          <b:Person>
            <b:Last>Tsapas</b:Last>
            <b:First>A</b:First>
          </b:Person>
          <b:Person>
            <b:Last>Smyrnakis</b:Last>
            <b:First>E</b:First>
          </b:Person>
        </b:NameList>
      </b:Author>
    </b:Author>
    <b:DOI>10.18332/popmed/152606</b:DOI>
    <b:RefOrder>113</b:RefOrder>
  </b:Source>
  <b:Source>
    <b:Tag>Ham22</b:Tag>
    <b:SourceType>JournalArticle</b:SourceType>
    <b:Guid>{FCBDE7EF-AE38-4C90-BD50-234AFAC3BD60}</b:Guid>
    <b:Title>Pregnancy planning health information and service needs of women with chronic non-communicable conditions: a systematic review and narrative synthesis</b:Title>
    <b:JournalName>BMC Pregnancy and Childbirth</b:JournalName>
    <b:Year>2022</b:Year>
    <b:Pages>236</b:Pages>
    <b:Volume>22</b:Volume>
    <b:Issue>1</b:Issue>
    <b:Author>
      <b:Author>
        <b:NameList>
          <b:Person>
            <b:Last>Hammarberg</b:Last>
            <b:First>K</b:First>
          </b:Person>
          <b:Person>
            <b:Last>Stocker</b:Last>
            <b:First>R</b:First>
          </b:Person>
          <b:Person>
            <b:Last>Romero</b:Last>
            <b:First>L</b:First>
          </b:Person>
          <b:Person>
            <b:Last>Fisher</b:Last>
            <b:First>J</b:First>
          </b:Person>
        </b:NameList>
      </b:Author>
    </b:Author>
    <b:DOI>10.1186/s12884-022-04498-1</b:DOI>
    <b:RefOrder>48</b:RefOrder>
  </b:Source>
  <b:Source>
    <b:Tag>AIH</b:Tag>
    <b:SourceType>InternetSite</b:SourceType>
    <b:Guid>{EEC3CB65-6E87-452D-81AB-BC687A8CAD2C}</b:Guid>
    <b:Title>Chronic conditions</b:Title>
    <b:Author>
      <b:Author>
        <b:Corporate>AIHW</b:Corporate>
      </b:Author>
    </b:Author>
    <b:RefOrder>49</b:RefOrder>
  </b:Source>
  <b:Source>
    <b:Tag>Abu22</b:Tag>
    <b:SourceType>JournalArticle</b:SourceType>
    <b:Guid>{014D127C-6145-41CB-8D5C-2EE9F11FD166}</b:Guid>
    <b:Title>Determinants of healthy ageing: a systematic review of contemporary literature</b:Title>
    <b:Year>2022</b:Year>
    <b:JournalName>Aging Clinical and Experimental Research</b:JournalName>
    <b:Pages>1215-1223</b:Pages>
    <b:Volume>34</b:Volume>
    <b:Issue>6</b:Issue>
    <b:Author>
      <b:Author>
        <b:NameList>
          <b:Person>
            <b:Last>Abud</b:Last>
            <b:First>T</b:First>
          </b:Person>
          <b:Person>
            <b:Last>Kounidas</b:Last>
            <b:First>G</b:First>
          </b:Person>
          <b:Person>
            <b:Last>Martin</b:Last>
            <b:Middle>R</b:Middle>
            <b:First>K</b:First>
          </b:Person>
          <b:Person>
            <b:Last>Werth</b:Last>
            <b:First>M</b:First>
          </b:Person>
          <b:Person>
            <b:Last>Cooper</b:Last>
            <b:First>K</b:First>
          </b:Person>
          <b:Person>
            <b:Last>Myint</b:Last>
            <b:Middle>K</b:Middle>
            <b:First>P</b:First>
          </b:Person>
        </b:NameList>
      </b:Author>
    </b:Author>
    <b:DOI>10.1007/s40520-021-02049-w</b:DOI>
    <b:RefOrder>50</b:RefOrder>
  </b:Source>
  <b:Source>
    <b:Tag>Dep211</b:Tag>
    <b:SourceType>Report</b:SourceType>
    <b:Guid>{0AF5B92B-C8B2-47C8-ABF2-AA97F4BC3A82}</b:Guid>
    <b:Title>National framework for advanced care planning documents</b:Title>
    <b:Year>2021</b:Year>
    <b:Author>
      <b:Author>
        <b:Corporate>Department of Health</b:Corporate>
      </b:Author>
    </b:Author>
    <b:Publisher>Department of Health, Australian Government</b:Publisher>
    <b:URL>https://www.health.gov.au/resources/publications/national-framework-for-advance-care-planning-documents</b:URL>
    <b:RefOrder>51</b:RefOrder>
  </b:Source>
  <b:Source>
    <b:Tag>Aus245</b:Tag>
    <b:SourceType>InternetSite</b:SourceType>
    <b:Guid>{C85A33C1-C973-4124-A800-1BF5F5E644C7}</b:Guid>
    <b:Title>'Summary', Palliative care and health service use for people with life-limiting conditions</b:Title>
    <b:Year>2024</b:Year>
    <b:Author>
      <b:Author>
        <b:Corporate>Australian Institute of Health and Welfare</b:Corporate>
      </b:Author>
    </b:Author>
    <b:Month>May</b:Month>
    <b:Day>23</b:Day>
    <b:YearAccessed>2025</b:YearAccessed>
    <b:MonthAccessed>July</b:MonthAccessed>
    <b:DayAccessed>7</b:DayAccessed>
    <b:URL>https://www.aihw.gov.au/reports/palliative-care-services/health-service-use-people-life-limiting-conditions/contents/summary</b:URL>
    <b:InternetSiteTitle>AIHW website</b:InternetSiteTitle>
    <b:RefOrder>114</b:RefOrder>
  </b:Source>
  <b:Source>
    <b:Tag>Wor03</b:Tag>
    <b:SourceType>Report</b:SourceType>
    <b:Guid>{A4EC1833-0745-499A-AFCB-830296415E6D}</b:Guid>
    <b:Title>Adherence to long-term therapies: evidence for action</b:Title>
    <b:Year>2003</b:Year>
    <b:URL>https://iris.who.int/handle/10665/42682</b:URL>
    <b:Author>
      <b:Author>
        <b:Corporate>World Health Organization</b:Corporate>
      </b:Author>
    </b:Author>
    <b:Publisher>WHO</b:Publisher>
    <b:RefOrder>54</b:RefOrder>
  </b:Source>
  <b:Source>
    <b:Tag>Dep221</b:Tag>
    <b:SourceType>Report</b:SourceType>
    <b:Guid>{6F12EC01-93D9-44B0-A6EA-0BC35059018A}</b:Guid>
    <b:Author>
      <b:Author>
        <b:Corporate>Department of Health and Aged Care</b:Corporate>
      </b:Author>
    </b:Author>
    <b:Title>National Medicines Policy</b:Title>
    <b:Year>2022</b:Year>
    <b:Publisher>Department of Health and Aged Care, Australian Government</b:Publisher>
    <b:URL>https://www.health.gov.au/resources/publications/national-medicines-policy</b:URL>
    <b:RefOrder>55</b:RefOrder>
  </b:Source>
  <b:Source>
    <b:Tag>Dep</b:Tag>
    <b:SourceType>Report</b:SourceType>
    <b:Guid>{30CAA57E-85EF-4A2E-9555-BDECADE60D28}</b:Guid>
    <b:Author>
      <b:Author>
        <b:Corporate>Department of Health and Aged Care</b:Corporate>
      </b:Author>
    </b:Author>
    <b:Title>National Medicines Policy</b:Title>
    <b:RefOrder>115</b:RefOrder>
  </b:Source>
  <b:Source>
    <b:Tag>Roy23</b:Tag>
    <b:SourceType>InternetSite</b:SourceType>
    <b:Guid>{FBC4DFCB-D050-4121-9505-94725EFF35CD}</b:Guid>
    <b:Title>'Deprescribing', RACGP aged care clinical guide (Silver Book)</b:Title>
    <b:Year>2023</b:Year>
    <b:Author>
      <b:Author>
        <b:Corporate>Royal Australian College of General Practitioners</b:Corporate>
      </b:Author>
    </b:Author>
    <b:Month>September</b:Month>
    <b:Day>18</b:Day>
    <b:YearAccessed>2025</b:YearAccessed>
    <b:MonthAccessed>July</b:MonthAccessed>
    <b:DayAccessed>7</b:DayAccessed>
    <b:URL>https://www.racgp.org.au/clinical-resources/clinical-guidelines/key-racgp-guidelines/view-all-racgp-guidelines/silver-book/part-a/deprescribing</b:URL>
    <b:InternetSiteTitle>RACGP website</b:InternetSiteTitle>
    <b:RefOrder>56</b:RefOrder>
  </b:Source>
  <b:Source>
    <b:Tag>Aus</b:Tag>
    <b:SourceType>InternetSite</b:SourceType>
    <b:Guid>{334AA34F-A661-4958-A612-8D8B88C01CF5}</b:Guid>
    <b:Author>
      <b:Author>
        <b:Corporate>Australian Institute of Health and Welfare</b:Corporate>
      </b:Author>
    </b:Author>
    <b:Title>'Summary', Multimorbidity in Australia</b:Title>
    <b:InternetSiteTitle>AIHW website</b:InternetSiteTitle>
    <b:Year>2025</b:Year>
    <b:Month>July</b:Month>
    <b:Day>15</b:Day>
    <b:YearAccessed>2025</b:YearAccessed>
    <b:MonthAccessed>July</b:MonthAccessed>
    <b:DayAccessed>15</b:DayAccessed>
    <b:URL>https://www.aihw.gov.au/reports/chronic-disease/multimorbidity-in-australia/contents/summary</b:URL>
    <b:RefOrder>58</b:RefOrder>
  </b:Source>
  <b:Source>
    <b:Tag>Pro21</b:Tag>
    <b:SourceType>Report</b:SourceType>
    <b:Guid>{A0156349-BEB5-4C90-9505-6D36BDC0F071}</b:Guid>
    <b:Title>Innovations in care for chronic health conditions: productivity reform case study</b:Title>
    <b:Year>2021</b:Year>
    <b:URL>https://www.pc.gov.au/research/completed/chronic-care-innovations</b:URL>
    <b:Author>
      <b:Author>
        <b:Corporate>Productivity Commission</b:Corporate>
      </b:Author>
    </b:Author>
    <b:Publisher>Productivity Commission, Australian Government</b:Publisher>
    <b:RefOrder>59</b:RefOrder>
  </b:Source>
  <b:Source>
    <b:Tag>Pel21</b:Tag>
    <b:SourceType>JournalArticle</b:SourceType>
    <b:Guid>{51C221CA-BD21-49E8-9BC2-AF5B6A509B7C}</b:Guid>
    <b:Title>Barriers and facilitators for shared decision making in older patients with multiple chronic conditions: a systematic review</b:Title>
    <b:Year>2021</b:Year>
    <b:JournalName>BMC Geriatrics</b:JournalName>
    <b:Pages>112</b:Pages>
    <b:Volume>21</b:Volume>
    <b:Issue>1</b:Issue>
    <b:Author>
      <b:Author>
        <b:NameList>
          <b:Person>
            <b:Last>Pel-Littel</b:Last>
            <b:Middle>E</b:Middle>
            <b:First>R</b:First>
          </b:Person>
          <b:Person>
            <b:Last>Snaterse</b:Last>
            <b:First>M</b:First>
          </b:Person>
          <b:Person>
            <b:Last>Teppich</b:Last>
            <b:Middle>M</b:Middle>
            <b:First>N</b:First>
          </b:Person>
          <b:Person>
            <b:Last>Buurman</b:Last>
            <b:Middle>M</b:Middle>
            <b:First>B</b:First>
          </b:Person>
          <b:Person>
            <b:Last>van Etten-Jamaludin</b:Last>
            <b:Middle>S</b:Middle>
            <b:First>F</b:First>
          </b:Person>
          <b:Person>
            <b:Last>van Weert</b:Last>
            <b:Middle>CM</b:Middle>
            <b:First>J</b:First>
          </b:Person>
          <b:Person>
            <b:Last>Minkman</b:Last>
            <b:Middle>M</b:Middle>
            <b:First>M</b:First>
          </b:Person>
          <b:Person>
            <b:Last>Scholte Op Reimer</b:Last>
            <b:Middle>JM</b:Middle>
            <b:First>W</b:First>
          </b:Person>
        </b:NameList>
      </b:Author>
    </b:Author>
    <b:DOI>10.1186/s12877-021-02050-y</b:DOI>
    <b:RefOrder>60</b:RefOrder>
  </b:Source>
  <b:Source>
    <b:Tag>Ara22</b:Tag>
    <b:SourceType>JournalArticle</b:SourceType>
    <b:Guid>{C3CE267B-9D9A-4A53-9520-F0D2547E15EB}</b:Guid>
    <b:Title>Advancing multimorbidity management in primary care: a narrative review</b:Title>
    <b:JournalName>Primary Health Care Research &amp; Development</b:JournalName>
    <b:Year>2022</b:Year>
    <b:Pages>e36</b:Pages>
    <b:Volume>23</b:Volume>
    <b:Author>
      <b:Author>
        <b:NameList>
          <b:Person>
            <b:Last>Aramrat</b:Last>
            <b:First>C</b:First>
          </b:Person>
          <b:Person>
            <b:Last>Choksomngam</b:Last>
            <b:First>Y</b:First>
          </b:Person>
          <b:Person>
            <b:Last>Jiraporncharoen</b:Last>
            <b:First>W</b:First>
          </b:Person>
          <b:Person>
            <b:Last>Wiwatkunupakarn</b:Last>
            <b:First>N</b:First>
          </b:Person>
          <b:Person>
            <b:Last>Pinyopornpanish</b:Last>
            <b:First>K</b:First>
          </b:Person>
          <b:Person>
            <b:Last>Mallinson</b:Last>
            <b:Middle>AC</b:Middle>
            <b:First>P</b:First>
          </b:Person>
          <b:Person>
            <b:Last>Kinra</b:Last>
            <b:First>S</b:First>
          </b:Person>
          <b:Person>
            <b:Last>Angkurawaranon</b:Last>
            <b:First>C</b:First>
          </b:Person>
        </b:NameList>
      </b:Author>
    </b:Author>
    <b:URL>10.1017/S1463423622000238</b:URL>
    <b:RefOrder>116</b:RefOrder>
  </b:Source>
  <b:Source>
    <b:Tag>Vic211</b:Tag>
    <b:SourceType>InternetSite</b:SourceType>
    <b:Guid>{A8953E70-56AC-412E-BB4B-EAECABE278AD}</b:Guid>
    <b:Title>Understanding intersectionality</b:Title>
    <b:Year>2021</b:Year>
    <b:Author>
      <b:Author>
        <b:Corporate>Victorian Government</b:Corporate>
      </b:Author>
    </b:Author>
    <b:Month>February</b:Month>
    <b:Day>8</b:Day>
    <b:YearAccessed>2025</b:YearAccessed>
    <b:MonthAccessed>July</b:MonthAccessed>
    <b:DayAccessed>7</b:DayAccessed>
    <b:URL>https://www.vic.gov.au/understanding-intersectionality</b:URL>
    <b:InternetSiteTitle>Vic.gov.au</b:InternetSiteTitle>
    <b:RefOrder>117</b:RefOrder>
  </b:Source>
  <b:Source>
    <b:Tag>Doa23</b:Tag>
    <b:SourceType>JournalArticle</b:SourceType>
    <b:Guid>{1D93520B-CCE6-48B7-A488-6679996C1ADE}</b:Guid>
    <b:Title>Healthy minds live in healthy bodies – effect of physical health on mental health: evidence from Australian longitudinal data</b:Title>
    <b:JournalName>Current Psychology</b:JournalName>
    <b:Year>2023</b:Year>
    <b:Pages>18702-18713</b:Pages>
    <b:Volume>42</b:Volume>
    <b:Author>
      <b:Author>
        <b:NameList>
          <b:Person>
            <b:Last>Doan</b:Last>
            <b:First>T</b:First>
          </b:Person>
          <b:Person>
            <b:Last>Ha</b:Last>
            <b:First>V</b:First>
          </b:Person>
          <b:Person>
            <b:Last>Strazdins</b:Last>
            <b:First>L</b:First>
          </b:Person>
          <b:Person>
            <b:Last>Chateau</b:Last>
            <b:First>D</b:First>
          </b:Person>
        </b:NameList>
      </b:Author>
    </b:Author>
    <b:DOI>10.1007/s12144-022-03053-7</b:DOI>
    <b:RefOrder>26</b:RefOrder>
  </b:Source>
  <b:Source>
    <b:Tag>Vic</b:Tag>
    <b:SourceType>InternetSite</b:SourceType>
    <b:Guid>{CC673DF3-00BF-4833-8B83-B810229A6729}</b:Guid>
    <b:Title>Understanding intersectionality</b:Title>
    <b:Author>
      <b:Author>
        <b:Corporate>Victoria Government</b:Corporate>
      </b:Author>
    </b:Author>
    <b:RefOrder>107</b:RefOrder>
  </b:Source>
  <b:Source>
    <b:Tag>Ber24</b:Tag>
    <b:SourceType>JournalArticle</b:SourceType>
    <b:Guid>{D8B59982-1BB3-429C-8BD3-13514615A885}</b:Guid>
    <b:Title>Barriers and facilitators to health technology adoption by older adults with chronic diseases: an integrative systematic review</b:Title>
    <b:JournalName>BMC Public Health</b:JournalName>
    <b:Year>2024</b:Year>
    <b:Pages>506</b:Pages>
    <b:Volume>24</b:Volume>
    <b:Issue>1</b:Issue>
    <b:Author>
      <b:Author>
        <b:NameList>
          <b:Person>
            <b:Last>Bertolazzi</b:Last>
            <b:First>A</b:First>
          </b:Person>
          <b:Person>
            <b:Last>Quaglia</b:Last>
            <b:First>V</b:First>
          </b:Person>
          <b:Person>
            <b:Last>Bongelli</b:Last>
            <b:First>R</b:First>
          </b:Person>
        </b:NameList>
      </b:Author>
    </b:Author>
    <b:DOI>10.1186/s12889-024-18036-5</b:DOI>
    <b:RefOrder>106</b:RefOrder>
  </b:Source>
  <b:Source>
    <b:Tag>Dep25</b:Tag>
    <b:SourceType>InternetSite</b:SourceType>
    <b:Guid>{6BC12194-9B58-43A2-A349-17EA2FC7C7D6}</b:Guid>
    <b:Title>My QuitBuddy app</b:Title>
    <b:Year>2025</b:Year>
    <b:Author>
      <b:Author>
        <b:Corporate>Department of Health, Disability and Ageing</b:Corporate>
      </b:Author>
    </b:Author>
    <b:Month>June</b:Month>
    <b:Day>4</b:Day>
    <b:YearAccessed>2025</b:YearAccessed>
    <b:MonthAccessed>July</b:MonthAccessed>
    <b:DayAccessed>7</b:DayAccessed>
    <b:URL>https://www.health.gov.au/resources/apps-and-tools/my-quitbuddy-app</b:URL>
    <b:InternetSiteTitle>Department of Health, Disability and Ageing website</b:InternetSiteTitle>
    <b:RefOrder>105</b:RefOrder>
  </b:Source>
  <b:Source>
    <b:Tag>AlD22</b:Tag>
    <b:SourceType>JournalArticle</b:SourceType>
    <b:Guid>{94104D6B-1FBD-4D50-AD20-143C56273CBC}</b:Guid>
    <b:Title>The barriers and facilitators of eHealth-based lifestyle intervention programs for people with a low socioeconomic status: scoping review</b:Title>
    <b:Year>2022</b:Year>
    <b:JournalName>Journal of Medical Internet Research</b:JournalName>
    <b:Pages>e34229</b:Pages>
    <b:Volume>24</b:Volume>
    <b:Issue>8</b:Issue>
    <b:Author>
      <b:Author>
        <b:NameList>
          <b:Person>
            <b:Last>Al-Dhahir</b:Last>
            <b:First>I</b:First>
          </b:Person>
          <b:Person>
            <b:Last>Reijnders</b:Last>
            <b:First>T</b:First>
          </b:Person>
          <b:Person>
            <b:Last>Faber</b:Last>
            <b:Middle>S</b:Middle>
            <b:First>J</b:First>
          </b:Person>
          <b:Person>
            <b:Last>van den Berg-Emons</b:Last>
            <b:Middle>J</b:Middle>
            <b:First>R</b:First>
          </b:Person>
          <b:Person>
            <b:Last>Janssen</b:Last>
            <b:Middle>R</b:Middle>
            <b:First>V</b:First>
          </b:Person>
          <b:Person>
            <b:Last>Kraaijenhagen</b:Last>
            <b:Middle>A</b:Middle>
            <b:First>R</b:First>
          </b:Person>
          <b:Person>
            <b:Last>Visch</b:Last>
            <b:Middle>T</b:Middle>
            <b:First>V</b:First>
          </b:Person>
          <b:Person>
            <b:Last>Chavannes</b:Last>
            <b:Middle>H</b:Middle>
            <b:First>N</b:First>
          </b:Person>
          <b:Person>
            <b:Last>Evers</b:Last>
            <b:Middle>WM</b:Middle>
            <b:First>A</b:First>
          </b:Person>
        </b:NameList>
      </b:Author>
    </b:Author>
    <b:DOI>10.2196/34229</b:DOI>
    <b:RefOrder>104</b:RefOrder>
  </b:Source>
  <b:Source>
    <b:Tag>Aus246</b:Tag>
    <b:SourceType>InternetSite</b:SourceType>
    <b:Guid>{ADB2BE61-F7CA-40B8-BA02-46F65441E701}</b:Guid>
    <b:Title>'Conceptual overview', Aboriginal and Torres Strait Islander people and primary health care: patterns of service use, preferences, and access to services</b:Title>
    <b:Year>2024</b:Year>
    <b:Author>
      <b:Author>
        <b:Corporate>Australian Institute of Health and Welfare</b:Corporate>
      </b:Author>
    </b:Author>
    <b:ProductionCompany>AIHW website</b:ProductionCompany>
    <b:Month>December</b:Month>
    <b:Day>3</b:Day>
    <b:YearAccessed>2025</b:YearAccessed>
    <b:MonthAccessed>July</b:MonthAccessed>
    <b:DayAccessed>7</b:DayAccessed>
    <b:URL>https://www.aihw.gov.au/reports/indigenous-australians/first-nations-people-primary-health-care/contents/factors-affecting-use-primary-health-first-nations/conceptual-overview</b:URL>
    <b:RefOrder>102</b:RefOrder>
  </b:Source>
  <b:Source>
    <b:Tag>For25</b:Tag>
    <b:SourceType>InternetSite</b:SourceType>
    <b:Guid>{5FDCA67F-4386-41B9-8A8D-5A5BF144D47C}</b:Guid>
    <b:Author>
      <b:Author>
        <b:Corporate>Forum of Australian Services for Survivors of Torture and Trauma</b:Corporate>
      </b:Author>
    </b:Author>
    <b:ProductionCompany>FASSTT [website]</b:ProductionCompany>
    <b:Year>2025</b:Year>
    <b:YearAccessed>2025</b:YearAccessed>
    <b:MonthAccessed>July</b:MonthAccessed>
    <b:DayAccessed>7</b:DayAccessed>
    <b:URL>https://www.fasstt.org.au/</b:URL>
    <b:RefOrder>101</b:RefOrder>
  </b:Source>
  <b:Source>
    <b:Tag>Kez12</b:Tag>
    <b:SourceType>Report</b:SourceType>
    <b:Guid>{ADC4113D-6EFD-49C1-98DA-1B787317890A}</b:Guid>
    <b:Title>Practice Guidelines for Treatment of Complex Trauma and Trauma Informed Care and Service Delivery</b:Title>
    <b:Year>2012</b:Year>
    <b:URL>https://professionals.blueknot.org.au/resources/publications/practice-guidelines/</b:URL>
    <b:Publisher>Blue Knot Foundation</b:Publisher>
    <b:Author>
      <b:Author>
        <b:NameList>
          <b:Person>
            <b:Last>Kezelman</b:Last>
            <b:First>C</b:First>
          </b:Person>
          <b:Person>
            <b:Last>Stavropoulos</b:Last>
            <b:First>P</b:First>
          </b:Person>
        </b:NameList>
      </b:Author>
    </b:Author>
    <b:RefOrder>100</b:RefOrder>
  </b:Source>
  <b:Source>
    <b:Tag>Hea25</b:Tag>
    <b:SourceType>InternetSite</b:SourceType>
    <b:Guid>{820C205E-6A52-42A7-A43B-A5D2DA19CE51}</b:Guid>
    <b:Title>Healing Foundation [website]</b:Title>
    <b:Year>2025</b:Year>
    <b:Author>
      <b:Author>
        <b:Corporate>Healing Foundation</b:Corporate>
      </b:Author>
    </b:Author>
    <b:YearAccessed>2025</b:YearAccessed>
    <b:MonthAccessed>July</b:MonthAccessed>
    <b:DayAccessed>7</b:DayAccessed>
    <b:URL>https://healingfoundation.org.au/</b:URL>
    <b:RefOrder>99</b:RefOrder>
  </b:Source>
  <b:Source>
    <b:Tag>Dep24</b:Tag>
    <b:SourceType>Report</b:SourceType>
    <b:Guid>{D6657AD8-2418-45E9-A117-ADE391084429}</b:Guid>
    <b:Author>
      <b:Author>
        <b:Corporate>Department of Home Affairs</b:Corporate>
      </b:Author>
    </b:Author>
    <b:Title>Towards fairness: a multicultural Australia for all</b:Title>
    <b:Year>2024</b:Year>
    <b:URL>https://www.homeaffairs.gov.au/about-us/our-portfolios/multicultural-framework-review/australian-government-response</b:URL>
    <b:Publisher>Department of Home Affairs, Australian Government</b:Publisher>
    <b:RefOrder>98</b:RefOrder>
  </b:Source>
  <b:Source>
    <b:Tag>Kha22</b:Tag>
    <b:SourceType>JournalArticle</b:SourceType>
    <b:Guid>{5A13AD6F-BEE8-40ED-B334-AA5B92588E64}</b:Guid>
    <b:Title>Access to health services among culturally and linguistically diverse populations in the Australian universal health care system: issues and challenges</b:Title>
    <b:Year>2022</b:Year>
    <b:JournalName>BMC public health</b:JournalName>
    <b:Pages>880</b:Pages>
    <b:Volume>22</b:Volume>
    <b:Issue>1</b:Issue>
    <b:Author>
      <b:Author>
        <b:NameList>
          <b:Person>
            <b:Last>Khatri</b:Last>
            <b:Middle>B</b:Middle>
            <b:First>R</b:First>
          </b:Person>
          <b:Person>
            <b:Last>Assefa</b:Last>
            <b:First>Y</b:First>
          </b:Person>
        </b:NameList>
      </b:Author>
    </b:Author>
    <b:DOI>10.1186/s12889-022-13256-z</b:DOI>
    <b:RefOrder>97</b:RefOrder>
  </b:Source>
  <b:Source>
    <b:Tag>Jey23</b:Tag>
    <b:SourceType>JournalArticle</b:SourceType>
    <b:Guid>{37B79988-A71D-43E4-85C7-28E3A72A1260}</b:Guid>
    <b:Title>"We're on the ground, we know what needs to be done": exploring the role of Aboriginal Health Workers in primary health care</b:Title>
    <b:JournalName>Front Public Health</b:JournalName>
    <b:Year>2023</b:Year>
    <b:Pages>1010301</b:Pages>
    <b:Volume>10</b:Volume>
    <b:Author>
      <b:Author>
        <b:NameList>
          <b:Person>
            <b:Last>Jeyakumar</b:Last>
            <b:First>R</b:First>
          </b:Person>
          <b:Person>
            <b:Last>Patel</b:Last>
            <b:First>B</b:First>
          </b:Person>
          <b:Person>
            <b:Last>Coombes</b:Last>
            <b:First>J</b:First>
          </b:Person>
          <b:Person>
            <b:Last>Madden</b:Last>
            <b:First>T</b:First>
          </b:Person>
          <b:Person>
            <b:Last>Joshi</b:Last>
            <b:First>R</b:First>
          </b:Person>
        </b:NameList>
      </b:Author>
    </b:Author>
    <b:DOI>10.3389/fpubh.2022.1010301</b:DOI>
    <b:RefOrder>96</b:RefOrder>
  </b:Source>
  <b:Source>
    <b:Tag>Pea20</b:Tag>
    <b:SourceType>JournalArticle</b:SourceType>
    <b:Guid>{27D111E3-7D25-4DDF-B3CD-07334281D885}</b:Guid>
    <b:Title>Aboriginal community controlled health organisations address health equity through action on the social determinants of health of Aboriginal and Torres Strait Islander peoples in Australia</b:Title>
    <b:JournalName>BMC Public Health</b:JournalName>
    <b:Year>2020</b:Year>
    <b:Pages>1859</b:Pages>
    <b:Volume>20</b:Volume>
    <b:Author>
      <b:Author>
        <b:NameList>
          <b:Person>
            <b:Last>Pearson</b:Last>
            <b:First>O</b:First>
          </b:Person>
          <b:Person>
            <b:Last>Schwartzkopff</b:Last>
            <b:First>K</b:First>
          </b:Person>
          <b:Person>
            <b:Last>Dawson</b:Last>
            <b:First>A</b:First>
          </b:Person>
          <b:Person>
            <b:Last>Hagger</b:Last>
            <b:First>C</b:First>
          </b:Person>
          <b:Person>
            <b:Last>Karagi</b:Last>
            <b:First>A</b:First>
          </b:Person>
          <b:Person>
            <b:Last>Davy</b:Last>
            <b:First>C</b:First>
          </b:Person>
          <b:Person>
            <b:Last>Brown</b:Last>
            <b:First>A</b:First>
          </b:Person>
          <b:Person>
            <b:Last>Braunack-Mayer</b:Last>
            <b:First>A</b:First>
          </b:Person>
        </b:NameList>
      </b:Author>
    </b:Author>
    <b:DOI>10.1186/s12889-020-09943-4</b:DOI>
    <b:RefOrder>95</b:RefOrder>
  </b:Source>
  <b:Source>
    <b:Tag>Dep22</b:Tag>
    <b:SourceType>InternetSite</b:SourceType>
    <b:Guid>{F1C956E0-9574-4A76-B824-CC1C13115FE8}</b:Guid>
    <b:Title>What we're doing about rare diseases</b:Title>
    <b:Year>2022</b:Year>
    <b:Author>
      <b:Author>
        <b:Corporate>Department of Health, Disability and Ageing</b:Corporate>
      </b:Author>
    </b:Author>
    <b:ProductionCompany>Department of Health, Disability and Ageing</b:ProductionCompany>
    <b:YearAccessed>2025</b:YearAccessed>
    <b:MonthAccessed>July</b:MonthAccessed>
    <b:DayAccessed>7</b:DayAccessed>
    <b:URL>https://www.health.gov.au/topics/chronic-conditions/what-were-doing-about-chronic-conditions/what-were-doing-about-rare-diseases</b:URL>
    <b:RefOrder>3</b:RefOrder>
  </b:Source>
  <b:Source>
    <b:Tag>Aus16</b:Tag>
    <b:SourceType>Report</b:SourceType>
    <b:Guid>{B3AE244C-C67A-419F-9AC5-A25370F0C9B8}</b:Guid>
    <b:Author>
      <b:Author>
        <b:Corporate>Australian Institute of Health and Welfare</b:Corporate>
      </b:Author>
    </b:Author>
    <b:Title>Australia's health 2016</b:Title>
    <b:Year>2016</b:Year>
    <b:Publisher>AIHW, Australian Government</b:Publisher>
    <b:URL>https://www.aihw.gov.au/reports/australias-health/australias-health-2016/contents/summary</b:URL>
    <b:RefOrder>4</b:RefOrder>
  </b:Source>
  <b:Source>
    <b:Tag>Aus24</b:Tag>
    <b:SourceType>InternetSite</b:SourceType>
    <b:Guid>{00419155-FF23-426C-A852-FB9AFE974482}</b:Guid>
    <b:Title>The ongoing challenge of chronic conditions in Australia</b:Title>
    <b:Year>2024</b:Year>
    <b:Author>
      <b:Author>
        <b:Corporate>Australian Institute of Health and Welfare</b:Corporate>
      </b:Author>
    </b:Author>
    <b:ProductionCompany>AIHW website</b:ProductionCompany>
    <b:YearAccessed>2025</b:YearAccessed>
    <b:MonthAccessed>July</b:MonthAccessed>
    <b:DayAccessed>8</b:DayAccessed>
    <b:URL>https://www.aihw.gov.au/reports/australias-health/chronic-conditions-challenge</b:URL>
    <b:RefOrder>5</b:RefOrder>
  </b:Source>
  <b:Source>
    <b:Tag>AIH1</b:Tag>
    <b:SourceType>InternetSite</b:SourceType>
    <b:Guid>{E989C4BB-C1E3-4896-A8FE-FF418A69BA47}</b:Guid>
    <b:Title>The ongoing challenge of chronic conditions in Australia</b:Title>
    <b:Author>
      <b:Author>
        <b:Corporate>AIHW</b:Corporate>
      </b:Author>
    </b:Author>
    <b:RefOrder>6</b:RefOrder>
  </b:Source>
  <b:Source>
    <b:Tag>Aus241</b:Tag>
    <b:SourceType>InternetSite</b:SourceType>
    <b:Guid>{529F98AF-55D0-4A72-A85D-187263466A3F}</b:Guid>
    <b:Author>
      <b:Author>
        <b:Corporate>Australian Institute of Health and Welfare</b:Corporate>
      </b:Author>
    </b:Author>
    <b:Title>Chronic conditions</b:Title>
    <b:ProductionCompany>AIHW website</b:ProductionCompany>
    <b:Year>2024</b:Year>
    <b:YearAccessed>2025</b:YearAccessed>
    <b:MonthAccessed>July</b:MonthAccessed>
    <b:DayAccessed>8</b:DayAccessed>
    <b:URL>https://www.aihw.gov.au/reports/australias-health/chronic-conditions</b:URL>
    <b:RefOrder>7</b:RefOrder>
  </b:Source>
  <b:Source>
    <b:Tag>Aus20</b:Tag>
    <b:SourceType>Report</b:SourceType>
    <b:Guid>{BC023615-137B-49CB-9321-0007D6494894}</b:Guid>
    <b:Author>
      <b:Author>
        <b:Corporate>Australian Human Rights Commission</b:Corporate>
      </b:Author>
    </b:Author>
    <b:Title>Wiyi Yani U Thangani (Women’s Voices): securing our rights, securing our future report</b:Title>
    <b:Year>2020</b:Year>
    <b:Publisher>Australian Human Rights Commission</b:Publisher>
    <b:URL>https://humanrights.gov.au/our-work/aboriginal-and-torres-strait-islander-social-justice/publications/wiyi-yani-u-thangani</b:URL>
    <b:RefOrder>8</b:RefOrder>
  </b:Source>
  <b:Source>
    <b:Tag>AIH2</b:Tag>
    <b:SourceType>InternetSite</b:SourceType>
    <b:Guid>{51AE9A3D-1ACC-4A8C-9E2D-78C286FBDB39}</b:Guid>
    <b:Author>
      <b:Author>
        <b:Corporate>AIHW</b:Corporate>
      </b:Author>
    </b:Author>
    <b:Title>Chronic conditions</b:Title>
    <b:RefOrder>9</b:RefOrder>
  </b:Source>
  <b:Source>
    <b:Tag>Vic21</b:Tag>
    <b:SourceType>InternetSite</b:SourceType>
    <b:Guid>{76C1DAFC-A2ED-461E-B31A-E911E212FD30}</b:Guid>
    <b:Title>Understanding intersectionality</b:Title>
    <b:Year>2021</b:Year>
    <b:Author>
      <b:Author>
        <b:Corporate>Victorian Government</b:Corporate>
      </b:Author>
    </b:Author>
    <b:ProductionCompany>Vic.gov.au</b:ProductionCompany>
    <b:YearAccessed>2025</b:YearAccessed>
    <b:MonthAccessed>July</b:MonthAccessed>
    <b:DayAccessed>8</b:DayAccessed>
    <b:URL>https://www.vic.gov.au/understanding-intersectionality</b:URL>
    <b:RefOrder>10</b:RefOrder>
  </b:Source>
  <b:Source>
    <b:Tag>Bow12</b:Tag>
    <b:SourceType>JournalArticle</b:SourceType>
    <b:Guid>{E04ACE87-0273-4A6E-B845-1CA802D6D60C}</b:Guid>
    <b:Title>The problem with the phrase women and minorities: intersectionality–an important theoretical framework for public health</b:Title>
    <b:JournalName>American Journal of Public Health</b:JournalName>
    <b:Year>2012</b:Year>
    <b:Pages>1267-1273</b:Pages>
    <b:Volume>102</b:Volume>
    <b:Issue>7</b:Issue>
    <b:Author>
      <b:Author>
        <b:NameList>
          <b:Person>
            <b:Last>Bowleg</b:Last>
            <b:First>L</b:First>
          </b:Person>
        </b:NameList>
      </b:Author>
    </b:Author>
    <b:DOI>10.2105/AJPH.2012.300750</b:DOI>
    <b:RefOrder>118</b:RefOrder>
  </b:Source>
  <b:Source>
    <b:Tag>Aus242</b:Tag>
    <b:SourceType>InternetSite</b:SourceType>
    <b:Guid>{13B056FA-05E5-45E4-9148-0580FF797400}</b:Guid>
    <b:Title>What are determinants of health?</b:Title>
    <b:Year>2024</b:Year>
    <b:Author>
      <b:Author>
        <b:Corporate>Australian Institute of Health and Welfare</b:Corporate>
      </b:Author>
    </b:Author>
    <b:ProductionCompany>AIHW website</b:ProductionCompany>
    <b:YearAccessed>2025</b:YearAccessed>
    <b:MonthAccessed>July</b:MonthAccessed>
    <b:DayAccessed>8</b:DayAccessed>
    <b:URL>https://www.aihw.gov.au/reports/australias-health/what-are-determinants-of-health</b:URL>
    <b:RefOrder>11</b:RefOrder>
  </b:Source>
  <b:Source>
    <b:Tag>AIH3</b:Tag>
    <b:SourceType>InternetSite</b:SourceType>
    <b:Guid>{0DFD1DC5-E264-446A-989A-18AB702CC489}</b:Guid>
    <b:Author>
      <b:Author>
        <b:Corporate>AIHW</b:Corporate>
      </b:Author>
    </b:Author>
    <b:Title>Chronic conditions</b:Title>
    <b:RefOrder>12</b:RefOrder>
  </b:Source>
  <b:Source>
    <b:Tag>AIH4</b:Tag>
    <b:SourceType>InternetSite</b:SourceType>
    <b:Guid>{21642CE7-4DF9-4D3E-B4A6-0C432B86DF7C}</b:Guid>
    <b:Author>
      <b:Author>
        <b:Corporate>AIHW</b:Corporate>
      </b:Author>
    </b:Author>
    <b:Title>Chronic conditions</b:Title>
    <b:RefOrder>13</b:RefOrder>
  </b:Source>
  <b:Source>
    <b:Tag>Aus243</b:Tag>
    <b:SourceType>InternetSite</b:SourceType>
    <b:Guid>{AE327636-11B4-43F9-88BB-0145444BF565}</b:Guid>
    <b:Title>'Comparison with 2021-22 and historical data', Health system spending on disease and injury in Australia 2022-23</b:Title>
    <b:ProductionCompany>AIHW website</b:ProductionCompany>
    <b:Year>2024</b:Year>
    <b:YearAccessed>2025</b:YearAccessed>
    <b:MonthAccessed>July</b:MonthAccessed>
    <b:DayAccessed>8</b:DayAccessed>
    <b:Author>
      <b:Author>
        <b:Corporate>Australian Institute of Health and Welfare</b:Corporate>
      </b:Author>
    </b:Author>
    <b:URL>https://www.aihw.gov.au/reports/health-welfare-expenditure/health-system-spending-on-disease-and-injury-aus/contents/comparison-with-2021-22-and-historical-data</b:URL>
    <b:RefOrder>14</b:RefOrder>
  </b:Source>
  <b:Source>
    <b:Tag>Wor13</b:Tag>
    <b:SourceType>Report</b:SourceType>
    <b:Guid>{B061D046-56DF-4D01-BCE6-B948319E60C4}</b:Guid>
    <b:Title>Global action plan for the prevention and control of noncommunicable diseases 2013-2020</b:Title>
    <b:Year>2013</b:Year>
    <b:Author>
      <b:Author>
        <b:Corporate>World Health Organization</b:Corporate>
      </b:Author>
    </b:Author>
    <b:Publisher>WHO</b:Publisher>
    <b:URL>https://www.who.int/publications/i/item/9789241506236</b:URL>
    <b:RefOrder>15</b:RefOrder>
  </b:Source>
  <b:Source>
    <b:Tag>Wor86</b:Tag>
    <b:SourceType>InternetSite</b:SourceType>
    <b:Guid>{509276C0-A328-4970-98E6-86930513E974}</b:Guid>
    <b:Title>The 1st International Conference on Health Promotion, Ottawa, 1986</b:Title>
    <b:Year>1986</b:Year>
    <b:Author>
      <b:Author>
        <b:Corporate>World Health Organization</b:Corporate>
      </b:Author>
    </b:Author>
    <b:ProductionCompany>WHO website</b:ProductionCompany>
    <b:YearAccessed>2025</b:YearAccessed>
    <b:MonthAccessed>July</b:MonthAccessed>
    <b:DayAccessed>8</b:DayAccessed>
    <b:URL>https://www.who.int/teams/health-promotion/enhanced-wellbeing/first-global-conference</b:URL>
    <b:RefOrder>16</b:RefOrder>
  </b:Source>
  <b:Source>
    <b:Tag>Dep21</b:Tag>
    <b:SourceType>Report</b:SourceType>
    <b:Guid>{03D8EFDA-8E0D-47D9-9106-02ED107C34B1}</b:Guid>
    <b:Title>National Preventive Health Strategy 2021-2030</b:Title>
    <b:Year>2021</b:Year>
    <b:Author>
      <b:Author>
        <b:Corporate>Department of Health</b:Corporate>
      </b:Author>
    </b:Author>
    <b:Publisher>Department of Health, Australian Government</b:Publisher>
    <b:URL>https://www.health.gov.au/resources/publications/national-preventive-health-strategy-2021-2030</b:URL>
    <b:RefOrder>17</b:RefOrder>
  </b:Source>
  <b:Source>
    <b:Tag>Aus244</b:Tag>
    <b:SourceType>InternetSite</b:SourceType>
    <b:Guid>{69223ABC-747C-46F8-BEE1-09C3D320D640}</b:Guid>
    <b:Title>'Key findings', Australian Burden of Disease Study 2024</b:Title>
    <b:Year>2024</b:Year>
    <b:Author>
      <b:Author>
        <b:Corporate>Australian Institute of Health and Welfare</b:Corporate>
      </b:Author>
    </b:Author>
    <b:YearAccessed>2025</b:YearAccessed>
    <b:MonthAccessed>July</b:MonthAccessed>
    <b:DayAccessed>8</b:DayAccessed>
    <b:InternetSiteTitle>AIHW website</b:InternetSiteTitle>
    <b:URL>https://www.aihw.gov.au/reports/burden-of-disease/australian-burden-of-disease-study-2024/contents/key-findings</b:URL>
    <b:RefOrder>18</b:RefOrder>
  </b:Source>
  <b:Source>
    <b:Tag>Aus22</b:Tag>
    <b:SourceType>Report</b:SourceType>
    <b:Guid>{2EBF2C75-8639-41BA-AA55-F2483380C762}</b:Guid>
    <b:Author>
      <b:Author>
        <b:Corporate>Australian Institute of Health and Welfare</b:Corporate>
      </b:Author>
    </b:Author>
    <b:Title>Australian Burden of Disease Study: impact and causes of illness and death in Aboriginal and Torres Strait Islander people 2018</b:Title>
    <b:Year>2022</b:Year>
    <b:Publisher>AIHW, Australian Government</b:Publisher>
    <b:URL>https://www.aihw.gov.au/reports/burden-of-disease/illness-death-indigenous-2018/summary</b:URL>
    <b:RefOrder>19</b:RefOrder>
  </b:Source>
  <b:Source>
    <b:Tag>Aus14</b:Tag>
    <b:SourceType>Report</b:SourceType>
    <b:Guid>{B42D1D26-EA24-47C5-A607-F279CC36F532}</b:Guid>
    <b:Author>
      <b:Author>
        <b:Corporate>Australian Commission on Safety and Quality in Health Care</b:Corporate>
      </b:Author>
    </b:Author>
    <b:Title>National Statement on Health Literacy: taking action to improve safety and quality</b:Title>
    <b:Year>2014</b:Year>
    <b:Publisher>ACSQHC, Australian Government</b:Publisher>
    <b:URL>https://www.safetyandquality.gov.au/publications-and-resources/resource-library/national-statement-health-literacy-taking-action-improve-safety-and-quality</b:URL>
    <b:RefOrder>20</b:RefOrder>
  </b:Source>
  <b:Source>
    <b:Tag>Goo25</b:Tag>
    <b:SourceType>InternetSite</b:SourceType>
    <b:Guid>{92EFFFB8-A4ED-4641-A48A-4A6C3E9685B6}</b:Guid>
    <b:Title>We're closing the digital divide</b:Title>
    <b:Author>
      <b:Author>
        <b:Corporate>Good Things Australia</b:Corporate>
      </b:Author>
    </b:Author>
    <b:YearAccessed>2025</b:YearAccessed>
    <b:MonthAccessed>July</b:MonthAccessed>
    <b:DayAccessed>8</b:DayAccessed>
    <b:InternetSiteTitle>Good Things Australia website</b:InternetSiteTitle>
    <b:URL>https://goodthingsaustralia.org/</b:URL>
    <b:RefOrder>21</b:RefOrder>
  </b:Source>
  <b:Source>
    <b:Tag>Aus25</b:Tag>
    <b:SourceType>InternetSite</b:SourceType>
    <b:Guid>{01BF632C-4249-4DBD-8572-766A675AE4EA}</b:Guid>
    <b:Author>
      <b:Author>
        <b:Corporate>Australian Commission on Safety and Quality in Health Care</b:Corporate>
      </b:Author>
    </b:Author>
    <b:Title>Shared decision making</b:Title>
    <b:YearAccessed>2025</b:YearAccessed>
    <b:MonthAccessed>July</b:MonthAccessed>
    <b:DayAccessed>8</b:DayAccessed>
    <b:InternetSiteTitle>ACSQHC website</b:InternetSiteTitle>
    <b:URL>https://www.safetyandquality.gov.au/our-work/partnering-consumers/shared-decision-making</b:URL>
    <b:RefOrder>22</b:RefOrder>
  </b:Source>
  <b:Source>
    <b:Tag>Nes13</b:Tag>
    <b:SourceType>Report</b:SourceType>
    <b:Guid>{C8D19764-7F02-443A-94C3-97BAE149BB9B}</b:Guid>
    <b:Title>The business case for People Powered Health</b:Title>
    <b:Year>2013</b:Year>
    <b:Author>
      <b:Author>
        <b:Corporate>Nesta, the Innovation Unit and PPL</b:Corporate>
      </b:Author>
    </b:Author>
    <b:Publisher>Nesta</b:Publisher>
    <b:City>London</b:City>
    <b:URL>https://www.nesta.org.uk/report/the-business-case-for-people-powered-health/</b:URL>
    <b:RefOrder>23</b:RefOrder>
  </b:Source>
  <b:Source>
    <b:Tag>Bat10</b:Tag>
    <b:SourceType>JournalArticle</b:SourceType>
    <b:Guid>{6994DA40-E14D-4A05-81B5-B7D56F3E7EF1}</b:Guid>
    <b:Title>Twelve evidence-based principles for implementing self-management support in primary care</b:Title>
    <b:Year>2010</b:Year>
    <b:JournalName>The Joint Commission Journal on Quality and Patient Safety</b:JournalName>
    <b:Pages>36</b:Pages>
    <b:Volume>12</b:Volume>
    <b:Issue>561-570</b:Issue>
    <b:Author>
      <b:Author>
        <b:NameList>
          <b:Person>
            <b:Last>Battersby</b:Last>
            <b:First>M</b:First>
          </b:Person>
          <b:Person>
            <b:Last>Von Korff</b:Last>
            <b:First>M</b:First>
          </b:Person>
          <b:Person>
            <b:Last>Schaefer</b:Last>
            <b:First>J</b:First>
          </b:Person>
          <b:Person>
            <b:Last>Davis</b:Last>
            <b:First>C</b:First>
          </b:Person>
          <b:Person>
            <b:Last>Ludman</b:Last>
            <b:First>E</b:First>
          </b:Person>
          <b:Person>
            <b:Last>Greene</b:Last>
            <b:Middle>M</b:Middle>
            <b:First>S</b:First>
          </b:Person>
          <b:Person>
            <b:Last>Parkerton</b:Last>
            <b:First>M</b:First>
          </b:Person>
          <b:Person>
            <b:Last>Wagner</b:Last>
            <b:First>E</b:First>
          </b:Person>
        </b:NameList>
      </b:Author>
    </b:Author>
    <b:DOI>10.1016/s1553-7250(10)36084-3</b:DOI>
    <b:RefOrder>119</b:RefOrder>
  </b:Source>
  <b:Source>
    <b:Tag>Hut22</b:Tag>
    <b:SourceType>JournalArticle</b:SourceType>
    <b:Guid>{6331784C-4F91-477A-A09A-11392123FFFD}</b:Guid>
    <b:Title>Leisure and leisure education as resources for rehabilitation supports for chronic condition self-management in rural and remote communities</b:Title>
    <b:JournalName>Frontiers in Rehabilitation Sciences</b:JournalName>
    <b:Year>2022</b:Year>
    <b:Pages>889209</b:Pages>
    <b:Volume>3</b:Volume>
    <b:Author>
      <b:Author>
        <b:NameList>
          <b:Person>
            <b:Last>Hutchinson</b:Last>
            <b:First>S</b:First>
          </b:Person>
          <b:Person>
            <b:Last>Lauckner</b:Last>
            <b:First>H</b:First>
          </b:Person>
          <b:Person>
            <b:Last>Stilwell</b:Last>
            <b:First>C</b:First>
          </b:Person>
          <b:Person>
            <b:Last>Meisner</b:Last>
            <b:Middle>A</b:Middle>
            <b:First>B</b:First>
          </b:Person>
        </b:NameList>
      </b:Author>
    </b:Author>
    <b:DOI>10.3389/fresc.2022.889209</b:DOI>
    <b:RefOrder>24</b:RefOrder>
  </b:Source>
  <b:Source>
    <b:Tag>Aus23</b:Tag>
    <b:SourceType>InternetSite</b:SourceType>
    <b:Guid>{E3BF9B79-B915-4415-9045-AC1577C7EC70}</b:Guid>
    <b:Title>National Study of Mental Health and Wellbeing 2020-2022</b:Title>
    <b:Year>2023</b:Year>
    <b:Author>
      <b:Author>
        <b:Corporate>Australian Bureau of Statistics</b:Corporate>
      </b:Author>
    </b:Author>
    <b:YearAccessed>2025</b:YearAccessed>
    <b:MonthAccessed>July</b:MonthAccessed>
    <b:DayAccessed>8</b:DayAccessed>
    <b:InternetSiteTitle>ABS website</b:InternetSiteTitle>
    <b:URL>https://www.abs.gov.au/statistics/health/mental-health/national-study-mental-health-and-wellbeing/2020-2022</b:URL>
    <b:RefOrder>25</b:RefOrder>
  </b:Source>
  <b:Source>
    <b:Tag>WHO</b:Tag>
    <b:SourceType>Report</b:SourceType>
    <b:Guid>{60502DA1-9D83-47FB-BAAD-3CBBE83B8347}</b:Guid>
    <b:Title>Global action plan for the prevention and control of noncommunicable diseases 2013-2020</b:Title>
    <b:Author>
      <b:Author>
        <b:Corporate>WHO</b:Corporate>
      </b:Author>
    </b:Author>
    <b:RefOrder>27</b:RefOrder>
  </b:Source>
  <b:Source>
    <b:Tag>Sko22</b:Tag>
    <b:SourceType>JournalArticle</b:SourceType>
    <b:Guid>{828FD4C0-0EDE-48A5-B8A8-74E462C15461}</b:Guid>
    <b:Title>Multimorbidity</b:Title>
    <b:Year>2022</b:Year>
    <b:JournalName>Nature Reviews Disease Primers</b:JournalName>
    <b:Pages>48</b:Pages>
    <b:Volume>8</b:Volume>
    <b:Author>
      <b:Author>
        <b:NameList>
          <b:Person>
            <b:Last>Skou</b:Last>
            <b:Middle>T</b:Middle>
            <b:First>S</b:First>
          </b:Person>
          <b:Person>
            <b:Last>Mair</b:Last>
            <b:Middle>S</b:Middle>
            <b:First>F</b:First>
          </b:Person>
          <b:Person>
            <b:Last>Fortin</b:Last>
            <b:First>M</b:First>
          </b:Person>
          <b:Person>
            <b:Last>Guthrie</b:Last>
            <b:First>B</b:First>
          </b:Person>
          <b:Person>
            <b:Last>Nunes</b:Last>
            <b:Middle>P</b:Middle>
            <b:First>B</b:First>
          </b:Person>
          <b:Person>
            <b:Last>Miranda</b:Last>
            <b:Middle>J</b:Middle>
            <b:First>J</b:First>
          </b:Person>
          <b:Person>
            <b:Last>Boyd</b:Last>
            <b:Middle>M</b:Middle>
            <b:First>C</b:First>
          </b:Person>
          <b:Person>
            <b:Last>Pati</b:Last>
            <b:First>S</b:First>
          </b:Person>
          <b:Person>
            <b:Last>Mtenga</b:Last>
            <b:First>S</b:First>
          </b:Person>
          <b:Person>
            <b:Last>Smith</b:Last>
            <b:Middle>M</b:Middle>
            <b:First>S</b:First>
          </b:Person>
        </b:NameList>
      </b:Author>
    </b:Author>
    <b:Issue>1</b:Issue>
    <b:DOI>10.1038/s41572-022-00376-4</b:DOI>
    <b:RefOrder>28</b:RefOrder>
  </b:Source>
  <b:Source>
    <b:Tag>NgR20</b:Tag>
    <b:SourceType>JournalArticle</b:SourceType>
    <b:Guid>{E0BA285A-48ED-400F-8017-AFA803D54414}</b:Guid>
    <b:Title>Development and validation of the Chronic Disease Population Risk Tool (CDPoRT) to predict incidence of adult chronic disease</b:Title>
    <b:JournalName>JAMA Network Open</b:JournalName>
    <b:Year>2020</b:Year>
    <b:Pages>e204669</b:Pages>
    <b:Volume>3</b:Volume>
    <b:Issue>6</b:Issue>
    <b:Author>
      <b:Author>
        <b:NameList>
          <b:Person>
            <b:Last>Ng</b:Last>
            <b:First>R</b:First>
          </b:Person>
          <b:Person>
            <b:Last>Sutradhar</b:Last>
            <b:First>R</b:First>
          </b:Person>
          <b:Person>
            <b:Last>Kornas</b:Last>
            <b:First>K</b:First>
          </b:Person>
          <b:Person>
            <b:Last>Wodchis</b:Last>
            <b:Middle>P</b:Middle>
            <b:First>W</b:First>
          </b:Person>
          <b:Person>
            <b:Last>Sarkar</b:Last>
            <b:First>J</b:First>
          </b:Person>
          <b:Person>
            <b:Last>Fransoo</b:Last>
            <b:First>R</b:First>
          </b:Person>
          <b:Person>
            <b:Last>Rosella</b:Last>
            <b:Middle>C</b:Middle>
            <b:First>L</b:First>
          </b:Person>
        </b:NameList>
      </b:Author>
    </b:Author>
    <b:DOI>10.1186/s41512-018-0042-5</b:DOI>
    <b:RefOrder>30</b:RefOrder>
  </b:Source>
  <b:Source>
    <b:Tag>Tho23</b:Tag>
    <b:SourceType>JournalArticle</b:SourceType>
    <b:Guid>{CEFB60A5-8DEC-4431-B0CC-6E5FA15C283E}</b:Guid>
    <b:Title>Transforming global approaches to chronic disease prevention and management across the lifespan: integrating genomics, behavior change, and digital health solutions</b:Title>
    <b:JournalName>Frontiers in Public Health</b:JournalName>
    <b:Year>2023</b:Year>
    <b:Pages>1248254</b:Pages>
    <b:Volume>11</b:Volume>
    <b:Author>
      <b:Author>
        <b:NameList>
          <b:Person>
            <b:Last>Thomas</b:Last>
            <b:Middle>A</b:Middle>
            <b:First>S</b:First>
          </b:Person>
          <b:Person>
            <b:Last>Browning</b:Last>
            <b:Middle>J</b:Middle>
            <b:First>C</b:First>
          </b:Person>
          <b:Person>
            <b:Last>Charchar</b:Last>
            <b:Middle>J</b:Middle>
            <b:First>F</b:First>
          </b:Person>
          <b:Person>
            <b:Last>Klein</b:Last>
            <b:First>B</b:First>
          </b:Person>
          <b:Person>
            <b:Last>Ory</b:Last>
            <b:Middle>G</b:Middle>
            <b:First>M</b:First>
          </b:Person>
          <b:Person>
            <b:Last>Bowden-Jones</b:Last>
            <b:First>H</b:First>
          </b:Person>
          <b:Person>
            <b:Last>Chamberlain</b:Last>
            <b:Middle>R</b:Middle>
            <b:First>S</b:First>
          </b:Person>
        </b:NameList>
      </b:Author>
    </b:Author>
    <b:DOI>10.3389/fpubh.2023.1248254</b:DOI>
    <b:RefOrder>31</b:RefOrder>
  </b:Source>
  <b:Source>
    <b:Tag>Pro24</b:Tag>
    <b:SourceType>Report</b:SourceType>
    <b:Guid>{161EC622-70BF-4DDC-9399-D316EAF26ACD}</b:Guid>
    <b:Title>Leveraging digital technology in healthcare: research paper</b:Title>
    <b:Year>2024</b:Year>
    <b:Author>
      <b:Author>
        <b:Corporate>Productivity Commission</b:Corporate>
      </b:Author>
    </b:Author>
    <b:Publisher>Productivity Commission, Australian Government</b:Publisher>
    <b:URL>https://www.pc.gov.au/research/completed/digital-healthcare</b:URL>
    <b:RefOrder>32</b:RefOrder>
  </b:Source>
  <b:Source>
    <b:Tag>Rae24</b:Tag>
    <b:SourceType>JournalArticle</b:SourceType>
    <b:Guid>{E0DD44DA-42C2-4B4F-879E-A047760C06B2}</b:Guid>
    <b:Title>Accelerating implementation of adolescent digital health prevention programs: analysis of insights from Australian stakeholders</b:Title>
    <b:Year>2024</b:Year>
    <b:JournalName>Frontiers in Public Health</b:JournalName>
    <b:Pages>1389739</b:Pages>
    <b:Volume>12</b:Volume>
    <b:Author>
      <b:Author>
        <b:NameList>
          <b:Person>
            <b:Last>Raeside</b:Last>
            <b:First>R</b:First>
          </b:Person>
          <b:Person>
            <b:Last>Todd</b:Last>
            <b:First>A</b:First>
          </b:Person>
          <b:Person>
            <b:Last>Sim</b:Last>
            <b:Middle>A</b:Middle>
            <b:First>K</b:First>
          </b:Person>
          <b:Person>
            <b:Last>Kang</b:Last>
            <b:First>M</b:First>
          </b:Person>
          <b:Person>
            <b:Last>Mihrshahi</b:Last>
            <b:First>S</b:First>
          </b:Person>
          <b:Person>
            <b:Last>Gardner</b:Last>
            <b:Middle>A</b:Middle>
            <b:First>L</b:First>
          </b:Person>
          <b:Person>
            <b:Last>Champion</b:Last>
            <b:Middle>E</b:Middle>
            <b:First>K</b:First>
          </b:Person>
          <b:Person>
            <b:Last>Skinner</b:Last>
            <b:First>J</b:First>
          </b:Person>
          <b:Person>
            <b:Last>Laranjo</b:Last>
            <b:First>L</b:First>
          </b:Person>
          <b:Person>
            <b:Last>Steinbeck</b:Last>
            <b:First>K</b:First>
          </b:Person>
          <b:Person>
            <b:Last>Redfern</b:Last>
            <b:First>J</b:First>
          </b:Person>
          <b:Person>
            <b:Last>Partridge</b:Last>
            <b:Middle>R</b:Middle>
            <b:First>S</b:First>
          </b:Person>
        </b:NameList>
      </b:Author>
    </b:Author>
    <b:DOI>10.3389/fpubh.2024.1389739</b:DOI>
    <b:RefOrder>33</b:RefOrder>
  </b:Source>
  <b:Source>
    <b:Tag>Gha22</b:Tag>
    <b:SourceType>JournalArticle</b:SourceType>
    <b:Guid>{280EE5A2-54E1-4845-AE04-9A5A633F30B6}</b:Guid>
    <b:Title>The potential of social media in health promotion beyond creating awareness: an integrative review</b:Title>
    <b:JournalName>BMC Public Health</b:JournalName>
    <b:Year>2022</b:Year>
    <b:Pages>2402</b:Pages>
    <b:Volume>22</b:Volume>
    <b:Issue>1</b:Issue>
    <b:Author>
      <b:Author>
        <b:NameList>
          <b:Person>
            <b:Last>Ghahramani</b:Last>
            <b:First>A</b:First>
          </b:Person>
          <b:Person>
            <b:Last>de Courten</b:Last>
            <b:First>M</b:First>
          </b:Person>
          <b:Person>
            <b:Last>Prokofieva</b:Last>
            <b:First>M</b:First>
          </b:Person>
        </b:NameList>
      </b:Author>
    </b:Author>
    <b:DOI>10.1186/s12889-022-14885-0</b:DOI>
    <b:RefOrder>34</b:RefOrder>
  </b:Source>
  <b:Source xmlns:b="http://schemas.openxmlformats.org/officeDocument/2006/bibliography">
    <b:Tag>Iri</b:Tag>
    <b:SourceType>JournalArticle</b:SourceType>
    <b:Guid>{97288F6A-75CC-4E21-825F-3A1C7471202C}</b:Guid>
    <b:Author>
      <b:Author>
        <b:NameList>
          <b:Person>
            <b:Last>Iribarren</b:Last>
            <b:Middle>J</b:Middle>
            <b:First>S</b:First>
          </b:Person>
          <b:Person>
            <b:Last>Akande</b:Last>
            <b:Middle>O</b:Middle>
            <b:First>T</b:First>
          </b:Person>
          <b:Person>
            <b:Last>Kamp</b:Last>
            <b:Middle>J</b:Middle>
            <b:First>K</b:First>
          </b:Person>
          <b:Person>
            <b:Last>Barry</b:Last>
            <b:First>D</b:First>
          </b:Person>
          <b:Person>
            <b:Last>Kader</b:Last>
            <b:Middle>G</b:Middle>
            <b:First>Y</b:First>
          </b:Person>
          <b:Person>
            <b:Last>Suelzer</b:Last>
            <b:First>E</b:First>
          </b:Person>
        </b:NameList>
      </b:Author>
    </b:Author>
    <b:Title>Effectiveness of mobile apps to promote health and manage disease: systematic review and meta-analysis of randomized controlled trials</b:Title>
    <b:JournalName>JMIR mHealth and uHealth</b:JournalName>
    <b:Year>2021</b:Year>
    <b:Pages>e21563</b:Pages>
    <b:Volume>9</b:Volume>
    <b:Issue>1</b:Issue>
    <b:DOI>10.2196/21563</b:DOI>
    <b:RefOrder>120</b:RefOrder>
  </b:Source>
  <b:Source>
    <b:Tag>New23</b:Tag>
    <b:SourceType>JournalArticle</b:SourceType>
    <b:Guid>{F2506A70-6A80-4B9E-AF17-00205E35ACE2}</b:Guid>
    <b:Title>Generating older adult multimorbidity trajectories using various comorbidity indices and calculation methods</b:Title>
    <b:JournalName>Innovation in Aging</b:JournalName>
    <b:Year>2023</b:Year>
    <b:Pages>igad023</b:Pages>
    <b:Volume>7</b:Volume>
    <b:Issue>3</b:Issue>
    <b:Author>
      <b:Author>
        <b:NameList>
          <b:Person>
            <b:Last>Newman</b:Last>
            <b:Middle>G</b:Middle>
            <b:First>M</b:First>
          </b:Person>
          <b:Person>
            <b:Last>Porucznik</b:Last>
            <b:Middle>A</b:Middle>
            <b:First>C</b:First>
          </b:Person>
          <b:Person>
            <b:Last>Date</b:Last>
            <b:Middle>P</b:Middle>
            <b:First>A</b:First>
          </b:Person>
          <b:Person>
            <b:Last>Abdelrahman</b:Last>
            <b:First>S</b:First>
          </b:Person>
          <b:Person>
            <b:Last>Schliep</b:Last>
            <b:Middle>C</b:Middle>
            <b:First>K</b:First>
          </b:Person>
          <b:Person>
            <b:Last>VanDerslide</b:Last>
            <b:Middle>A</b:Middle>
            <b:First>J</b:First>
          </b:Person>
          <b:Person>
            <b:Last>Smith</b:Last>
            <b:Middle>R</b:Middle>
            <b:First>K</b:First>
          </b:Person>
          <b:Person>
            <b:Last>Hanson</b:Last>
            <b:Middle>A</b:Middle>
            <b:First>H</b:First>
          </b:Person>
        </b:NameList>
      </b:Author>
    </b:Author>
    <b:DOI>10.1093/geroni/igad023</b:DOI>
    <b:RefOrder>35</b:RefOrder>
  </b:Source>
  <b:Source>
    <b:Tag>Ras22</b:Tag>
    <b:SourceType>JournalArticle</b:SourceType>
    <b:Guid>{B01A77A4-7ED1-4C79-A13B-5E428E85D619}</b:Guid>
    <b:Title>An augmented Artificial Intelligence approach for chronic disease prediction</b:Title>
    <b:JournalName>Frontiers in Public Health</b:JournalName>
    <b:Year>2022</b:Year>
    <b:Pages>860396</b:Pages>
    <b:Volume>10</b:Volume>
    <b:Author>
      <b:Author>
        <b:NameList>
          <b:Person>
            <b:Last>Rashid</b:Last>
            <b:First>J</b:First>
          </b:Person>
          <b:Person>
            <b:Last>Batool</b:Last>
            <b:First>S</b:First>
          </b:Person>
          <b:Person>
            <b:Last>Kim</b:Last>
            <b:First>J</b:First>
          </b:Person>
          <b:Person>
            <b:Last>Wasif Nisar</b:Last>
            <b:First>M</b:First>
          </b:Person>
          <b:Person>
            <b:Last>Hussain</b:Last>
            <b:First>A</b:First>
          </b:Person>
          <b:Person>
            <b:Last>Juneja</b:Last>
            <b:First>S</b:First>
          </b:Person>
          <b:Person>
            <b:Last>Kushwaha</b:Last>
            <b:First>R</b:First>
          </b:Person>
        </b:NameList>
      </b:Author>
    </b:Author>
    <b:DOI>10.3389/fpubh.2022.860396</b:DOI>
    <b:RefOrder>36</b:RefOrder>
  </b:Source>
  <b:Source>
    <b:Tag>Kha</b:Tag>
    <b:SourceType>JournalArticle</b:SourceType>
    <b:Guid>{FAB4BE2A-947D-48A9-85B9-F7824268BB24}</b:Guid>
    <b:Title>Continuity and care coordination of primary health care: a scoping review</b:Title>
    <b:Author>
      <b:Author>
        <b:Corporate>Khatri et al.</b:Corporate>
      </b:Author>
    </b:Author>
    <b:RefOrder>44</b:RefOrder>
  </b:Source>
  <b:Source>
    <b:Tag>Kha1</b:Tag>
    <b:SourceType>JournalArticle</b:SourceType>
    <b:Guid>{84292A20-43EB-4460-9726-A9D4DE4B783F}</b:Guid>
    <b:Author>
      <b:Author>
        <b:Corporate>Khatri et al.</b:Corporate>
      </b:Author>
    </b:Author>
    <b:Title>Continuity and care coordination of primary health care: a scoping review</b:Title>
    <b:RefOrder>45</b:RefOrder>
  </b:Source>
  <b:Source>
    <b:Tag>Aus247</b:Tag>
    <b:SourceType>InternetSite</b:SourceType>
    <b:Guid>{E68B7E7C-3914-4A81-AABD-451FDA64D3C0}</b:Guid>
    <b:Author>
      <b:Author>
        <b:Corporate>Australian Institute of Health and Welfare</b:Corporate>
      </b:Author>
    </b:Author>
    <b:Title>'Summary', Palliative care and health service use for people with life-limiting conditions</b:Title>
    <b:Year>2024</b:Year>
    <b:Month>May</b:Month>
    <b:Day>23</b:Day>
    <b:YearAccessed>2025</b:YearAccessed>
    <b:MonthAccessed>July</b:MonthAccessed>
    <b:DayAccessed>7</b:DayAccessed>
    <b:URL>https://www.aihw.gov.au/reports/palliative-care-services/health-service-use-people-life-limiting-conditions/contents/summary</b:URL>
    <b:InternetSiteTitle>AIHW website</b:InternetSiteTitle>
    <b:RefOrder>52</b:RefOrder>
  </b:Source>
  <b:Source>
    <b:Tag>Dep222</b:Tag>
    <b:SourceType>Report</b:SourceType>
    <b:Guid>{EEBBA194-14A5-40D0-8E68-F1A9B4B34653}</b:Guid>
    <b:Author>
      <b:Author>
        <b:Corporate>Department of Health and Aged Care</b:Corporate>
      </b:Author>
    </b:Author>
    <b:Title>Medication management in residential aged care facilities</b:Title>
    <b:Year>2022</b:Year>
    <b:URL>https://www.health.gov.au/resources/collections/guiding-principles-for-medication-management-in-residential-aged-care-facilities-collection</b:URL>
    <b:Publisher>Department of Health and Aged Care, Australian Government</b:Publisher>
    <b:RefOrder>57</b:RefOrder>
  </b:Source>
  <b:Source>
    <b:Tag>Dep223</b:Tag>
    <b:SourceType>Report</b:SourceType>
    <b:Guid>{DA42C919-9A20-4080-9594-CFA2600B3DB9}</b:Guid>
    <b:Author>
      <b:Author>
        <b:Corporate>Department of Health and Aged Care</b:Corporate>
      </b:Author>
    </b:Author>
    <b:Title>Guiding principles for medication management in the community</b:Title>
    <b:Year>2022</b:Year>
    <b:Publisher>Department of Health and Aged Care, Australian Government</b:Publisher>
    <b:URL>https://www.health.gov.au/resources/collections/guiding-principles-for-medication-management-in-the-community-collection</b:URL>
    <b:RefOrder>121</b:RefOrder>
  </b:Source>
  <b:Source>
    <b:Tag>Dep224</b:Tag>
    <b:SourceType>Report</b:SourceType>
    <b:Guid>{F824B8EE-FFD8-48AE-A4AD-810066CF3AF7}</b:Guid>
    <b:Author>
      <b:Author>
        <b:Corporate>Department of Health and Aged Care</b:Corporate>
      </b:Author>
    </b:Author>
    <b:Title>Guiding principles to achieve continuity in medication management</b:Title>
    <b:Year>2022</b:Year>
    <b:Publisher>Department of Health and Aged Care, Australian Government</b:Publisher>
    <b:URL>https://www.health.gov.au/resources/collections/guiding-principles-to-achieve-continuity-in-medication-management-collection</b:URL>
    <b:RefOrder>122</b:RefOrder>
  </b:Source>
  <b:Source>
    <b:Tag>Sko</b:Tag>
    <b:SourceType>JournalArticle</b:SourceType>
    <b:Guid>{326A07AB-1909-4727-85F3-5B49295A2761}</b:Guid>
    <b:Author>
      <b:Author>
        <b:Corporate>Skou et al.</b:Corporate>
      </b:Author>
    </b:Author>
    <b:Title>Multimorbidity</b:Title>
    <b:RefOrder>62</b:RefOrder>
  </b:Source>
  <b:Source>
    <b:Tag>Roh23</b:Tag>
    <b:SourceType>JournalArticle</b:SourceType>
    <b:Guid>{852A5817-1E9C-46C5-93A8-4D70A3AF7322}</b:Guid>
    <b:Title>Models of integrated care for multi-morbidity assessed in systematic reviews: a scoping review</b:Title>
    <b:JournalName>BMC Health Services Research</b:JournalName>
    <b:Year>2023</b:Year>
    <b:Pages>894</b:Pages>
    <b:Volume>23</b:Volume>
    <b:Issue>1</b:Issue>
    <b:Author>
      <b:Author>
        <b:NameList>
          <b:Person>
            <b:Last>Rohwer</b:Last>
            <b:First>A</b:First>
          </b:Person>
          <b:Person>
            <b:Last>Toews</b:Last>
            <b:First>I</b:First>
          </b:Person>
          <b:Person>
            <b:Last>Uwimana-Nicol</b:Last>
            <b:First>J</b:First>
          </b:Person>
          <b:Person>
            <b:Last>Nyirenda</b:Last>
            <b:Middle>LZ</b:Middle>
            <b:First>J</b:First>
          </b:Person>
          <b:Person>
            <b:Last>Niyibizi</b:Last>
            <b:Middle>B</b:Middle>
            <b:First>J</b:First>
          </b:Person>
          <b:Person>
            <b:Last>Akiteng</b:Last>
            <b:Middle>R</b:Middle>
            <b:First>A</b:First>
          </b:Person>
          <b:Person>
            <b:Last>Meerpohl</b:Last>
            <b:Middle>J</b:Middle>
            <b:First>J</b:First>
          </b:Person>
          <b:Person>
            <b:Last>Bavuma</b:Last>
            <b:Middle>M</b:Middle>
            <b:First>C</b:First>
          </b:Person>
          <b:Person>
            <b:Last>Kredo</b:Last>
            <b:First>T</b:First>
          </b:Person>
          <b:Person>
            <b:Last>Young</b:Last>
            <b:First>T</b:First>
          </b:Person>
        </b:NameList>
      </b:Author>
    </b:Author>
    <b:DOI>10.1186/s12913-023-09894-7</b:DOI>
    <b:RefOrder>123</b:RefOrder>
  </b:Source>
  <b:Source>
    <b:Tag>Lju22</b:Tag>
    <b:SourceType>JournalArticle</b:SourceType>
    <b:Guid>{261FE628-4546-4516-979F-F18F7CE21C94}</b:Guid>
    <b:Author>
      <b:Author>
        <b:NameList>
          <b:Person>
            <b:Last>Ljungholm</b:Last>
            <b:First>L</b:First>
          </b:Person>
          <b:Person>
            <b:Last>Edin-Liljegren</b:Last>
            <b:First>A</b:First>
          </b:Person>
          <b:Person>
            <b:Last>Ekstedt</b:Last>
            <b:First>M</b:First>
          </b:Person>
          <b:Person>
            <b:Last>Klinga</b:Last>
            <b:First>C</b:First>
          </b:Person>
        </b:NameList>
      </b:Author>
    </b:Author>
    <b:Title>What is needed for continuity of care and how can we achieve it? - Perceptions among multiprofessionals on the chronic care trajectory</b:Title>
    <b:JournalName>BMC Health Services Research</b:JournalName>
    <b:Year>2022</b:Year>
    <b:Pages>686</b:Pages>
    <b:Volume>22</b:Volume>
    <b:Issue>1</b:Issue>
    <b:DOI>10.1186/s12913-022-08023-0</b:DOI>
    <b:RefOrder>63</b:RefOrder>
  </b:Source>
  <b:Source>
    <b:Tag>Was24</b:Tag>
    <b:SourceType>JournalArticle</b:SourceType>
    <b:Guid>{B3809A96-E202-4EF5-B459-341201785963}</b:Guid>
    <b:Title>The effects of community interventions on unplanned healthcare use in patients with multimorbidity: a systematic review</b:Title>
    <b:JournalName>Journal of the Royal Society of Medicine</b:JournalName>
    <b:Year>2024</b:Year>
    <b:Pages>24-35</b:Pages>
    <b:Volume>117</b:Volume>
    <b:Issue>1</b:Issue>
    <b:Author>
      <b:Author>
        <b:NameList>
          <b:Person>
            <b:Last>Wasan</b:Last>
            <b:First>T</b:First>
          </b:Person>
          <b:Person>
            <b:Last>Hayhoe</b:Last>
            <b:First>B</b:First>
          </b:Person>
          <b:Person>
            <b:Last>Cicek</b:Last>
            <b:First>M</b:First>
          </b:Person>
          <b:Person>
            <b:Last>Lammila-Escalera</b:Last>
            <b:First>E</b:First>
          </b:Person>
          <b:Person>
            <b:Last>Nicholls</b:Last>
            <b:First>D</b:First>
          </b:Person>
          <b:Person>
            <b:Last>Majeed</b:Last>
            <b:First>A</b:First>
          </b:Person>
          <b:Person>
            <b:Last>Greenfield</b:Last>
            <b:First>G</b:First>
          </b:Person>
        </b:NameList>
      </b:Author>
    </b:Author>
    <b:DOI>10.1177/01410768231186224</b:DOI>
    <b:RefOrder>65</b:RefOrder>
  </b:Source>
  <b:Source>
    <b:Tag>Hur18</b:Tag>
    <b:SourceType>Report</b:SourceType>
    <b:Guid>{4D58176F-9FE6-40A2-8C65-706BBE5CB5BA}</b:Guid>
    <b:Title>Global Alliance for Chronic Diseases researchers' statement on multimorbidity</b:Title>
    <b:Year>2018</b:Year>
    <b:Publisher>Global Alliance for Chronic Diseases</b:Publisher>
    <b:City>London</b:City>
    <b:Author>
      <b:Author>
        <b:NameList>
          <b:Person>
            <b:Last>Hurst</b:Last>
            <b:Middle>R</b:Middle>
            <b:First>J</b:First>
          </b:Person>
          <b:Person>
            <b:Last>Dickhaus</b:Last>
            <b:First>J</b:First>
          </b:Person>
          <b:Person>
            <b:Last>Maulik</b:Last>
            <b:Middle>K</b:Middle>
            <b:First>P</b:First>
          </b:Person>
          <b:Person>
            <b:Last>Miranda</b:Last>
            <b:Middle>J</b:Middle>
            <b:First>J</b:First>
          </b:Person>
          <b:Person>
            <b:Last>Pastakia</b:Last>
            <b:First>S</b:First>
          </b:Person>
          <b:Person>
            <b:Last>Soriano</b:Last>
            <b:First>J</b:First>
          </b:Person>
          <b:Person>
            <b:Last>Siddharthan</b:Last>
            <b:First>T</b:First>
          </b:Person>
          <b:Person>
            <b:Last>Vedanthan</b:Last>
            <b:First>R</b:First>
          </b:Person>
        </b:NameList>
      </b:Author>
    </b:Author>
    <b:URL>https://www.gacd.org/resources/researchers-and-students/open-access-resources</b:URL>
    <b:RefOrder>66</b:RefOrder>
  </b:Source>
  <b:Source>
    <b:Tag>Pra25</b:Tag>
    <b:SourceType>InternetSite</b:SourceType>
    <b:Guid>{D73E4F37-F5D7-41B6-B132-A7753340DC09}</b:Guid>
    <b:Title>'Polypharmacy', RACGP aged care clinical guide (Silver Book)</b:Title>
    <b:Year>2019</b:Year>
    <b:Author>
      <b:Author>
        <b:Corporate>Royal Australian College of General Practitioners</b:Corporate>
      </b:Author>
    </b:Author>
    <b:InternetSiteTitle>RACGP website</b:InternetSiteTitle>
    <b:Month>October</b:Month>
    <b:Day>30</b:Day>
    <b:YearAccessed>2025</b:YearAccessed>
    <b:MonthAccessed>July</b:MonthAccessed>
    <b:DayAccessed>7</b:DayAccessed>
    <b:URL>https://www.racgp.org.au/clinical-resources/clinical-guidelines/key-racgp-guidelines/view-all-racgp-guidelines/silver-book/part-a/polypharmacy</b:URL>
    <b:RefOrder>67</b:RefOrder>
  </b:Source>
  <b:Source>
    <b:Tag>New</b:Tag>
    <b:SourceType>JournalArticle</b:SourceType>
    <b:Guid>{FDAF244C-A511-437F-8B52-642317D496C5}</b:Guid>
    <b:Title>Generating older adult multimorbidity trajectories using various comorbidity indices and calculation methods</b:Title>
    <b:Author>
      <b:Author>
        <b:Corporate>Newman et al.</b:Corporate>
      </b:Author>
    </b:Author>
    <b:RefOrder>69</b:RefOrder>
  </b:Source>
  <b:Source>
    <b:Tag>Pin23</b:Tag>
    <b:SourceType>JournalArticle</b:SourceType>
    <b:Guid>{6D83C25D-8608-438B-831C-05F64D487D66}</b:Guid>
    <b:Title>Health system enablers and barriers to continuity of care for First Nations peoples living with chronic disease</b:Title>
    <b:JournalName>International Journal of Integrated Care</b:JournalName>
    <b:Year>2023</b:Year>
    <b:Pages>17</b:Pages>
    <b:Volume>23</b:Volume>
    <b:Issue>4</b:Issue>
    <b:Author>
      <b:Author>
        <b:NameList>
          <b:Person>
            <b:Last>Pinero de Plaza</b:Last>
            <b:Middle>A</b:Middle>
            <b:First>M</b:First>
          </b:Person>
          <b:Person>
            <b:Last>Gebremichael</b:Last>
            <b:First>L</b:First>
          </b:Person>
          <b:Person>
            <b:Last>Brown</b:Last>
            <b:First>S</b:First>
          </b:Person>
          <b:Person>
            <b:Last>Wu</b:Last>
            <b:Middle>J</b:Middle>
            <b:First>C</b:First>
          </b:Person>
          <b:Person>
            <b:Last>Clark</b:Last>
            <b:Middle>A</b:Middle>
            <b:First>R</b:First>
          </b:Person>
          <b:Person>
            <b:Last>McBride</b:Last>
            <b:First>K</b:First>
          </b:Person>
          <b:Person>
            <b:Last>Hines</b:Last>
            <b:First>S</b:First>
          </b:Person>
          <b:Person>
            <b:Last>Pearson</b:Last>
            <b:First>O</b:First>
          </b:Person>
          <b:Person>
            <b:Last>Morey</b:Last>
            <b:First>K</b:First>
          </b:Person>
        </b:NameList>
      </b:Author>
    </b:Author>
    <b:DOI>10.5334/ijic.7643</b:DOI>
    <b:RefOrder>70</b:RefOrder>
  </b:Source>
  <b:Source>
    <b:Tag>Aus248</b:Tag>
    <b:SourceType>InternetSite</b:SourceType>
    <b:Guid>{79622E7B-7E80-46FB-9148-104009096F41}</b:Guid>
    <b:Title>National Aboriginal and Torres Strait Islander Health Survey</b:Title>
    <b:Year>2024</b:Year>
    <b:Author>
      <b:Author>
        <b:Corporate>Australian Bureau of Statistics</b:Corporate>
      </b:Author>
    </b:Author>
    <b:YearAccessed>2025</b:YearAccessed>
    <b:MonthAccessed>July</b:MonthAccessed>
    <b:DayAccessed>7</b:DayAccessed>
    <b:URL>https://www.abs.gov.au/statistics/people/aboriginal-and-torres-strait-islander-peoples/national-aboriginal-and-torres-strait-islander-health-survey/2022-23</b:URL>
    <b:InternetSiteTitle>ABS website</b:InternetSiteTitle>
    <b:RefOrder>71</b:RefOrder>
  </b:Source>
  <b:Source>
    <b:Tag>Aus249</b:Tag>
    <b:SourceType>Report</b:SourceType>
    <b:Guid>{10412C57-4EDA-4DB2-8919-E061C58FE26E}</b:Guid>
    <b:Title>Australia's health 2024: in brief</b:Title>
    <b:Year>2024</b:Year>
    <b:URL>https://www.aihw.gov.au/reports/australias-health/australias-health-2024-in-brief/summary</b:URL>
    <b:Author>
      <b:Author>
        <b:Corporate>Australian Institute of Health and Welfare</b:Corporate>
      </b:Author>
    </b:Author>
    <b:Publisher>AIHW, Australian Government</b:Publisher>
    <b:RefOrder>72</b:RefOrder>
  </b:Source>
  <b:Source>
    <b:Tag>Roy231</b:Tag>
    <b:SourceType>Report</b:SourceType>
    <b:Guid>{43A46F10-0BD7-41BE-BE8B-897FC41B930E}</b:Guid>
    <b:Author>
      <b:Author>
        <b:Corporate>Royal Commission into Violence, Abuse, Neflect and Exploitation of People with Disability</b:Corporate>
      </b:Author>
    </b:Author>
    <b:Title>Final report - Volume 9, First Nations people with disability</b:Title>
    <b:Year>2023</b:Year>
    <b:Publisher>Commonwealth of Australia</b:Publisher>
    <b:URL>https://disability.royalcommission.gov.au/publications/final-report-volume-9-first-nations-people-disability</b:URL>
    <b:RefOrder>73</b:RefOrder>
  </b:Source>
  <b:Source>
    <b:Tag>Dep212</b:Tag>
    <b:SourceType>Report</b:SourceType>
    <b:Guid>{EE0DEA05-84D4-4122-BE2D-41119A05CF74}</b:Guid>
    <b:Author>
      <b:Author>
        <b:Corporate>Department of Health</b:Corporate>
      </b:Author>
    </b:Author>
    <b:Title>National Aboriginal and Torres Strait Islander Health Plan 2021–2031</b:Title>
    <b:Year>2021</b:Year>
    <b:Publisher>Department of Health, Australian Government</b:Publisher>
    <b:URL>https://www.health.gov.au/resources/publications/national-aboriginal-and-torres-strait-islander-health-plan-2021-2031</b:URL>
    <b:RefOrder>74</b:RefOrder>
  </b:Source>
  <b:Source>
    <b:Tag>Aus231</b:Tag>
    <b:SourceType>InternetSite</b:SourceType>
    <b:Guid>{E497336C-9AC4-44BC-A646-07514E7DD34A}</b:Guid>
    <b:Title>Rural &amp; remote Australians</b:Title>
    <b:Year>2023</b:Year>
    <b:Author>
      <b:Author>
        <b:Corporate>Australian Institute of Health and Welfare</b:Corporate>
      </b:Author>
    </b:Author>
    <b:YearAccessed>2025</b:YearAccessed>
    <b:MonthAccessed>July</b:MonthAccessed>
    <b:DayAccessed>7</b:DayAccessed>
    <b:URL>https://www.aihw.gov.au/reports-data/population-groups/rural-remote-australians/overview</b:URL>
    <b:InternetSiteTitle>AIHW website</b:InternetSiteTitle>
    <b:RefOrder>75</b:RefOrder>
  </b:Source>
  <b:Source>
    <b:Tag>Aus2410</b:Tag>
    <b:SourceType>InternetSite</b:SourceType>
    <b:Guid>{C1323944-C0A8-4E01-999C-2645CA041072}</b:Guid>
    <b:Author>
      <b:Author>
        <b:Corporate>Australian Institute of Health and Welfare</b:Corporate>
      </b:Author>
    </b:Author>
    <b:Title>Rural and remote health</b:Title>
    <b:Year>2024</b:Year>
    <b:Month>April</b:Month>
    <b:Day>30</b:Day>
    <b:YearAccessed>2025</b:YearAccessed>
    <b:MonthAccessed>July</b:MonthAccessed>
    <b:DayAccessed>7</b:DayAccessed>
    <b:URL>https://www.aihw.gov.au/reports-data/population-groups/rural-remote-australians/overview</b:URL>
    <b:InternetSiteTitle>AIHW website</b:InternetSiteTitle>
    <b:RefOrder>78</b:RefOrder>
  </b:Source>
  <b:Source>
    <b:Tag>AIH5</b:Tag>
    <b:SourceType>InternetSite</b:SourceType>
    <b:Guid>{E1FC2928-64FF-4F24-9BCD-832A294A0FF0}</b:Guid>
    <b:Author>
      <b:Author>
        <b:Corporate>AIHW</b:Corporate>
      </b:Author>
    </b:Author>
    <b:Title>Chronic conditions</b:Title>
    <b:RefOrder>76</b:RefOrder>
  </b:Source>
  <b:Source>
    <b:Tag>Aus251</b:Tag>
    <b:SourceType>InternetSite</b:SourceType>
    <b:Guid>{1FE5C562-112B-4CFF-8189-4B7C02CA452B}</b:Guid>
    <b:Author>
      <b:Author>
        <b:Corporate>Australian Institute of Health and Welfare</b:Corporate>
      </b:Author>
    </b:Author>
    <b:Title>'How common is multimorbidity?', Multimorbidity in Australia</b:Title>
    <b:Year>2025</b:Year>
    <b:YearAccessed>2025</b:YearAccessed>
    <b:MonthAccessed>July</b:MonthAccessed>
    <b:DayAccessed>15</b:DayAccessed>
    <b:URL>https://www.aihw.gov.au/reports/chronic-disease/multimorbidity-in-australia/contents/how-common-is-multimorbidity</b:URL>
    <b:InternetSiteTitle>AIHW website</b:InternetSiteTitle>
    <b:RefOrder>77</b:RefOrder>
  </b:Source>
  <b:Source>
    <b:Tag>Aus252</b:Tag>
    <b:SourceType>InternetSite</b:SourceType>
    <b:Guid>{1EACDA72-0FC5-44C6-BDEA-569405152615}</b:Guid>
    <b:Author>
      <b:Author>
        <b:Corporate>Australian Institute of Health and Welfare</b:Corporate>
      </b:Author>
    </b:Author>
    <b:Title>'Potentially preventable hospitalisations', Admitted patient safety and quality</b:Title>
    <b:Year>2025</b:Year>
    <b:YearAccessed>2025</b:YearAccessed>
    <b:MonthAccessed>July</b:MonthAccessed>
    <b:DayAccessed>7</b:DayAccessed>
    <b:URL>https://www.aihw.gov.au/hospitals/topics/admitted-patient-safety-and-quality/potentially-preventable-hospitalisations</b:URL>
    <b:InternetSiteTitle>AIHW website</b:InternetSiteTitle>
    <b:RefOrder>79</b:RefOrder>
  </b:Source>
  <b:Source>
    <b:Tag>Aus232</b:Tag>
    <b:SourceType>InternetSite</b:SourceType>
    <b:Guid>{8180ECE9-7A2D-41DB-9383-2E58D60B1D5B}</b:Guid>
    <b:Author>
      <b:Author>
        <b:Corporate>Australian Institute of Health and Welfare</b:Corporate>
      </b:Author>
    </b:Author>
    <b:Title>Chronic health conditions among culturally and linguistically diverse Australians, 2021</b:Title>
    <b:Year>2023</b:Year>
    <b:YearAccessed>2025</b:YearAccessed>
    <b:MonthAccessed>July</b:MonthAccessed>
    <b:DayAccessed>7</b:DayAccessed>
    <b:URL>https://www.aihw.gov.au/reports/cald-australians/chronic-conditions-cald-2021/contents/about</b:URL>
    <b:InternetSiteTitle>AIHW website</b:InternetSiteTitle>
    <b:RefOrder>80</b:RefOrder>
  </b:Source>
  <b:Source>
    <b:Tag>van24</b:Tag>
    <b:SourceType>Report</b:SourceType>
    <b:Guid>{419314EE-B42C-4D1E-85F0-13A309D9070A}</b:Guid>
    <b:Title>Building a New Life in Australia: 10 years of humanitarian settlement outcomes</b:Title>
    <b:Year>2024</b:Year>
    <b:URL>https://aifs.gov.au/building-new-life-australia/major-report/10-years-humanitarian-settlement-outcomes</b:URL>
    <b:Publisher>Australian Institute of Family Studies, Australian Government</b:Publisher>
    <b:Author>
      <b:Author>
        <b:NameList>
          <b:Person>
            <b:Last>van Kooy</b:Last>
            <b:First>J</b:First>
          </b:Person>
          <b:Person>
            <b:Last>Woldegiorgis</b:Last>
            <b:First>M</b:First>
          </b:Person>
          <b:Person>
            <b:Last>Riosedo</b:Last>
            <b:First>P</b:First>
          </b:Person>
        </b:NameList>
      </b:Author>
    </b:Author>
    <b:RefOrder>81</b:RefOrder>
  </b:Source>
  <b:Source>
    <b:Tag>Aus233</b:Tag>
    <b:SourceType>InternetSite</b:SourceType>
    <b:Guid>{527AD71A-CDB5-419E-8EC4-602F2E96B774}</b:Guid>
    <b:Author>
      <b:Author>
        <b:Corporate>Australian Institute of Health and Welfare</b:Corporate>
      </b:Author>
    </b:Author>
    <b:Title>Health of refugees and humanitarian entrants in Australia</b:Title>
    <b:Year>2023</b:Year>
    <b:YearAccessed>2025</b:YearAccessed>
    <b:MonthAccessed>July</b:MonthAccessed>
    <b:DayAccessed>7</b:DayAccessed>
    <b:URL>https://www.aihw.gov.au/reports/cald-australians/health-of-refugees-and-humanitarian-entrants/contents/summary</b:URL>
    <b:InternetSiteTitle>AIHW website</b:InternetSiteTitle>
    <b:RefOrder>124</b:RefOrder>
  </b:Source>
  <b:Source>
    <b:Tag>Aus2411</b:Tag>
    <b:SourceType>InternetSite</b:SourceType>
    <b:Guid>{93A9E8CF-DD2B-44FF-A0C8-C62535528D1F}</b:Guid>
    <b:Title>'Chronic conditions and disability', People with disability in Australia</b:Title>
    <b:Year>2024</b:Year>
    <b:Author>
      <b:Author>
        <b:Corporate>Australian Institute of Health and Welfare</b:Corporate>
      </b:Author>
    </b:Author>
    <b:YearAccessed>2025</b:YearAccessed>
    <b:MonthAccessed>July</b:MonthAccessed>
    <b:DayAccessed>7</b:DayAccessed>
    <b:URL>https://www.aihw.gov.au/reports/disability/people-with-disability-in-australia/contents/health/chronic-conditions-and-disability</b:URL>
    <b:InternetSiteTitle>AIHW website</b:InternetSiteTitle>
    <b:RefOrder>82</b:RefOrder>
  </b:Source>
  <b:Source>
    <b:Tag>Roy20</b:Tag>
    <b:SourceType>InternetSite</b:SourceType>
    <b:Guid>{1DFAD13E-E7A6-40C0-AFF8-367036739A4C}</b:Guid>
    <b:Author>
      <b:Author>
        <b:Corporate>Royal Commission into Violence, Abuse, Neglect and Exploitation of People with Disability</b:Corporate>
      </b:Author>
    </b:Author>
    <b:Title>Public hearing 4: Health care and services for people with cognitive disability</b:Title>
    <b:Year>2020</b:Year>
    <b:YearAccessed>2025</b:YearAccessed>
    <b:MonthAccessed>July</b:MonthAccessed>
    <b:DayAccessed>7</b:DayAccessed>
    <b:URL>https://disability.royalcommission.gov.au/public-hearings/public-hearing-4</b:URL>
    <b:InternetSiteTitle>Royal Commission website</b:InternetSiteTitle>
    <b:RefOrder>84</b:RefOrder>
  </b:Source>
  <b:Source>
    <b:Tag>Vic20</b:Tag>
    <b:SourceType>Report</b:SourceType>
    <b:Guid>{35885719-7F0E-4CB8-BB3C-5BE1E8DFF9C6}</b:Guid>
    <b:Title>The health and wellbeing of the lesbian, gay, bisexual, transgender, intersex and queer population in Victoria: findings from the Victorian Population Health Survey 2017</b:Title>
    <b:Year>2020</b:Year>
    <b:URL>https://vahi.vic.gov.au/reports/population-health/health-and-wellbeing-lgbtiq-population-victoria</b:URL>
    <b:Author>
      <b:Author>
        <b:Corporate>Victorian Agency for Health Information</b:Corporate>
      </b:Author>
    </b:Author>
    <b:Publisher>Victorian Agency for Health Information, Victorian Government</b:Publisher>
    <b:RefOrder>85</b:RefOrder>
  </b:Source>
  <b:Source>
    <b:Tag>Hil20</b:Tag>
    <b:SourceType>Report</b:SourceType>
    <b:Guid>{21DF7E8C-17BB-453D-9674-F229611F424E}</b:Guid>
    <b:Title>Private Lives 3: the health and wellbeing of LGBTIQ people in Australia</b:Title>
    <b:Year>2020</b:Year>
    <b:Publisher>Australia Research Centre in Sex Health and Society, La Trobe University</b:Publisher>
    <b:Author>
      <b:Author>
        <b:NameList>
          <b:Person>
            <b:Last>Hill</b:Last>
            <b:Middle>O</b:Middle>
            <b:First>A</b:First>
          </b:Person>
          <b:Person>
            <b:Last>Bourne</b:Last>
            <b:First>A</b:First>
          </b:Person>
          <b:Person>
            <b:Last>McNair</b:Last>
            <b:First>R</b:First>
          </b:Person>
          <b:Person>
            <b:Last>Carman</b:Last>
            <b:First>M</b:First>
          </b:Person>
          <b:Person>
            <b:Last>Lyons</b:Last>
            <b:First>A</b:First>
          </b:Person>
        </b:NameList>
      </b:Author>
    </b:Author>
    <b:URL>https://www.latrobe.edu.au/arcshs/work/private-lives-3</b:URL>
    <b:RefOrder>86</b:RefOrder>
  </b:Source>
  <b:Source>
    <b:Tag>Hil</b:Tag>
    <b:SourceType>Report</b:SourceType>
    <b:Guid>{837516A2-3AAE-4917-8BA6-62807BA93D9B}</b:Guid>
    <b:Author>
      <b:Author>
        <b:Corporate>Hill et al.</b:Corporate>
      </b:Author>
    </b:Author>
    <b:Title>Private Lives 3: the health and wellbeing of LGBTIQ people in Australia</b:Title>
    <b:RefOrder>87</b:RefOrder>
  </b:Source>
  <b:Source>
    <b:Tag>Art13</b:Tag>
    <b:SourceType>JournalArticle</b:SourceType>
    <b:Guid>{2C7EA7DE-1C40-456C-B15F-8A42B66F9E0D}</b:Guid>
    <b:Title>Factors influencing health care utilisation among Aboriginal cardiac patients in central Australia: a qualitative study</b:Title>
    <b:Year>2013</b:Year>
    <b:JournalName>BMC Health Services Research</b:JournalName>
    <b:Pages>83</b:Pages>
    <b:Volume>13</b:Volume>
    <b:Author>
      <b:Author>
        <b:NameList>
          <b:Person>
            <b:Last>Artuso</b:Last>
            <b:First>S</b:First>
          </b:Person>
          <b:Person>
            <b:Last>Cargo</b:Last>
            <b:First>M</b:First>
          </b:Person>
          <b:Person>
            <b:Last>Brown</b:Last>
            <b:First>A</b:First>
          </b:Person>
          <b:Person>
            <b:Last>Daniel</b:Last>
            <b:First>M</b:First>
          </b:Person>
        </b:NameList>
      </b:Author>
    </b:Author>
    <b:DOI>10.1186/1472-6963-13-83</b:DOI>
    <b:RefOrder>88</b:RefOrder>
  </b:Source>
  <b:Source>
    <b:Tag>Dep1</b:Tag>
    <b:SourceType>Report</b:SourceType>
    <b:Guid>{3D9AFFD3-AFA3-4077-8925-51AAE602D64E}</b:Guid>
    <b:Title>National Aboriginal and Torres Strait Islander Health Plan 2021–2031</b:Title>
    <b:Author>
      <b:Author>
        <b:Corporate>Department of Health</b:Corporate>
      </b:Author>
    </b:Author>
    <b:RefOrder>90</b:RefOrder>
  </b:Source>
  <b:Source>
    <b:Tag>Aus201</b:Tag>
    <b:SourceType>Report</b:SourceType>
    <b:Guid>{552B664A-F8BA-4ABF-8C53-1D220CB2E15F}</b:Guid>
    <b:Author>
      <b:Author>
        <b:Corporate>Australian Health Practitioner Regulation Agency</b:Corporate>
      </b:Author>
    </b:Author>
    <b:Title>The National Scheme’s Aboriginal and Torres Strait Islander Health and Cultural Safety Strategy 2020-2025</b:Title>
    <b:Year>2020</b:Year>
    <b:Publisher>AHPRA</b:Publisher>
    <b:URL>https://www.ahpra.gov.au/About-Ahpra/Aboriginal-and-Torres-Strait-Islander-Health-Strategy/health-and-cultural-safety-strategy.aspx</b:URL>
    <b:RefOrder>91</b:RefOrder>
  </b:Source>
  <b:Source>
    <b:Tag>Yad24</b:Tag>
    <b:SourceType>JournalArticle</b:SourceType>
    <b:Guid>{89877CA7-9232-412E-B97B-5B76A6CB27B2}</b:Guid>
    <b:Title>A rapid review to inform the policy and practice for the implementation of chronic disease prevention and management programs for Aboriginal and Torres Strait Islander people in primary care</b:Title>
    <b:Year>2024</b:Year>
    <b:JournalName>Health Research Policy and Systems</b:JournalName>
    <b:Pages>34</b:Pages>
    <b:Volume>22</b:Volume>
    <b:Issue>1</b:Issue>
    <b:Author>
      <b:Author>
        <b:NameList>
          <b:Person>
            <b:Last>Yadav</b:Last>
            <b:Middle>N</b:Middle>
            <b:First>U</b:First>
          </b:Person>
          <b:Person>
            <b:Last>Davis</b:Last>
            <b:Middle>M</b:Middle>
            <b:First>J</b:First>
          </b:Person>
          <b:Person>
            <b:Last>Bennett-Brook</b:Last>
            <b:First>K</b:First>
          </b:Person>
          <b:Person>
            <b:Last>Coombes</b:Last>
            <b:First>J</b:First>
          </b:Person>
          <b:Person>
            <b:Last>Wyber</b:Last>
            <b:First>R</b:First>
          </b:Person>
          <b:Person>
            <b:Last>Pearson</b:Last>
            <b:First>O</b:First>
          </b:Person>
        </b:NameList>
      </b:Author>
    </b:Author>
    <b:DOI>10.1186/s12961-024-01121-x</b:DOI>
    <b:RefOrder>92</b:RefOrder>
  </b:Source>
  <b:Source>
    <b:Tag>Dep231</b:Tag>
    <b:SourceType>Report</b:SourceType>
    <b:Guid>{554A1A39-57D2-433B-B5FA-4BB9CE26C3AD}</b:Guid>
    <b:Title>Evaluation of outreach programs, volume 1: main report</b:Title>
    <b:Year>2023</b:Year>
    <b:Author>
      <b:Author>
        <b:Corporate>Department of Health and Aged Care</b:Corporate>
      </b:Author>
    </b:Author>
    <b:Publisher>Department of Health and Aged Care, Australian Government</b:Publisher>
    <b:URL>https://www.health.gov.au/resources/publications/evaluation-of-outreach-programs-report</b:URL>
    <b:RefOrder>103</b:RefOrder>
  </b:Source>
  <b:Source>
    <b:Tag>Bow</b:Tag>
    <b:SourceType>JournalArticle</b:SourceType>
    <b:Guid>{B96D3CD7-DF63-40E9-ABC9-DCE599C4D721}</b:Guid>
    <b:Author>
      <b:Author>
        <b:NameList>
          <b:Person>
            <b:Last>Bowleg</b:Last>
          </b:Person>
        </b:NameList>
      </b:Author>
    </b:Author>
    <b:Title>The problem with the phrase women and minorities: intersectionality-an important theoretical framework for public health</b:Title>
    <b:RefOrder>125</b:RefOrder>
  </b:Source>
  <b:Source>
    <b:Tag>Wor23</b:Tag>
    <b:SourceType>Report</b:SourceType>
    <b:Guid>{81C53D55-83BA-4E36-93ED-C086CDD7D459}</b:Guid>
    <b:Title>Working together for equity and healthier populations: sustainable multisectoral collaboration based on Health in All Policies approaches</b:Title>
    <b:Year>2023</b:Year>
    <b:Author>
      <b:Author>
        <b:Corporate>World Health Organization</b:Corporate>
      </b:Author>
    </b:Author>
    <b:Publisher>WHO</b:Publisher>
    <b:City>Geneva</b:City>
    <b:URL>https://www.who.int/publications/i/item/9789240067530</b:URL>
    <b:RefOrder>108</b:RefOrder>
  </b:Source>
  <b:Source>
    <b:Tag>Aus253</b:Tag>
    <b:SourceType>Report</b:SourceType>
    <b:Guid>{9BBFF5B2-0B0C-4EAA-BD14-98CEFF043A0B}</b:Guid>
    <b:Title>OECD Patient-Reported Indicator Surveys (PaRIS): Australian national report 2025</b:Title>
    <b:Year>2025</b:Year>
    <b:Author>
      <b:Author>
        <b:Corporate>Australian Commission on Safety and Quality in Health Care</b:Corporate>
      </b:Author>
    </b:Author>
    <b:Publisher>ACSQHC, Australian Government</b:Publisher>
    <b:URL>https://www.safetyandquality.gov.au/publications-and-resources/resource-library/paris-survey-australian-national-report-2025</b:URL>
    <b:RefOrder>29</b:RefOrder>
  </b:Source>
  <b:Source>
    <b:Tag>Aus2412</b:Tag>
    <b:SourceType>InternetSite</b:SourceType>
    <b:Guid>{7FF472BF-F7FF-4B26-B6E4-0C0AD0DC3368}</b:Guid>
    <b:Title>Digital health</b:Title>
    <b:Year>2024</b:Year>
    <b:Author>
      <b:Author>
        <b:Corporate>Australian Institute of Health and Welfare</b:Corporate>
      </b:Author>
    </b:Author>
    <b:YearAccessed>2025</b:YearAccessed>
    <b:MonthAccessed>July</b:MonthAccessed>
    <b:DayAccessed>17</b:DayAccessed>
    <b:URL>https://www.aihw.gov.au/reports/australias-health/digital-health</b:URL>
    <b:InternetSiteTitle>AIHW website</b:InternetSiteTitle>
    <b:RefOrder>41</b:RefOrder>
  </b:Source>
  <b:Source>
    <b:Tag>Kha2</b:Tag>
    <b:SourceType>JournalArticle</b:SourceType>
    <b:Guid>{D00EB932-7D25-4363-A3F8-C8F650FE960C}</b:Guid>
    <b:Title>Continuity and care coordination of primary health care: a scoping review</b:Title>
    <b:Author>
      <b:Author>
        <b:Corporate>Khatri et al.</b:Corporate>
      </b:Author>
    </b:Author>
    <b:RefOrder>47</b:RefOrder>
  </b:Source>
  <b:Source>
    <b:Tag>Coo23</b:Tag>
    <b:SourceType>JournalArticle</b:SourceType>
    <b:Guid>{39D7CB4C-1FEC-48F4-BF5B-4C1D73BE8E01}</b:Guid>
    <b:Title>Discharge interventions for First Nations people with a chronic condition or injury: a systematic review</b:Title>
    <b:JournalName>BMC Health Services Research</b:JournalName>
    <b:Year>2023</b:Year>
    <b:Pages>604</b:Pages>
    <b:Volume>23</b:Volume>
    <b:Author>
      <b:Author>
        <b:NameList>
          <b:Person>
            <b:Last>Coombes</b:Last>
            <b:First>J</b:First>
          </b:Person>
          <b:Person>
            <b:Last>Holland</b:Last>
            <b:Middle>JA</b:Middle>
            <b:First>A</b:First>
          </b:Person>
          <b:Person>
            <b:Last>Ryder</b:Last>
            <b:First>C</b:First>
          </b:Person>
          <b:Person>
            <b:Last>Finlay</b:Last>
            <b:Middle>M</b:Middle>
            <b:First>S</b:First>
          </b:Person>
          <b:Person>
            <b:Last>Hunter</b:Last>
            <b:First>K</b:First>
          </b:Person>
          <b:Person>
            <b:Last>Bennett-Brook</b:Last>
            <b:First>K</b:First>
          </b:Person>
          <b:Person>
            <b:Last>Orcher</b:Last>
            <b:First>P</b:First>
          </b:Person>
          <b:Person>
            <b:Last>Scarcella</b:Last>
            <b:First>M</b:First>
          </b:Person>
          <b:Person>
            <b:Last>Briscoe</b:Last>
            <b:First>K</b:First>
          </b:Person>
          <b:Person>
            <b:Last>Forbes</b:Last>
            <b:First>D</b:First>
          </b:Person>
          <b:Person>
            <b:Last>Jacques</b:Last>
            <b:First>M</b:First>
          </b:Person>
          <b:Person>
            <b:Last>Maze</b:Last>
            <b:First>D</b:First>
          </b:Person>
          <b:Person>
            <b:Last>Porykali</b:Last>
            <b:First>B</b:First>
          </b:Person>
          <b:Person>
            <b:Last>Bourke</b:Last>
            <b:First>E</b:First>
          </b:Person>
          <b:Person>
            <b:Last>Kairuz Santos</b:Last>
            <b:Middle>A</b:Middle>
            <b:First>C</b:First>
          </b:Person>
        </b:NameList>
      </b:Author>
    </b:Author>
    <b:DOI>10.1186/s12913-023-09567-5</b:DOI>
    <b:RefOrder>53</b:RefOrder>
  </b:Source>
  <b:Source>
    <b:Tag>Sum24</b:Tag>
    <b:SourceType>JournalArticle</b:SourceType>
    <b:Guid>{A80FD4C8-255C-45CC-ACCB-68941CF20696}</b:Guid>
    <b:Title>Co-designing care for multimorbidity: a systematic review</b:Title>
    <b:JournalName>BMC Medicine</b:JournalName>
    <b:Year>2024</b:Year>
    <b:Pages>58</b:Pages>
    <b:Volume>22</b:Volume>
    <b:Author>
      <b:Author>
        <b:NameList>
          <b:Person>
            <b:Last>Sumner</b:Last>
            <b:First>J</b:First>
          </b:Person>
          <b:Person>
            <b:Last>Ng</b:Last>
            <b:Middle>WT</b:Middle>
            <b:First>C</b:First>
          </b:Person>
          <b:Person>
            <b:Last>Teo</b:Last>
            <b:Middle>EL</b:Middle>
            <b:First>K</b:First>
          </b:Person>
          <b:Person>
            <b:Last>Peh</b:Last>
            <b:Middle>LT</b:Middle>
            <b:First>A</b:First>
          </b:Person>
          <b:Person>
            <b:Last>Lim</b:Last>
            <b:Middle>W</b:Middle>
            <b:First>Y</b:First>
          </b:Person>
        </b:NameList>
      </b:Author>
    </b:Author>
    <b:DOI>10.1186/s12916-024-03263-9</b:DOI>
    <b:RefOrder>61</b:RefOrder>
  </b:Source>
  <b:Source>
    <b:Tag>Ara</b:Tag>
    <b:SourceType>JournalArticle</b:SourceType>
    <b:Guid>{6B923944-BB7D-409B-9AC5-54B982DF007F}</b:Guid>
    <b:Author>
      <b:Author>
        <b:Corporate>Aramrat et al.</b:Corporate>
      </b:Author>
    </b:Author>
    <b:Title>Advancing multimorbidity management in primary care: a narrative review</b:Title>
    <b:RefOrder>64</b:RefOrder>
  </b:Source>
  <b:Source>
    <b:Tag>Woo25</b:Tag>
    <b:SourceType>JournalArticle</b:SourceType>
    <b:Guid>{4913AE97-CCB8-464C-B9BC-688D23629AB1}</b:Guid>
    <b:Title>Where to for digital health? The Australian Council of Senior Academic Leaders in Digital Health action plan</b:Title>
    <b:JournalName>Australian Health Review</b:JournalName>
    <b:Year>2025</b:Year>
    <b:Volume>49</b:Volume>
    <b:Author>
      <b:Author>
        <b:NameList>
          <b:Person>
            <b:Last>Woods</b:Last>
            <b:First>L</b:First>
          </b:Person>
          <b:Person>
            <b:Last>Haines</b:Last>
            <b:First>M</b:First>
          </b:Person>
          <b:Person>
            <b:Last>Arabi</b:Last>
            <b:First>S</b:First>
          </b:Person>
          <b:Person>
            <b:Last>Boyd</b:Last>
            <b:First>J</b:First>
          </b:Person>
          <b:Person>
            <b:Last>Butler-Henderson</b:Last>
            <b:First>K</b:First>
          </b:Person>
          <b:Person>
            <b:Last>Gray</b:Last>
            <b:First>K</b:First>
          </b:Person>
          <b:Person>
            <b:Last>Gruen</b:Last>
            <b:Middle>L</b:Middle>
            <b:First>R</b:First>
          </b:Person>
          <b:Person>
            <b:Last>Guinea</b:Last>
            <b:First>S</b:First>
          </b:Person>
          <b:Person>
            <b:Last>Bennett</b:Last>
            <b:First>C</b:First>
          </b:Person>
          <b:Person>
            <b:Last>Sullivan</b:Last>
            <b:First>C</b:First>
          </b:Person>
        </b:NameList>
      </b:Author>
    </b:Author>
    <b:DOI>10.1071/AH25039</b:DOI>
    <b:RefOrder>68</b:RefOrder>
  </b:Source>
  <b:Source>
    <b:Tag>Aus2413</b:Tag>
    <b:SourceType>InternetSite</b:SourceType>
    <b:Guid>{55FB0D8C-0847-45FA-A963-801C56EB9F57}</b:Guid>
    <b:Title>'Access to health services', People with disability in Australia</b:Title>
    <b:Year>2024</b:Year>
    <b:Author>
      <b:Author>
        <b:Corporate>Australian Institute of Health and Welfare</b:Corporate>
      </b:Author>
    </b:Author>
    <b:YearAccessed>2025</b:YearAccessed>
    <b:MonthAccessed>July</b:MonthAccessed>
    <b:DayAccessed>7</b:DayAccessed>
    <b:URL>https://www.aihw.gov.au/reports/disability/people-with-disability-in-australia/contents/health/access-to-health-services</b:URL>
    <b:InternetSiteTitle>AIHW website</b:InternetSiteTitle>
    <b:RefOrder>83</b:RefOrder>
  </b:Source>
  <b:Source>
    <b:Tag>Roy232</b:Tag>
    <b:SourceType>Report</b:SourceType>
    <b:Guid>{33FCDF8F-3E27-440C-AF95-6AC68E531DA8}</b:Guid>
    <b:Title>Final report - Volume 6, Enabling autonomy and access</b:Title>
    <b:Year>2023</b:Year>
    <b:URL>https://disability.royalcommission.gov.au/publications/final-report-volume-6-enabling-autonomy-and-access</b:URL>
    <b:Author>
      <b:Author>
        <b:Corporate>Royal Commission into Violence, Abuse, Neglect and Exploitation of People with Disability</b:Corporate>
      </b:Author>
    </b:Author>
    <b:Publisher>Commonwealth of Australia</b:Publisher>
    <b:RefOrder>89</b:RefOrder>
  </b:Source>
  <b:Source>
    <b:Tag>Yad</b:Tag>
    <b:SourceType>Report</b:SourceType>
    <b:Guid>{1A65A6F2-1C62-4D25-87CF-F25F052C942A}</b:Guid>
    <b:Author>
      <b:Author>
        <b:Corporate>Yadav et al.</b:Corporate>
      </b:Author>
    </b:Author>
    <b:Title>A rapid review to inform the policy and practice for the implementation of chronic disease prevention and management programs for Aboriginal and Torres Strait Islander people in primary care</b:Title>
    <b:RefOrder>93</b:RefOrder>
  </b:Source>
  <b:Source>
    <b:Tag>Org21</b:Tag>
    <b:SourceType>Report</b:SourceType>
    <b:Guid>{9A97FEEA-E552-44AA-84EE-82735919363E}</b:Guid>
    <b:Title>Core services and outcomes framework: the model of Aboriginal and Torres Strait Islander community controlled comprehensive primary health care</b:Title>
    <b:Year>2021</b:Year>
    <b:Author>
      <b:Author>
        <b:Corporate>National Aboriginal Community Controlled Health Organisation</b:Corporate>
      </b:Author>
    </b:Author>
    <b:Publisher>NACCHO</b:Publisher>
    <b:URL>https://csof.naccho.org.au/</b:URL>
    <b:RefOrder>126</b:RefOrder>
  </b:Source>
  <b:Source>
    <b:Tag>NAC</b:Tag>
    <b:SourceType>Report</b:SourceType>
    <b:Guid>{43B80062-F45F-4724-A2CD-5D4587178144}</b:Guid>
    <b:Author>
      <b:Author>
        <b:Corporate>NACCHO</b:Corporate>
      </b:Author>
    </b:Author>
    <b:Title>Core services and outcomes framework: the model of Aboriginal and Torres Strait Islander community controlled comprehensive primary health care</b:Title>
    <b:RefOrder>94</b:RefOrder>
  </b:Source>
  <b:Source>
    <b:Tag>Placeholder1</b:Tag>
    <b:SourceType>Report</b:SourceType>
    <b:Guid>{654CF639-949A-4FFB-BE10-5885836A05EC}</b:Guid>
    <b:Author>
      <b:Author>
        <b:Corporate>Department of Health, Disability and Ageing</b:Corporate>
      </b:Author>
    </b:Author>
    <b:Title>Thematic analysis</b:Title>
    <b:Year>2025</b:Year>
    <b:Publisher>Department of Health, Disability and Ageing, Australian Government</b:Publisher>
    <b:RefOrder>127</b:RefOrder>
  </b:Source>
  <b:Source>
    <b:Tag>Dep251</b:Tag>
    <b:SourceType>Report</b:SourceType>
    <b:Guid>{602CD6D0-1451-4EFA-A81F-1F60286CF3AB}</b:Guid>
    <b:Author>
      <b:Author>
        <b:Corporate>Department of Health, Disability and Ageing</b:Corporate>
      </b:Author>
    </b:Author>
    <b:Title>[Insert title]</b:Title>
    <b:Year>2025</b:Year>
    <b:Publisher>Department of Health, Disability and Ageing, Australian Government</b:Publisher>
    <b:URL>[Insert URL]</b:URL>
    <b:RefOrder>2</b:RefOrder>
  </b:Source>
  <b:Source>
    <b:Tag>Dep252</b:Tag>
    <b:SourceType>Report</b:SourceType>
    <b:Guid>{26F590E4-DEF0-4C01-BC11-03753401513A}</b:Guid>
    <b:Author>
      <b:Author>
        <b:Corporate>Department of Health, Disability and Ageing</b:Corporate>
      </b:Author>
    </b:Author>
    <b:Title>[Insert title]</b:Title>
    <b:Year>2025</b:Year>
    <b:Publisher>Department of Health, Disability and Ageing, Australian Government</b:Publisher>
    <b:URL>[Insert url]</b:URL>
    <b:RefOrder>128</b:RefOrder>
  </b:Source>
</b:Sources>
</file>

<file path=customXml/item3.xml><?xml version="1.0" encoding="utf-8"?>
<ct:contentTypeSchema xmlns:ct="http://schemas.microsoft.com/office/2006/metadata/contentType" xmlns:ma="http://schemas.microsoft.com/office/2006/metadata/properties/metaAttributes" ct:_="" ma:_="" ma:contentTypeName="Document" ma:contentTypeID="0x010100341C8A1A3835A346BC10F60D71DBDFB6" ma:contentTypeVersion="12" ma:contentTypeDescription="Create a new document." ma:contentTypeScope="" ma:versionID="29e07e4dff57c5e9e81b3217d18545ce">
  <xsd:schema xmlns:xsd="http://www.w3.org/2001/XMLSchema" xmlns:xs="http://www.w3.org/2001/XMLSchema" xmlns:p="http://schemas.microsoft.com/office/2006/metadata/properties" xmlns:ns2="c4594a31-abeb-4eef-8e81-3201cbe04dc5" xmlns:ns3="55f32057-c7d7-4cf2-a083-f930dcef3185" targetNamespace="http://schemas.microsoft.com/office/2006/metadata/properties" ma:root="true" ma:fieldsID="d44e9d63943e91041cb99a1571736c65" ns2:_="" ns3:_="">
    <xsd:import namespace="c4594a31-abeb-4eef-8e81-3201cbe04dc5"/>
    <xsd:import namespace="55f32057-c7d7-4cf2-a083-f930dcef318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Not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4594a31-abeb-4eef-8e81-3201cbe04dc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Notes" ma:index="12" nillable="true" ma:displayName="Notes" ma:format="Dropdown" ma:internalName="Notes">
      <xsd:simpleType>
        <xsd:restriction base="dms:Note">
          <xsd:maxLength value="255"/>
        </xsd:restriction>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5f32057-c7d7-4cf2-a083-f930dcef3185"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968f77b1-0cd5-4996-9aae-a29d6c83050c}" ma:internalName="TaxCatchAll" ma:showField="CatchAllData" ma:web="55f32057-c7d7-4cf2-a083-f930dcef318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20C6417-ADBB-487B-9091-DC3471F064BF}">
  <ds:schemaRefs>
    <ds:schemaRef ds:uri="http://schemas.microsoft.com/office/2006/metadata/properties"/>
    <ds:schemaRef ds:uri="http://schemas.microsoft.com/office/infopath/2007/PartnerControls"/>
    <ds:schemaRef ds:uri="55f32057-c7d7-4cf2-a083-f930dcef3185"/>
    <ds:schemaRef ds:uri="c4594a31-abeb-4eef-8e81-3201cbe04dc5"/>
  </ds:schemaRefs>
</ds:datastoreItem>
</file>

<file path=customXml/itemProps2.xml><?xml version="1.0" encoding="utf-8"?>
<ds:datastoreItem xmlns:ds="http://schemas.openxmlformats.org/officeDocument/2006/customXml" ds:itemID="{1C95CE18-650D-4A19-8CC1-0680D8A53EA3}">
  <ds:schemaRefs>
    <ds:schemaRef ds:uri="http://schemas.openxmlformats.org/officeDocument/2006/bibliography"/>
  </ds:schemaRefs>
</ds:datastoreItem>
</file>

<file path=customXml/itemProps3.xml><?xml version="1.0" encoding="utf-8"?>
<ds:datastoreItem xmlns:ds="http://schemas.openxmlformats.org/officeDocument/2006/customXml" ds:itemID="{AFA1C016-7619-4BA8-9166-FE82567F919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4594a31-abeb-4eef-8e81-3201cbe04dc5"/>
    <ds:schemaRef ds:uri="55f32057-c7d7-4cf2-a083-f930dcef318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BFCAFB5-863C-4C24-ACB5-1626D6CA35D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Department of Health, Disability and Ageing long document template.dotx</Template>
  <TotalTime>18</TotalTime>
  <Pages>70</Pages>
  <Words>23618</Words>
  <Characters>147849</Characters>
  <Application>Microsoft Office Word</Application>
  <DocSecurity>0</DocSecurity>
  <Lines>3017</Lines>
  <Paragraphs>1360</Paragraphs>
  <ScaleCrop>false</ScaleCrop>
  <HeadingPairs>
    <vt:vector size="2" baseType="variant">
      <vt:variant>
        <vt:lpstr>Title</vt:lpstr>
      </vt:variant>
      <vt:variant>
        <vt:i4>1</vt:i4>
      </vt:variant>
    </vt:vector>
  </HeadingPairs>
  <TitlesOfParts>
    <vt:vector size="1" baseType="lpstr">
      <vt:lpstr>National Strategic Framework for Chronic Conditions 2025-35</vt:lpstr>
    </vt:vector>
  </TitlesOfParts>
  <Company/>
  <LinksUpToDate>false</LinksUpToDate>
  <CharactersWithSpaces>170107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Strategic Framework for Chronic Conditions 2026-35</dc:title>
  <dc:subject>Chronic Conditions</dc:subject>
  <dc:creator>Australian Government Department of Health, Disability and Ageing</dc:creator>
  <cp:keywords>Chronic Conditions; National Strategic Framework for Chronic Conditons</cp:keywords>
  <dc:description/>
  <cp:lastModifiedBy>MASCHKE, Elvia</cp:lastModifiedBy>
  <cp:revision>6</cp:revision>
  <cp:lastPrinted>2025-12-10T08:25:00Z</cp:lastPrinted>
  <dcterms:created xsi:type="dcterms:W3CDTF">2026-03-12T00:52:00Z</dcterms:created>
  <dcterms:modified xsi:type="dcterms:W3CDTF">2026-03-16T01:42:00Z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oject">
    <vt:lpwstr>170;#Style Guide|fae42d66-6622-4466-b060-a03a1a4f59f8</vt:lpwstr>
  </property>
  <property fmtid="{D5CDD505-2E9C-101B-9397-08002B2CF9AE}" pid="3" name="File Structure">
    <vt:lpwstr>169;#Style Guide|aa9bcad4-d3b7-4fe1-b475-a8e6573a6ad1</vt:lpwstr>
  </property>
  <property fmtid="{D5CDD505-2E9C-101B-9397-08002B2CF9AE}" pid="4" name="ContentTypeId">
    <vt:lpwstr>0x010100341C8A1A3835A346BC10F60D71DBDFB6</vt:lpwstr>
  </property>
  <property fmtid="{D5CDD505-2E9C-101B-9397-08002B2CF9AE}" pid="5" name="Section">
    <vt:lpwstr>5;#PCPD CC Corporate Communication SN|73cff0d0-7b20-43e0-ad96-75a3b55de641</vt:lpwstr>
  </property>
  <property fmtid="{D5CDD505-2E9C-101B-9397-08002B2CF9AE}" pid="6" name="_dlc_DocIdItemGuid">
    <vt:lpwstr>a426ee89-c542-4001-9568-42ab871bcd38</vt:lpwstr>
  </property>
  <property fmtid="{D5CDD505-2E9C-101B-9397-08002B2CF9AE}" pid="7" name="Keywords1">
    <vt:lpwstr>4;#Visual identity|a54ebda2-a0fd-45ec-8fc0-1cf31001b526;#4;# Publication|ceddc8ea-8859-47b3-b823-3ba7a7ee3d12</vt:lpwstr>
  </property>
  <property fmtid="{D5CDD505-2E9C-101B-9397-08002B2CF9AE}" pid="8" name="Information type">
    <vt:lpwstr>42;#Template|0635ea83-9a41-497c-9b11-d9d7178dcab7</vt:lpwstr>
  </property>
  <property fmtid="{D5CDD505-2E9C-101B-9397-08002B2CF9AE}" pid="9" name="MediaServiceImageTags">
    <vt:lpwstr/>
  </property>
  <property fmtid="{D5CDD505-2E9C-101B-9397-08002B2CF9AE}" pid="10" name="Contact">
    <vt:lpwstr>89;#designteam@health.gov.au|08e901f7-7c65-407e-b680-5c7872e4b1fa</vt:lpwstr>
  </property>
  <property fmtid="{D5CDD505-2E9C-101B-9397-08002B2CF9AE}" pid="11" name="cb2019c76ecc464c80d551fda75bd74e">
    <vt:lpwstr>PCPD CC Corporate Communication SN|73cff0d0-7b20-43e0-ad96-75a3b55de641</vt:lpwstr>
  </property>
  <property fmtid="{D5CDD505-2E9C-101B-9397-08002B2CF9AE}" pid="12" name="p76df81b8fed4a2fa2af18761f9ff90d">
    <vt:lpwstr>Visual identity|a54ebda2-a0fd-45ec-8fc0-1cf31001b526; Publication|ceddc8ea-8859-47b3-b823-3ba7a7ee3d12</vt:lpwstr>
  </property>
  <property fmtid="{D5CDD505-2E9C-101B-9397-08002B2CF9AE}" pid="13" name="Intranet">
    <vt:bool>true</vt:bool>
  </property>
  <property fmtid="{D5CDD505-2E9C-101B-9397-08002B2CF9AE}" pid="14" name="Int_x002d_InformationType">
    <vt:lpwstr/>
  </property>
  <property fmtid="{D5CDD505-2E9C-101B-9397-08002B2CF9AE}" pid="15" name="pfd27f99efda4409b63228bea026394d">
    <vt:lpwstr>Template|0635ea83-9a41-497c-9b11-d9d7178dcab7</vt:lpwstr>
  </property>
  <property fmtid="{D5CDD505-2E9C-101B-9397-08002B2CF9AE}" pid="16" name="Int_x002d_Topics">
    <vt:lpwstr/>
  </property>
  <property fmtid="{D5CDD505-2E9C-101B-9397-08002B2CF9AE}" pid="17" name="Last reviewed">
    <vt:filetime>2023-05-10T14:00:00Z</vt:filetime>
  </property>
  <property fmtid="{D5CDD505-2E9C-101B-9397-08002B2CF9AE}" pid="18" name="jf042baad2b143719d8a0cfd36411dfb">
    <vt:lpwstr>designteam@health.gov.au|08e901f7-7c65-407e-b680-5c7872e4b1fa</vt:lpwstr>
  </property>
  <property fmtid="{D5CDD505-2E9C-101B-9397-08002B2CF9AE}" pid="19" name="Int_x002d_Contact">
    <vt:lpwstr/>
  </property>
  <property fmtid="{D5CDD505-2E9C-101B-9397-08002B2CF9AE}" pid="20" name="Int-Contact">
    <vt:lpwstr>89;#|08e901f7-7c65-407e-b680-5c7872e4b1fa</vt:lpwstr>
  </property>
  <property fmtid="{D5CDD505-2E9C-101B-9397-08002B2CF9AE}" pid="21" name="Int-InformationType">
    <vt:lpwstr>42;#|0635ea83-9a41-497c-9b11-d9d7178dcab7</vt:lpwstr>
  </property>
  <property fmtid="{D5CDD505-2E9C-101B-9397-08002B2CF9AE}" pid="22" name="Int-Topics">
    <vt:lpwstr>4;#visual identity|a54ebda2-a0fd-45ec-8fc0-1cf31001b526</vt:lpwstr>
  </property>
  <property fmtid="{D5CDD505-2E9C-101B-9397-08002B2CF9AE}" pid="23" name="lcf76f155ced4ddcb4097134ff3c332f">
    <vt:lpwstr/>
  </property>
  <property fmtid="{D5CDD505-2E9C-101B-9397-08002B2CF9AE}" pid="24" name="ClassificationContentMarkingHeaderShapeIds">
    <vt:lpwstr>4a7e5750,4ee7241e,4bbbe4fc,68946233,1fe9ee10,49ba0525,58d7a1c0</vt:lpwstr>
  </property>
  <property fmtid="{D5CDD505-2E9C-101B-9397-08002B2CF9AE}" pid="25" name="ClassificationContentMarkingHeaderFontProps">
    <vt:lpwstr>#ff0000,12,Calibri</vt:lpwstr>
  </property>
  <property fmtid="{D5CDD505-2E9C-101B-9397-08002B2CF9AE}" pid="26" name="ClassificationContentMarkingHeaderText">
    <vt:lpwstr>OFFICIAL</vt:lpwstr>
  </property>
  <property fmtid="{D5CDD505-2E9C-101B-9397-08002B2CF9AE}" pid="27" name="ClassificationContentMarkingFooterShapeIds">
    <vt:lpwstr>7b43f99,2e31980d,90243bd,6f0f835a,265bc137,32e373a4,3f94d48e</vt:lpwstr>
  </property>
  <property fmtid="{D5CDD505-2E9C-101B-9397-08002B2CF9AE}" pid="28" name="ClassificationContentMarkingFooterFontProps">
    <vt:lpwstr>#ff0000,12,Calibri</vt:lpwstr>
  </property>
  <property fmtid="{D5CDD505-2E9C-101B-9397-08002B2CF9AE}" pid="29" name="ClassificationContentMarkingFooterText">
    <vt:lpwstr>OFFICIAL</vt:lpwstr>
  </property>
  <property fmtid="{D5CDD505-2E9C-101B-9397-08002B2CF9AE}" pid="30" name="MSIP_Label_7cd3e8b9-ffed-43a8-b7f4-cc2fa0382d36_Enabled">
    <vt:lpwstr>true</vt:lpwstr>
  </property>
  <property fmtid="{D5CDD505-2E9C-101B-9397-08002B2CF9AE}" pid="31" name="MSIP_Label_7cd3e8b9-ffed-43a8-b7f4-cc2fa0382d36_SetDate">
    <vt:lpwstr>2025-07-30T05:07:40Z</vt:lpwstr>
  </property>
  <property fmtid="{D5CDD505-2E9C-101B-9397-08002B2CF9AE}" pid="32" name="MSIP_Label_7cd3e8b9-ffed-43a8-b7f4-cc2fa0382d36_Method">
    <vt:lpwstr>Privileged</vt:lpwstr>
  </property>
  <property fmtid="{D5CDD505-2E9C-101B-9397-08002B2CF9AE}" pid="33" name="MSIP_Label_7cd3e8b9-ffed-43a8-b7f4-cc2fa0382d36_Name">
    <vt:lpwstr>O</vt:lpwstr>
  </property>
  <property fmtid="{D5CDD505-2E9C-101B-9397-08002B2CF9AE}" pid="34" name="MSIP_Label_7cd3e8b9-ffed-43a8-b7f4-cc2fa0382d36_SiteId">
    <vt:lpwstr>34a3929c-73cf-4954-abfe-147dc3517892</vt:lpwstr>
  </property>
  <property fmtid="{D5CDD505-2E9C-101B-9397-08002B2CF9AE}" pid="35" name="MSIP_Label_7cd3e8b9-ffed-43a8-b7f4-cc2fa0382d36_ActionId">
    <vt:lpwstr>a71bdc16-cf4a-4696-b089-16a57e0aeeb7</vt:lpwstr>
  </property>
  <property fmtid="{D5CDD505-2E9C-101B-9397-08002B2CF9AE}" pid="36" name="MSIP_Label_7cd3e8b9-ffed-43a8-b7f4-cc2fa0382d36_ContentBits">
    <vt:lpwstr>3</vt:lpwstr>
  </property>
  <property fmtid="{D5CDD505-2E9C-101B-9397-08002B2CF9AE}" pid="37" name="MSIP_Label_7cd3e8b9-ffed-43a8-b7f4-cc2fa0382d36_Tag">
    <vt:lpwstr>10, 0, 1, 2</vt:lpwstr>
  </property>
  <property fmtid="{D5CDD505-2E9C-101B-9397-08002B2CF9AE}" pid="38" name="docLang">
    <vt:lpwstr>en</vt:lpwstr>
  </property>
  <property fmtid="{D5CDD505-2E9C-101B-9397-08002B2CF9AE}" pid="39" name="mfb9edab7134471d8c78133ba7b278810">
    <vt:lpwstr>PCPD CC Corporate Communication SN|73cff0d0-7b20-43e0-ad96-75a3b55de641</vt:lpwstr>
  </property>
</Properties>
</file>