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6DB5" w14:textId="2F5D4701" w:rsidR="00280050" w:rsidRPr="00E8788E" w:rsidRDefault="00B57B1F" w:rsidP="00E8788E">
      <w:pPr>
        <w:pStyle w:val="Title"/>
      </w:pPr>
      <w:r w:rsidRPr="00E8788E">
        <w:t xml:space="preserve">National Autism Strategy 2025-31: First year Implementation </w:t>
      </w:r>
      <w:r w:rsidR="00E8788E">
        <w:t>u</w:t>
      </w:r>
      <w:r w:rsidRPr="00E8788E">
        <w:t>pdate</w:t>
      </w:r>
    </w:p>
    <w:p w14:paraId="6214BFD7" w14:textId="7ACE999F" w:rsidR="00B57B1F" w:rsidRPr="00E8788E" w:rsidRDefault="00B57B1F" w:rsidP="00E8788E">
      <w:pPr>
        <w:pStyle w:val="ListBullet"/>
      </w:pPr>
      <w:r w:rsidRPr="00E8788E">
        <w:rPr>
          <w:rStyle w:val="Strong"/>
        </w:rPr>
        <w:t>81%</w:t>
      </w:r>
      <w:r w:rsidRPr="00B57B1F">
        <w:t xml:space="preserve"> of actions in the </w:t>
      </w:r>
      <w:r w:rsidRPr="00E8788E">
        <w:rPr>
          <w:rStyle w:val="Strong"/>
        </w:rPr>
        <w:t>National Autism Strategy First Action Plan 2025</w:t>
      </w:r>
      <w:r w:rsidRPr="00E8788E">
        <w:rPr>
          <w:rStyle w:val="Strong"/>
        </w:rPr>
        <w:noBreakHyphen/>
        <w:t>26</w:t>
      </w:r>
      <w:r w:rsidRPr="00B57B1F">
        <w:t xml:space="preserve"> commenced.</w:t>
      </w:r>
    </w:p>
    <w:p w14:paraId="424EB6D8" w14:textId="3119162D" w:rsidR="00B57B1F" w:rsidRPr="00B57B1F" w:rsidRDefault="00B57B1F" w:rsidP="00E8788E">
      <w:pPr>
        <w:pStyle w:val="ListBullet"/>
      </w:pPr>
      <w:r w:rsidRPr="00E8788E">
        <w:rPr>
          <w:rStyle w:val="Strong"/>
        </w:rPr>
        <w:t>National Autism Strategy Reference Group</w:t>
      </w:r>
      <w:r w:rsidRPr="00B57B1F">
        <w:t>:</w:t>
      </w:r>
    </w:p>
    <w:p w14:paraId="5D4DB849" w14:textId="34086D1D" w:rsidR="00B57B1F" w:rsidRPr="00B57B1F" w:rsidRDefault="00B57B1F" w:rsidP="00E8788E">
      <w:pPr>
        <w:pStyle w:val="ListBullet2"/>
      </w:pPr>
      <w:r w:rsidRPr="00B57B1F">
        <w:t xml:space="preserve">Autistic and autism community members </w:t>
      </w:r>
    </w:p>
    <w:p w14:paraId="09A3A5CF" w14:textId="77777777" w:rsidR="00B57B1F" w:rsidRPr="00B57B1F" w:rsidRDefault="00B57B1F" w:rsidP="00E8788E">
      <w:pPr>
        <w:pStyle w:val="ListBullet2"/>
      </w:pPr>
      <w:r w:rsidRPr="00B57B1F">
        <w:t xml:space="preserve">Autistic professionals/researchers </w:t>
      </w:r>
    </w:p>
    <w:p w14:paraId="2141D5F9" w14:textId="50679B25" w:rsidR="00B57B1F" w:rsidRPr="00E8788E" w:rsidRDefault="00B57B1F" w:rsidP="00E8788E">
      <w:pPr>
        <w:pStyle w:val="ListBullet2"/>
      </w:pPr>
      <w:r w:rsidRPr="00B57B1F">
        <w:t xml:space="preserve">Government representatives. </w:t>
      </w:r>
    </w:p>
    <w:p w14:paraId="457567B0" w14:textId="0CA7D21C" w:rsidR="00B57B1F" w:rsidRPr="00B57B1F" w:rsidRDefault="00B57B1F" w:rsidP="00E8788E">
      <w:pPr>
        <w:pStyle w:val="ListBullet"/>
      </w:pPr>
      <w:r w:rsidRPr="00E8788E">
        <w:rPr>
          <w:rStyle w:val="Strong"/>
        </w:rPr>
        <w:t>7 policy/program reviews</w:t>
      </w:r>
      <w:r w:rsidRPr="00B57B1F">
        <w:t>:</w:t>
      </w:r>
    </w:p>
    <w:p w14:paraId="4417A261" w14:textId="6B94ED74" w:rsidR="00B57B1F" w:rsidRPr="00B57B1F" w:rsidRDefault="00B57B1F" w:rsidP="00E8788E">
      <w:pPr>
        <w:pStyle w:val="ListBullet2"/>
      </w:pPr>
      <w:r w:rsidRPr="00B57B1F">
        <w:t>assessment and diagnosis</w:t>
      </w:r>
    </w:p>
    <w:p w14:paraId="59BD3C1A" w14:textId="77777777" w:rsidR="00B57B1F" w:rsidRPr="00B57B1F" w:rsidRDefault="00B57B1F" w:rsidP="00E8788E">
      <w:pPr>
        <w:pStyle w:val="ListBullet2"/>
      </w:pPr>
      <w:r w:rsidRPr="00B57B1F">
        <w:t xml:space="preserve">community awareness </w:t>
      </w:r>
    </w:p>
    <w:p w14:paraId="4BB79B9E" w14:textId="77777777" w:rsidR="00B57B1F" w:rsidRPr="00B57B1F" w:rsidRDefault="00B57B1F" w:rsidP="00E8788E">
      <w:pPr>
        <w:pStyle w:val="ListBullet2"/>
      </w:pPr>
      <w:r w:rsidRPr="00B57B1F">
        <w:t xml:space="preserve">employment </w:t>
      </w:r>
    </w:p>
    <w:p w14:paraId="5DD9E4FF" w14:textId="4B665DAC" w:rsidR="00B57B1F" w:rsidRPr="00B57B1F" w:rsidRDefault="00B57B1F" w:rsidP="00E8788E">
      <w:pPr>
        <w:pStyle w:val="ListBullet2"/>
      </w:pPr>
      <w:r w:rsidRPr="00B57B1F">
        <w:t>evidence and evaluation</w:t>
      </w:r>
    </w:p>
    <w:p w14:paraId="0B32FA5C" w14:textId="312463EE" w:rsidR="00B57B1F" w:rsidRPr="00B57B1F" w:rsidRDefault="00B57B1F" w:rsidP="00E8788E">
      <w:pPr>
        <w:pStyle w:val="ListBullet2"/>
      </w:pPr>
      <w:r w:rsidRPr="00B57B1F">
        <w:t>peer support</w:t>
      </w:r>
    </w:p>
    <w:p w14:paraId="3DBB483B" w14:textId="5C1A7022" w:rsidR="00B57B1F" w:rsidRPr="00B57B1F" w:rsidRDefault="00B57B1F" w:rsidP="00E8788E">
      <w:pPr>
        <w:pStyle w:val="ListBullet2"/>
      </w:pPr>
      <w:r w:rsidRPr="00B57B1F">
        <w:t>research</w:t>
      </w:r>
    </w:p>
    <w:p w14:paraId="1F53FEF8" w14:textId="7D4CBDE9" w:rsidR="00B57B1F" w:rsidRPr="00E8788E" w:rsidRDefault="00B57B1F" w:rsidP="00E8788E">
      <w:pPr>
        <w:pStyle w:val="ListBullet2"/>
      </w:pPr>
      <w:r w:rsidRPr="00B57B1F">
        <w:t>service provider training.</w:t>
      </w:r>
    </w:p>
    <w:p w14:paraId="70EA1B4B" w14:textId="16E32FF7" w:rsidR="00B57B1F" w:rsidRPr="00E8788E" w:rsidRDefault="00B57B1F" w:rsidP="00E8788E">
      <w:pPr>
        <w:pStyle w:val="ListBullet"/>
      </w:pPr>
      <w:r w:rsidRPr="00E8788E">
        <w:rPr>
          <w:rStyle w:val="Strong"/>
        </w:rPr>
        <w:t>Organisations contracted to deliver on actions</w:t>
      </w:r>
      <w:r w:rsidRPr="00B57B1F">
        <w:t xml:space="preserve"> were required to partner with Autistic-led and/ or autism focused organisations to ensure that </w:t>
      </w:r>
      <w:r w:rsidRPr="00E8788E">
        <w:rPr>
          <w:rStyle w:val="Strong"/>
        </w:rPr>
        <w:t>lived experience remains central to implementation</w:t>
      </w:r>
      <w:r w:rsidRPr="00B57B1F">
        <w:t>.</w:t>
      </w:r>
    </w:p>
    <w:p w14:paraId="73D536D4" w14:textId="11E93917" w:rsidR="00B57B1F" w:rsidRPr="00B57B1F" w:rsidRDefault="00B57B1F" w:rsidP="00E8788E">
      <w:pPr>
        <w:pStyle w:val="ListBullet"/>
      </w:pPr>
      <w:r w:rsidRPr="00B57B1F">
        <w:t xml:space="preserve">Continued to </w:t>
      </w:r>
      <w:r w:rsidRPr="00B57B1F">
        <w:rPr>
          <w:b/>
          <w:bCs/>
        </w:rPr>
        <w:t xml:space="preserve">listen and engage with community </w:t>
      </w:r>
      <w:r w:rsidRPr="00B57B1F">
        <w:t xml:space="preserve">through attendance at: </w:t>
      </w:r>
    </w:p>
    <w:p w14:paraId="55A54A0B" w14:textId="77777777" w:rsidR="00B57B1F" w:rsidRPr="00B57B1F" w:rsidRDefault="00B57B1F" w:rsidP="00E8788E">
      <w:pPr>
        <w:pStyle w:val="ListBullet2"/>
      </w:pPr>
      <w:r w:rsidRPr="00B57B1F">
        <w:t xml:space="preserve">2025 Yellow Ladybugs Conference </w:t>
      </w:r>
    </w:p>
    <w:p w14:paraId="4116588B" w14:textId="77777777" w:rsidR="00B57B1F" w:rsidRPr="00B57B1F" w:rsidRDefault="00B57B1F" w:rsidP="00E8788E">
      <w:pPr>
        <w:pStyle w:val="ListBullet2"/>
      </w:pPr>
      <w:r w:rsidRPr="00B57B1F">
        <w:t xml:space="preserve">2025 Disability Representative Organisation’s forum </w:t>
      </w:r>
    </w:p>
    <w:p w14:paraId="114FB074" w14:textId="77777777" w:rsidR="00B57B1F" w:rsidRPr="00B57B1F" w:rsidRDefault="00B57B1F" w:rsidP="00E8788E">
      <w:pPr>
        <w:pStyle w:val="ListBullet2"/>
      </w:pPr>
      <w:r w:rsidRPr="00B57B1F">
        <w:t xml:space="preserve">2025 Asia Pacific Autism Conference </w:t>
      </w:r>
    </w:p>
    <w:p w14:paraId="39311175" w14:textId="77777777" w:rsidR="00B57B1F" w:rsidRPr="00B57B1F" w:rsidRDefault="00B57B1F" w:rsidP="00E8788E">
      <w:pPr>
        <w:pStyle w:val="ListBullet2"/>
      </w:pPr>
      <w:r w:rsidRPr="00B57B1F">
        <w:t xml:space="preserve">2025 Profound Autism Symposium </w:t>
      </w:r>
    </w:p>
    <w:p w14:paraId="2B76CF08" w14:textId="2EFDE3C3" w:rsidR="00B57B1F" w:rsidRPr="00E8788E" w:rsidRDefault="00B57B1F" w:rsidP="00E8788E">
      <w:pPr>
        <w:pStyle w:val="ListBullet2"/>
      </w:pPr>
      <w:r w:rsidRPr="00B57B1F">
        <w:t xml:space="preserve">meetings with international governments, Autistic-led and autism organisations. </w:t>
      </w:r>
    </w:p>
    <w:p w14:paraId="5E319A1D" w14:textId="7B655D71" w:rsidR="00B57B1F" w:rsidRPr="00B57B1F" w:rsidRDefault="00B57B1F" w:rsidP="00E8788E">
      <w:pPr>
        <w:pStyle w:val="ListBullet"/>
      </w:pPr>
      <w:r w:rsidRPr="00B57B1F">
        <w:t xml:space="preserve">Continued </w:t>
      </w:r>
      <w:r w:rsidRPr="00B74C64">
        <w:rPr>
          <w:rStyle w:val="Strong"/>
        </w:rPr>
        <w:t>community engagement with 1,037 participations</w:t>
      </w:r>
      <w:hyperlink w:anchor="Ref" w:history="1">
        <w:r w:rsidRPr="00B74C64">
          <w:rPr>
            <w:rStyle w:val="Hyperlink"/>
          </w:rPr>
          <w:t>*</w:t>
        </w:r>
      </w:hyperlink>
      <w:r w:rsidRPr="00B57B1F">
        <w:t xml:space="preserve"> across 314 activities. </w:t>
      </w:r>
    </w:p>
    <w:p w14:paraId="2FF226A0" w14:textId="77777777" w:rsidR="00B57B1F" w:rsidRPr="00B57B1F" w:rsidRDefault="00B57B1F" w:rsidP="00E8788E">
      <w:pPr>
        <w:pStyle w:val="ListBullet2"/>
      </w:pPr>
      <w:r w:rsidRPr="00B57B1F">
        <w:rPr>
          <w:b/>
          <w:bCs/>
        </w:rPr>
        <w:t xml:space="preserve">191 </w:t>
      </w:r>
      <w:r w:rsidRPr="00B57B1F">
        <w:t xml:space="preserve">Interviews </w:t>
      </w:r>
    </w:p>
    <w:p w14:paraId="77C084AA" w14:textId="77777777" w:rsidR="00B57B1F" w:rsidRPr="00B57B1F" w:rsidRDefault="00B57B1F" w:rsidP="00E8788E">
      <w:pPr>
        <w:pStyle w:val="ListBullet2"/>
      </w:pPr>
      <w:r w:rsidRPr="00B57B1F">
        <w:rPr>
          <w:b/>
          <w:bCs/>
        </w:rPr>
        <w:t xml:space="preserve">105 </w:t>
      </w:r>
      <w:r w:rsidRPr="00B57B1F">
        <w:t xml:space="preserve">Focus Groups </w:t>
      </w:r>
    </w:p>
    <w:p w14:paraId="2FAE64F8" w14:textId="77777777" w:rsidR="00B57B1F" w:rsidRPr="00B57B1F" w:rsidRDefault="00B57B1F" w:rsidP="00E8788E">
      <w:pPr>
        <w:pStyle w:val="ListBullet2"/>
      </w:pPr>
      <w:r w:rsidRPr="00B57B1F">
        <w:rPr>
          <w:b/>
          <w:bCs/>
        </w:rPr>
        <w:t xml:space="preserve">7 </w:t>
      </w:r>
      <w:r w:rsidRPr="00B57B1F">
        <w:t xml:space="preserve">Yarning Circles </w:t>
      </w:r>
    </w:p>
    <w:p w14:paraId="506457A2" w14:textId="77777777" w:rsidR="00B57B1F" w:rsidRPr="00B57B1F" w:rsidRDefault="00B57B1F" w:rsidP="00E8788E">
      <w:pPr>
        <w:pStyle w:val="ListBullet2"/>
      </w:pPr>
      <w:r w:rsidRPr="00B57B1F">
        <w:rPr>
          <w:b/>
          <w:bCs/>
        </w:rPr>
        <w:t xml:space="preserve">5 </w:t>
      </w:r>
      <w:r w:rsidRPr="00B57B1F">
        <w:t xml:space="preserve">Online Surveys </w:t>
      </w:r>
    </w:p>
    <w:p w14:paraId="3482BE04" w14:textId="77777777" w:rsidR="00B57B1F" w:rsidRPr="00B57B1F" w:rsidRDefault="00B57B1F" w:rsidP="00E8788E">
      <w:pPr>
        <w:pStyle w:val="ListBullet2"/>
      </w:pPr>
      <w:r w:rsidRPr="00B57B1F">
        <w:rPr>
          <w:b/>
          <w:bCs/>
        </w:rPr>
        <w:t xml:space="preserve">4 </w:t>
      </w:r>
      <w:r w:rsidRPr="00B57B1F">
        <w:t xml:space="preserve">Workshops </w:t>
      </w:r>
    </w:p>
    <w:p w14:paraId="33EB251D" w14:textId="1CA26CB5" w:rsidR="00B57B1F" w:rsidRPr="00E8788E" w:rsidRDefault="00B57B1F" w:rsidP="00E8788E">
      <w:pPr>
        <w:pStyle w:val="ListBullet2"/>
      </w:pPr>
      <w:r w:rsidRPr="00B57B1F">
        <w:rPr>
          <w:b/>
          <w:bCs/>
        </w:rPr>
        <w:t xml:space="preserve">2 </w:t>
      </w:r>
      <w:r w:rsidRPr="00B57B1F">
        <w:t>Online Bulletin Boards.</w:t>
      </w:r>
    </w:p>
    <w:p w14:paraId="7E430484" w14:textId="25925519" w:rsidR="00B57B1F" w:rsidRPr="00B57B1F" w:rsidRDefault="00B57B1F" w:rsidP="00EE75A1">
      <w:pPr>
        <w:pStyle w:val="ListBullet"/>
      </w:pPr>
      <w:r w:rsidRPr="00EE75A1">
        <w:rPr>
          <w:rStyle w:val="Strong"/>
        </w:rPr>
        <w:t>Over 145 organisations engaged</w:t>
      </w:r>
      <w:r w:rsidRPr="00B57B1F">
        <w:t>:</w:t>
      </w:r>
    </w:p>
    <w:p w14:paraId="6C112646" w14:textId="77777777" w:rsidR="00B57B1F" w:rsidRPr="00B57B1F" w:rsidRDefault="00B57B1F" w:rsidP="00E8788E">
      <w:pPr>
        <w:pStyle w:val="ListBullet2"/>
      </w:pPr>
      <w:r w:rsidRPr="00B57B1F">
        <w:t xml:space="preserve">Autistic-led Organisations </w:t>
      </w:r>
    </w:p>
    <w:p w14:paraId="68F6420A" w14:textId="77777777" w:rsidR="00B57B1F" w:rsidRPr="00B57B1F" w:rsidRDefault="00B57B1F" w:rsidP="00E8788E">
      <w:pPr>
        <w:pStyle w:val="ListBullet2"/>
      </w:pPr>
      <w:r w:rsidRPr="00B57B1F">
        <w:t xml:space="preserve">Autism and Professional Peak Bodies </w:t>
      </w:r>
    </w:p>
    <w:p w14:paraId="4A506827" w14:textId="77777777" w:rsidR="00B57B1F" w:rsidRPr="00B57B1F" w:rsidRDefault="00B57B1F" w:rsidP="00E8788E">
      <w:pPr>
        <w:pStyle w:val="ListBullet2"/>
      </w:pPr>
      <w:r w:rsidRPr="00B57B1F">
        <w:t xml:space="preserve">Autism focused Organisations &amp; Disability Sector </w:t>
      </w:r>
    </w:p>
    <w:p w14:paraId="09B876F0" w14:textId="77777777" w:rsidR="00B57B1F" w:rsidRPr="00B57B1F" w:rsidRDefault="00B57B1F" w:rsidP="00E8788E">
      <w:pPr>
        <w:pStyle w:val="ListBullet2"/>
      </w:pPr>
      <w:r w:rsidRPr="00B57B1F">
        <w:t xml:space="preserve">Health, Education &amp; Research Sectors </w:t>
      </w:r>
    </w:p>
    <w:p w14:paraId="04B795B4" w14:textId="77777777" w:rsidR="00B57B1F" w:rsidRPr="00B57B1F" w:rsidRDefault="00B57B1F" w:rsidP="00E8788E">
      <w:pPr>
        <w:pStyle w:val="ListBullet2"/>
      </w:pPr>
      <w:r w:rsidRPr="00B57B1F">
        <w:t xml:space="preserve">Employment, Industry, Regulatory Bodies &amp; Professional Sectors </w:t>
      </w:r>
    </w:p>
    <w:p w14:paraId="6CEDE470" w14:textId="10C35824" w:rsidR="00B57B1F" w:rsidRPr="00E8788E" w:rsidRDefault="00B57B1F" w:rsidP="00E8788E">
      <w:pPr>
        <w:pStyle w:val="ListBullet2"/>
      </w:pPr>
      <w:r w:rsidRPr="00B57B1F">
        <w:t xml:space="preserve">Government, Community &amp; Advocacy Groups and Stakeholders. </w:t>
      </w:r>
    </w:p>
    <w:p w14:paraId="4B4B0A9C" w14:textId="77FE9C1D" w:rsidR="00B57B1F" w:rsidRPr="00B57B1F" w:rsidRDefault="00B57B1F" w:rsidP="00B74C64">
      <w:pPr>
        <w:pStyle w:val="Footer"/>
        <w:spacing w:before="120"/>
      </w:pPr>
      <w:bookmarkStart w:id="0" w:name="Ref"/>
      <w:bookmarkEnd w:id="0"/>
      <w:r w:rsidRPr="00B57B1F">
        <w:t>* ‘Participations’ mean the number of times individuals have participated noting some may have participated more than once.</w:t>
      </w:r>
    </w:p>
    <w:sectPr w:rsidR="00B57B1F" w:rsidRPr="00B57B1F" w:rsidSect="00B74C64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71F5" w14:textId="77777777" w:rsidR="00C12DC3" w:rsidRDefault="00C12DC3" w:rsidP="00B57B1F">
      <w:pPr>
        <w:spacing w:after="0" w:line="240" w:lineRule="auto"/>
      </w:pPr>
      <w:r>
        <w:separator/>
      </w:r>
    </w:p>
  </w:endnote>
  <w:endnote w:type="continuationSeparator" w:id="0">
    <w:p w14:paraId="17777B96" w14:textId="77777777" w:rsidR="00C12DC3" w:rsidRDefault="00C12DC3" w:rsidP="00B5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EECF" w14:textId="27A8265A" w:rsidR="00B57B1F" w:rsidRDefault="00B57B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D40463" wp14:editId="6087C0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33155745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8733B" w14:textId="2099A216" w:rsidR="00B57B1F" w:rsidRPr="00B57B1F" w:rsidRDefault="00B57B1F" w:rsidP="00B57B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57B1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404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70E8733B" w14:textId="2099A216" w:rsidR="00B57B1F" w:rsidRPr="00B57B1F" w:rsidRDefault="00B57B1F" w:rsidP="00B57B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57B1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CD6B" w14:textId="78C94CBA" w:rsidR="00B57B1F" w:rsidRDefault="00B57B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9181B1" wp14:editId="10569A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6024657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2EA45" w14:textId="0AE21BFB" w:rsidR="00B57B1F" w:rsidRPr="00B57B1F" w:rsidRDefault="00B57B1F" w:rsidP="00B57B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57B1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181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0002EA45" w14:textId="0AE21BFB" w:rsidR="00B57B1F" w:rsidRPr="00B57B1F" w:rsidRDefault="00B57B1F" w:rsidP="00B57B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57B1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DC7D" w14:textId="77777777" w:rsidR="00C12DC3" w:rsidRDefault="00C12DC3" w:rsidP="00B57B1F">
      <w:pPr>
        <w:spacing w:after="0" w:line="240" w:lineRule="auto"/>
      </w:pPr>
      <w:r>
        <w:separator/>
      </w:r>
    </w:p>
  </w:footnote>
  <w:footnote w:type="continuationSeparator" w:id="0">
    <w:p w14:paraId="634D515B" w14:textId="77777777" w:rsidR="00C12DC3" w:rsidRDefault="00C12DC3" w:rsidP="00B5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A541" w14:textId="7A2D5580" w:rsidR="00B57B1F" w:rsidRDefault="00B57B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35FEEB" wp14:editId="118582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5216125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C6697" w14:textId="2BD86A33" w:rsidR="00B57B1F" w:rsidRPr="00B57B1F" w:rsidRDefault="00B57B1F" w:rsidP="00B57B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57B1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5FE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185C6697" w14:textId="2BD86A33" w:rsidR="00B57B1F" w:rsidRPr="00B57B1F" w:rsidRDefault="00B57B1F" w:rsidP="00B57B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57B1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7AB5" w14:textId="412695E7" w:rsidR="00B57B1F" w:rsidRDefault="00A40150" w:rsidP="00252BBB">
    <w:pPr>
      <w:pStyle w:val="Header"/>
      <w:jc w:val="center"/>
    </w:pPr>
    <w:r w:rsidRPr="00A40150">
      <w:drawing>
        <wp:anchor distT="0" distB="0" distL="114300" distR="114300" simplePos="0" relativeHeight="251663360" behindDoc="0" locked="0" layoutInCell="1" allowOverlap="1" wp14:anchorId="0051867B" wp14:editId="3C35D5E3">
          <wp:simplePos x="0" y="0"/>
          <wp:positionH relativeFrom="page">
            <wp:align>left</wp:align>
          </wp:positionH>
          <wp:positionV relativeFrom="paragraph">
            <wp:posOffset>-449384</wp:posOffset>
          </wp:positionV>
          <wp:extent cx="7795895" cy="1385570"/>
          <wp:effectExtent l="0" t="0" r="0" b="5080"/>
          <wp:wrapSquare wrapText="bothSides"/>
          <wp:docPr id="8193829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3829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178" cy="138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0EAD" w14:textId="313DBFDD" w:rsidR="00B57B1F" w:rsidRDefault="00B57B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66072" wp14:editId="630C91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0196242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841A0" w14:textId="7ABA4F05" w:rsidR="00B57B1F" w:rsidRPr="00B57B1F" w:rsidRDefault="00B57B1F" w:rsidP="00B57B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57B1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660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1FB841A0" w14:textId="7ABA4F05" w:rsidR="00B57B1F" w:rsidRPr="00B57B1F" w:rsidRDefault="00B57B1F" w:rsidP="00B57B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57B1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17C8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7F9F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3"/>
    <w:multiLevelType w:val="singleLevel"/>
    <w:tmpl w:val="4852E03C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FFFFFF89"/>
    <w:multiLevelType w:val="singleLevel"/>
    <w:tmpl w:val="529C89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76349C"/>
    <w:multiLevelType w:val="hybridMultilevel"/>
    <w:tmpl w:val="AED806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8421AC"/>
    <w:multiLevelType w:val="hybridMultilevel"/>
    <w:tmpl w:val="717C1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6D744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51F1C3F"/>
    <w:multiLevelType w:val="hybridMultilevel"/>
    <w:tmpl w:val="65B696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F7A8A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BE56381"/>
    <w:multiLevelType w:val="hybridMultilevel"/>
    <w:tmpl w:val="50289E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5460068">
    <w:abstractNumId w:val="9"/>
  </w:num>
  <w:num w:numId="2" w16cid:durableId="1148857840">
    <w:abstractNumId w:val="6"/>
  </w:num>
  <w:num w:numId="3" w16cid:durableId="1691905781">
    <w:abstractNumId w:val="1"/>
  </w:num>
  <w:num w:numId="4" w16cid:durableId="2059431863">
    <w:abstractNumId w:val="8"/>
  </w:num>
  <w:num w:numId="5" w16cid:durableId="2043478477">
    <w:abstractNumId w:val="0"/>
  </w:num>
  <w:num w:numId="6" w16cid:durableId="2093811481">
    <w:abstractNumId w:val="5"/>
  </w:num>
  <w:num w:numId="7" w16cid:durableId="933519493">
    <w:abstractNumId w:val="4"/>
  </w:num>
  <w:num w:numId="8" w16cid:durableId="31659096">
    <w:abstractNumId w:val="7"/>
  </w:num>
  <w:num w:numId="9" w16cid:durableId="310673140">
    <w:abstractNumId w:val="3"/>
  </w:num>
  <w:num w:numId="10" w16cid:durableId="146469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1F"/>
    <w:rsid w:val="00042809"/>
    <w:rsid w:val="00252BBB"/>
    <w:rsid w:val="00280050"/>
    <w:rsid w:val="002B41B4"/>
    <w:rsid w:val="00412B60"/>
    <w:rsid w:val="004D6160"/>
    <w:rsid w:val="005D0E08"/>
    <w:rsid w:val="006A7465"/>
    <w:rsid w:val="00702FFA"/>
    <w:rsid w:val="00A40150"/>
    <w:rsid w:val="00B525CF"/>
    <w:rsid w:val="00B57B1F"/>
    <w:rsid w:val="00B74C64"/>
    <w:rsid w:val="00C12DC3"/>
    <w:rsid w:val="00C47AFB"/>
    <w:rsid w:val="00E02C69"/>
    <w:rsid w:val="00E8788E"/>
    <w:rsid w:val="00EE75A1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78533"/>
  <w15:chartTrackingRefBased/>
  <w15:docId w15:val="{A90F37FB-5B0E-428E-9C8B-AB3540EF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88E"/>
  </w:style>
  <w:style w:type="paragraph" w:styleId="Heading1">
    <w:name w:val="heading 1"/>
    <w:basedOn w:val="Normal"/>
    <w:next w:val="Normal"/>
    <w:link w:val="Heading1Char"/>
    <w:uiPriority w:val="9"/>
    <w:qFormat/>
    <w:rsid w:val="00B57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B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B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B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B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B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B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B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B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B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B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B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B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B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B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5A1"/>
    <w:pPr>
      <w:spacing w:before="8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5A1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B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B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B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B1F"/>
  </w:style>
  <w:style w:type="paragraph" w:styleId="Footer">
    <w:name w:val="footer"/>
    <w:basedOn w:val="Normal"/>
    <w:link w:val="FooterChar"/>
    <w:uiPriority w:val="99"/>
    <w:unhideWhenUsed/>
    <w:rsid w:val="00B74C64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B74C64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B525CF"/>
    <w:rPr>
      <w:color w:val="666666"/>
    </w:rPr>
  </w:style>
  <w:style w:type="paragraph" w:styleId="ListBullet">
    <w:name w:val="List Bullet"/>
    <w:basedOn w:val="Normal"/>
    <w:uiPriority w:val="99"/>
    <w:unhideWhenUsed/>
    <w:rsid w:val="00E8788E"/>
    <w:pPr>
      <w:numPr>
        <w:numId w:val="9"/>
      </w:numPr>
      <w:spacing w:before="60" w:after="60"/>
      <w:ind w:left="357" w:hanging="357"/>
    </w:pPr>
    <w:rPr>
      <w:rFonts w:ascii="Calibri" w:hAnsi="Calibri"/>
      <w:sz w:val="24"/>
    </w:rPr>
  </w:style>
  <w:style w:type="character" w:styleId="Strong">
    <w:name w:val="Strong"/>
    <w:basedOn w:val="DefaultParagraphFont"/>
    <w:uiPriority w:val="22"/>
    <w:qFormat/>
    <w:rsid w:val="00E8788E"/>
    <w:rPr>
      <w:b/>
      <w:bCs/>
    </w:rPr>
  </w:style>
  <w:style w:type="paragraph" w:styleId="ListBullet2">
    <w:name w:val="List Bullet 2"/>
    <w:basedOn w:val="Normal"/>
    <w:uiPriority w:val="99"/>
    <w:unhideWhenUsed/>
    <w:rsid w:val="00E8788E"/>
    <w:pPr>
      <w:numPr>
        <w:numId w:val="10"/>
      </w:numPr>
      <w:spacing w:after="60" w:line="240" w:lineRule="auto"/>
      <w:ind w:left="641" w:hanging="357"/>
    </w:pPr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B74C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cfe7c6-fd82-4536-8e95-31510ecf1dc3" xsi:nil="true"/>
    <lcf76f155ced4ddcb4097134ff3c332f xmlns="91b40e7f-128e-49f6-a30d-9c137c2f2d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1E6A07BD3F940A2A717962B7173DC" ma:contentTypeVersion="12" ma:contentTypeDescription="Create a new document." ma:contentTypeScope="" ma:versionID="aec1001a4c6f484adb4e6a651684404e">
  <xsd:schema xmlns:xsd="http://www.w3.org/2001/XMLSchema" xmlns:xs="http://www.w3.org/2001/XMLSchema" xmlns:p="http://schemas.microsoft.com/office/2006/metadata/properties" xmlns:ns2="91b40e7f-128e-49f6-a30d-9c137c2f2d67" xmlns:ns3="7fcfe7c6-fd82-4536-8e95-31510ecf1dc3" targetNamespace="http://schemas.microsoft.com/office/2006/metadata/properties" ma:root="true" ma:fieldsID="2895f43feeecbbda88363dae7addd303" ns2:_="" ns3:_="">
    <xsd:import namespace="91b40e7f-128e-49f6-a30d-9c137c2f2d67"/>
    <xsd:import namespace="7fcfe7c6-fd82-4536-8e95-31510ecf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0e7f-128e-49f6-a30d-9c137c2f2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e7c6-fd82-4536-8e95-31510ecf1d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02835b-9c02-4c61-9eb6-bef3b605ab9e}" ma:internalName="TaxCatchAll" ma:showField="CatchAllData" ma:web="7fcfe7c6-fd82-4536-8e95-31510ecf1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83131-AD5F-419E-B8BB-51B07C16FB9F}">
  <ds:schemaRefs>
    <ds:schemaRef ds:uri="http://schemas.microsoft.com/office/2006/metadata/properties"/>
    <ds:schemaRef ds:uri="http://schemas.microsoft.com/office/infopath/2007/PartnerControls"/>
    <ds:schemaRef ds:uri="7fcfe7c6-fd82-4536-8e95-31510ecf1dc3"/>
    <ds:schemaRef ds:uri="91b40e7f-128e-49f6-a30d-9c137c2f2d67"/>
  </ds:schemaRefs>
</ds:datastoreItem>
</file>

<file path=customXml/itemProps2.xml><?xml version="1.0" encoding="utf-8"?>
<ds:datastoreItem xmlns:ds="http://schemas.openxmlformats.org/officeDocument/2006/customXml" ds:itemID="{D12170F0-04ED-4E8F-999B-630D6894C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15BAE-DAA6-4681-A263-338CDE1F8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40e7f-128e-49f6-a30d-9c137c2f2d67"/>
    <ds:schemaRef ds:uri="7fcfe7c6-fd82-4536-8e95-31510ecf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1381</Characters>
  <Application>Microsoft Office Word</Application>
  <DocSecurity>0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Autism Strategy 2025-31: First year Implementation Update</vt:lpstr>
    </vt:vector>
  </TitlesOfParts>
  <Company>Department of Health, Disability and Ageing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Autism Strategy 2025-31: First year Implementation Update</dc:title>
  <dc:subject>Disability and carers</dc:subject>
  <dc:creator>Australian Government Department of Health, Disability and Ageing</dc:creator>
  <cp:keywords>national autism strategy; disability and carers;</cp:keywords>
  <dc:description/>
  <cp:lastModifiedBy>MASCHKE, Elvia</cp:lastModifiedBy>
  <cp:revision>7</cp:revision>
  <dcterms:created xsi:type="dcterms:W3CDTF">2026-03-05T01:20:00Z</dcterms:created>
  <dcterms:modified xsi:type="dcterms:W3CDTF">2026-03-05T23:30:00Z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3cc63b39,5ab1f716,b524628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23e8e5f6,13c32a4d,7f8aa1bc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2026-02-24T22:57:01Z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8883c1ed-e1d8-46ad-9761-2de2b3213298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0x01010063A1E6A07BD3F940A2A717962B7173DC</vt:lpwstr>
  </property>
  <property fmtid="{D5CDD505-2E9C-101B-9397-08002B2CF9AE}" pid="17" name="MediaServiceImageTags">
    <vt:lpwstr/>
  </property>
</Properties>
</file>