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B9A8A" w14:textId="77777777" w:rsidR="00A726BE" w:rsidRPr="00B0607F" w:rsidRDefault="00A726BE" w:rsidP="00646A7E">
      <w:pPr>
        <w:pStyle w:val="Title"/>
      </w:pPr>
      <w:r w:rsidRPr="00B0607F">
        <w:t>National Aboriginal and Torres Strait Islander Flexible Aged Care Program</w:t>
      </w:r>
    </w:p>
    <w:p w14:paraId="6536B4E5" w14:textId="74EE9CA4" w:rsidR="00751A23" w:rsidRPr="006249DC" w:rsidRDefault="00646045" w:rsidP="006249DC">
      <w:pPr>
        <w:pStyle w:val="Subtitle"/>
        <w:sectPr w:rsidR="00751A23" w:rsidRPr="006249DC" w:rsidSect="008115D6">
          <w:headerReference w:type="default" r:id="rId11"/>
          <w:footerReference w:type="even" r:id="rId12"/>
          <w:footerReference w:type="default" r:id="rId13"/>
          <w:headerReference w:type="first" r:id="rId14"/>
          <w:footerReference w:type="first" r:id="rId15"/>
          <w:type w:val="continuous"/>
          <w:pgSz w:w="11906" w:h="16838"/>
          <w:pgMar w:top="5670" w:right="1418" w:bottom="1418" w:left="1418" w:header="851" w:footer="2835" w:gutter="0"/>
          <w:cols w:space="708"/>
          <w:titlePg/>
          <w:docGrid w:linePitch="360"/>
        </w:sectPr>
      </w:pPr>
      <w:r>
        <w:t>Program Manual 202</w:t>
      </w:r>
      <w:r w:rsidR="00B620ED">
        <w:t>6</w:t>
      </w:r>
    </w:p>
    <w:p w14:paraId="00412442" w14:textId="7885D5CD" w:rsidR="00F32985" w:rsidRPr="00A51B4F" w:rsidRDefault="00031EDE" w:rsidP="00A51B4F">
      <w:bookmarkStart w:id="0" w:name="_Toc120543880"/>
      <w:r w:rsidRPr="00A51B4F">
        <w:rPr>
          <w:noProof/>
        </w:rPr>
        <w:lastRenderedPageBreak/>
        <w:drawing>
          <wp:anchor distT="0" distB="0" distL="114300" distR="114300" simplePos="0" relativeHeight="251658277" behindDoc="1" locked="0" layoutInCell="1" allowOverlap="1" wp14:anchorId="41680299" wp14:editId="58D32E29">
            <wp:simplePos x="0" y="0"/>
            <wp:positionH relativeFrom="page">
              <wp:align>left</wp:align>
            </wp:positionH>
            <wp:positionV relativeFrom="page">
              <wp:posOffset>1367053</wp:posOffset>
            </wp:positionV>
            <wp:extent cx="11547634" cy="7698422"/>
            <wp:effectExtent l="635" t="0" r="0" b="0"/>
            <wp:wrapNone/>
            <wp:docPr id="52" name="Picture 52" descr="An older Aboriginal and/or Torres Strait Islander man is standing at a fence talking to an aged care work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n older Aboriginal and/or Torres Strait Islander man is standing at a fence talking to an aged care worker.">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1547634" cy="7698422"/>
                    </a:xfrm>
                    <a:prstGeom prst="rect">
                      <a:avLst/>
                    </a:prstGeom>
                  </pic:spPr>
                </pic:pic>
              </a:graphicData>
            </a:graphic>
            <wp14:sizeRelH relativeFrom="margin">
              <wp14:pctWidth>0</wp14:pctWidth>
            </wp14:sizeRelH>
            <wp14:sizeRelV relativeFrom="margin">
              <wp14:pctHeight>0</wp14:pctHeight>
            </wp14:sizeRelV>
          </wp:anchor>
        </w:drawing>
      </w:r>
      <w:r w:rsidR="00F32985" w:rsidRPr="00A51B4F">
        <w:br w:type="page"/>
      </w:r>
    </w:p>
    <w:p w14:paraId="68F90144" w14:textId="65396F3B" w:rsidR="00363C49" w:rsidRDefault="00363C49" w:rsidP="00151B2B">
      <w:r>
        <w:t>Copyright © 202</w:t>
      </w:r>
      <w:r w:rsidR="00B620ED">
        <w:t>6</w:t>
      </w:r>
      <w:r>
        <w:t xml:space="preserve"> Commonwealth of Australia as represented by the Department of Health, Disability and Ageing.</w:t>
      </w:r>
    </w:p>
    <w:p w14:paraId="33B28CA2" w14:textId="77777777" w:rsidR="00363C49" w:rsidRDefault="00363C49" w:rsidP="00151B2B">
      <w:r>
        <w:t>This work is copyright. You may copy, print, download, display and reproduce the whole or part of this work in unaltered form for your own personal use or, if you are part of an organisation, for internal use in your organisation, but only if you or your organisation:</w:t>
      </w:r>
    </w:p>
    <w:p w14:paraId="63C9F126" w14:textId="3DFE187F" w:rsidR="00363C49" w:rsidRDefault="00363C49" w:rsidP="00D82385">
      <w:pPr>
        <w:pStyle w:val="ListBullet"/>
      </w:pPr>
      <w:r>
        <w:t>do not use the copy or reproduction for any commercial purpose; and</w:t>
      </w:r>
    </w:p>
    <w:p w14:paraId="553537E3" w14:textId="394A5AAF" w:rsidR="00363C49" w:rsidRDefault="00363C49" w:rsidP="00D82385">
      <w:pPr>
        <w:pStyle w:val="ListBullet"/>
      </w:pPr>
      <w:r>
        <w:t>keep this copyright notice and all disclaimer notices as part of that copy or reproduction.</w:t>
      </w:r>
    </w:p>
    <w:p w14:paraId="75ADEDAE" w14:textId="77777777" w:rsidR="00363C49" w:rsidRDefault="00363C49" w:rsidP="00151B2B">
      <w:r>
        <w:t>Apart from rights as permitted by the Copyright Act 1968 (</w:t>
      </w:r>
      <w:proofErr w:type="spellStart"/>
      <w:r>
        <w:t>Cth</w:t>
      </w:r>
      <w:proofErr w:type="spellEnd"/>
      <w:r>
        <w:t>) or allowed by this copyright notice, all other rights are reserved, including (but not limited to) all commercial rights.</w:t>
      </w:r>
    </w:p>
    <w:p w14:paraId="069B296E" w14:textId="77777777" w:rsidR="002C7458" w:rsidRDefault="00363C49" w:rsidP="002C7458">
      <w:r w:rsidRPr="00296A1E">
        <w:t xml:space="preserve">Requests and inquiries about reproduction and other rights to use should be sent to the Communication Branch, Department of Health, Disability and Ageing, GPO Box 9848, Canberra ACT 2601, or through email to </w:t>
      </w:r>
      <w:hyperlink r:id="rId17" w:history="1">
        <w:r w:rsidRPr="00296A1E">
          <w:t>copyright@health.gov.au</w:t>
        </w:r>
      </w:hyperlink>
      <w:r w:rsidRPr="00296A1E">
        <w:t>.</w:t>
      </w:r>
    </w:p>
    <w:p w14:paraId="2E980989" w14:textId="046DE29C" w:rsidR="00ED7BD6" w:rsidRDefault="00DD3058" w:rsidP="002C7458">
      <w:pPr>
        <w:pStyle w:val="Heading1"/>
      </w:pPr>
      <w:r>
        <w:br w:type="page"/>
      </w:r>
      <w:bookmarkStart w:id="1" w:name="_Toc225416211"/>
      <w:bookmarkEnd w:id="0"/>
      <w:r w:rsidR="00ED7BD6">
        <w:t>Contents</w:t>
      </w:r>
      <w:bookmarkEnd w:id="1"/>
    </w:p>
    <w:p w14:paraId="39884467" w14:textId="722D7BA9" w:rsidR="009C1336" w:rsidRDefault="004711A7">
      <w:pPr>
        <w:pStyle w:val="TOC1"/>
        <w:rPr>
          <w:rFonts w:asciiTheme="minorHAnsi" w:eastAsiaTheme="minorEastAsia" w:hAnsiTheme="minorHAnsi" w:cstheme="minorBidi"/>
          <w:b w:val="0"/>
          <w:bCs w:val="0"/>
          <w:noProof/>
          <w:color w:val="auto"/>
          <w:kern w:val="2"/>
          <w:szCs w:val="24"/>
          <w:lang w:eastAsia="en-AU"/>
          <w14:ligatures w14:val="standardContextual"/>
        </w:rPr>
      </w:pPr>
      <w:r>
        <w:rPr>
          <w:iCs/>
        </w:rPr>
        <w:fldChar w:fldCharType="begin"/>
      </w:r>
      <w:r>
        <w:rPr>
          <w:iCs/>
        </w:rPr>
        <w:instrText xml:space="preserve"> TOC \o "1-2" \h \z \u </w:instrText>
      </w:r>
      <w:r>
        <w:rPr>
          <w:iCs/>
        </w:rPr>
        <w:fldChar w:fldCharType="separate"/>
      </w:r>
      <w:hyperlink w:anchor="_Toc225416211" w:history="1">
        <w:r w:rsidR="009C1336" w:rsidRPr="000A4E13">
          <w:rPr>
            <w:rStyle w:val="Hyperlink"/>
            <w:noProof/>
          </w:rPr>
          <w:t>Contents</w:t>
        </w:r>
        <w:r w:rsidR="009C1336">
          <w:rPr>
            <w:noProof/>
            <w:webHidden/>
          </w:rPr>
          <w:tab/>
        </w:r>
        <w:r w:rsidR="009C1336">
          <w:rPr>
            <w:noProof/>
            <w:webHidden/>
          </w:rPr>
          <w:fldChar w:fldCharType="begin"/>
        </w:r>
        <w:r w:rsidR="009C1336">
          <w:rPr>
            <w:noProof/>
            <w:webHidden/>
          </w:rPr>
          <w:instrText xml:space="preserve"> PAGEREF _Toc225416211 \h </w:instrText>
        </w:r>
        <w:r w:rsidR="009C1336">
          <w:rPr>
            <w:noProof/>
            <w:webHidden/>
          </w:rPr>
        </w:r>
        <w:r w:rsidR="009C1336">
          <w:rPr>
            <w:noProof/>
            <w:webHidden/>
          </w:rPr>
          <w:fldChar w:fldCharType="separate"/>
        </w:r>
        <w:r w:rsidR="00CF2A2E">
          <w:rPr>
            <w:noProof/>
            <w:webHidden/>
          </w:rPr>
          <w:t>4</w:t>
        </w:r>
        <w:r w:rsidR="009C1336">
          <w:rPr>
            <w:noProof/>
            <w:webHidden/>
          </w:rPr>
          <w:fldChar w:fldCharType="end"/>
        </w:r>
      </w:hyperlink>
    </w:p>
    <w:p w14:paraId="3BB5092C" w14:textId="19ED5280"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12" w:history="1">
        <w:r w:rsidRPr="000A4E13">
          <w:rPr>
            <w:rStyle w:val="Hyperlink"/>
            <w:noProof/>
          </w:rPr>
          <w:t>About the manual</w:t>
        </w:r>
        <w:r>
          <w:rPr>
            <w:noProof/>
            <w:webHidden/>
          </w:rPr>
          <w:tab/>
        </w:r>
        <w:r>
          <w:rPr>
            <w:noProof/>
            <w:webHidden/>
          </w:rPr>
          <w:fldChar w:fldCharType="begin"/>
        </w:r>
        <w:r>
          <w:rPr>
            <w:noProof/>
            <w:webHidden/>
          </w:rPr>
          <w:instrText xml:space="preserve"> PAGEREF _Toc225416212 \h </w:instrText>
        </w:r>
        <w:r>
          <w:rPr>
            <w:noProof/>
            <w:webHidden/>
          </w:rPr>
        </w:r>
        <w:r>
          <w:rPr>
            <w:noProof/>
            <w:webHidden/>
          </w:rPr>
          <w:fldChar w:fldCharType="separate"/>
        </w:r>
        <w:r w:rsidR="00CF2A2E">
          <w:rPr>
            <w:noProof/>
            <w:webHidden/>
          </w:rPr>
          <w:t>6</w:t>
        </w:r>
        <w:r>
          <w:rPr>
            <w:noProof/>
            <w:webHidden/>
          </w:rPr>
          <w:fldChar w:fldCharType="end"/>
        </w:r>
      </w:hyperlink>
    </w:p>
    <w:p w14:paraId="2B2DAA16" w14:textId="70C17F58"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13" w:history="1">
        <w:r w:rsidRPr="000A4E13">
          <w:rPr>
            <w:rStyle w:val="Hyperlink"/>
          </w:rPr>
          <w:t>Disclaimer</w:t>
        </w:r>
        <w:r>
          <w:rPr>
            <w:webHidden/>
          </w:rPr>
          <w:tab/>
        </w:r>
        <w:r>
          <w:rPr>
            <w:webHidden/>
          </w:rPr>
          <w:fldChar w:fldCharType="begin"/>
        </w:r>
        <w:r>
          <w:rPr>
            <w:webHidden/>
          </w:rPr>
          <w:instrText xml:space="preserve"> PAGEREF _Toc225416213 \h </w:instrText>
        </w:r>
        <w:r>
          <w:rPr>
            <w:webHidden/>
          </w:rPr>
        </w:r>
        <w:r>
          <w:rPr>
            <w:webHidden/>
          </w:rPr>
          <w:fldChar w:fldCharType="separate"/>
        </w:r>
        <w:r w:rsidR="00CF2A2E">
          <w:rPr>
            <w:webHidden/>
          </w:rPr>
          <w:t>7</w:t>
        </w:r>
        <w:r>
          <w:rPr>
            <w:webHidden/>
          </w:rPr>
          <w:fldChar w:fldCharType="end"/>
        </w:r>
      </w:hyperlink>
    </w:p>
    <w:p w14:paraId="11E2E450" w14:textId="75EBA441"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14" w:history="1">
        <w:r w:rsidRPr="000A4E13">
          <w:rPr>
            <w:rStyle w:val="Hyperlink"/>
            <w:noProof/>
          </w:rPr>
          <w:t>Chapter 1 – Introduction</w:t>
        </w:r>
        <w:r>
          <w:rPr>
            <w:noProof/>
            <w:webHidden/>
          </w:rPr>
          <w:tab/>
        </w:r>
        <w:r>
          <w:rPr>
            <w:noProof/>
            <w:webHidden/>
          </w:rPr>
          <w:fldChar w:fldCharType="begin"/>
        </w:r>
        <w:r>
          <w:rPr>
            <w:noProof/>
            <w:webHidden/>
          </w:rPr>
          <w:instrText xml:space="preserve"> PAGEREF _Toc225416214 \h </w:instrText>
        </w:r>
        <w:r>
          <w:rPr>
            <w:noProof/>
            <w:webHidden/>
          </w:rPr>
        </w:r>
        <w:r>
          <w:rPr>
            <w:noProof/>
            <w:webHidden/>
          </w:rPr>
          <w:fldChar w:fldCharType="separate"/>
        </w:r>
        <w:r w:rsidR="00CF2A2E">
          <w:rPr>
            <w:noProof/>
            <w:webHidden/>
          </w:rPr>
          <w:t>10</w:t>
        </w:r>
        <w:r>
          <w:rPr>
            <w:noProof/>
            <w:webHidden/>
          </w:rPr>
          <w:fldChar w:fldCharType="end"/>
        </w:r>
      </w:hyperlink>
    </w:p>
    <w:p w14:paraId="485D8E21" w14:textId="3BB73AB5"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15" w:history="1">
        <w:r w:rsidRPr="000A4E13">
          <w:rPr>
            <w:rStyle w:val="Hyperlink"/>
          </w:rPr>
          <w:t>About the NATSIFACP</w:t>
        </w:r>
        <w:r>
          <w:rPr>
            <w:webHidden/>
          </w:rPr>
          <w:tab/>
        </w:r>
        <w:r>
          <w:rPr>
            <w:webHidden/>
          </w:rPr>
          <w:fldChar w:fldCharType="begin"/>
        </w:r>
        <w:r>
          <w:rPr>
            <w:webHidden/>
          </w:rPr>
          <w:instrText xml:space="preserve"> PAGEREF _Toc225416215 \h </w:instrText>
        </w:r>
        <w:r>
          <w:rPr>
            <w:webHidden/>
          </w:rPr>
        </w:r>
        <w:r>
          <w:rPr>
            <w:webHidden/>
          </w:rPr>
          <w:fldChar w:fldCharType="separate"/>
        </w:r>
        <w:r w:rsidR="00CF2A2E">
          <w:rPr>
            <w:webHidden/>
          </w:rPr>
          <w:t>10</w:t>
        </w:r>
        <w:r>
          <w:rPr>
            <w:webHidden/>
          </w:rPr>
          <w:fldChar w:fldCharType="end"/>
        </w:r>
      </w:hyperlink>
    </w:p>
    <w:p w14:paraId="48226340" w14:textId="5425B0B8"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16" w:history="1">
        <w:r w:rsidRPr="000A4E13">
          <w:rPr>
            <w:rStyle w:val="Hyperlink"/>
          </w:rPr>
          <w:t xml:space="preserve">About the </w:t>
        </w:r>
        <w:r w:rsidRPr="000A4E13">
          <w:rPr>
            <w:rStyle w:val="Hyperlink"/>
            <w:i/>
          </w:rPr>
          <w:t>Aged Care Act 2024</w:t>
        </w:r>
        <w:r>
          <w:rPr>
            <w:webHidden/>
          </w:rPr>
          <w:tab/>
        </w:r>
        <w:r>
          <w:rPr>
            <w:webHidden/>
          </w:rPr>
          <w:fldChar w:fldCharType="begin"/>
        </w:r>
        <w:r>
          <w:rPr>
            <w:webHidden/>
          </w:rPr>
          <w:instrText xml:space="preserve"> PAGEREF _Toc225416216 \h </w:instrText>
        </w:r>
        <w:r>
          <w:rPr>
            <w:webHidden/>
          </w:rPr>
        </w:r>
        <w:r>
          <w:rPr>
            <w:webHidden/>
          </w:rPr>
          <w:fldChar w:fldCharType="separate"/>
        </w:r>
        <w:r w:rsidR="00CF2A2E">
          <w:rPr>
            <w:webHidden/>
          </w:rPr>
          <w:t>12</w:t>
        </w:r>
        <w:r>
          <w:rPr>
            <w:webHidden/>
          </w:rPr>
          <w:fldChar w:fldCharType="end"/>
        </w:r>
      </w:hyperlink>
    </w:p>
    <w:p w14:paraId="6A46713A" w14:textId="30F1CE61"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17" w:history="1">
        <w:r w:rsidRPr="000A4E13">
          <w:rPr>
            <w:rStyle w:val="Hyperlink"/>
            <w:noProof/>
          </w:rPr>
          <w:t>Chapter 2 – Assessment and access to NATSIFACP services</w:t>
        </w:r>
        <w:r>
          <w:rPr>
            <w:noProof/>
            <w:webHidden/>
          </w:rPr>
          <w:tab/>
        </w:r>
        <w:r>
          <w:rPr>
            <w:noProof/>
            <w:webHidden/>
          </w:rPr>
          <w:fldChar w:fldCharType="begin"/>
        </w:r>
        <w:r>
          <w:rPr>
            <w:noProof/>
            <w:webHidden/>
          </w:rPr>
          <w:instrText xml:space="preserve"> PAGEREF _Toc225416217 \h </w:instrText>
        </w:r>
        <w:r>
          <w:rPr>
            <w:noProof/>
            <w:webHidden/>
          </w:rPr>
        </w:r>
        <w:r>
          <w:rPr>
            <w:noProof/>
            <w:webHidden/>
          </w:rPr>
          <w:fldChar w:fldCharType="separate"/>
        </w:r>
        <w:r w:rsidR="00CF2A2E">
          <w:rPr>
            <w:noProof/>
            <w:webHidden/>
          </w:rPr>
          <w:t>15</w:t>
        </w:r>
        <w:r>
          <w:rPr>
            <w:noProof/>
            <w:webHidden/>
          </w:rPr>
          <w:fldChar w:fldCharType="end"/>
        </w:r>
      </w:hyperlink>
    </w:p>
    <w:p w14:paraId="2B72BC40" w14:textId="29E4C318"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18" w:history="1">
        <w:r w:rsidRPr="000A4E13">
          <w:rPr>
            <w:rStyle w:val="Hyperlink"/>
          </w:rPr>
          <w:t>Single Assessment System</w:t>
        </w:r>
        <w:r>
          <w:rPr>
            <w:webHidden/>
          </w:rPr>
          <w:tab/>
        </w:r>
        <w:r>
          <w:rPr>
            <w:webHidden/>
          </w:rPr>
          <w:fldChar w:fldCharType="begin"/>
        </w:r>
        <w:r>
          <w:rPr>
            <w:webHidden/>
          </w:rPr>
          <w:instrText xml:space="preserve"> PAGEREF _Toc225416218 \h </w:instrText>
        </w:r>
        <w:r>
          <w:rPr>
            <w:webHidden/>
          </w:rPr>
        </w:r>
        <w:r>
          <w:rPr>
            <w:webHidden/>
          </w:rPr>
          <w:fldChar w:fldCharType="separate"/>
        </w:r>
        <w:r w:rsidR="00CF2A2E">
          <w:rPr>
            <w:webHidden/>
          </w:rPr>
          <w:t>15</w:t>
        </w:r>
        <w:r>
          <w:rPr>
            <w:webHidden/>
          </w:rPr>
          <w:fldChar w:fldCharType="end"/>
        </w:r>
      </w:hyperlink>
    </w:p>
    <w:p w14:paraId="6BACB897" w14:textId="2473DD74"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19" w:history="1">
        <w:r w:rsidRPr="000A4E13">
          <w:rPr>
            <w:rStyle w:val="Hyperlink"/>
          </w:rPr>
          <w:t>Aged care needs assessments</w:t>
        </w:r>
        <w:r>
          <w:rPr>
            <w:webHidden/>
          </w:rPr>
          <w:tab/>
        </w:r>
        <w:r>
          <w:rPr>
            <w:webHidden/>
          </w:rPr>
          <w:fldChar w:fldCharType="begin"/>
        </w:r>
        <w:r>
          <w:rPr>
            <w:webHidden/>
          </w:rPr>
          <w:instrText xml:space="preserve"> PAGEREF _Toc225416219 \h </w:instrText>
        </w:r>
        <w:r>
          <w:rPr>
            <w:webHidden/>
          </w:rPr>
        </w:r>
        <w:r>
          <w:rPr>
            <w:webHidden/>
          </w:rPr>
          <w:fldChar w:fldCharType="separate"/>
        </w:r>
        <w:r w:rsidR="00CF2A2E">
          <w:rPr>
            <w:webHidden/>
          </w:rPr>
          <w:t>16</w:t>
        </w:r>
        <w:r>
          <w:rPr>
            <w:webHidden/>
          </w:rPr>
          <w:fldChar w:fldCharType="end"/>
        </w:r>
      </w:hyperlink>
    </w:p>
    <w:p w14:paraId="5C3274C9" w14:textId="7BD83C75"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20" w:history="1">
        <w:r w:rsidRPr="000A4E13">
          <w:rPr>
            <w:rStyle w:val="Hyperlink"/>
          </w:rPr>
          <w:t>Alternative entry</w:t>
        </w:r>
        <w:r>
          <w:rPr>
            <w:webHidden/>
          </w:rPr>
          <w:tab/>
        </w:r>
        <w:r>
          <w:rPr>
            <w:webHidden/>
          </w:rPr>
          <w:fldChar w:fldCharType="begin"/>
        </w:r>
        <w:r>
          <w:rPr>
            <w:webHidden/>
          </w:rPr>
          <w:instrText xml:space="preserve"> PAGEREF _Toc225416220 \h </w:instrText>
        </w:r>
        <w:r>
          <w:rPr>
            <w:webHidden/>
          </w:rPr>
        </w:r>
        <w:r>
          <w:rPr>
            <w:webHidden/>
          </w:rPr>
          <w:fldChar w:fldCharType="separate"/>
        </w:r>
        <w:r w:rsidR="00CF2A2E">
          <w:rPr>
            <w:webHidden/>
          </w:rPr>
          <w:t>20</w:t>
        </w:r>
        <w:r>
          <w:rPr>
            <w:webHidden/>
          </w:rPr>
          <w:fldChar w:fldCharType="end"/>
        </w:r>
      </w:hyperlink>
    </w:p>
    <w:p w14:paraId="16B72DA5" w14:textId="23FDE46F"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21" w:history="1">
        <w:r w:rsidRPr="000A4E13">
          <w:rPr>
            <w:rStyle w:val="Hyperlink"/>
          </w:rPr>
          <w:t>Registering a supporter</w:t>
        </w:r>
        <w:r>
          <w:rPr>
            <w:webHidden/>
          </w:rPr>
          <w:tab/>
        </w:r>
        <w:r>
          <w:rPr>
            <w:webHidden/>
          </w:rPr>
          <w:fldChar w:fldCharType="begin"/>
        </w:r>
        <w:r>
          <w:rPr>
            <w:webHidden/>
          </w:rPr>
          <w:instrText xml:space="preserve"> PAGEREF _Toc225416221 \h </w:instrText>
        </w:r>
        <w:r>
          <w:rPr>
            <w:webHidden/>
          </w:rPr>
        </w:r>
        <w:r>
          <w:rPr>
            <w:webHidden/>
          </w:rPr>
          <w:fldChar w:fldCharType="separate"/>
        </w:r>
        <w:r w:rsidR="00CF2A2E">
          <w:rPr>
            <w:webHidden/>
          </w:rPr>
          <w:t>21</w:t>
        </w:r>
        <w:r>
          <w:rPr>
            <w:webHidden/>
          </w:rPr>
          <w:fldChar w:fldCharType="end"/>
        </w:r>
      </w:hyperlink>
    </w:p>
    <w:p w14:paraId="0C5ED8A1" w14:textId="1F0F0FCB"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22" w:history="1">
        <w:r w:rsidRPr="000A4E13">
          <w:rPr>
            <w:rStyle w:val="Hyperlink"/>
          </w:rPr>
          <w:t>Support for older people seeking aged care services</w:t>
        </w:r>
        <w:r>
          <w:rPr>
            <w:webHidden/>
          </w:rPr>
          <w:tab/>
        </w:r>
        <w:r>
          <w:rPr>
            <w:webHidden/>
          </w:rPr>
          <w:fldChar w:fldCharType="begin"/>
        </w:r>
        <w:r>
          <w:rPr>
            <w:webHidden/>
          </w:rPr>
          <w:instrText xml:space="preserve"> PAGEREF _Toc225416222 \h </w:instrText>
        </w:r>
        <w:r>
          <w:rPr>
            <w:webHidden/>
          </w:rPr>
        </w:r>
        <w:r>
          <w:rPr>
            <w:webHidden/>
          </w:rPr>
          <w:fldChar w:fldCharType="separate"/>
        </w:r>
        <w:r w:rsidR="00CF2A2E">
          <w:rPr>
            <w:webHidden/>
          </w:rPr>
          <w:t>22</w:t>
        </w:r>
        <w:r>
          <w:rPr>
            <w:webHidden/>
          </w:rPr>
          <w:fldChar w:fldCharType="end"/>
        </w:r>
      </w:hyperlink>
    </w:p>
    <w:p w14:paraId="2DA9491E" w14:textId="1544A398"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23" w:history="1">
        <w:r w:rsidRPr="000A4E13">
          <w:rPr>
            <w:rStyle w:val="Hyperlink"/>
          </w:rPr>
          <w:t>Interactions with other aged care programs</w:t>
        </w:r>
        <w:r>
          <w:rPr>
            <w:webHidden/>
          </w:rPr>
          <w:tab/>
        </w:r>
        <w:r>
          <w:rPr>
            <w:webHidden/>
          </w:rPr>
          <w:fldChar w:fldCharType="begin"/>
        </w:r>
        <w:r>
          <w:rPr>
            <w:webHidden/>
          </w:rPr>
          <w:instrText xml:space="preserve"> PAGEREF _Toc225416223 \h </w:instrText>
        </w:r>
        <w:r>
          <w:rPr>
            <w:webHidden/>
          </w:rPr>
        </w:r>
        <w:r>
          <w:rPr>
            <w:webHidden/>
          </w:rPr>
          <w:fldChar w:fldCharType="separate"/>
        </w:r>
        <w:r w:rsidR="00CF2A2E">
          <w:rPr>
            <w:webHidden/>
          </w:rPr>
          <w:t>23</w:t>
        </w:r>
        <w:r>
          <w:rPr>
            <w:webHidden/>
          </w:rPr>
          <w:fldChar w:fldCharType="end"/>
        </w:r>
      </w:hyperlink>
    </w:p>
    <w:p w14:paraId="5266D951" w14:textId="37E8E542"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24" w:history="1">
        <w:r w:rsidRPr="000A4E13">
          <w:rPr>
            <w:rStyle w:val="Hyperlink"/>
            <w:noProof/>
          </w:rPr>
          <w:t>Chapter 3 – Registered providers, workers and responsible persons</w:t>
        </w:r>
        <w:r>
          <w:rPr>
            <w:noProof/>
            <w:webHidden/>
          </w:rPr>
          <w:tab/>
        </w:r>
        <w:r>
          <w:rPr>
            <w:noProof/>
            <w:webHidden/>
          </w:rPr>
          <w:fldChar w:fldCharType="begin"/>
        </w:r>
        <w:r>
          <w:rPr>
            <w:noProof/>
            <w:webHidden/>
          </w:rPr>
          <w:instrText xml:space="preserve"> PAGEREF _Toc225416224 \h </w:instrText>
        </w:r>
        <w:r>
          <w:rPr>
            <w:noProof/>
            <w:webHidden/>
          </w:rPr>
        </w:r>
        <w:r>
          <w:rPr>
            <w:noProof/>
            <w:webHidden/>
          </w:rPr>
          <w:fldChar w:fldCharType="separate"/>
        </w:r>
        <w:r w:rsidR="00CF2A2E">
          <w:rPr>
            <w:noProof/>
            <w:webHidden/>
          </w:rPr>
          <w:t>25</w:t>
        </w:r>
        <w:r>
          <w:rPr>
            <w:noProof/>
            <w:webHidden/>
          </w:rPr>
          <w:fldChar w:fldCharType="end"/>
        </w:r>
      </w:hyperlink>
    </w:p>
    <w:p w14:paraId="4EABD4F6" w14:textId="04107D9C"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25" w:history="1">
        <w:r w:rsidRPr="000A4E13">
          <w:rPr>
            <w:rStyle w:val="Hyperlink"/>
          </w:rPr>
          <w:t>Registered providers</w:t>
        </w:r>
        <w:r>
          <w:rPr>
            <w:webHidden/>
          </w:rPr>
          <w:tab/>
        </w:r>
        <w:r>
          <w:rPr>
            <w:webHidden/>
          </w:rPr>
          <w:fldChar w:fldCharType="begin"/>
        </w:r>
        <w:r>
          <w:rPr>
            <w:webHidden/>
          </w:rPr>
          <w:instrText xml:space="preserve"> PAGEREF _Toc225416225 \h </w:instrText>
        </w:r>
        <w:r>
          <w:rPr>
            <w:webHidden/>
          </w:rPr>
        </w:r>
        <w:r>
          <w:rPr>
            <w:webHidden/>
          </w:rPr>
          <w:fldChar w:fldCharType="separate"/>
        </w:r>
        <w:r w:rsidR="00CF2A2E">
          <w:rPr>
            <w:webHidden/>
          </w:rPr>
          <w:t>25</w:t>
        </w:r>
        <w:r>
          <w:rPr>
            <w:webHidden/>
          </w:rPr>
          <w:fldChar w:fldCharType="end"/>
        </w:r>
      </w:hyperlink>
    </w:p>
    <w:p w14:paraId="3115C7B8" w14:textId="74385744"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26" w:history="1">
        <w:r w:rsidRPr="000A4E13">
          <w:rPr>
            <w:rStyle w:val="Hyperlink"/>
          </w:rPr>
          <w:t>Provider obligations dependent on registration category</w:t>
        </w:r>
        <w:r>
          <w:rPr>
            <w:webHidden/>
          </w:rPr>
          <w:tab/>
        </w:r>
        <w:r>
          <w:rPr>
            <w:webHidden/>
          </w:rPr>
          <w:fldChar w:fldCharType="begin"/>
        </w:r>
        <w:r>
          <w:rPr>
            <w:webHidden/>
          </w:rPr>
          <w:instrText xml:space="preserve"> PAGEREF _Toc225416226 \h </w:instrText>
        </w:r>
        <w:r>
          <w:rPr>
            <w:webHidden/>
          </w:rPr>
        </w:r>
        <w:r>
          <w:rPr>
            <w:webHidden/>
          </w:rPr>
          <w:fldChar w:fldCharType="separate"/>
        </w:r>
        <w:r w:rsidR="00CF2A2E">
          <w:rPr>
            <w:webHidden/>
          </w:rPr>
          <w:t>38</w:t>
        </w:r>
        <w:r>
          <w:rPr>
            <w:webHidden/>
          </w:rPr>
          <w:fldChar w:fldCharType="end"/>
        </w:r>
      </w:hyperlink>
    </w:p>
    <w:p w14:paraId="2B9BBC54" w14:textId="2195BEAC"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27" w:history="1">
        <w:r w:rsidRPr="000A4E13">
          <w:rPr>
            <w:rStyle w:val="Hyperlink"/>
          </w:rPr>
          <w:t>Workers, volunteers and responsible persons</w:t>
        </w:r>
        <w:r>
          <w:rPr>
            <w:webHidden/>
          </w:rPr>
          <w:tab/>
        </w:r>
        <w:r>
          <w:rPr>
            <w:webHidden/>
          </w:rPr>
          <w:fldChar w:fldCharType="begin"/>
        </w:r>
        <w:r>
          <w:rPr>
            <w:webHidden/>
          </w:rPr>
          <w:instrText xml:space="preserve"> PAGEREF _Toc225416227 \h </w:instrText>
        </w:r>
        <w:r>
          <w:rPr>
            <w:webHidden/>
          </w:rPr>
        </w:r>
        <w:r>
          <w:rPr>
            <w:webHidden/>
          </w:rPr>
          <w:fldChar w:fldCharType="separate"/>
        </w:r>
        <w:r w:rsidR="00CF2A2E">
          <w:rPr>
            <w:webHidden/>
          </w:rPr>
          <w:t>48</w:t>
        </w:r>
        <w:r>
          <w:rPr>
            <w:webHidden/>
          </w:rPr>
          <w:fldChar w:fldCharType="end"/>
        </w:r>
      </w:hyperlink>
    </w:p>
    <w:p w14:paraId="1094BE3B" w14:textId="6057FFBB"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28" w:history="1">
        <w:r w:rsidRPr="000A4E13">
          <w:rPr>
            <w:rStyle w:val="Hyperlink"/>
            <w:rFonts w:eastAsia="Arial"/>
          </w:rPr>
          <w:t>Associated providers</w:t>
        </w:r>
        <w:r>
          <w:rPr>
            <w:webHidden/>
          </w:rPr>
          <w:tab/>
        </w:r>
        <w:r>
          <w:rPr>
            <w:webHidden/>
          </w:rPr>
          <w:fldChar w:fldCharType="begin"/>
        </w:r>
        <w:r>
          <w:rPr>
            <w:webHidden/>
          </w:rPr>
          <w:instrText xml:space="preserve"> PAGEREF _Toc225416228 \h </w:instrText>
        </w:r>
        <w:r>
          <w:rPr>
            <w:webHidden/>
          </w:rPr>
        </w:r>
        <w:r>
          <w:rPr>
            <w:webHidden/>
          </w:rPr>
          <w:fldChar w:fldCharType="separate"/>
        </w:r>
        <w:r w:rsidR="00CF2A2E">
          <w:rPr>
            <w:webHidden/>
          </w:rPr>
          <w:t>55</w:t>
        </w:r>
        <w:r>
          <w:rPr>
            <w:webHidden/>
          </w:rPr>
          <w:fldChar w:fldCharType="end"/>
        </w:r>
      </w:hyperlink>
    </w:p>
    <w:p w14:paraId="35529D80" w14:textId="689FCA47"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29" w:history="1">
        <w:r w:rsidRPr="000A4E13">
          <w:rPr>
            <w:rStyle w:val="Hyperlink"/>
            <w:noProof/>
          </w:rPr>
          <w:t>Chapter 4 – Funding, fees and payments</w:t>
        </w:r>
        <w:r>
          <w:rPr>
            <w:noProof/>
            <w:webHidden/>
          </w:rPr>
          <w:tab/>
        </w:r>
        <w:r>
          <w:rPr>
            <w:noProof/>
            <w:webHidden/>
          </w:rPr>
          <w:fldChar w:fldCharType="begin"/>
        </w:r>
        <w:r>
          <w:rPr>
            <w:noProof/>
            <w:webHidden/>
          </w:rPr>
          <w:instrText xml:space="preserve"> PAGEREF _Toc225416229 \h </w:instrText>
        </w:r>
        <w:r>
          <w:rPr>
            <w:noProof/>
            <w:webHidden/>
          </w:rPr>
        </w:r>
        <w:r>
          <w:rPr>
            <w:noProof/>
            <w:webHidden/>
          </w:rPr>
          <w:fldChar w:fldCharType="separate"/>
        </w:r>
        <w:r w:rsidR="00CF2A2E">
          <w:rPr>
            <w:noProof/>
            <w:webHidden/>
          </w:rPr>
          <w:t>57</w:t>
        </w:r>
        <w:r>
          <w:rPr>
            <w:noProof/>
            <w:webHidden/>
          </w:rPr>
          <w:fldChar w:fldCharType="end"/>
        </w:r>
      </w:hyperlink>
    </w:p>
    <w:p w14:paraId="3D70F697" w14:textId="4822BE5A"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30" w:history="1">
        <w:r w:rsidRPr="000A4E13">
          <w:rPr>
            <w:rStyle w:val="Hyperlink"/>
          </w:rPr>
          <w:t>NATSIFACP funding</w:t>
        </w:r>
        <w:r>
          <w:rPr>
            <w:webHidden/>
          </w:rPr>
          <w:tab/>
        </w:r>
        <w:r>
          <w:rPr>
            <w:webHidden/>
          </w:rPr>
          <w:fldChar w:fldCharType="begin"/>
        </w:r>
        <w:r>
          <w:rPr>
            <w:webHidden/>
          </w:rPr>
          <w:instrText xml:space="preserve"> PAGEREF _Toc225416230 \h </w:instrText>
        </w:r>
        <w:r>
          <w:rPr>
            <w:webHidden/>
          </w:rPr>
        </w:r>
        <w:r>
          <w:rPr>
            <w:webHidden/>
          </w:rPr>
          <w:fldChar w:fldCharType="separate"/>
        </w:r>
        <w:r w:rsidR="00CF2A2E">
          <w:rPr>
            <w:webHidden/>
          </w:rPr>
          <w:t>57</w:t>
        </w:r>
        <w:r>
          <w:rPr>
            <w:webHidden/>
          </w:rPr>
          <w:fldChar w:fldCharType="end"/>
        </w:r>
      </w:hyperlink>
    </w:p>
    <w:p w14:paraId="31B0D673" w14:textId="690959AC"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31" w:history="1">
        <w:r w:rsidRPr="000A4E13">
          <w:rPr>
            <w:rStyle w:val="Hyperlink"/>
          </w:rPr>
          <w:t>Individual fees</w:t>
        </w:r>
        <w:r>
          <w:rPr>
            <w:webHidden/>
          </w:rPr>
          <w:tab/>
        </w:r>
        <w:r>
          <w:rPr>
            <w:webHidden/>
          </w:rPr>
          <w:fldChar w:fldCharType="begin"/>
        </w:r>
        <w:r>
          <w:rPr>
            <w:webHidden/>
          </w:rPr>
          <w:instrText xml:space="preserve"> PAGEREF _Toc225416231 \h </w:instrText>
        </w:r>
        <w:r>
          <w:rPr>
            <w:webHidden/>
          </w:rPr>
        </w:r>
        <w:r>
          <w:rPr>
            <w:webHidden/>
          </w:rPr>
          <w:fldChar w:fldCharType="separate"/>
        </w:r>
        <w:r w:rsidR="00CF2A2E">
          <w:rPr>
            <w:webHidden/>
          </w:rPr>
          <w:t>59</w:t>
        </w:r>
        <w:r>
          <w:rPr>
            <w:webHidden/>
          </w:rPr>
          <w:fldChar w:fldCharType="end"/>
        </w:r>
      </w:hyperlink>
    </w:p>
    <w:p w14:paraId="681FBA37" w14:textId="7B297498"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32" w:history="1">
        <w:r w:rsidRPr="000A4E13">
          <w:rPr>
            <w:rStyle w:val="Hyperlink"/>
            <w:noProof/>
          </w:rPr>
          <w:t>Chapter 5 – Governance</w:t>
        </w:r>
        <w:r>
          <w:rPr>
            <w:noProof/>
            <w:webHidden/>
          </w:rPr>
          <w:tab/>
        </w:r>
        <w:r>
          <w:rPr>
            <w:noProof/>
            <w:webHidden/>
          </w:rPr>
          <w:fldChar w:fldCharType="begin"/>
        </w:r>
        <w:r>
          <w:rPr>
            <w:noProof/>
            <w:webHidden/>
          </w:rPr>
          <w:instrText xml:space="preserve"> PAGEREF _Toc225416232 \h </w:instrText>
        </w:r>
        <w:r>
          <w:rPr>
            <w:noProof/>
            <w:webHidden/>
          </w:rPr>
        </w:r>
        <w:r>
          <w:rPr>
            <w:noProof/>
            <w:webHidden/>
          </w:rPr>
          <w:fldChar w:fldCharType="separate"/>
        </w:r>
        <w:r w:rsidR="00CF2A2E">
          <w:rPr>
            <w:noProof/>
            <w:webHidden/>
          </w:rPr>
          <w:t>63</w:t>
        </w:r>
        <w:r>
          <w:rPr>
            <w:noProof/>
            <w:webHidden/>
          </w:rPr>
          <w:fldChar w:fldCharType="end"/>
        </w:r>
      </w:hyperlink>
    </w:p>
    <w:p w14:paraId="2437B1EA" w14:textId="21D3549A"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33" w:history="1">
        <w:r w:rsidRPr="000A4E13">
          <w:rPr>
            <w:rStyle w:val="Hyperlink"/>
          </w:rPr>
          <w:t>Legislative framework</w:t>
        </w:r>
        <w:r>
          <w:rPr>
            <w:webHidden/>
          </w:rPr>
          <w:tab/>
        </w:r>
        <w:r>
          <w:rPr>
            <w:webHidden/>
          </w:rPr>
          <w:fldChar w:fldCharType="begin"/>
        </w:r>
        <w:r>
          <w:rPr>
            <w:webHidden/>
          </w:rPr>
          <w:instrText xml:space="preserve"> PAGEREF _Toc225416233 \h </w:instrText>
        </w:r>
        <w:r>
          <w:rPr>
            <w:webHidden/>
          </w:rPr>
        </w:r>
        <w:r>
          <w:rPr>
            <w:webHidden/>
          </w:rPr>
          <w:fldChar w:fldCharType="separate"/>
        </w:r>
        <w:r w:rsidR="00CF2A2E">
          <w:rPr>
            <w:webHidden/>
          </w:rPr>
          <w:t>63</w:t>
        </w:r>
        <w:r>
          <w:rPr>
            <w:webHidden/>
          </w:rPr>
          <w:fldChar w:fldCharType="end"/>
        </w:r>
      </w:hyperlink>
    </w:p>
    <w:p w14:paraId="07B120FF" w14:textId="0AB63BF3"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34" w:history="1">
        <w:r w:rsidRPr="000A4E13">
          <w:rPr>
            <w:rStyle w:val="Hyperlink"/>
          </w:rPr>
          <w:t>Aged care system governance</w:t>
        </w:r>
        <w:r>
          <w:rPr>
            <w:webHidden/>
          </w:rPr>
          <w:tab/>
        </w:r>
        <w:r>
          <w:rPr>
            <w:webHidden/>
          </w:rPr>
          <w:fldChar w:fldCharType="begin"/>
        </w:r>
        <w:r>
          <w:rPr>
            <w:webHidden/>
          </w:rPr>
          <w:instrText xml:space="preserve"> PAGEREF _Toc225416234 \h </w:instrText>
        </w:r>
        <w:r>
          <w:rPr>
            <w:webHidden/>
          </w:rPr>
        </w:r>
        <w:r>
          <w:rPr>
            <w:webHidden/>
          </w:rPr>
          <w:fldChar w:fldCharType="separate"/>
        </w:r>
        <w:r w:rsidR="00CF2A2E">
          <w:rPr>
            <w:webHidden/>
          </w:rPr>
          <w:t>64</w:t>
        </w:r>
        <w:r>
          <w:rPr>
            <w:webHidden/>
          </w:rPr>
          <w:fldChar w:fldCharType="end"/>
        </w:r>
      </w:hyperlink>
    </w:p>
    <w:p w14:paraId="314B98F3" w14:textId="3DA4FD47"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35" w:history="1">
        <w:r w:rsidRPr="000A4E13">
          <w:rPr>
            <w:rStyle w:val="Hyperlink"/>
            <w:noProof/>
          </w:rPr>
          <w:t>Chapter 6 – Regulatory mechanisms</w:t>
        </w:r>
        <w:r>
          <w:rPr>
            <w:noProof/>
            <w:webHidden/>
          </w:rPr>
          <w:tab/>
        </w:r>
        <w:r>
          <w:rPr>
            <w:noProof/>
            <w:webHidden/>
          </w:rPr>
          <w:fldChar w:fldCharType="begin"/>
        </w:r>
        <w:r>
          <w:rPr>
            <w:noProof/>
            <w:webHidden/>
          </w:rPr>
          <w:instrText xml:space="preserve"> PAGEREF _Toc225416235 \h </w:instrText>
        </w:r>
        <w:r>
          <w:rPr>
            <w:noProof/>
            <w:webHidden/>
          </w:rPr>
        </w:r>
        <w:r>
          <w:rPr>
            <w:noProof/>
            <w:webHidden/>
          </w:rPr>
          <w:fldChar w:fldCharType="separate"/>
        </w:r>
        <w:r w:rsidR="00CF2A2E">
          <w:rPr>
            <w:noProof/>
            <w:webHidden/>
          </w:rPr>
          <w:t>69</w:t>
        </w:r>
        <w:r>
          <w:rPr>
            <w:noProof/>
            <w:webHidden/>
          </w:rPr>
          <w:fldChar w:fldCharType="end"/>
        </w:r>
      </w:hyperlink>
    </w:p>
    <w:p w14:paraId="3C37729A" w14:textId="66EB4DE5"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36" w:history="1">
        <w:r w:rsidRPr="000A4E13">
          <w:rPr>
            <w:rStyle w:val="Hyperlink"/>
          </w:rPr>
          <w:t>New regulatory model</w:t>
        </w:r>
        <w:r>
          <w:rPr>
            <w:webHidden/>
          </w:rPr>
          <w:tab/>
        </w:r>
        <w:r>
          <w:rPr>
            <w:webHidden/>
          </w:rPr>
          <w:fldChar w:fldCharType="begin"/>
        </w:r>
        <w:r>
          <w:rPr>
            <w:webHidden/>
          </w:rPr>
          <w:instrText xml:space="preserve"> PAGEREF _Toc225416236 \h </w:instrText>
        </w:r>
        <w:r>
          <w:rPr>
            <w:webHidden/>
          </w:rPr>
        </w:r>
        <w:r>
          <w:rPr>
            <w:webHidden/>
          </w:rPr>
          <w:fldChar w:fldCharType="separate"/>
        </w:r>
        <w:r w:rsidR="00CF2A2E">
          <w:rPr>
            <w:webHidden/>
          </w:rPr>
          <w:t>69</w:t>
        </w:r>
        <w:r>
          <w:rPr>
            <w:webHidden/>
          </w:rPr>
          <w:fldChar w:fldCharType="end"/>
        </w:r>
      </w:hyperlink>
    </w:p>
    <w:p w14:paraId="36344CFF" w14:textId="75D1D113"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37" w:history="1">
        <w:r w:rsidRPr="000A4E13">
          <w:rPr>
            <w:rStyle w:val="Hyperlink"/>
            <w:noProof/>
          </w:rPr>
          <w:t>Chapter 7 – Information management and reporting</w:t>
        </w:r>
        <w:r>
          <w:rPr>
            <w:noProof/>
            <w:webHidden/>
          </w:rPr>
          <w:tab/>
        </w:r>
        <w:r>
          <w:rPr>
            <w:noProof/>
            <w:webHidden/>
          </w:rPr>
          <w:fldChar w:fldCharType="begin"/>
        </w:r>
        <w:r>
          <w:rPr>
            <w:noProof/>
            <w:webHidden/>
          </w:rPr>
          <w:instrText xml:space="preserve"> PAGEREF _Toc225416237 \h </w:instrText>
        </w:r>
        <w:r>
          <w:rPr>
            <w:noProof/>
            <w:webHidden/>
          </w:rPr>
        </w:r>
        <w:r>
          <w:rPr>
            <w:noProof/>
            <w:webHidden/>
          </w:rPr>
          <w:fldChar w:fldCharType="separate"/>
        </w:r>
        <w:r w:rsidR="00CF2A2E">
          <w:rPr>
            <w:noProof/>
            <w:webHidden/>
          </w:rPr>
          <w:t>71</w:t>
        </w:r>
        <w:r>
          <w:rPr>
            <w:noProof/>
            <w:webHidden/>
          </w:rPr>
          <w:fldChar w:fldCharType="end"/>
        </w:r>
      </w:hyperlink>
    </w:p>
    <w:p w14:paraId="0F7A9E51" w14:textId="20AE5B98"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38" w:history="1">
        <w:r w:rsidRPr="000A4E13">
          <w:rPr>
            <w:rStyle w:val="Hyperlink"/>
          </w:rPr>
          <w:t>Reporting</w:t>
        </w:r>
        <w:r>
          <w:rPr>
            <w:webHidden/>
          </w:rPr>
          <w:tab/>
        </w:r>
        <w:r>
          <w:rPr>
            <w:webHidden/>
          </w:rPr>
          <w:fldChar w:fldCharType="begin"/>
        </w:r>
        <w:r>
          <w:rPr>
            <w:webHidden/>
          </w:rPr>
          <w:instrText xml:space="preserve"> PAGEREF _Toc225416238 \h </w:instrText>
        </w:r>
        <w:r>
          <w:rPr>
            <w:webHidden/>
          </w:rPr>
        </w:r>
        <w:r>
          <w:rPr>
            <w:webHidden/>
          </w:rPr>
          <w:fldChar w:fldCharType="separate"/>
        </w:r>
        <w:r w:rsidR="00CF2A2E">
          <w:rPr>
            <w:webHidden/>
          </w:rPr>
          <w:t>71</w:t>
        </w:r>
        <w:r>
          <w:rPr>
            <w:webHidden/>
          </w:rPr>
          <w:fldChar w:fldCharType="end"/>
        </w:r>
      </w:hyperlink>
    </w:p>
    <w:p w14:paraId="6E184E6F" w14:textId="050CC2E1"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39" w:history="1">
        <w:r w:rsidRPr="000A4E13">
          <w:rPr>
            <w:rStyle w:val="Hyperlink"/>
          </w:rPr>
          <w:t>Record Keeping</w:t>
        </w:r>
        <w:r>
          <w:rPr>
            <w:webHidden/>
          </w:rPr>
          <w:tab/>
        </w:r>
        <w:r>
          <w:rPr>
            <w:webHidden/>
          </w:rPr>
          <w:fldChar w:fldCharType="begin"/>
        </w:r>
        <w:r>
          <w:rPr>
            <w:webHidden/>
          </w:rPr>
          <w:instrText xml:space="preserve"> PAGEREF _Toc225416239 \h </w:instrText>
        </w:r>
        <w:r>
          <w:rPr>
            <w:webHidden/>
          </w:rPr>
        </w:r>
        <w:r>
          <w:rPr>
            <w:webHidden/>
          </w:rPr>
          <w:fldChar w:fldCharType="separate"/>
        </w:r>
        <w:r w:rsidR="00CF2A2E">
          <w:rPr>
            <w:webHidden/>
          </w:rPr>
          <w:t>73</w:t>
        </w:r>
        <w:r>
          <w:rPr>
            <w:webHidden/>
          </w:rPr>
          <w:fldChar w:fldCharType="end"/>
        </w:r>
      </w:hyperlink>
    </w:p>
    <w:p w14:paraId="3585DD54" w14:textId="7F379EF8"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40" w:history="1">
        <w:r w:rsidRPr="000A4E13">
          <w:rPr>
            <w:rStyle w:val="Hyperlink"/>
          </w:rPr>
          <w:t>Policies required under the Act</w:t>
        </w:r>
        <w:r>
          <w:rPr>
            <w:webHidden/>
          </w:rPr>
          <w:tab/>
        </w:r>
        <w:r>
          <w:rPr>
            <w:webHidden/>
          </w:rPr>
          <w:fldChar w:fldCharType="begin"/>
        </w:r>
        <w:r>
          <w:rPr>
            <w:webHidden/>
          </w:rPr>
          <w:instrText xml:space="preserve"> PAGEREF _Toc225416240 \h </w:instrText>
        </w:r>
        <w:r>
          <w:rPr>
            <w:webHidden/>
          </w:rPr>
        </w:r>
        <w:r>
          <w:rPr>
            <w:webHidden/>
          </w:rPr>
          <w:fldChar w:fldCharType="separate"/>
        </w:r>
        <w:r w:rsidR="00CF2A2E">
          <w:rPr>
            <w:webHidden/>
          </w:rPr>
          <w:t>75</w:t>
        </w:r>
        <w:r>
          <w:rPr>
            <w:webHidden/>
          </w:rPr>
          <w:fldChar w:fldCharType="end"/>
        </w:r>
      </w:hyperlink>
    </w:p>
    <w:p w14:paraId="6B88B3A8" w14:textId="4085C076"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41" w:history="1">
        <w:r w:rsidRPr="000A4E13">
          <w:rPr>
            <w:rStyle w:val="Hyperlink"/>
          </w:rPr>
          <w:t>Complaints, feedback and whistleblowers</w:t>
        </w:r>
        <w:r>
          <w:rPr>
            <w:webHidden/>
          </w:rPr>
          <w:tab/>
        </w:r>
        <w:r>
          <w:rPr>
            <w:webHidden/>
          </w:rPr>
          <w:fldChar w:fldCharType="begin"/>
        </w:r>
        <w:r>
          <w:rPr>
            <w:webHidden/>
          </w:rPr>
          <w:instrText xml:space="preserve"> PAGEREF _Toc225416241 \h </w:instrText>
        </w:r>
        <w:r>
          <w:rPr>
            <w:webHidden/>
          </w:rPr>
        </w:r>
        <w:r>
          <w:rPr>
            <w:webHidden/>
          </w:rPr>
          <w:fldChar w:fldCharType="separate"/>
        </w:r>
        <w:r w:rsidR="00CF2A2E">
          <w:rPr>
            <w:webHidden/>
          </w:rPr>
          <w:t>75</w:t>
        </w:r>
        <w:r>
          <w:rPr>
            <w:webHidden/>
          </w:rPr>
          <w:fldChar w:fldCharType="end"/>
        </w:r>
      </w:hyperlink>
    </w:p>
    <w:p w14:paraId="7661338E" w14:textId="2410C67D"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42" w:history="1">
        <w:r w:rsidRPr="000A4E13">
          <w:rPr>
            <w:rStyle w:val="Hyperlink"/>
          </w:rPr>
          <w:t>Complaints and feedback</w:t>
        </w:r>
        <w:r>
          <w:rPr>
            <w:webHidden/>
          </w:rPr>
          <w:tab/>
        </w:r>
        <w:r>
          <w:rPr>
            <w:webHidden/>
          </w:rPr>
          <w:fldChar w:fldCharType="begin"/>
        </w:r>
        <w:r>
          <w:rPr>
            <w:webHidden/>
          </w:rPr>
          <w:instrText xml:space="preserve"> PAGEREF _Toc225416242 \h </w:instrText>
        </w:r>
        <w:r>
          <w:rPr>
            <w:webHidden/>
          </w:rPr>
        </w:r>
        <w:r>
          <w:rPr>
            <w:webHidden/>
          </w:rPr>
          <w:fldChar w:fldCharType="separate"/>
        </w:r>
        <w:r w:rsidR="00CF2A2E">
          <w:rPr>
            <w:webHidden/>
          </w:rPr>
          <w:t>76</w:t>
        </w:r>
        <w:r>
          <w:rPr>
            <w:webHidden/>
          </w:rPr>
          <w:fldChar w:fldCharType="end"/>
        </w:r>
      </w:hyperlink>
    </w:p>
    <w:p w14:paraId="0A03D4C9" w14:textId="12186AA9"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43" w:history="1">
        <w:r w:rsidRPr="000A4E13">
          <w:rPr>
            <w:rStyle w:val="Hyperlink"/>
          </w:rPr>
          <w:t>Whistleblower protections</w:t>
        </w:r>
        <w:r>
          <w:rPr>
            <w:webHidden/>
          </w:rPr>
          <w:tab/>
        </w:r>
        <w:r>
          <w:rPr>
            <w:webHidden/>
          </w:rPr>
          <w:fldChar w:fldCharType="begin"/>
        </w:r>
        <w:r>
          <w:rPr>
            <w:webHidden/>
          </w:rPr>
          <w:instrText xml:space="preserve"> PAGEREF _Toc225416243 \h </w:instrText>
        </w:r>
        <w:r>
          <w:rPr>
            <w:webHidden/>
          </w:rPr>
        </w:r>
        <w:r>
          <w:rPr>
            <w:webHidden/>
          </w:rPr>
          <w:fldChar w:fldCharType="separate"/>
        </w:r>
        <w:r w:rsidR="00CF2A2E">
          <w:rPr>
            <w:webHidden/>
          </w:rPr>
          <w:t>78</w:t>
        </w:r>
        <w:r>
          <w:rPr>
            <w:webHidden/>
          </w:rPr>
          <w:fldChar w:fldCharType="end"/>
        </w:r>
      </w:hyperlink>
    </w:p>
    <w:p w14:paraId="5006E2C8" w14:textId="6DC2CB05"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44" w:history="1">
        <w:r w:rsidRPr="000A4E13">
          <w:rPr>
            <w:rStyle w:val="Hyperlink"/>
            <w:noProof/>
          </w:rPr>
          <w:t>Glossary and acronyms</w:t>
        </w:r>
        <w:r>
          <w:rPr>
            <w:noProof/>
            <w:webHidden/>
          </w:rPr>
          <w:tab/>
        </w:r>
        <w:r>
          <w:rPr>
            <w:noProof/>
            <w:webHidden/>
          </w:rPr>
          <w:fldChar w:fldCharType="begin"/>
        </w:r>
        <w:r>
          <w:rPr>
            <w:noProof/>
            <w:webHidden/>
          </w:rPr>
          <w:instrText xml:space="preserve"> PAGEREF _Toc225416244 \h </w:instrText>
        </w:r>
        <w:r>
          <w:rPr>
            <w:noProof/>
            <w:webHidden/>
          </w:rPr>
        </w:r>
        <w:r>
          <w:rPr>
            <w:noProof/>
            <w:webHidden/>
          </w:rPr>
          <w:fldChar w:fldCharType="separate"/>
        </w:r>
        <w:r w:rsidR="00CF2A2E">
          <w:rPr>
            <w:noProof/>
            <w:webHidden/>
          </w:rPr>
          <w:t>81</w:t>
        </w:r>
        <w:r>
          <w:rPr>
            <w:noProof/>
            <w:webHidden/>
          </w:rPr>
          <w:fldChar w:fldCharType="end"/>
        </w:r>
      </w:hyperlink>
    </w:p>
    <w:p w14:paraId="3337029A" w14:textId="680FC605"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45" w:history="1">
        <w:r w:rsidRPr="000A4E13">
          <w:rPr>
            <w:rStyle w:val="Hyperlink"/>
            <w:noProof/>
          </w:rPr>
          <w:t>Appendix A</w:t>
        </w:r>
        <w:r>
          <w:rPr>
            <w:noProof/>
            <w:webHidden/>
          </w:rPr>
          <w:tab/>
        </w:r>
        <w:r>
          <w:rPr>
            <w:noProof/>
            <w:webHidden/>
          </w:rPr>
          <w:fldChar w:fldCharType="begin"/>
        </w:r>
        <w:r>
          <w:rPr>
            <w:noProof/>
            <w:webHidden/>
          </w:rPr>
          <w:instrText xml:space="preserve"> PAGEREF _Toc225416245 \h </w:instrText>
        </w:r>
        <w:r>
          <w:rPr>
            <w:noProof/>
            <w:webHidden/>
          </w:rPr>
        </w:r>
        <w:r>
          <w:rPr>
            <w:noProof/>
            <w:webHidden/>
          </w:rPr>
          <w:fldChar w:fldCharType="separate"/>
        </w:r>
        <w:r w:rsidR="00CF2A2E">
          <w:rPr>
            <w:noProof/>
            <w:webHidden/>
          </w:rPr>
          <w:t>87</w:t>
        </w:r>
        <w:r>
          <w:rPr>
            <w:noProof/>
            <w:webHidden/>
          </w:rPr>
          <w:fldChar w:fldCharType="end"/>
        </w:r>
      </w:hyperlink>
    </w:p>
    <w:p w14:paraId="606B8FA8" w14:textId="081DA10B"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46" w:history="1">
        <w:r w:rsidRPr="000A4E13">
          <w:rPr>
            <w:rStyle w:val="Hyperlink"/>
          </w:rPr>
          <w:t>Supporting documentation</w:t>
        </w:r>
        <w:r>
          <w:rPr>
            <w:webHidden/>
          </w:rPr>
          <w:tab/>
        </w:r>
        <w:r>
          <w:rPr>
            <w:webHidden/>
          </w:rPr>
          <w:fldChar w:fldCharType="begin"/>
        </w:r>
        <w:r>
          <w:rPr>
            <w:webHidden/>
          </w:rPr>
          <w:instrText xml:space="preserve"> PAGEREF _Toc225416246 \h </w:instrText>
        </w:r>
        <w:r>
          <w:rPr>
            <w:webHidden/>
          </w:rPr>
        </w:r>
        <w:r>
          <w:rPr>
            <w:webHidden/>
          </w:rPr>
          <w:fldChar w:fldCharType="separate"/>
        </w:r>
        <w:r w:rsidR="00CF2A2E">
          <w:rPr>
            <w:webHidden/>
          </w:rPr>
          <w:t>87</w:t>
        </w:r>
        <w:r>
          <w:rPr>
            <w:webHidden/>
          </w:rPr>
          <w:fldChar w:fldCharType="end"/>
        </w:r>
      </w:hyperlink>
    </w:p>
    <w:p w14:paraId="19730556" w14:textId="6D781F77" w:rsidR="009C1336" w:rsidRDefault="009C133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5416247" w:history="1">
        <w:r w:rsidRPr="000A4E13">
          <w:rPr>
            <w:rStyle w:val="Hyperlink"/>
            <w:noProof/>
          </w:rPr>
          <w:t>Appendix B</w:t>
        </w:r>
        <w:r>
          <w:rPr>
            <w:noProof/>
            <w:webHidden/>
          </w:rPr>
          <w:tab/>
        </w:r>
        <w:r>
          <w:rPr>
            <w:noProof/>
            <w:webHidden/>
          </w:rPr>
          <w:fldChar w:fldCharType="begin"/>
        </w:r>
        <w:r>
          <w:rPr>
            <w:noProof/>
            <w:webHidden/>
          </w:rPr>
          <w:instrText xml:space="preserve"> PAGEREF _Toc225416247 \h </w:instrText>
        </w:r>
        <w:r>
          <w:rPr>
            <w:noProof/>
            <w:webHidden/>
          </w:rPr>
        </w:r>
        <w:r>
          <w:rPr>
            <w:noProof/>
            <w:webHidden/>
          </w:rPr>
          <w:fldChar w:fldCharType="separate"/>
        </w:r>
        <w:r w:rsidR="00CF2A2E">
          <w:rPr>
            <w:noProof/>
            <w:webHidden/>
          </w:rPr>
          <w:t>88</w:t>
        </w:r>
        <w:r>
          <w:rPr>
            <w:noProof/>
            <w:webHidden/>
          </w:rPr>
          <w:fldChar w:fldCharType="end"/>
        </w:r>
      </w:hyperlink>
    </w:p>
    <w:p w14:paraId="6CA07DE5" w14:textId="492B4E36"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48" w:history="1">
        <w:r w:rsidRPr="000A4E13">
          <w:rPr>
            <w:rStyle w:val="Hyperlink"/>
          </w:rPr>
          <w:t>NATSIFACP-specific information</w:t>
        </w:r>
        <w:r>
          <w:rPr>
            <w:webHidden/>
          </w:rPr>
          <w:tab/>
        </w:r>
        <w:r>
          <w:rPr>
            <w:webHidden/>
          </w:rPr>
          <w:fldChar w:fldCharType="begin"/>
        </w:r>
        <w:r>
          <w:rPr>
            <w:webHidden/>
          </w:rPr>
          <w:instrText xml:space="preserve"> PAGEREF _Toc225416248 \h </w:instrText>
        </w:r>
        <w:r>
          <w:rPr>
            <w:webHidden/>
          </w:rPr>
        </w:r>
        <w:r>
          <w:rPr>
            <w:webHidden/>
          </w:rPr>
          <w:fldChar w:fldCharType="separate"/>
        </w:r>
        <w:r w:rsidR="00CF2A2E">
          <w:rPr>
            <w:webHidden/>
          </w:rPr>
          <w:t>88</w:t>
        </w:r>
        <w:r>
          <w:rPr>
            <w:webHidden/>
          </w:rPr>
          <w:fldChar w:fldCharType="end"/>
        </w:r>
      </w:hyperlink>
    </w:p>
    <w:p w14:paraId="640AA93C" w14:textId="2E212221" w:rsidR="009C1336" w:rsidRDefault="009C1336">
      <w:pPr>
        <w:pStyle w:val="TOC2"/>
        <w:rPr>
          <w:rFonts w:asciiTheme="minorHAnsi" w:eastAsiaTheme="minorEastAsia" w:hAnsiTheme="minorHAnsi" w:cstheme="minorBidi"/>
          <w:color w:val="auto"/>
          <w:kern w:val="2"/>
          <w:szCs w:val="24"/>
          <w:lang w:eastAsia="en-AU"/>
          <w14:ligatures w14:val="standardContextual"/>
        </w:rPr>
      </w:pPr>
      <w:hyperlink w:anchor="_Toc225416249" w:history="1">
        <w:r w:rsidRPr="000A4E13">
          <w:rPr>
            <w:rStyle w:val="Hyperlink"/>
          </w:rPr>
          <w:t>NATSIFACP Grant Agreement obligations</w:t>
        </w:r>
        <w:r>
          <w:rPr>
            <w:webHidden/>
          </w:rPr>
          <w:tab/>
        </w:r>
        <w:r>
          <w:rPr>
            <w:webHidden/>
          </w:rPr>
          <w:fldChar w:fldCharType="begin"/>
        </w:r>
        <w:r>
          <w:rPr>
            <w:webHidden/>
          </w:rPr>
          <w:instrText xml:space="preserve"> PAGEREF _Toc225416249 \h </w:instrText>
        </w:r>
        <w:r>
          <w:rPr>
            <w:webHidden/>
          </w:rPr>
        </w:r>
        <w:r>
          <w:rPr>
            <w:webHidden/>
          </w:rPr>
          <w:fldChar w:fldCharType="separate"/>
        </w:r>
        <w:r w:rsidR="00CF2A2E">
          <w:rPr>
            <w:webHidden/>
          </w:rPr>
          <w:t>92</w:t>
        </w:r>
        <w:r>
          <w:rPr>
            <w:webHidden/>
          </w:rPr>
          <w:fldChar w:fldCharType="end"/>
        </w:r>
      </w:hyperlink>
    </w:p>
    <w:p w14:paraId="7011B404" w14:textId="080B4422" w:rsidR="00366706" w:rsidRPr="00084B1B" w:rsidRDefault="004711A7" w:rsidP="00D15F3A">
      <w:pPr>
        <w:pStyle w:val="Heading2"/>
      </w:pPr>
      <w:r>
        <w:rPr>
          <w:rFonts w:cs="Times New Roman"/>
          <w:sz w:val="24"/>
          <w:szCs w:val="20"/>
        </w:rPr>
        <w:fldChar w:fldCharType="end"/>
      </w:r>
      <w:r w:rsidR="00ED7BD6">
        <w:br w:type="page"/>
      </w:r>
      <w:bookmarkStart w:id="2" w:name="_Toc212713640"/>
      <w:bookmarkStart w:id="3" w:name="_Toc225416212"/>
      <w:r w:rsidR="00366706" w:rsidRPr="00084B1B">
        <w:t xml:space="preserve">About the </w:t>
      </w:r>
      <w:r w:rsidR="00366706">
        <w:t>m</w:t>
      </w:r>
      <w:r w:rsidR="00366706" w:rsidRPr="00084B1B">
        <w:t>anual</w:t>
      </w:r>
      <w:bookmarkEnd w:id="2"/>
      <w:bookmarkEnd w:id="3"/>
    </w:p>
    <w:p w14:paraId="7233E227" w14:textId="77777777" w:rsidR="00366706" w:rsidRPr="00D15F3A" w:rsidRDefault="00366706" w:rsidP="00D15F3A">
      <w:pPr>
        <w:pStyle w:val="Heading3"/>
      </w:pPr>
      <w:r w:rsidRPr="00084B1B">
        <w:t>Purpose</w:t>
      </w:r>
    </w:p>
    <w:p w14:paraId="4B77F72A" w14:textId="75C59388" w:rsidR="00366706" w:rsidRPr="00CA5C9D" w:rsidRDefault="00366706" w:rsidP="00CA5C9D">
      <w:r w:rsidRPr="00CA5C9D">
        <w:t xml:space="preserve">The Department of Health, Disability and Ageing (DHDA, the department) has prepared the National Aboriginal and Torres Strait Islander Flexible Aged Care Program (NATSIFACP) program manual for NATSIFACP providers. </w:t>
      </w:r>
    </w:p>
    <w:p w14:paraId="5451EFFB" w14:textId="27BE432B" w:rsidR="00366706" w:rsidRPr="00CA5C9D" w:rsidRDefault="00366706" w:rsidP="00CA5C9D">
      <w:r w:rsidRPr="00CA5C9D">
        <w:t xml:space="preserve">The program manual outlines the operational requirements of the NATSIFACP. It is intended to assist providers to understand and comply with the NATSIFACP rules, </w:t>
      </w:r>
      <w:bookmarkStart w:id="4" w:name="_Hlk206673924"/>
      <w:r w:rsidRPr="00CA5C9D">
        <w:t>procedures and provider obligations. This will support providers to deliver high-quality and culturally safe aged care services that meet the needs of older Aboriginal and/or Torres Strait Islander people.</w:t>
      </w:r>
      <w:bookmarkEnd w:id="4"/>
    </w:p>
    <w:p w14:paraId="66705556" w14:textId="74F1BF30" w:rsidR="00366706" w:rsidRPr="00A51B4F" w:rsidRDefault="00366706" w:rsidP="00A51B4F">
      <w:r w:rsidRPr="00A51B4F">
        <w:t>The chapters of the NATSIFACP Manual align broadly with the chapters of the Aged Care Act 2024</w:t>
      </w:r>
      <w:r w:rsidR="00FF0974" w:rsidRPr="00A51B4F">
        <w:t xml:space="preserve"> (the Act)</w:t>
      </w:r>
      <w:r w:rsidRPr="00A51B4F">
        <w:t xml:space="preserve">.  </w:t>
      </w:r>
    </w:p>
    <w:p w14:paraId="7E86A652" w14:textId="77777777" w:rsidR="00366706" w:rsidRPr="00D15F3A" w:rsidRDefault="00366706" w:rsidP="00D15F3A">
      <w:pPr>
        <w:pStyle w:val="Heading3"/>
      </w:pPr>
      <w:r w:rsidRPr="00084B1B">
        <w:t>Audience</w:t>
      </w:r>
    </w:p>
    <w:p w14:paraId="0EA78F14" w14:textId="77F3DF33" w:rsidR="00366706" w:rsidRPr="00A51B4F" w:rsidRDefault="00366706" w:rsidP="00A51B4F">
      <w:r w:rsidRPr="00A51B4F">
        <w:t>The program manual is intended for registered</w:t>
      </w:r>
      <w:r w:rsidR="00FF0974" w:rsidRPr="00A51B4F">
        <w:t xml:space="preserve"> NATSIFACP</w:t>
      </w:r>
      <w:r w:rsidRPr="00A51B4F">
        <w:t xml:space="preserve"> providers funded to deliver services under the NATSIFACP. It forms part of the NATSIFACP grant agreement.</w:t>
      </w:r>
    </w:p>
    <w:p w14:paraId="4D28AC56" w14:textId="77777777" w:rsidR="00366706" w:rsidRPr="00D15F3A" w:rsidRDefault="00366706" w:rsidP="00D15F3A">
      <w:pPr>
        <w:pStyle w:val="Heading3"/>
      </w:pPr>
      <w:r w:rsidRPr="00084B1B">
        <w:t>How the program manual is updated</w:t>
      </w:r>
    </w:p>
    <w:p w14:paraId="2C683051" w14:textId="37B9D19A" w:rsidR="00366706" w:rsidRPr="00A51B4F" w:rsidRDefault="00366706" w:rsidP="00A51B4F">
      <w:r w:rsidRPr="00A51B4F">
        <w:t xml:space="preserve">This program manual replaces the </w:t>
      </w:r>
      <w:r w:rsidR="00FF0974" w:rsidRPr="00A51B4F">
        <w:t xml:space="preserve">November 2025 </w:t>
      </w:r>
      <w:r w:rsidRPr="00A51B4F">
        <w:t>version of this manual. The NATSIFACP and the broader aged care system continue to operate in an environment of change. The department will update the manual, as required, to ensure its currency, and will provide reasonable notice of any amendments.</w:t>
      </w:r>
    </w:p>
    <w:p w14:paraId="34125B6F" w14:textId="7E53B96A" w:rsidR="00366706" w:rsidRPr="00084B1B" w:rsidRDefault="00366706" w:rsidP="0050679A">
      <w:r w:rsidRPr="00084B1B">
        <w:t xml:space="preserve">Please refer to the </w:t>
      </w:r>
      <w:hyperlink r:id="rId18" w:history="1">
        <w:r w:rsidRPr="00157134">
          <w:rPr>
            <w:rStyle w:val="Hyperlink"/>
          </w:rPr>
          <w:t>online version of the program manual</w:t>
        </w:r>
      </w:hyperlink>
      <w:r w:rsidRPr="00084B1B">
        <w:t xml:space="preserve"> to ensure you have the most recent version.</w:t>
      </w:r>
      <w:r w:rsidR="00BA322E">
        <w:t xml:space="preserve"> The program manual can be downloaded </w:t>
      </w:r>
      <w:r w:rsidR="00430A1C">
        <w:t xml:space="preserve">on the department’s website: </w:t>
      </w:r>
      <w:hyperlink r:id="rId19" w:history="1">
        <w:r w:rsidR="00023176" w:rsidRPr="00023176">
          <w:rPr>
            <w:rStyle w:val="Hyperlink"/>
          </w:rPr>
          <w:t>www.health.gov.au/resources/publications/natsifacp-manual</w:t>
        </w:r>
      </w:hyperlink>
      <w:r w:rsidR="00023176">
        <w:t>.</w:t>
      </w:r>
    </w:p>
    <w:p w14:paraId="409C6810" w14:textId="77777777" w:rsidR="003E769D" w:rsidRPr="00A51B4F" w:rsidRDefault="003E769D" w:rsidP="00A51B4F">
      <w:r w:rsidRPr="00A51B4F">
        <w:br w:type="page"/>
      </w:r>
    </w:p>
    <w:p w14:paraId="3F4A7A28" w14:textId="447B1333" w:rsidR="00366706" w:rsidRPr="00D15F3A" w:rsidRDefault="00366706" w:rsidP="00D15F3A">
      <w:pPr>
        <w:pStyle w:val="Heading3"/>
      </w:pPr>
      <w:r w:rsidRPr="00084B1B">
        <w:t xml:space="preserve">Version </w:t>
      </w:r>
      <w:r>
        <w:t>c</w:t>
      </w:r>
      <w:r w:rsidRPr="00084B1B">
        <w:t>ontrol</w:t>
      </w:r>
    </w:p>
    <w:p w14:paraId="273D194A" w14:textId="77777777" w:rsidR="00366706" w:rsidRPr="00A51B4F" w:rsidRDefault="00366706" w:rsidP="00A51B4F">
      <w:r w:rsidRPr="00A51B4F">
        <w:t>Version control keeps track of document modifications. Major changes are reflected by updating the version number by 1.0 and minor changes by amending the version number by 0.1.</w:t>
      </w:r>
    </w:p>
    <w:tbl>
      <w:tblPr>
        <w:tblStyle w:val="DepartmentofHealthtable"/>
        <w:tblW w:w="5000" w:type="pct"/>
        <w:tblLook w:val="0420" w:firstRow="1" w:lastRow="0" w:firstColumn="0" w:lastColumn="0" w:noHBand="0" w:noVBand="1"/>
      </w:tblPr>
      <w:tblGrid>
        <w:gridCol w:w="913"/>
        <w:gridCol w:w="2088"/>
        <w:gridCol w:w="856"/>
        <w:gridCol w:w="5213"/>
      </w:tblGrid>
      <w:tr w:rsidR="00EE5EC7" w:rsidRPr="00006676" w14:paraId="10F52A94" w14:textId="77777777" w:rsidTr="00FF2551">
        <w:trPr>
          <w:cnfStyle w:val="100000000000" w:firstRow="1" w:lastRow="0" w:firstColumn="0" w:lastColumn="0" w:oddVBand="0" w:evenVBand="0" w:oddHBand="0" w:evenHBand="0" w:firstRowFirstColumn="0" w:firstRowLastColumn="0" w:lastRowFirstColumn="0" w:lastRowLastColumn="0"/>
        </w:trPr>
        <w:tc>
          <w:tcPr>
            <w:tcW w:w="503" w:type="pct"/>
            <w:shd w:val="clear" w:color="auto" w:fill="1D4794"/>
          </w:tcPr>
          <w:p w14:paraId="2C2DBC09" w14:textId="214E7B16" w:rsidR="002D5876" w:rsidRPr="00A35762" w:rsidRDefault="009B7D4C" w:rsidP="00A971FF">
            <w:pPr>
              <w:rPr>
                <w:color w:val="FFFFFF" w:themeColor="background1"/>
                <w:sz w:val="20"/>
                <w:szCs w:val="20"/>
              </w:rPr>
            </w:pPr>
            <w:r>
              <w:rPr>
                <w:color w:val="FFFFFF" w:themeColor="background1"/>
                <w:sz w:val="20"/>
                <w:szCs w:val="20"/>
              </w:rPr>
              <w:t>Version</w:t>
            </w:r>
          </w:p>
        </w:tc>
        <w:tc>
          <w:tcPr>
            <w:tcW w:w="1151" w:type="pct"/>
            <w:shd w:val="clear" w:color="auto" w:fill="1D4794"/>
          </w:tcPr>
          <w:p w14:paraId="71937A76" w14:textId="4D82D34D" w:rsidR="002D5876" w:rsidRPr="00A35762" w:rsidRDefault="009B7D4C" w:rsidP="00A971FF">
            <w:pPr>
              <w:rPr>
                <w:sz w:val="20"/>
                <w:szCs w:val="20"/>
              </w:rPr>
            </w:pPr>
            <w:r>
              <w:rPr>
                <w:color w:val="FFFFFF" w:themeColor="background1"/>
                <w:sz w:val="20"/>
                <w:szCs w:val="20"/>
              </w:rPr>
              <w:t>Date</w:t>
            </w:r>
          </w:p>
        </w:tc>
        <w:tc>
          <w:tcPr>
            <w:tcW w:w="472" w:type="pct"/>
            <w:shd w:val="clear" w:color="auto" w:fill="1D4794"/>
          </w:tcPr>
          <w:p w14:paraId="41CDEEDD" w14:textId="0FD47E3E" w:rsidR="002D5876" w:rsidRPr="00A35762" w:rsidRDefault="009B7D4C" w:rsidP="00A971FF">
            <w:pPr>
              <w:rPr>
                <w:sz w:val="20"/>
                <w:szCs w:val="20"/>
              </w:rPr>
            </w:pPr>
            <w:r>
              <w:rPr>
                <w:color w:val="FFFFFF" w:themeColor="background1"/>
                <w:sz w:val="20"/>
                <w:szCs w:val="20"/>
              </w:rPr>
              <w:t>Author</w:t>
            </w:r>
          </w:p>
        </w:tc>
        <w:tc>
          <w:tcPr>
            <w:tcW w:w="2874" w:type="pct"/>
            <w:shd w:val="clear" w:color="auto" w:fill="1D4794"/>
          </w:tcPr>
          <w:p w14:paraId="145160A4" w14:textId="1551F51A" w:rsidR="002D5876" w:rsidRPr="00A35762" w:rsidRDefault="009B7D4C" w:rsidP="00A971FF">
            <w:pPr>
              <w:pStyle w:val="Tablehead"/>
              <w:rPr>
                <w:b/>
                <w:bCs w:val="0"/>
              </w:rPr>
            </w:pPr>
            <w:r>
              <w:rPr>
                <w:b/>
                <w:bCs w:val="0"/>
              </w:rPr>
              <w:t>Details</w:t>
            </w:r>
          </w:p>
        </w:tc>
      </w:tr>
      <w:tr w:rsidR="000A1DEB" w14:paraId="7D49AD91" w14:textId="77777777" w:rsidTr="00FF2551">
        <w:tc>
          <w:tcPr>
            <w:tcW w:w="503" w:type="pct"/>
          </w:tcPr>
          <w:p w14:paraId="286F2FAE" w14:textId="48926E55" w:rsidR="002D5876" w:rsidRPr="00DA2383" w:rsidRDefault="009B7D4C" w:rsidP="000A1DEB">
            <w:pPr>
              <w:pStyle w:val="Tabletext"/>
              <w:rPr>
                <w:b/>
              </w:rPr>
            </w:pPr>
            <w:r w:rsidRPr="00DA2383">
              <w:t>1.0</w:t>
            </w:r>
          </w:p>
        </w:tc>
        <w:tc>
          <w:tcPr>
            <w:tcW w:w="1151" w:type="pct"/>
          </w:tcPr>
          <w:p w14:paraId="4C84FDBA" w14:textId="286C393C" w:rsidR="002D5876" w:rsidRPr="00DA2383" w:rsidRDefault="009B7D4C" w:rsidP="001F390D">
            <w:pPr>
              <w:pStyle w:val="Tabletext"/>
              <w:rPr>
                <w:b/>
              </w:rPr>
            </w:pPr>
            <w:r w:rsidRPr="00DA2383">
              <w:t>1 November 2025</w:t>
            </w:r>
          </w:p>
        </w:tc>
        <w:tc>
          <w:tcPr>
            <w:tcW w:w="472" w:type="pct"/>
          </w:tcPr>
          <w:p w14:paraId="2506A868" w14:textId="6EAACAE6" w:rsidR="002D5876" w:rsidRPr="00DA2383" w:rsidRDefault="009B7D4C" w:rsidP="001F390D">
            <w:pPr>
              <w:pStyle w:val="Tabletext"/>
              <w:rPr>
                <w:b/>
              </w:rPr>
            </w:pPr>
            <w:r w:rsidRPr="00DA2383">
              <w:t>DHDA</w:t>
            </w:r>
          </w:p>
        </w:tc>
        <w:tc>
          <w:tcPr>
            <w:tcW w:w="2874" w:type="pct"/>
          </w:tcPr>
          <w:p w14:paraId="0B775D79" w14:textId="346B9066" w:rsidR="002D5876" w:rsidRPr="00DA2383" w:rsidRDefault="00FA1FE1" w:rsidP="001F390D">
            <w:pPr>
              <w:pStyle w:val="Tabletext"/>
              <w:rPr>
                <w:b/>
              </w:rPr>
            </w:pPr>
            <w:r w:rsidRPr="00DA2383">
              <w:t xml:space="preserve">New NATSIFACP Manual reflecting implementation of the </w:t>
            </w:r>
            <w:r w:rsidRPr="00DA2383">
              <w:rPr>
                <w:i/>
                <w:iCs/>
              </w:rPr>
              <w:t>Aged Care Act 2024.</w:t>
            </w:r>
          </w:p>
        </w:tc>
      </w:tr>
      <w:tr w:rsidR="000A1DEB" w14:paraId="18558063" w14:textId="77777777" w:rsidTr="00FF2551">
        <w:tc>
          <w:tcPr>
            <w:tcW w:w="503" w:type="pct"/>
          </w:tcPr>
          <w:p w14:paraId="301854BA" w14:textId="4C13A30A" w:rsidR="002D5876" w:rsidRPr="00296A1E" w:rsidRDefault="00296A1E" w:rsidP="001F390D">
            <w:pPr>
              <w:pStyle w:val="Tabletext"/>
            </w:pPr>
            <w:r>
              <w:t>2</w:t>
            </w:r>
            <w:r w:rsidRPr="00296A1E">
              <w:t>.0</w:t>
            </w:r>
          </w:p>
        </w:tc>
        <w:tc>
          <w:tcPr>
            <w:tcW w:w="1151" w:type="pct"/>
          </w:tcPr>
          <w:p w14:paraId="30774102" w14:textId="1F964159" w:rsidR="002D5876" w:rsidRPr="000E51D1" w:rsidRDefault="00296A1E" w:rsidP="001F390D">
            <w:pPr>
              <w:pStyle w:val="Tabletext"/>
              <w:rPr>
                <w:b/>
              </w:rPr>
            </w:pPr>
            <w:r>
              <w:t xml:space="preserve">20 </w:t>
            </w:r>
            <w:r w:rsidR="00F01DC5">
              <w:t xml:space="preserve">March </w:t>
            </w:r>
            <w:r w:rsidR="00F01DC5" w:rsidRPr="000E51D1">
              <w:t>2026</w:t>
            </w:r>
          </w:p>
        </w:tc>
        <w:tc>
          <w:tcPr>
            <w:tcW w:w="472" w:type="pct"/>
          </w:tcPr>
          <w:p w14:paraId="6A05B09B" w14:textId="2936BE1C" w:rsidR="002D5876" w:rsidRPr="000E51D1" w:rsidRDefault="00B247EB" w:rsidP="001F390D">
            <w:pPr>
              <w:pStyle w:val="Tabletext"/>
              <w:rPr>
                <w:b/>
              </w:rPr>
            </w:pPr>
            <w:r w:rsidRPr="000E51D1">
              <w:t>DHDA</w:t>
            </w:r>
          </w:p>
        </w:tc>
        <w:tc>
          <w:tcPr>
            <w:tcW w:w="2874" w:type="pct"/>
          </w:tcPr>
          <w:p w14:paraId="614C3EB3" w14:textId="77777777" w:rsidR="002D5876" w:rsidRDefault="004D28B0" w:rsidP="000E5973">
            <w:pPr>
              <w:pStyle w:val="Tabletext"/>
              <w:numPr>
                <w:ilvl w:val="0"/>
                <w:numId w:val="37"/>
              </w:numPr>
            </w:pPr>
            <w:r w:rsidRPr="000E51D1">
              <w:t>Update to document style and format.</w:t>
            </w:r>
          </w:p>
          <w:p w14:paraId="6ADA93D0" w14:textId="26052AD3" w:rsidR="00BF06A3" w:rsidRPr="00296A1E" w:rsidRDefault="00BF06A3" w:rsidP="000E5973">
            <w:pPr>
              <w:pStyle w:val="Tabletext"/>
              <w:numPr>
                <w:ilvl w:val="0"/>
                <w:numId w:val="37"/>
              </w:numPr>
              <w:rPr>
                <w:b/>
              </w:rPr>
            </w:pPr>
            <w:r>
              <w:t>Inclusion of information on Assistive Technology and Home Modifications</w:t>
            </w:r>
            <w:r w:rsidR="00EA4455">
              <w:t xml:space="preserve"> (AT-HM)</w:t>
            </w:r>
          </w:p>
          <w:p w14:paraId="0498B400" w14:textId="21FE95ED" w:rsidR="00186411" w:rsidRPr="00473497" w:rsidRDefault="00186411" w:rsidP="000E5973">
            <w:pPr>
              <w:pStyle w:val="Tabletext"/>
              <w:numPr>
                <w:ilvl w:val="0"/>
                <w:numId w:val="37"/>
              </w:numPr>
              <w:rPr>
                <w:b/>
              </w:rPr>
            </w:pPr>
            <w:r>
              <w:t>Updated links for service lists</w:t>
            </w:r>
          </w:p>
          <w:p w14:paraId="19283C90" w14:textId="77777777" w:rsidR="00BF06A3" w:rsidRDefault="00BF06A3" w:rsidP="000E5973">
            <w:pPr>
              <w:pStyle w:val="Tabletext"/>
              <w:numPr>
                <w:ilvl w:val="0"/>
                <w:numId w:val="37"/>
              </w:numPr>
            </w:pPr>
            <w:r w:rsidRPr="00473497">
              <w:t>Inclusion of information on Record Keeping</w:t>
            </w:r>
          </w:p>
          <w:p w14:paraId="24218EA7" w14:textId="2BD91B1D" w:rsidR="007763FC" w:rsidRDefault="007763FC" w:rsidP="000E5973">
            <w:pPr>
              <w:pStyle w:val="Tabletext"/>
              <w:numPr>
                <w:ilvl w:val="0"/>
                <w:numId w:val="37"/>
              </w:numPr>
            </w:pPr>
            <w:r>
              <w:t>Inclusion of policies that must be</w:t>
            </w:r>
            <w:r w:rsidR="00EE5EC7">
              <w:t xml:space="preserve"> </w:t>
            </w:r>
            <w:r w:rsidR="00F01DC5">
              <w:t>made publicly</w:t>
            </w:r>
            <w:r>
              <w:t xml:space="preserve"> available</w:t>
            </w:r>
          </w:p>
          <w:p w14:paraId="77552410" w14:textId="74EE2E3D" w:rsidR="005F29E5" w:rsidRPr="00473497" w:rsidRDefault="005F29E5" w:rsidP="000E5973">
            <w:pPr>
              <w:pStyle w:val="Tabletext"/>
              <w:numPr>
                <w:ilvl w:val="0"/>
                <w:numId w:val="37"/>
              </w:numPr>
            </w:pPr>
            <w:r>
              <w:t>Correction of broken links</w:t>
            </w:r>
          </w:p>
        </w:tc>
      </w:tr>
    </w:tbl>
    <w:p w14:paraId="38389ABC" w14:textId="77777777" w:rsidR="00B7684C" w:rsidRPr="00084B1B" w:rsidRDefault="00B7684C" w:rsidP="00B7684C">
      <w:pPr>
        <w:pStyle w:val="Heading2"/>
      </w:pPr>
      <w:bookmarkStart w:id="5" w:name="_Toc212713641"/>
      <w:bookmarkStart w:id="6" w:name="_Toc225416213"/>
      <w:r>
        <w:t>Disclaimer</w:t>
      </w:r>
      <w:bookmarkEnd w:id="5"/>
      <w:bookmarkEnd w:id="6"/>
    </w:p>
    <w:p w14:paraId="62CF7618" w14:textId="27098CE6" w:rsidR="00B7684C" w:rsidRPr="00084B1B" w:rsidRDefault="00B7684C" w:rsidP="001D18FD">
      <w:r w:rsidRPr="00084B1B">
        <w:t>The</w:t>
      </w:r>
      <w:r w:rsidR="000B36D0">
        <w:t xml:space="preserve"> </w:t>
      </w:r>
      <w:r w:rsidR="00296A1E">
        <w:t>Act</w:t>
      </w:r>
      <w:r w:rsidR="00296A1E" w:rsidRPr="00084B1B">
        <w:t xml:space="preserve"> governs</w:t>
      </w:r>
      <w:r w:rsidRPr="00084B1B">
        <w:t xml:space="preserve"> the delivery of funded aged care services </w:t>
      </w:r>
      <w:r>
        <w:t>by registered providers (providers). The NATSIFACP refers to delivery of home support, assistive technology, home modifications and residential care under the Act and related rules.</w:t>
      </w:r>
    </w:p>
    <w:p w14:paraId="770FCB28" w14:textId="47D4CCEA" w:rsidR="00B7684C" w:rsidRPr="00084B1B" w:rsidRDefault="00B7684C" w:rsidP="001D18FD">
      <w:r w:rsidRPr="00084B1B">
        <w:t xml:space="preserve">The information in this </w:t>
      </w:r>
      <w:r w:rsidR="006809CB">
        <w:t xml:space="preserve">program </w:t>
      </w:r>
      <w:r>
        <w:t>m</w:t>
      </w:r>
      <w:r w:rsidRPr="00084B1B">
        <w:t>anual is intended as a general guide to providers on the policy intent of the NATSIFACP. It is not intended as legal or professional advice on interpretation of the legislation or how it applies in individual circumstances.</w:t>
      </w:r>
    </w:p>
    <w:p w14:paraId="2EC957AC" w14:textId="0BF17B42" w:rsidR="00B7684C" w:rsidRPr="00084B1B" w:rsidRDefault="00B7684C" w:rsidP="001D18FD">
      <w:r w:rsidRPr="00084B1B">
        <w:t>Providers are responsible for complying with all relevant legislation when delivering funded aged are services. In addition to legislation referred to in this program manual, other Australian Government portfolios and state and territory jurisdictions may have separate legislation relevant to providers’ operations as a registered provider. It is the registered providers</w:t>
      </w:r>
      <w:r w:rsidR="000B36D0">
        <w:t>’</w:t>
      </w:r>
      <w:r w:rsidRPr="00084B1B">
        <w:t xml:space="preserve"> responsibility to understand and meet their obligations as they relate to all applicable legislation. </w:t>
      </w:r>
    </w:p>
    <w:p w14:paraId="732A19CC" w14:textId="34E2C6EA" w:rsidR="00B7684C" w:rsidRPr="00084B1B" w:rsidRDefault="00B7684C" w:rsidP="001D18FD">
      <w:r w:rsidRPr="00084B1B">
        <w:t>Providers should consider obtaining their own legal or professional advice relevant to their circumstances, especially in relation to requirements and obligations for delivering funded aged care services that may be new or different under the Act and related rules.</w:t>
      </w:r>
    </w:p>
    <w:p w14:paraId="28F44363" w14:textId="3A69FE2F" w:rsidR="00B7684C" w:rsidRPr="00084B1B" w:rsidRDefault="00B7684C" w:rsidP="001D18FD">
      <w:r w:rsidRPr="00084B1B">
        <w:t xml:space="preserve">The department will review and update the information in the </w:t>
      </w:r>
      <w:r>
        <w:t>m</w:t>
      </w:r>
      <w:r w:rsidRPr="00084B1B">
        <w:t xml:space="preserve">anual as needed. The most up-to-date version of the </w:t>
      </w:r>
      <w:r>
        <w:t>m</w:t>
      </w:r>
      <w:r w:rsidRPr="00084B1B">
        <w:t>anual will be published on the department's website.</w:t>
      </w:r>
      <w:r>
        <w:t xml:space="preserve"> </w:t>
      </w:r>
      <w:r w:rsidRPr="00084B1B">
        <w:t xml:space="preserve">Please refer to the online version of the </w:t>
      </w:r>
      <w:r>
        <w:t>m</w:t>
      </w:r>
      <w:r w:rsidRPr="00084B1B">
        <w:t>anual to ensure that you have the most recent version. The footer on the front page includes the issue date.</w:t>
      </w:r>
    </w:p>
    <w:p w14:paraId="10703B48" w14:textId="1A0947E3" w:rsidR="00B7684C" w:rsidRPr="00084B1B" w:rsidRDefault="00B7684C" w:rsidP="001D18FD">
      <w:r w:rsidRPr="00084B1B">
        <w:t xml:space="preserve">If you are reading a printed copy of this </w:t>
      </w:r>
      <w:r>
        <w:t>m</w:t>
      </w:r>
      <w:r w:rsidRPr="00084B1B">
        <w:t xml:space="preserve">anual, please make sure it is the same as the most up-to-date version published on the department’s website. The revisions and summary of changes made to the </w:t>
      </w:r>
      <w:r>
        <w:t>m</w:t>
      </w:r>
      <w:r w:rsidRPr="00084B1B">
        <w:t xml:space="preserve">anual are outlined at the beginning of the document in the version history. </w:t>
      </w:r>
    </w:p>
    <w:p w14:paraId="019A1D0E" w14:textId="64B22B52" w:rsidR="00B7684C" w:rsidRDefault="00B7684C" w:rsidP="001D18FD">
      <w:r w:rsidRPr="00084B1B">
        <w:t xml:space="preserve">The department does not guarantee the accuracy or completeness of information in the </w:t>
      </w:r>
      <w:r>
        <w:t>m</w:t>
      </w:r>
      <w:r w:rsidRPr="00084B1B">
        <w:t xml:space="preserve">anual. The department also does not accept liability for any loss or damage resulting from reliance on the </w:t>
      </w:r>
      <w:r>
        <w:t>m</w:t>
      </w:r>
      <w:r w:rsidRPr="00084B1B">
        <w:t xml:space="preserve">anual or the information it contains. </w:t>
      </w:r>
    </w:p>
    <w:p w14:paraId="59E855CF" w14:textId="30E54054" w:rsidR="00B7684C" w:rsidRPr="00084B1B" w:rsidRDefault="00B7684C" w:rsidP="001D18FD">
      <w:r w:rsidRPr="00084B1B">
        <w:t xml:space="preserve">Additional information and resources that may further support providers understand their responsibilities and obligations </w:t>
      </w:r>
      <w:r>
        <w:t>are</w:t>
      </w:r>
      <w:r w:rsidRPr="00084B1B">
        <w:t xml:space="preserve"> available through the following Australian Government resources:</w:t>
      </w:r>
    </w:p>
    <w:p w14:paraId="090171C1" w14:textId="2FBD569E" w:rsidR="00B7684C" w:rsidRPr="00F77F17" w:rsidRDefault="00B7684C" w:rsidP="00D82385">
      <w:pPr>
        <w:pStyle w:val="ListBullet"/>
      </w:pPr>
      <w:r w:rsidRPr="00F77F17">
        <w:t>Department of Health, Disability and Ageing</w:t>
      </w:r>
      <w:r w:rsidR="001506AF" w:rsidRPr="00F77F17">
        <w:t xml:space="preserve"> </w:t>
      </w:r>
      <w:r w:rsidR="005E4BBC" w:rsidRPr="00F77F17">
        <w:t xml:space="preserve">– </w:t>
      </w:r>
      <w:hyperlink r:id="rId20" w:history="1">
        <w:r w:rsidRPr="00F77F17">
          <w:rPr>
            <w:rStyle w:val="Hyperlink"/>
          </w:rPr>
          <w:t>health.gov.au</w:t>
        </w:r>
      </w:hyperlink>
      <w:r w:rsidRPr="00F77F17">
        <w:t xml:space="preserve"> </w:t>
      </w:r>
    </w:p>
    <w:p w14:paraId="1775A40D" w14:textId="602B3445" w:rsidR="00B7684C" w:rsidRPr="00F77F17" w:rsidRDefault="00B7684C" w:rsidP="00D82385">
      <w:pPr>
        <w:pStyle w:val="ListBullet"/>
      </w:pPr>
      <w:r w:rsidRPr="00F77F17">
        <w:t xml:space="preserve">My Aged Care </w:t>
      </w:r>
      <w:r w:rsidR="005E4BBC" w:rsidRPr="00F77F17">
        <w:t xml:space="preserve">– </w:t>
      </w:r>
      <w:hyperlink r:id="rId21" w:history="1">
        <w:r w:rsidRPr="00F77F17">
          <w:rPr>
            <w:rStyle w:val="Hyperlink"/>
          </w:rPr>
          <w:t>MyAgedCare.gov.au</w:t>
        </w:r>
      </w:hyperlink>
      <w:r w:rsidRPr="00F77F17">
        <w:t xml:space="preserve"> </w:t>
      </w:r>
    </w:p>
    <w:p w14:paraId="17233D46" w14:textId="69FF4D97" w:rsidR="00B7684C" w:rsidRPr="00F77F17" w:rsidRDefault="00B7684C" w:rsidP="00D82385">
      <w:pPr>
        <w:pStyle w:val="ListBullet"/>
      </w:pPr>
      <w:r w:rsidRPr="00F77F17">
        <w:t xml:space="preserve">Aged Care Quality and Safety Commission </w:t>
      </w:r>
      <w:r w:rsidR="005E4BBC" w:rsidRPr="00F77F17">
        <w:t xml:space="preserve">– </w:t>
      </w:r>
      <w:hyperlink r:id="rId22" w:history="1">
        <w:r w:rsidRPr="00F77F17">
          <w:rPr>
            <w:rStyle w:val="Hyperlink"/>
          </w:rPr>
          <w:t>agedcarequality.gov.au</w:t>
        </w:r>
      </w:hyperlink>
      <w:r w:rsidRPr="00F77F17">
        <w:t xml:space="preserve"> </w:t>
      </w:r>
    </w:p>
    <w:p w14:paraId="338B2C63" w14:textId="448DFBCA" w:rsidR="00B95354" w:rsidRPr="00205F99" w:rsidRDefault="00B95354" w:rsidP="00D82385">
      <w:pPr>
        <w:pStyle w:val="ListBullet"/>
        <w:rPr>
          <w:rStyle w:val="Hyperlink"/>
        </w:rPr>
      </w:pPr>
      <w:r w:rsidRPr="00F77F17">
        <w:t xml:space="preserve">Services Australia </w:t>
      </w:r>
      <w:r w:rsidR="005E4BBC" w:rsidRPr="00F77F17">
        <w:t xml:space="preserve">– </w:t>
      </w:r>
      <w:r w:rsidR="00205F99">
        <w:fldChar w:fldCharType="begin"/>
      </w:r>
      <w:r w:rsidR="00205F99">
        <w:instrText>HYPERLINK "https://www.servicesaustralia.gov.au/"</w:instrText>
      </w:r>
      <w:r w:rsidR="00205F99">
        <w:fldChar w:fldCharType="separate"/>
      </w:r>
      <w:r w:rsidRPr="00205F99">
        <w:rPr>
          <w:rStyle w:val="Hyperlink"/>
        </w:rPr>
        <w:t>servicesaustralia.gov.au</w:t>
      </w:r>
    </w:p>
    <w:p w14:paraId="16C8DB70" w14:textId="4AB81D79" w:rsidR="00B7684C" w:rsidRPr="00084B1B" w:rsidRDefault="00205F99" w:rsidP="00D82385">
      <w:pPr>
        <w:pStyle w:val="ListBullet"/>
      </w:pPr>
      <w:r>
        <w:fldChar w:fldCharType="end"/>
      </w:r>
      <w:r w:rsidR="00B7684C" w:rsidRPr="00084B1B">
        <w:t xml:space="preserve">Australian Competition and Consumer Commission </w:t>
      </w:r>
      <w:r w:rsidR="005E4BBC">
        <w:t xml:space="preserve">– </w:t>
      </w:r>
      <w:hyperlink r:id="rId23" w:history="1">
        <w:r w:rsidR="00B7684C" w:rsidRPr="00F77F17">
          <w:rPr>
            <w:rStyle w:val="Hyperlink"/>
          </w:rPr>
          <w:t>accc.gov.au</w:t>
        </w:r>
      </w:hyperlink>
      <w:r w:rsidR="00B7684C" w:rsidRPr="00AA2D66">
        <w:rPr>
          <w:rStyle w:val="Hyperlink"/>
        </w:rPr>
        <w:t xml:space="preserve"> </w:t>
      </w:r>
    </w:p>
    <w:p w14:paraId="49708B38" w14:textId="7ED68682" w:rsidR="00B7684C" w:rsidRDefault="00B7684C" w:rsidP="00D82385">
      <w:pPr>
        <w:pStyle w:val="ListBullet"/>
      </w:pPr>
      <w:r w:rsidRPr="00084B1B">
        <w:t xml:space="preserve">Australian Taxation Office </w:t>
      </w:r>
      <w:r w:rsidR="005E4BBC">
        <w:t xml:space="preserve">– </w:t>
      </w:r>
      <w:hyperlink r:id="rId24" w:history="1">
        <w:r w:rsidRPr="00F77F17">
          <w:rPr>
            <w:rStyle w:val="Hyperlink"/>
          </w:rPr>
          <w:t>ato.gov.au</w:t>
        </w:r>
      </w:hyperlink>
      <w:r>
        <w:br w:type="page"/>
      </w:r>
    </w:p>
    <w:p w14:paraId="693F0B3E" w14:textId="6C572C96" w:rsidR="00ED7BD6" w:rsidRDefault="00ED7BD6" w:rsidP="00ED7BD6">
      <w:pPr>
        <w:pStyle w:val="SectionNumber"/>
      </w:pPr>
      <w:r w:rsidRPr="00D7030B">
        <w:drawing>
          <wp:anchor distT="0" distB="0" distL="114300" distR="114300" simplePos="0" relativeHeight="251658242" behindDoc="0" locked="0" layoutInCell="1" allowOverlap="1" wp14:anchorId="17922EEE" wp14:editId="76C1AE46">
            <wp:simplePos x="0" y="0"/>
            <wp:positionH relativeFrom="column">
              <wp:posOffset>-2061845</wp:posOffset>
            </wp:positionH>
            <wp:positionV relativeFrom="paragraph">
              <wp:posOffset>297815</wp:posOffset>
            </wp:positionV>
            <wp:extent cx="1842770" cy="1892300"/>
            <wp:effectExtent l="0" t="0" r="0" b="0"/>
            <wp:wrapNone/>
            <wp:docPr id="17713454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54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892300"/>
                    </a:xfrm>
                    <a:prstGeom prst="rect">
                      <a:avLst/>
                    </a:prstGeom>
                  </pic:spPr>
                </pic:pic>
              </a:graphicData>
            </a:graphic>
            <wp14:sizeRelH relativeFrom="page">
              <wp14:pctWidth>0</wp14:pctWidth>
            </wp14:sizeRelH>
            <wp14:sizeRelV relativeFrom="page">
              <wp14:pctHeight>0</wp14:pctHeight>
            </wp14:sizeRelV>
          </wp:anchor>
        </w:drawing>
      </w:r>
      <w:r w:rsidRPr="00444D55">
        <w:drawing>
          <wp:anchor distT="0" distB="0" distL="114300" distR="114300" simplePos="0" relativeHeight="251658243" behindDoc="0" locked="0" layoutInCell="1" allowOverlap="1" wp14:anchorId="69948CA0" wp14:editId="02E3BB95">
            <wp:simplePos x="0" y="0"/>
            <wp:positionH relativeFrom="column">
              <wp:posOffset>-347345</wp:posOffset>
            </wp:positionH>
            <wp:positionV relativeFrom="paragraph">
              <wp:posOffset>7574915</wp:posOffset>
            </wp:positionV>
            <wp:extent cx="1460500" cy="1496695"/>
            <wp:effectExtent l="0" t="0" r="0" b="1905"/>
            <wp:wrapNone/>
            <wp:docPr id="19848470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701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Pr="00CC09BC">
        <mc:AlternateContent>
          <mc:Choice Requires="wps">
            <w:drawing>
              <wp:anchor distT="0" distB="0" distL="114300" distR="114300" simplePos="0" relativeHeight="251658240" behindDoc="1" locked="0" layoutInCell="1" allowOverlap="1" wp14:anchorId="759FF45B" wp14:editId="146E2DDE">
                <wp:simplePos x="171450" y="400050"/>
                <wp:positionH relativeFrom="page">
                  <wp:align>left</wp:align>
                </wp:positionH>
                <wp:positionV relativeFrom="page">
                  <wp:align>top</wp:align>
                </wp:positionV>
                <wp:extent cx="7560000" cy="10692000"/>
                <wp:effectExtent l="0" t="0" r="0" b="1905"/>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D47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0BC8379">
              <v:rect id="Rectangle 50"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d4794" stroked="f" strokeweight="2pt" w14:anchorId="2C9D58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">
                <w10:wrap anchorx="page" anchory="page"/>
              </v:rect>
            </w:pict>
          </mc:Fallback>
        </mc:AlternateContent>
      </w:r>
      <w:r w:rsidR="00D119E7">
        <w:t>Chapter 1</w:t>
      </w:r>
    </w:p>
    <w:p w14:paraId="329F3426" w14:textId="4B84D239" w:rsidR="00ED7BD6" w:rsidRDefault="00D119E7" w:rsidP="00ED7BD6">
      <w:pPr>
        <w:pStyle w:val="SectionTitle"/>
      </w:pPr>
      <w:r>
        <w:t>Introduction</w:t>
      </w:r>
    </w:p>
    <w:p w14:paraId="20A05B7E" w14:textId="675659D8" w:rsidR="00ED7BD6" w:rsidRPr="00A51B4F" w:rsidRDefault="0022698C" w:rsidP="00A51B4F">
      <w:r w:rsidRPr="00A51B4F">
        <w:rPr>
          <w:noProof/>
        </w:rPr>
        <w:drawing>
          <wp:anchor distT="0" distB="0" distL="114300" distR="114300" simplePos="0" relativeHeight="251658241" behindDoc="0" locked="0" layoutInCell="1" allowOverlap="1" wp14:anchorId="1A570B48" wp14:editId="7013B1E6">
            <wp:simplePos x="0" y="0"/>
            <wp:positionH relativeFrom="page">
              <wp:posOffset>2905760</wp:posOffset>
            </wp:positionH>
            <wp:positionV relativeFrom="page">
              <wp:posOffset>8759825</wp:posOffset>
            </wp:positionV>
            <wp:extent cx="4642485" cy="1925955"/>
            <wp:effectExtent l="0" t="0" r="5715" b="0"/>
            <wp:wrapNone/>
            <wp:docPr id="8969181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8185" name="Picture 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BD6" w:rsidRPr="00A51B4F">
        <w:br w:type="page"/>
      </w:r>
    </w:p>
    <w:p w14:paraId="42E2A167" w14:textId="77777777" w:rsidR="00ED7BD6" w:rsidRDefault="00ED7BD6" w:rsidP="00ED7BD6">
      <w:pPr>
        <w:pStyle w:val="SectionTitle"/>
        <w:sectPr w:rsidR="00ED7BD6" w:rsidSect="00ED7BD6">
          <w:headerReference w:type="default" r:id="rId28"/>
          <w:footerReference w:type="default" r:id="rId29"/>
          <w:pgSz w:w="11906" w:h="16838"/>
          <w:pgMar w:top="1701" w:right="1418" w:bottom="1418" w:left="1418" w:header="709" w:footer="709" w:gutter="0"/>
          <w:cols w:space="708"/>
          <w:docGrid w:linePitch="360"/>
        </w:sectPr>
      </w:pPr>
    </w:p>
    <w:p w14:paraId="403AB8CF" w14:textId="660D6CC1" w:rsidR="00A058AC" w:rsidRDefault="00A058AC" w:rsidP="00A058AC">
      <w:pPr>
        <w:pStyle w:val="Heading1"/>
      </w:pPr>
      <w:bookmarkStart w:id="7" w:name="_Toc225416214"/>
      <w:bookmarkStart w:id="8" w:name="_Toc212713643"/>
      <w:r>
        <w:t xml:space="preserve">Chapter 1 </w:t>
      </w:r>
      <w:r w:rsidR="00515F64">
        <w:t xml:space="preserve">– </w:t>
      </w:r>
      <w:r>
        <w:t>Introduction</w:t>
      </w:r>
      <w:bookmarkEnd w:id="7"/>
    </w:p>
    <w:p w14:paraId="42D1A4F3" w14:textId="129A3046" w:rsidR="00EC01D8" w:rsidRPr="00D15F3A" w:rsidRDefault="00EC01D8" w:rsidP="00D15F3A">
      <w:pPr>
        <w:pStyle w:val="Heading2"/>
      </w:pPr>
      <w:bookmarkStart w:id="9" w:name="_Toc225416215"/>
      <w:r w:rsidRPr="00D15F3A">
        <w:t>About the NATSIFACP</w:t>
      </w:r>
      <w:bookmarkEnd w:id="8"/>
      <w:bookmarkEnd w:id="9"/>
    </w:p>
    <w:p w14:paraId="7FB1C47B" w14:textId="49239041" w:rsidR="00EC01D8" w:rsidRPr="00A51B4F" w:rsidRDefault="00EC01D8" w:rsidP="00A51B4F">
      <w:r w:rsidRPr="00A51B4F">
        <w:t>NATSIFACP is part of the Australian Government’s strategy to improve the quality of, and access to, aged care services for older Aboriginal and/or Torres Strait Islander people.</w:t>
      </w:r>
    </w:p>
    <w:p w14:paraId="61CBAA74" w14:textId="7461D9F6" w:rsidR="00EC01D8" w:rsidRPr="00A51B4F" w:rsidRDefault="00EC01D8" w:rsidP="00A51B4F">
      <w:r w:rsidRPr="00A51B4F">
        <w:t xml:space="preserve">NATSIFACP funds service providers to provide flexible, culturally safe aged care to older Aboriginal and/or Torres Strait Islander people close to their family, country, island home and community. Service providers deliver a mix of services in accordance with the needs of the community which are located mainly in rural and remote areas. </w:t>
      </w:r>
    </w:p>
    <w:p w14:paraId="5D570313" w14:textId="4A123E82" w:rsidR="00EC01D8" w:rsidRPr="00A51B4F" w:rsidRDefault="00EC01D8" w:rsidP="00A51B4F">
      <w:r w:rsidRPr="00A51B4F">
        <w:t xml:space="preserve">NATSIFACP is included in the new Act as a </w:t>
      </w:r>
      <w:hyperlink r:id="rId30" w:history="1">
        <w:r w:rsidRPr="00A51B4F">
          <w:rPr>
            <w:rStyle w:val="Hyperlink"/>
          </w:rPr>
          <w:t>specialist aged care program.</w:t>
        </w:r>
      </w:hyperlink>
      <w:r w:rsidRPr="00A51B4F">
        <w:t xml:space="preserve"> Specialist aged care programs are government funded aged care programs where this is an agreement or arrangement, such as a grant, in place to deliver services. </w:t>
      </w:r>
    </w:p>
    <w:p w14:paraId="6E1DCF0F" w14:textId="77777777" w:rsidR="00EC01D8" w:rsidRPr="00084B1B" w:rsidRDefault="00EC01D8" w:rsidP="00EC01D8">
      <w:pPr>
        <w:pStyle w:val="Heading3"/>
      </w:pPr>
      <w:bookmarkStart w:id="10" w:name="_Toc208837976"/>
      <w:r w:rsidRPr="00084B1B">
        <w:t>Aims and objectives</w:t>
      </w:r>
      <w:bookmarkEnd w:id="10"/>
    </w:p>
    <w:p w14:paraId="089D6684" w14:textId="77777777" w:rsidR="00EC01D8" w:rsidRPr="00A51B4F" w:rsidRDefault="00EC01D8" w:rsidP="00A51B4F">
      <w:r w:rsidRPr="00A51B4F">
        <w:t>The objectives of the NATSIFACP are to:</w:t>
      </w:r>
    </w:p>
    <w:p w14:paraId="1972975E" w14:textId="68F3B617" w:rsidR="00EC01D8" w:rsidRPr="00376459" w:rsidRDefault="00EC01D8" w:rsidP="00D82385">
      <w:pPr>
        <w:pStyle w:val="ListBullet"/>
      </w:pPr>
      <w:r w:rsidRPr="00376459">
        <w:t>provide aged care services to older Aboriginal and/or Torres Strait Islander people close to family, country, island home and community</w:t>
      </w:r>
    </w:p>
    <w:p w14:paraId="5C25BA94" w14:textId="689D76C8" w:rsidR="00EC01D8" w:rsidRPr="00376459" w:rsidRDefault="00EC01D8" w:rsidP="00D82385">
      <w:pPr>
        <w:pStyle w:val="ListBullet"/>
      </w:pPr>
      <w:r w:rsidRPr="00376459">
        <w:t>improve the quality of culturally safe aged care services for older Aboriginal and/or Torres Strait Islander people</w:t>
      </w:r>
    </w:p>
    <w:p w14:paraId="2E7399E8" w14:textId="7BE2BC1B" w:rsidR="00EC01D8" w:rsidRPr="00376459" w:rsidRDefault="00EC01D8" w:rsidP="00D82385">
      <w:pPr>
        <w:pStyle w:val="ListBullet"/>
      </w:pPr>
      <w:r w:rsidRPr="00376459">
        <w:t>improve access to aged care services for older Aboriginal and/or Torres Strait Islander people</w:t>
      </w:r>
    </w:p>
    <w:p w14:paraId="23E42077" w14:textId="77777777" w:rsidR="00EC01D8" w:rsidRPr="00376459" w:rsidRDefault="00EC01D8" w:rsidP="00D82385">
      <w:pPr>
        <w:pStyle w:val="ListBullet"/>
      </w:pPr>
      <w:r w:rsidRPr="00376459">
        <w:t xml:space="preserve">deliver a range of services to meet the changing aged care needs of the community. </w:t>
      </w:r>
    </w:p>
    <w:p w14:paraId="01BE3E24" w14:textId="77777777" w:rsidR="00EC01D8" w:rsidRPr="00084B1B" w:rsidRDefault="00EC01D8" w:rsidP="00EC01D8">
      <w:pPr>
        <w:pStyle w:val="Heading3"/>
      </w:pPr>
      <w:bookmarkStart w:id="11" w:name="_Toc208837977"/>
      <w:r w:rsidRPr="00084B1B">
        <w:t>Delivering culturally safe aged care services</w:t>
      </w:r>
      <w:bookmarkEnd w:id="11"/>
    </w:p>
    <w:p w14:paraId="7A62946F" w14:textId="1DAA13A3" w:rsidR="00273476" w:rsidRPr="00A51B4F" w:rsidRDefault="00EC01D8" w:rsidP="00A51B4F">
      <w:r w:rsidRPr="00A51B4F">
        <w:t xml:space="preserve">The term cultural safety that is used throughout the Act and defined in the </w:t>
      </w:r>
      <w:hyperlink r:id="rId31" w:history="1">
        <w:r w:rsidRPr="00A51B4F">
          <w:rPr>
            <w:rStyle w:val="Hyperlink"/>
          </w:rPr>
          <w:t>Explanatory</w:t>
        </w:r>
        <w:r w:rsidRPr="00A51B4F">
          <w:rPr>
            <w:rStyle w:val="Hyperlink"/>
            <w:highlight w:val="yellow"/>
          </w:rPr>
          <w:t xml:space="preserve"> </w:t>
        </w:r>
        <w:r w:rsidRPr="00A51B4F">
          <w:rPr>
            <w:rStyle w:val="Hyperlink"/>
          </w:rPr>
          <w:t>Memorandum,</w:t>
        </w:r>
      </w:hyperlink>
      <w:r w:rsidRPr="00A51B4F">
        <w:t xml:space="preserve"> refers to the recognition, respect and nurturing of the unique cultural identities of each Aboriginal and/or Torres Strait Islander person. Cultural safety must be incorporated into all aspects of aged care service delivery and quality systems.</w:t>
      </w:r>
    </w:p>
    <w:p w14:paraId="20C00337" w14:textId="77777777" w:rsidR="00273476" w:rsidRPr="00A51B4F" w:rsidRDefault="00273476" w:rsidP="00A51B4F">
      <w:r w:rsidRPr="00A51B4F">
        <w:br w:type="page"/>
      </w:r>
    </w:p>
    <w:p w14:paraId="32E570B8" w14:textId="19FB34FE" w:rsidR="00EC01D8" w:rsidRDefault="00EC01D8" w:rsidP="006425FB">
      <w:pPr>
        <w:pStyle w:val="PolicyStatement"/>
      </w:pPr>
      <w:bookmarkStart w:id="12" w:name="cultural_safety"/>
      <w:bookmarkEnd w:id="12"/>
      <w:r w:rsidRPr="006425FB">
        <w:rPr>
          <w:b/>
          <w:bCs/>
        </w:rPr>
        <w:t>Cultural safety</w:t>
      </w:r>
      <w:r w:rsidRPr="006425FB">
        <w:t xml:space="preserve"> means the understanding of one’s own culture and the impact that your culture, thinking, and actions may have on the culture of others through ongoing critical self-reflection. Gaining such truthful insight about oneself is critical for ensuring access to a culturally safe, respectful, responsive and racism free aged care system providing for the optimal safety, autonomy, dignity, and absolute wellbeing of Aboriginal and/or Torres Strait Islander Elders and individuals accessing funded aged care services, and their families. Only the Aboriginal and/or Torres Strait Islander person who is the recipient of a service or interaction can determine whether it is culturally safe. </w:t>
      </w:r>
    </w:p>
    <w:p w14:paraId="3AF888D0" w14:textId="20046C8A" w:rsidR="006425FB" w:rsidRPr="006425FB" w:rsidRDefault="006425FB" w:rsidP="00616027">
      <w:pPr>
        <w:pStyle w:val="PolicyStatement"/>
      </w:pPr>
      <w:r>
        <w:rPr>
          <w:b/>
          <w:bCs/>
        </w:rPr>
        <w:t>National Aboriginal and Torres Strait Islander Ageing and Aged Care Council</w:t>
      </w:r>
    </w:p>
    <w:p w14:paraId="61024C3F" w14:textId="445755C3" w:rsidR="00EC01D8" w:rsidRPr="00A51B4F" w:rsidRDefault="00EC01D8" w:rsidP="00A51B4F">
      <w:r w:rsidRPr="00A51B4F">
        <w:t xml:space="preserve">The delivery of culturally safe aged care centres on trusted relationships with Aboriginal and/or Torres Strait Islander service users and their families, and the lived experiences, and cultural and ageing needs, as determined by Aboriginal and/or Torres Strait Islander service users themselves. </w:t>
      </w:r>
    </w:p>
    <w:p w14:paraId="3033EC59" w14:textId="77777777" w:rsidR="00EC01D8" w:rsidRPr="00A51B4F" w:rsidRDefault="00EC01D8" w:rsidP="00A51B4F">
      <w:r w:rsidRPr="00A51B4F">
        <w:t>To deliver culturally safe aged care, all registered providers must:</w:t>
      </w:r>
    </w:p>
    <w:p w14:paraId="52FED58B" w14:textId="77777777" w:rsidR="00EC01D8" w:rsidRPr="0063521F" w:rsidRDefault="00EC01D8" w:rsidP="00D82385">
      <w:pPr>
        <w:pStyle w:val="ListBullet"/>
      </w:pPr>
      <w:r w:rsidRPr="0063521F">
        <w:t xml:space="preserve">facilitate a greater understanding and respect for individual and collective cultures, histories, knowledge, traditions, stories, and values of Aboriginal and/or Torres Strait Islander </w:t>
      </w:r>
      <w:r>
        <w:t>individuals</w:t>
      </w:r>
      <w:r w:rsidRPr="0063521F">
        <w:t>, their families and communities</w:t>
      </w:r>
    </w:p>
    <w:p w14:paraId="15530CB7" w14:textId="77777777" w:rsidR="00EC01D8" w:rsidRPr="0063521F" w:rsidRDefault="00EC01D8" w:rsidP="00D82385">
      <w:pPr>
        <w:pStyle w:val="ListBullet"/>
      </w:pPr>
      <w:r w:rsidRPr="0063521F">
        <w:t xml:space="preserve">have policies, procedures and practices in place to ensure the delivery of flexible, culturally safe care that meets legislative obligations. </w:t>
      </w:r>
    </w:p>
    <w:p w14:paraId="2E1B8C71" w14:textId="77777777" w:rsidR="00EC01D8" w:rsidRPr="0063521F" w:rsidRDefault="00EC01D8" w:rsidP="00D82385">
      <w:pPr>
        <w:pStyle w:val="ListBullet"/>
      </w:pPr>
      <w:r w:rsidRPr="0063521F">
        <w:t xml:space="preserve">ensure that </w:t>
      </w:r>
      <w:r>
        <w:t>the</w:t>
      </w:r>
      <w:r w:rsidRPr="0063521F">
        <w:t xml:space="preserve"> </w:t>
      </w:r>
      <w:r>
        <w:t>individual</w:t>
      </w:r>
      <w:r w:rsidRPr="0063521F">
        <w:t>’s interests, customs, beliefs and cultural backgrounds are valued and nurtured, and</w:t>
      </w:r>
    </w:p>
    <w:p w14:paraId="71E79B39" w14:textId="77777777" w:rsidR="00EC01D8" w:rsidRPr="0063521F" w:rsidRDefault="00EC01D8" w:rsidP="00D82385">
      <w:pPr>
        <w:pStyle w:val="ListBullet"/>
      </w:pPr>
      <w:r w:rsidRPr="0063521F">
        <w:t xml:space="preserve">assist </w:t>
      </w:r>
      <w:r>
        <w:t>individual</w:t>
      </w:r>
      <w:r w:rsidRPr="0063521F">
        <w:t>s to stay connected with their family and community, and</w:t>
      </w:r>
    </w:p>
    <w:p w14:paraId="5D3AC12E" w14:textId="77777777" w:rsidR="00EC01D8" w:rsidRPr="0063521F" w:rsidRDefault="00EC01D8" w:rsidP="00D82385">
      <w:pPr>
        <w:pStyle w:val="ListBullet"/>
      </w:pPr>
      <w:r w:rsidRPr="0063521F">
        <w:t>firmly commit to continuously measure and improve structures and behaviours necessary for cultural safety and quality support.</w:t>
      </w:r>
    </w:p>
    <w:p w14:paraId="3211FC12" w14:textId="77777777" w:rsidR="00EC01D8" w:rsidRPr="00A51B4F" w:rsidRDefault="00EC01D8" w:rsidP="00A51B4F">
      <w:r w:rsidRPr="00A51B4F">
        <w:t>Culturally safe aged care also includes:</w:t>
      </w:r>
    </w:p>
    <w:p w14:paraId="770009C4" w14:textId="77777777" w:rsidR="00EC01D8" w:rsidRPr="00084B1B" w:rsidRDefault="00EC01D8" w:rsidP="00D82385">
      <w:pPr>
        <w:pStyle w:val="ListBullet"/>
      </w:pPr>
      <w:r w:rsidRPr="00084B1B">
        <w:t>having buildings appropriate for cultural activities, family visits, ceremonies and Aboriginal and</w:t>
      </w:r>
      <w:r>
        <w:t>/or</w:t>
      </w:r>
      <w:r w:rsidRPr="00084B1B">
        <w:t xml:space="preserve"> Torres Strait Islander customs</w:t>
      </w:r>
    </w:p>
    <w:p w14:paraId="57838C21" w14:textId="77777777" w:rsidR="00EC01D8" w:rsidRPr="00084B1B" w:rsidRDefault="00EC01D8" w:rsidP="00D82385">
      <w:pPr>
        <w:pStyle w:val="ListBullet"/>
      </w:pPr>
      <w:r w:rsidRPr="00084B1B">
        <w:t>ensuring a comfortable environment and surroundings, such as having access to the natural environment and bushland gardens, and having Aboriginal and</w:t>
      </w:r>
      <w:r>
        <w:t>/or</w:t>
      </w:r>
      <w:r w:rsidRPr="00084B1B">
        <w:t xml:space="preserve"> Torres Strait Islander artefacts</w:t>
      </w:r>
    </w:p>
    <w:p w14:paraId="6CA3A56D" w14:textId="77777777" w:rsidR="00EC01D8" w:rsidRPr="00084B1B" w:rsidRDefault="00EC01D8" w:rsidP="00D82385">
      <w:pPr>
        <w:pStyle w:val="ListBullet"/>
      </w:pPr>
      <w:r w:rsidRPr="00084B1B">
        <w:t xml:space="preserve">employing or engaging Aboriginal </w:t>
      </w:r>
      <w:r>
        <w:t>and/</w:t>
      </w:r>
      <w:r w:rsidRPr="00084B1B">
        <w:t>or Torres Strait Islander people</w:t>
      </w:r>
    </w:p>
    <w:p w14:paraId="5D0E45D3" w14:textId="77777777" w:rsidR="00EC01D8" w:rsidRPr="00D15F3A" w:rsidRDefault="00EC01D8" w:rsidP="00D15F3A">
      <w:pPr>
        <w:pStyle w:val="ListBullet"/>
      </w:pPr>
      <w:r w:rsidRPr="00D15F3A">
        <w:t>encouraging participation by the local community in planning and providing aged care</w:t>
      </w:r>
    </w:p>
    <w:p w14:paraId="079999FB" w14:textId="77777777" w:rsidR="00EC01D8" w:rsidRPr="00084B1B" w:rsidRDefault="00EC01D8" w:rsidP="00D82385">
      <w:pPr>
        <w:pStyle w:val="ListBullet"/>
      </w:pPr>
      <w:r w:rsidRPr="00084B1B">
        <w:t xml:space="preserve">encouraging and assisting </w:t>
      </w:r>
      <w:r>
        <w:t>individual</w:t>
      </w:r>
      <w:r w:rsidRPr="00084B1B">
        <w:t>s to remain engaged with their community, including participating in traditional events</w:t>
      </w:r>
    </w:p>
    <w:p w14:paraId="2AB4DBFF" w14:textId="77777777" w:rsidR="00EC01D8" w:rsidRPr="00084B1B" w:rsidRDefault="00EC01D8" w:rsidP="00D82385">
      <w:pPr>
        <w:pStyle w:val="ListBullet"/>
      </w:pPr>
      <w:r w:rsidRPr="00084B1B">
        <w:t>respecting cultural traditions such as men’s and women’s business, and</w:t>
      </w:r>
    </w:p>
    <w:p w14:paraId="776886BF" w14:textId="77777777" w:rsidR="00EC01D8" w:rsidRDefault="00EC01D8" w:rsidP="00D82385">
      <w:pPr>
        <w:pStyle w:val="ListBullet"/>
      </w:pPr>
      <w:r w:rsidRPr="00084B1B">
        <w:t>providing the services in a culturally safe way.</w:t>
      </w:r>
    </w:p>
    <w:p w14:paraId="000647AD" w14:textId="77777777" w:rsidR="00EC01D8" w:rsidRPr="00D15F3A" w:rsidRDefault="00EC01D8" w:rsidP="00D15F3A">
      <w:pPr>
        <w:pStyle w:val="Heading2"/>
      </w:pPr>
      <w:bookmarkStart w:id="13" w:name="_Toc212713644"/>
      <w:bookmarkStart w:id="14" w:name="_Toc225416216"/>
      <w:r w:rsidRPr="00D15F3A">
        <w:t>About the Aged Care Act 2024</w:t>
      </w:r>
      <w:bookmarkEnd w:id="13"/>
      <w:bookmarkEnd w:id="14"/>
    </w:p>
    <w:p w14:paraId="0BF855BF" w14:textId="77777777" w:rsidR="00EC01D8" w:rsidRPr="00084B1B" w:rsidRDefault="00EC01D8" w:rsidP="00EC01D8">
      <w:r w:rsidRPr="00084B1B">
        <w:t xml:space="preserve">The </w:t>
      </w:r>
      <w:r w:rsidRPr="00084B1B">
        <w:rPr>
          <w:iCs/>
        </w:rPr>
        <w:t>Act</w:t>
      </w:r>
      <w:r w:rsidRPr="00084B1B">
        <w:t xml:space="preserve"> was developed in response to the number one recommendation from the final report of the Royal Commission into Aged Care Quality and Safety to place the needs of older people at the centre of the aged care system. It aims to make aged care safer, fairer and more respectful. </w:t>
      </w:r>
    </w:p>
    <w:p w14:paraId="50FE4612" w14:textId="77777777" w:rsidR="00EC01D8" w:rsidRPr="00084B1B" w:rsidRDefault="00EC01D8" w:rsidP="00EC01D8">
      <w:r w:rsidRPr="00084B1B">
        <w:t xml:space="preserve">The infographic below outlines the main parts of the Act and how they work together to support the older person at the centre. </w:t>
      </w:r>
    </w:p>
    <w:p w14:paraId="45D30530" w14:textId="77777777" w:rsidR="00EC01D8" w:rsidRPr="00084B1B" w:rsidRDefault="00EC01D8" w:rsidP="00EC01D8">
      <w:pPr>
        <w:jc w:val="center"/>
      </w:pPr>
      <w:r w:rsidRPr="00084B1B">
        <w:rPr>
          <w:noProof/>
        </w:rPr>
        <w:drawing>
          <wp:inline distT="0" distB="0" distL="0" distR="0" wp14:anchorId="3CB2202A" wp14:editId="1888B5BD">
            <wp:extent cx="5837275" cy="3189864"/>
            <wp:effectExtent l="0" t="0" r="0" b="0"/>
            <wp:docPr id="1614598345" name="Picture 1" descr="This is a graphic of the new Aged Care Act 'house model'. It is a visual representation of the new Aged Care Act and the 6 key elements of rules and regulations, high quality quality, access and entry, a strong workforce, choice and transparency, and your rights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98345" name="Picture 1" descr="This is a graphic of the new Aged Care Act 'house model'. It is a visual representation of the new Aged Care Act and the 6 key elements of rules and regulations, high quality quality, access and entry, a strong workforce, choice and transparency, and your rights matter."/>
                    <pic:cNvPicPr/>
                  </pic:nvPicPr>
                  <pic:blipFill rotWithShape="1">
                    <a:blip r:embed="rId32"/>
                    <a:srcRect t="12182"/>
                    <a:stretch>
                      <a:fillRect/>
                    </a:stretch>
                  </pic:blipFill>
                  <pic:spPr bwMode="auto">
                    <a:xfrm>
                      <a:off x="0" y="0"/>
                      <a:ext cx="5864670" cy="3204834"/>
                    </a:xfrm>
                    <a:prstGeom prst="rect">
                      <a:avLst/>
                    </a:prstGeom>
                    <a:ln>
                      <a:noFill/>
                    </a:ln>
                    <a:extLst>
                      <a:ext uri="{53640926-AAD7-44D8-BBD7-CCE9431645EC}">
                        <a14:shadowObscured xmlns:a14="http://schemas.microsoft.com/office/drawing/2010/main"/>
                      </a:ext>
                    </a:extLst>
                  </pic:spPr>
                </pic:pic>
              </a:graphicData>
            </a:graphic>
          </wp:inline>
        </w:drawing>
      </w:r>
    </w:p>
    <w:p w14:paraId="4B7AD23C" w14:textId="77777777" w:rsidR="00EC01D8" w:rsidRPr="00084B1B" w:rsidRDefault="00EC01D8" w:rsidP="00EC01D8">
      <w:r w:rsidRPr="00084B1B">
        <w:t>The Act establishes a rights-based legislative framework that focuses on the safety, health, and wellbeing of older people by:</w:t>
      </w:r>
    </w:p>
    <w:p w14:paraId="41E032CB" w14:textId="77777777" w:rsidR="00EC01D8" w:rsidRPr="006C185C" w:rsidRDefault="00EC01D8" w:rsidP="00D82385">
      <w:pPr>
        <w:pStyle w:val="ListBullet"/>
      </w:pPr>
      <w:r w:rsidRPr="006C185C">
        <w:t>outlining the rights of older people who are seeking and accessing aged care services</w:t>
      </w:r>
    </w:p>
    <w:p w14:paraId="51097E45" w14:textId="77777777" w:rsidR="00EC01D8" w:rsidRPr="006C185C" w:rsidRDefault="00EC01D8" w:rsidP="00D82385">
      <w:pPr>
        <w:pStyle w:val="ListBullet"/>
      </w:pPr>
      <w:r w:rsidRPr="006C185C">
        <w:t>creating a single entry point, with clear eligibility requirements</w:t>
      </w:r>
    </w:p>
    <w:p w14:paraId="743E05D0" w14:textId="27A6C055" w:rsidR="00EC01D8" w:rsidRPr="006C185C" w:rsidRDefault="00EC01D8" w:rsidP="00D82385">
      <w:pPr>
        <w:pStyle w:val="ListBullet"/>
      </w:pPr>
      <w:r w:rsidRPr="006C185C">
        <w:t>including a fair, culturally safe</w:t>
      </w:r>
      <w:r w:rsidR="004E5107">
        <w:t xml:space="preserve"> </w:t>
      </w:r>
      <w:hyperlink r:id="rId33" w:tooltip="Single Assessment System for aged care" w:history="1">
        <w:r w:rsidRPr="002D3E19">
          <w:rPr>
            <w:rStyle w:val="Hyperlink"/>
            <w:color w:val="1D4794"/>
          </w:rPr>
          <w:t>single assessment framework</w:t>
        </w:r>
      </w:hyperlink>
    </w:p>
    <w:p w14:paraId="0A71FA39" w14:textId="77777777" w:rsidR="00EC01D8" w:rsidRPr="006C185C" w:rsidRDefault="00EC01D8" w:rsidP="00D82385">
      <w:pPr>
        <w:pStyle w:val="ListBullet"/>
      </w:pPr>
      <w:r w:rsidRPr="006C185C">
        <w:t>supporting the delivery of aged care services</w:t>
      </w:r>
    </w:p>
    <w:p w14:paraId="51990159" w14:textId="7265642D" w:rsidR="00EC01D8" w:rsidRPr="00A42515" w:rsidRDefault="00EC01D8" w:rsidP="00D82385">
      <w:pPr>
        <w:pStyle w:val="ListBullet"/>
        <w:rPr>
          <w:rStyle w:val="Hyperlink"/>
        </w:rPr>
      </w:pPr>
      <w:r w:rsidRPr="006C185C">
        <w:t>establishing a new</w:t>
      </w:r>
      <w:r w:rsidR="004E5107">
        <w:t xml:space="preserve"> </w:t>
      </w:r>
      <w:r w:rsidR="00A42515">
        <w:fldChar w:fldCharType="begin"/>
      </w:r>
      <w:r w:rsidR="00A42515">
        <w:instrText>HYPERLINK "https://www.health.gov.au/node/48478" \l "oversight-of-the-aged-care-system" \o "Regulation and oversight under the new Aged Care Act"</w:instrText>
      </w:r>
      <w:r w:rsidR="00A42515">
        <w:fldChar w:fldCharType="separate"/>
      </w:r>
      <w:r w:rsidRPr="00A42515">
        <w:rPr>
          <w:rStyle w:val="Hyperlink"/>
        </w:rPr>
        <w:t>system oversight and accountability arrangements</w:t>
      </w:r>
    </w:p>
    <w:p w14:paraId="75D5865A" w14:textId="3D2E04F9" w:rsidR="00EC01D8" w:rsidRPr="006C185C" w:rsidRDefault="00A42515" w:rsidP="00D82385">
      <w:pPr>
        <w:pStyle w:val="ListBullet"/>
      </w:pPr>
      <w:r>
        <w:fldChar w:fldCharType="end"/>
      </w:r>
      <w:r w:rsidR="00EC01D8" w:rsidRPr="006C185C">
        <w:t>increasing provider accountability through a new</w:t>
      </w:r>
      <w:r w:rsidR="004E5107">
        <w:t xml:space="preserve"> </w:t>
      </w:r>
      <w:hyperlink r:id="rId34" w:tooltip="New aged care regulatory model" w:history="1">
        <w:r w:rsidR="00EC01D8" w:rsidRPr="002D3E19">
          <w:rPr>
            <w:rStyle w:val="Hyperlink"/>
            <w:color w:val="1D4794"/>
          </w:rPr>
          <w:t>regulatory model</w:t>
        </w:r>
      </w:hyperlink>
      <w:r w:rsidR="00EC01D8" w:rsidRPr="006C185C">
        <w:t>, and</w:t>
      </w:r>
    </w:p>
    <w:p w14:paraId="1B900E6D" w14:textId="6CCDB957" w:rsidR="00EC01D8" w:rsidRPr="006C185C" w:rsidRDefault="00EC01D8" w:rsidP="00D82385">
      <w:pPr>
        <w:pStyle w:val="ListBullet"/>
      </w:pPr>
      <w:r w:rsidRPr="006C185C">
        <w:t>strengthening the</w:t>
      </w:r>
      <w:r w:rsidR="004E5107">
        <w:t xml:space="preserve"> </w:t>
      </w:r>
      <w:hyperlink r:id="rId35" w:history="1">
        <w:r w:rsidRPr="002D3E19">
          <w:rPr>
            <w:rStyle w:val="Hyperlink"/>
            <w:color w:val="1D4794"/>
          </w:rPr>
          <w:t>aged care regulator</w:t>
        </w:r>
      </w:hyperlink>
      <w:r w:rsidRPr="006C185C">
        <w:t>.</w:t>
      </w:r>
    </w:p>
    <w:p w14:paraId="00863C73" w14:textId="77777777" w:rsidR="00EC01D8" w:rsidRPr="00084B1B" w:rsidRDefault="00EC01D8" w:rsidP="00EC01D8">
      <w:r w:rsidRPr="00084B1B">
        <w:t>Further information about the new rights-based Act is available</w:t>
      </w:r>
      <w:r>
        <w:t>:</w:t>
      </w:r>
      <w:r w:rsidRPr="00084B1B">
        <w:t xml:space="preserve"> </w:t>
      </w:r>
      <w:hyperlink r:id="rId36" w:history="1">
        <w:r>
          <w:rPr>
            <w:rStyle w:val="Hyperlink"/>
          </w:rPr>
          <w:t>health.gov.au/our-work/aged-care-act/about</w:t>
        </w:r>
      </w:hyperlink>
      <w:r w:rsidRPr="00084B1B">
        <w:t>.</w:t>
      </w:r>
    </w:p>
    <w:p w14:paraId="38C9BAE1" w14:textId="77777777" w:rsidR="00EC01D8" w:rsidRPr="00084B1B" w:rsidRDefault="00EC01D8" w:rsidP="00EC01D8">
      <w:pPr>
        <w:pStyle w:val="Heading3"/>
      </w:pPr>
      <w:r w:rsidRPr="00084B1B">
        <w:t>Statement of Rights and Statement of Principles</w:t>
      </w:r>
    </w:p>
    <w:p w14:paraId="2E131EEF" w14:textId="77777777" w:rsidR="00EC01D8" w:rsidRDefault="00EC01D8" w:rsidP="00EC01D8">
      <w:r w:rsidRPr="00084B1B">
        <w:t>The Act includes the Statement of Rights, which outlines the rights older people have in the aged care system. It also includes the Statement of Principles, which provides guidance for those involved in making decisions, administering and regulating the aged care system. While they are closely related, they serve different purposes.</w:t>
      </w:r>
    </w:p>
    <w:p w14:paraId="2E9689EC" w14:textId="6E1DA40B" w:rsidR="00EC01D8" w:rsidRDefault="00EC01D8" w:rsidP="00EC01D8">
      <w:r>
        <w:t xml:space="preserve">Further information is in the </w:t>
      </w:r>
      <w:hyperlink w:anchor="_Obligations_of_registered" w:history="1">
        <w:r w:rsidRPr="00AC6F4C">
          <w:rPr>
            <w:rStyle w:val="Hyperlink"/>
          </w:rPr>
          <w:t>Rights, Principles and Code of Conduct</w:t>
        </w:r>
      </w:hyperlink>
      <w:r>
        <w:t xml:space="preserve"> section below. </w:t>
      </w:r>
    </w:p>
    <w:p w14:paraId="6035E711" w14:textId="77777777" w:rsidR="00EC01D8" w:rsidRPr="00084B1B" w:rsidRDefault="00EC01D8" w:rsidP="00EC01D8">
      <w:pPr>
        <w:pStyle w:val="Heading3"/>
      </w:pPr>
      <w:bookmarkStart w:id="15" w:name="statement_rights"/>
      <w:bookmarkEnd w:id="15"/>
      <w:r w:rsidRPr="00084B1B">
        <w:t>Aged care system governance</w:t>
      </w:r>
    </w:p>
    <w:p w14:paraId="0EEE6A32" w14:textId="77777777" w:rsidR="00EC01D8" w:rsidRPr="00084B1B" w:rsidRDefault="00EC01D8" w:rsidP="00EC01D8">
      <w:r w:rsidRPr="00084B1B">
        <w:t>The Act</w:t>
      </w:r>
      <w:r w:rsidRPr="00D01733">
        <w:t> establish</w:t>
      </w:r>
      <w:r w:rsidRPr="00084B1B">
        <w:t>es</w:t>
      </w:r>
      <w:r w:rsidRPr="00D01733">
        <w:t xml:space="preserve"> a framework of leadership and oversight</w:t>
      </w:r>
      <w:r w:rsidRPr="00084B1B">
        <w:t xml:space="preserve"> that is</w:t>
      </w:r>
      <w:r w:rsidRPr="00D01733">
        <w:t xml:space="preserve"> designed to ensure transparency, safety, and quality in</w:t>
      </w:r>
      <w:r w:rsidRPr="00084B1B">
        <w:t xml:space="preserve"> aged care</w:t>
      </w:r>
      <w:r w:rsidRPr="00D01733">
        <w:t xml:space="preserve"> service delivery. </w:t>
      </w:r>
      <w:r w:rsidRPr="00084B1B">
        <w:t xml:space="preserve">The framework outlines the </w:t>
      </w:r>
      <w:r w:rsidRPr="00D01733">
        <w:t xml:space="preserve">key roles </w:t>
      </w:r>
      <w:r w:rsidRPr="00084B1B">
        <w:t xml:space="preserve">and entities that are responsible for the </w:t>
      </w:r>
      <w:r w:rsidRPr="00D01733">
        <w:t>coordinat</w:t>
      </w:r>
      <w:r w:rsidRPr="00084B1B">
        <w:t>ion,</w:t>
      </w:r>
      <w:r w:rsidRPr="00D01733">
        <w:t xml:space="preserve"> regulation, monitoring, and continuous improvement of aged care services. </w:t>
      </w:r>
    </w:p>
    <w:p w14:paraId="6B6CACAB" w14:textId="77777777" w:rsidR="00EC01D8" w:rsidRPr="00084B1B" w:rsidRDefault="00EC01D8" w:rsidP="00EC01D8">
      <w:r w:rsidRPr="00D01733">
        <w:t xml:space="preserve">Additionally, the independent oversight provided by the Inspector-General of Aged Care—established under separate legislation—reinforces the commitment to safeguarding older Australians through fair and transparent governance. </w:t>
      </w:r>
    </w:p>
    <w:p w14:paraId="43291847" w14:textId="3F69C239" w:rsidR="00EC01D8" w:rsidRPr="00D01733" w:rsidRDefault="00EC01D8" w:rsidP="00EC01D8">
      <w:hyperlink w:anchor="_Chapter_5_–" w:history="1">
        <w:r w:rsidRPr="00F05306">
          <w:rPr>
            <w:rStyle w:val="Hyperlink"/>
          </w:rPr>
          <w:t>Chapter 5</w:t>
        </w:r>
      </w:hyperlink>
      <w:r w:rsidRPr="00084B1B">
        <w:t xml:space="preserve"> provides more information on </w:t>
      </w:r>
      <w:r w:rsidRPr="00D01733">
        <w:t>the responsibilities, powers, and interactions of the governance bodies</w:t>
      </w:r>
      <w:r w:rsidRPr="00084B1B">
        <w:t xml:space="preserve"> to help you</w:t>
      </w:r>
      <w:r w:rsidRPr="00D01733">
        <w:t xml:space="preserve"> understand how the aged care system is steered and held to account</w:t>
      </w:r>
      <w:r w:rsidRPr="00084B1B">
        <w:t xml:space="preserve">. </w:t>
      </w:r>
    </w:p>
    <w:p w14:paraId="1A9534E3" w14:textId="77777777" w:rsidR="00EC01D8" w:rsidRPr="00084B1B" w:rsidRDefault="00EC01D8" w:rsidP="00EC01D8">
      <w:pPr>
        <w:pStyle w:val="Heading3"/>
      </w:pPr>
      <w:r w:rsidRPr="00084B1B">
        <w:t>New Regulatory Model</w:t>
      </w:r>
    </w:p>
    <w:p w14:paraId="691A9AD1" w14:textId="0453B2E9" w:rsidR="00EC01D8" w:rsidRPr="00084B1B" w:rsidRDefault="00EC01D8" w:rsidP="00EC01D8">
      <w:r w:rsidRPr="00084B1B">
        <w:t xml:space="preserve">The Act introduces a new regulatory model that sets out how all aged care providers are required to operate under the Act. </w:t>
      </w:r>
      <w:hyperlink w:anchor="_Chapter_6_–" w:history="1">
        <w:r w:rsidRPr="00AB4878">
          <w:rPr>
            <w:rStyle w:val="Hyperlink"/>
          </w:rPr>
          <w:t>Chapter 6</w:t>
        </w:r>
      </w:hyperlink>
      <w:r w:rsidRPr="00084B1B">
        <w:t xml:space="preserve"> provides additional information on the key features of the new Regulatory Model, including provider registration and obligations, monitoring and enforcement, and complaints and whistle-blower protections. </w:t>
      </w:r>
    </w:p>
    <w:p w14:paraId="3B36D0EE" w14:textId="77777777" w:rsidR="00FE25AB" w:rsidRPr="00CA5C9D" w:rsidRDefault="00E47D50" w:rsidP="00CA5C9D">
      <w:pPr>
        <w:sectPr w:rsidR="00FE25AB" w:rsidRPr="00CA5C9D" w:rsidSect="00E33A42">
          <w:headerReference w:type="even" r:id="rId37"/>
          <w:headerReference w:type="default" r:id="rId38"/>
          <w:footerReference w:type="even" r:id="rId39"/>
          <w:footerReference w:type="default" r:id="rId40"/>
          <w:pgSz w:w="11906" w:h="16838"/>
          <w:pgMar w:top="1701" w:right="1418" w:bottom="1418" w:left="1418" w:header="709" w:footer="709" w:gutter="0"/>
          <w:cols w:space="708"/>
          <w:docGrid w:linePitch="360"/>
        </w:sectPr>
      </w:pPr>
      <w:r w:rsidRPr="00CA5C9D">
        <w:br w:type="page"/>
      </w:r>
    </w:p>
    <w:p w14:paraId="5488EEA9" w14:textId="42ADD9BF" w:rsidR="0075763B" w:rsidRDefault="0075763B" w:rsidP="0075763B">
      <w:pPr>
        <w:pStyle w:val="SectionNumber"/>
      </w:pPr>
      <w:r>
        <w:drawing>
          <wp:anchor distT="0" distB="0" distL="114300" distR="114300" simplePos="0" relativeHeight="251658245" behindDoc="0" locked="0" layoutInCell="1" allowOverlap="1" wp14:anchorId="3EAF2429" wp14:editId="600B0D69">
            <wp:simplePos x="0" y="0"/>
            <wp:positionH relativeFrom="page">
              <wp:posOffset>2896235</wp:posOffset>
            </wp:positionH>
            <wp:positionV relativeFrom="page">
              <wp:posOffset>8750300</wp:posOffset>
            </wp:positionV>
            <wp:extent cx="4642485" cy="1925955"/>
            <wp:effectExtent l="0" t="0" r="5715" b="4445"/>
            <wp:wrapNone/>
            <wp:docPr id="13696770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8185" name="Picture 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30B">
        <w:drawing>
          <wp:anchor distT="0" distB="0" distL="114300" distR="114300" simplePos="0" relativeHeight="251658246" behindDoc="0" locked="0" layoutInCell="1" allowOverlap="1" wp14:anchorId="230E7127" wp14:editId="7C17B03E">
            <wp:simplePos x="0" y="0"/>
            <wp:positionH relativeFrom="column">
              <wp:posOffset>-2061845</wp:posOffset>
            </wp:positionH>
            <wp:positionV relativeFrom="paragraph">
              <wp:posOffset>297815</wp:posOffset>
            </wp:positionV>
            <wp:extent cx="1842770" cy="1892300"/>
            <wp:effectExtent l="0" t="0" r="0" b="0"/>
            <wp:wrapNone/>
            <wp:docPr id="4109176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54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892300"/>
                    </a:xfrm>
                    <a:prstGeom prst="rect">
                      <a:avLst/>
                    </a:prstGeom>
                  </pic:spPr>
                </pic:pic>
              </a:graphicData>
            </a:graphic>
            <wp14:sizeRelH relativeFrom="page">
              <wp14:pctWidth>0</wp14:pctWidth>
            </wp14:sizeRelH>
            <wp14:sizeRelV relativeFrom="page">
              <wp14:pctHeight>0</wp14:pctHeight>
            </wp14:sizeRelV>
          </wp:anchor>
        </w:drawing>
      </w:r>
      <w:r w:rsidRPr="00444D55">
        <w:drawing>
          <wp:anchor distT="0" distB="0" distL="114300" distR="114300" simplePos="0" relativeHeight="251658247" behindDoc="0" locked="0" layoutInCell="1" allowOverlap="1" wp14:anchorId="33D13AE0" wp14:editId="7CCC830E">
            <wp:simplePos x="0" y="0"/>
            <wp:positionH relativeFrom="column">
              <wp:posOffset>-347345</wp:posOffset>
            </wp:positionH>
            <wp:positionV relativeFrom="paragraph">
              <wp:posOffset>7574915</wp:posOffset>
            </wp:positionV>
            <wp:extent cx="1460500" cy="1496695"/>
            <wp:effectExtent l="0" t="0" r="0" b="1905"/>
            <wp:wrapNone/>
            <wp:docPr id="14899295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701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Pr="00CC09BC">
        <mc:AlternateContent>
          <mc:Choice Requires="wps">
            <w:drawing>
              <wp:anchor distT="0" distB="0" distL="114300" distR="114300" simplePos="0" relativeHeight="251658244" behindDoc="1" locked="0" layoutInCell="1" allowOverlap="1" wp14:anchorId="4CCCAE90" wp14:editId="6351BB87">
                <wp:simplePos x="171450" y="400050"/>
                <wp:positionH relativeFrom="page">
                  <wp:align>left</wp:align>
                </wp:positionH>
                <wp:positionV relativeFrom="page">
                  <wp:align>top</wp:align>
                </wp:positionV>
                <wp:extent cx="7560000" cy="10692000"/>
                <wp:effectExtent l="0" t="0" r="0" b="1905"/>
                <wp:wrapNone/>
                <wp:docPr id="1017149868" name="Rectangle 1017149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D47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C9655B7">
              <v:rect id="Rectangle 1017149868"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d4794" stroked="f" strokeweight="2pt" w14:anchorId="6D985F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">
                <w10:wrap anchorx="page" anchory="page"/>
              </v:rect>
            </w:pict>
          </mc:Fallback>
        </mc:AlternateContent>
      </w:r>
      <w:r>
        <w:t>Chapter 2</w:t>
      </w:r>
    </w:p>
    <w:p w14:paraId="2438BDFC" w14:textId="38F4EF86" w:rsidR="003F1AB7" w:rsidRDefault="00635655" w:rsidP="0075763B">
      <w:pPr>
        <w:pStyle w:val="SectionTitle"/>
      </w:pPr>
      <w:r>
        <w:t>Assessment and a</w:t>
      </w:r>
      <w:r w:rsidR="0075763B">
        <w:t>ccess to NATSIFACP</w:t>
      </w:r>
      <w:r>
        <w:t xml:space="preserve"> services</w:t>
      </w:r>
    </w:p>
    <w:p w14:paraId="577D4679" w14:textId="77777777" w:rsidR="003F1AB7" w:rsidRPr="00A51B4F" w:rsidRDefault="003F1AB7" w:rsidP="00A51B4F">
      <w:r w:rsidRPr="00A51B4F">
        <w:br w:type="page"/>
      </w:r>
    </w:p>
    <w:p w14:paraId="2EE0E289" w14:textId="64A03AE3" w:rsidR="0014260F" w:rsidRPr="00D15F3A" w:rsidRDefault="0014260F" w:rsidP="00D15F3A">
      <w:pPr>
        <w:pStyle w:val="Heading1"/>
      </w:pPr>
      <w:bookmarkStart w:id="16" w:name="_Toc212713645"/>
      <w:bookmarkStart w:id="17" w:name="_Toc225416217"/>
      <w:r w:rsidRPr="00D15F3A">
        <w:t xml:space="preserve">Chapter 2 </w:t>
      </w:r>
      <w:r w:rsidR="00515F64" w:rsidRPr="00D15F3A">
        <w:t xml:space="preserve">– </w:t>
      </w:r>
      <w:r w:rsidRPr="00D15F3A">
        <w:t>A</w:t>
      </w:r>
      <w:r w:rsidR="003A003F" w:rsidRPr="00D15F3A">
        <w:t>ssessment and a</w:t>
      </w:r>
      <w:r w:rsidRPr="00D15F3A">
        <w:t xml:space="preserve">ccess </w:t>
      </w:r>
      <w:bookmarkEnd w:id="16"/>
      <w:r w:rsidR="003A003F" w:rsidRPr="00D15F3A">
        <w:t>t</w:t>
      </w:r>
      <w:r w:rsidR="009F0C4A" w:rsidRPr="00D15F3A">
        <w:t>o NATSIFACP services</w:t>
      </w:r>
      <w:bookmarkEnd w:id="17"/>
    </w:p>
    <w:p w14:paraId="045F5D44" w14:textId="77777777" w:rsidR="0014260F" w:rsidRPr="00084B1B" w:rsidRDefault="0014260F" w:rsidP="0014260F">
      <w:r w:rsidRPr="00084B1B">
        <w:t>Entry into the aged care system has often been seen as complex, with multiple entry points and varied assessment processes. The Act introduces a streamlined and consistent approach to accessing aged care services, making it easier for older people to find and access the care they need.</w:t>
      </w:r>
    </w:p>
    <w:p w14:paraId="5989B5B8" w14:textId="77777777" w:rsidR="0014260F" w:rsidRPr="00084B1B" w:rsidRDefault="0014260F" w:rsidP="0014260F">
      <w:r w:rsidRPr="00084B1B">
        <w:t>The new aged care system also aims to ensure that Aboriginal and</w:t>
      </w:r>
      <w:r>
        <w:t>/or</w:t>
      </w:r>
      <w:r w:rsidRPr="00084B1B">
        <w:t xml:space="preserve"> Torres Strait Islander people can:</w:t>
      </w:r>
    </w:p>
    <w:p w14:paraId="130D40A5" w14:textId="13B3E2BE" w:rsidR="0014260F" w:rsidRPr="00084B1B" w:rsidRDefault="0014260F" w:rsidP="00D82385">
      <w:pPr>
        <w:pStyle w:val="ListBullet"/>
      </w:pPr>
      <w:r w:rsidRPr="00084B1B">
        <w:t>access aged care services in ways that are culturally safe, respectful, and responsive to their unique needs</w:t>
      </w:r>
    </w:p>
    <w:p w14:paraId="7E75A386" w14:textId="77777777" w:rsidR="0014260F" w:rsidRPr="00084B1B" w:rsidRDefault="0014260F" w:rsidP="00D82385">
      <w:pPr>
        <w:pStyle w:val="ListBullet"/>
      </w:pPr>
      <w:r w:rsidRPr="00084B1B">
        <w:t>receive person-centred care that reflects their values, traditions, and lived experiences.</w:t>
      </w:r>
    </w:p>
    <w:p w14:paraId="020F449E" w14:textId="77777777" w:rsidR="0014260F" w:rsidRPr="00084B1B" w:rsidRDefault="0014260F" w:rsidP="0014260F">
      <w:r w:rsidRPr="00084B1B">
        <w:t>The reforms have sought to embed culturally appropriate practices into the assessment and access process, including through recognising the importance of community-controlled organisations, supporting flexible models of care, and ensuring assessors are trained in cultural safety and trauma-informed approaches.</w:t>
      </w:r>
    </w:p>
    <w:p w14:paraId="1EC81B78" w14:textId="77777777" w:rsidR="0014260F" w:rsidRPr="00084B1B" w:rsidRDefault="0014260F" w:rsidP="0014260F">
      <w:r w:rsidRPr="00084B1B">
        <w:t xml:space="preserve">The assessment process seeks to be more inclusive, with options for face-to-face engagement, support from trusted community members, and recognition of diverse family and kinship structures. </w:t>
      </w:r>
    </w:p>
    <w:p w14:paraId="7DD29BAA" w14:textId="77777777" w:rsidR="0014260F" w:rsidRPr="00084B1B" w:rsidRDefault="0014260F" w:rsidP="0014260F">
      <w:pPr>
        <w:pStyle w:val="Heading2"/>
      </w:pPr>
      <w:bookmarkStart w:id="18" w:name="_Toc212713646"/>
      <w:bookmarkStart w:id="19" w:name="_Toc225416218"/>
      <w:r>
        <w:t>Single Assessment System</w:t>
      </w:r>
      <w:bookmarkEnd w:id="18"/>
      <w:bookmarkEnd w:id="19"/>
      <w:r>
        <w:t xml:space="preserve"> </w:t>
      </w:r>
    </w:p>
    <w:p w14:paraId="13AACE22" w14:textId="77777777" w:rsidR="0014260F" w:rsidRPr="00084B1B" w:rsidRDefault="0014260F" w:rsidP="0014260F">
      <w:r w:rsidRPr="00A95982">
        <w:t xml:space="preserve">The Single Assessment System is a new approach designed to simplify how older Australians access government-funded aged care services. This reform </w:t>
      </w:r>
      <w:r w:rsidRPr="00084B1B">
        <w:t xml:space="preserve">replaces multiple, often confusing assessment pathways, with </w:t>
      </w:r>
      <w:r w:rsidRPr="00A95982">
        <w:t>one streamlined system, so older people only need to go through one assessment process</w:t>
      </w:r>
      <w:r w:rsidRPr="00084B1B">
        <w:t>,</w:t>
      </w:r>
      <w:r w:rsidRPr="00A95982">
        <w:t xml:space="preserve"> even if their care needs change over time. </w:t>
      </w:r>
      <w:r w:rsidRPr="00084B1B">
        <w:t>The system</w:t>
      </w:r>
      <w:r w:rsidRPr="00A95982">
        <w:t xml:space="preserve"> aims to reduce wait times and improve access in regional and remote areas, making the experience more consistent and user-friendly.</w:t>
      </w:r>
    </w:p>
    <w:p w14:paraId="1AB2AE1E" w14:textId="77777777" w:rsidR="0014260F" w:rsidRPr="00084B1B" w:rsidRDefault="0014260F" w:rsidP="0014260F">
      <w:r w:rsidRPr="00084B1B">
        <w:t>The system includes three key parts:</w:t>
      </w:r>
    </w:p>
    <w:p w14:paraId="53CE7E7A" w14:textId="74C257A7" w:rsidR="0014260F" w:rsidRPr="00084B1B" w:rsidRDefault="0014260F" w:rsidP="00D82385">
      <w:pPr>
        <w:pStyle w:val="ListBullet"/>
      </w:pPr>
      <w:r w:rsidRPr="00084B1B">
        <w:t>the</w:t>
      </w:r>
      <w:r w:rsidR="00121CD5">
        <w:t xml:space="preserve"> </w:t>
      </w:r>
      <w:r w:rsidRPr="00084B1B">
        <w:t>Integrated Assessment Tool (IAT) that is used to assess eligibility for Government-funded aged care services</w:t>
      </w:r>
    </w:p>
    <w:p w14:paraId="33D6F666" w14:textId="27D95E79" w:rsidR="0014260F" w:rsidRPr="00084B1B" w:rsidRDefault="0014260F" w:rsidP="00D82385">
      <w:pPr>
        <w:pStyle w:val="ListBullet"/>
      </w:pPr>
      <w:r w:rsidRPr="00084B1B">
        <w:t>a</w:t>
      </w:r>
      <w:r w:rsidR="00121CD5">
        <w:t xml:space="preserve"> </w:t>
      </w:r>
      <w:r w:rsidRPr="00084B1B">
        <w:t>unified workforce</w:t>
      </w:r>
      <w:r>
        <w:t xml:space="preserve"> that</w:t>
      </w:r>
      <w:r w:rsidRPr="00084B1B">
        <w:t xml:space="preserve"> merges the three previous assessment teams into one</w:t>
      </w:r>
    </w:p>
    <w:p w14:paraId="58B765FE" w14:textId="2795A98B" w:rsidR="0014260F" w:rsidRPr="00084B1B" w:rsidRDefault="0014260F" w:rsidP="00D82385">
      <w:pPr>
        <w:pStyle w:val="ListBullet"/>
      </w:pPr>
      <w:r w:rsidRPr="00084B1B">
        <w:t xml:space="preserve">new </w:t>
      </w:r>
      <w:hyperlink w:anchor="Assessmentorgs" w:history="1">
        <w:r>
          <w:rPr>
            <w:rStyle w:val="Hyperlink"/>
          </w:rPr>
          <w:t>Aboriginal and Torres Strait Islander assessment organisations</w:t>
        </w:r>
      </w:hyperlink>
      <w:r w:rsidRPr="00084B1B">
        <w:t xml:space="preserve"> to provide culturally safe and trauma-informed assessments for Aboriginal and</w:t>
      </w:r>
      <w:r>
        <w:t>/or</w:t>
      </w:r>
      <w:r w:rsidRPr="00084B1B">
        <w:t xml:space="preserve"> Torres Strait Islander people.</w:t>
      </w:r>
    </w:p>
    <w:p w14:paraId="0ED0B14B" w14:textId="28F7EFB9" w:rsidR="0014260F" w:rsidRDefault="0014260F" w:rsidP="0014260F">
      <w:r w:rsidRPr="00084B1B">
        <w:t xml:space="preserve">The process for registering for an aged care needs assessment under the </w:t>
      </w:r>
      <w:hyperlink r:id="rId41" w:history="1">
        <w:r w:rsidRPr="00830C5B">
          <w:rPr>
            <w:rStyle w:val="Hyperlink"/>
          </w:rPr>
          <w:t>Single Assessment System</w:t>
        </w:r>
      </w:hyperlink>
      <w:r w:rsidRPr="00084B1B">
        <w:t xml:space="preserve"> is described below.</w:t>
      </w:r>
    </w:p>
    <w:p w14:paraId="772E52EC" w14:textId="77777777" w:rsidR="0014260F" w:rsidRPr="00084B1B" w:rsidRDefault="0014260F" w:rsidP="0014260F">
      <w:pPr>
        <w:pStyle w:val="Heading3"/>
        <w:rPr>
          <w:sz w:val="24"/>
        </w:rPr>
      </w:pPr>
      <w:bookmarkStart w:id="20" w:name="Assessmentorgs"/>
      <w:bookmarkEnd w:id="20"/>
      <w:r>
        <w:t>Aboriginal and Torres Strait Islander assessment organisations</w:t>
      </w:r>
    </w:p>
    <w:p w14:paraId="47302F48" w14:textId="77777777" w:rsidR="0014260F" w:rsidRPr="00084B1B" w:rsidRDefault="0014260F" w:rsidP="0014260F">
      <w:r w:rsidRPr="00084B1B">
        <w:t xml:space="preserve">Aboriginal and Torres Strait Islander aged care assessment organisations are funded to deliver culturally safe, trauma-aware, and healing-informed assessments that support older </w:t>
      </w:r>
      <w:r>
        <w:t>Aboriginal and/or Torres Strait Islander</w:t>
      </w:r>
      <w:r w:rsidRPr="00084B1B">
        <w:t xml:space="preserve"> people </w:t>
      </w:r>
      <w:r>
        <w:t xml:space="preserve">to access </w:t>
      </w:r>
      <w:r w:rsidRPr="00084B1B">
        <w:t>aged care services tailored to their needs</w:t>
      </w:r>
      <w:r>
        <w:t>.</w:t>
      </w:r>
      <w:r w:rsidRPr="00084B1B">
        <w:t xml:space="preserve"> </w:t>
      </w:r>
    </w:p>
    <w:p w14:paraId="1E92A743" w14:textId="77777777" w:rsidR="0014260F" w:rsidRPr="00084B1B" w:rsidRDefault="0014260F" w:rsidP="0014260F">
      <w:r w:rsidRPr="00084B1B">
        <w:t xml:space="preserve">A small number of organisations commenced providing these services </w:t>
      </w:r>
      <w:r>
        <w:t xml:space="preserve">from August </w:t>
      </w:r>
      <w:r w:rsidRPr="00084B1B">
        <w:t>2025. Over time, these services will extend their reach and progressively cover more areas across Australia.</w:t>
      </w:r>
    </w:p>
    <w:p w14:paraId="7B278177" w14:textId="77777777" w:rsidR="0014260F" w:rsidRPr="00084B1B" w:rsidRDefault="0014260F" w:rsidP="0014260F">
      <w:r w:rsidRPr="00084B1B">
        <w:t xml:space="preserve">A culturally safe assessment process </w:t>
      </w:r>
      <w:r>
        <w:t>uses</w:t>
      </w:r>
      <w:r w:rsidRPr="00084B1B">
        <w:t xml:space="preserve"> approaches such as yarning, face-to-face visits, and community engagement to respect cultural identity and improve the experience for older Aboriginal and</w:t>
      </w:r>
      <w:r>
        <w:t>/or</w:t>
      </w:r>
      <w:r w:rsidRPr="00084B1B">
        <w:t xml:space="preserve"> Torres Strait Islander people.  </w:t>
      </w:r>
    </w:p>
    <w:p w14:paraId="359EA10D" w14:textId="77777777" w:rsidR="0014260F" w:rsidRPr="00084B1B" w:rsidRDefault="0014260F" w:rsidP="0014260F">
      <w:r w:rsidRPr="00084B1B">
        <w:t>More information is on the department’s website</w:t>
      </w:r>
      <w:r>
        <w:t>:</w:t>
      </w:r>
      <w:r w:rsidRPr="00084B1B">
        <w:t xml:space="preserve"> </w:t>
      </w:r>
      <w:hyperlink r:id="rId42">
        <w:r>
          <w:rPr>
            <w:rStyle w:val="Hyperlink"/>
          </w:rPr>
          <w:t>health.gov.au/our-work/single-assessment-system/needs/first-nations-aged-care-assessments</w:t>
        </w:r>
      </w:hyperlink>
      <w:r w:rsidRPr="00830C5B">
        <w:rPr>
          <w:rStyle w:val="Hyperlink"/>
        </w:rPr>
        <w:t>.</w:t>
      </w:r>
    </w:p>
    <w:p w14:paraId="21953C14" w14:textId="77777777" w:rsidR="0014260F" w:rsidRPr="00084B1B" w:rsidRDefault="0014260F" w:rsidP="0014260F">
      <w:pPr>
        <w:pStyle w:val="Heading2"/>
      </w:pPr>
      <w:bookmarkStart w:id="21" w:name="_Toc207442402"/>
      <w:bookmarkStart w:id="22" w:name="_Toc212713647"/>
      <w:bookmarkStart w:id="23" w:name="_Toc225416219"/>
      <w:bookmarkStart w:id="24" w:name="_Toc199872973"/>
      <w:bookmarkStart w:id="25" w:name="_Toc208837992"/>
      <w:r>
        <w:t>A</w:t>
      </w:r>
      <w:r w:rsidRPr="00084B1B">
        <w:t>ged care needs assessment</w:t>
      </w:r>
      <w:bookmarkEnd w:id="21"/>
      <w:r>
        <w:t>s</w:t>
      </w:r>
      <w:bookmarkEnd w:id="22"/>
      <w:bookmarkEnd w:id="23"/>
      <w:r w:rsidRPr="00084B1B">
        <w:t xml:space="preserve">  </w:t>
      </w:r>
    </w:p>
    <w:p w14:paraId="752E8243" w14:textId="77777777" w:rsidR="0014260F" w:rsidRPr="00084B1B" w:rsidRDefault="0014260F" w:rsidP="0014260F">
      <w:r w:rsidRPr="00084B1B">
        <w:t xml:space="preserve">Under the Act, all older people seeking access to funded aged care services need to register with </w:t>
      </w:r>
      <w:hyperlink r:id="rId43" w:history="1">
        <w:r w:rsidRPr="00830C5B">
          <w:rPr>
            <w:rStyle w:val="Hyperlink"/>
          </w:rPr>
          <w:t>My Aged Care</w:t>
        </w:r>
      </w:hyperlink>
      <w:r w:rsidRPr="00084B1B">
        <w:t>, the entry point to the aged care system.</w:t>
      </w:r>
    </w:p>
    <w:p w14:paraId="14482A9F" w14:textId="77777777" w:rsidR="0014260F" w:rsidRPr="00084B1B" w:rsidRDefault="0014260F" w:rsidP="0014260F">
      <w:r w:rsidRPr="00084B1B">
        <w:t>My Aged Care helps older Australians to access Government-funded aged care services and provides information and support to help people to understand and navigate the aged care system.</w:t>
      </w:r>
    </w:p>
    <w:p w14:paraId="2DF8AC03" w14:textId="2BF5B55E" w:rsidR="0073021C" w:rsidRPr="000B0275" w:rsidRDefault="0014260F" w:rsidP="00E803A2">
      <w:r w:rsidRPr="00084B1B">
        <w:t xml:space="preserve">The table below outlines the different parts of the </w:t>
      </w:r>
      <w:r>
        <w:t xml:space="preserve">process of applying for an aged care needs assessment. More information on aged care needs assessments is available in the </w:t>
      </w:r>
      <w:hyperlink r:id="rId44" w:history="1">
        <w:r w:rsidR="007F5090">
          <w:rPr>
            <w:rStyle w:val="Hyperlink"/>
          </w:rPr>
          <w:t>health.gov.au/resources/publications/my-aged-care-assessment-manual</w:t>
        </w:r>
      </w:hyperlink>
      <w:r w:rsidRPr="006C67D4">
        <w:t>:</w:t>
      </w:r>
      <w:r>
        <w:t xml:space="preserve"> </w:t>
      </w:r>
    </w:p>
    <w:tbl>
      <w:tblPr>
        <w:tblStyle w:val="DepartmentofHealthtable"/>
        <w:tblpPr w:leftFromText="180" w:rightFromText="180" w:vertAnchor="text" w:tblpY="1"/>
        <w:tblOverlap w:val="never"/>
        <w:tblW w:w="5000" w:type="pct"/>
        <w:tblLook w:val="0420" w:firstRow="1" w:lastRow="0" w:firstColumn="0" w:lastColumn="0" w:noHBand="0" w:noVBand="1"/>
      </w:tblPr>
      <w:tblGrid>
        <w:gridCol w:w="1985"/>
        <w:gridCol w:w="7085"/>
      </w:tblGrid>
      <w:tr w:rsidR="00245565" w:rsidRPr="00006676" w14:paraId="75A6FE17" w14:textId="77777777" w:rsidTr="004979CD">
        <w:trPr>
          <w:cnfStyle w:val="100000000000" w:firstRow="1" w:lastRow="0" w:firstColumn="0" w:lastColumn="0" w:oddVBand="0" w:evenVBand="0" w:oddHBand="0" w:evenHBand="0" w:firstRowFirstColumn="0" w:firstRowLastColumn="0" w:lastRowFirstColumn="0" w:lastRowLastColumn="0"/>
          <w:cantSplit/>
          <w:tblHeader/>
        </w:trPr>
        <w:tc>
          <w:tcPr>
            <w:tcW w:w="1094" w:type="pct"/>
            <w:shd w:val="clear" w:color="auto" w:fill="1D4794"/>
          </w:tcPr>
          <w:p w14:paraId="37EBC003" w14:textId="404D9E06" w:rsidR="00245565" w:rsidRPr="00EF686D" w:rsidRDefault="00245565" w:rsidP="001F390D">
            <w:pPr>
              <w:pStyle w:val="Tabletext"/>
              <w:rPr>
                <w:color w:val="FFFFFF" w:themeColor="background1"/>
              </w:rPr>
            </w:pPr>
            <w:r w:rsidRPr="00EF686D">
              <w:rPr>
                <w:color w:val="FFFFFF" w:themeColor="background1"/>
              </w:rPr>
              <w:t>Steps</w:t>
            </w:r>
          </w:p>
        </w:tc>
        <w:tc>
          <w:tcPr>
            <w:tcW w:w="3906" w:type="pct"/>
            <w:shd w:val="clear" w:color="auto" w:fill="1D4794"/>
          </w:tcPr>
          <w:p w14:paraId="6A321385" w14:textId="2766A7B2" w:rsidR="00245565" w:rsidRPr="00EF686D" w:rsidRDefault="00245565" w:rsidP="001F390D">
            <w:pPr>
              <w:pStyle w:val="Tabletext"/>
              <w:rPr>
                <w:color w:val="FFFFFF" w:themeColor="background1"/>
              </w:rPr>
            </w:pPr>
            <w:r w:rsidRPr="00EF686D">
              <w:rPr>
                <w:color w:val="FFFFFF" w:themeColor="background1"/>
              </w:rPr>
              <w:t>Description</w:t>
            </w:r>
          </w:p>
        </w:tc>
      </w:tr>
      <w:tr w:rsidR="007619F0" w14:paraId="26670484" w14:textId="77777777" w:rsidTr="004979CD">
        <w:tc>
          <w:tcPr>
            <w:tcW w:w="1094" w:type="pct"/>
          </w:tcPr>
          <w:p w14:paraId="226EA77A" w14:textId="74288DEC" w:rsidR="007619F0" w:rsidRPr="00006676" w:rsidRDefault="007619F0" w:rsidP="001F390D">
            <w:pPr>
              <w:pStyle w:val="Tabletext"/>
            </w:pPr>
            <w:r w:rsidRPr="00084B1B">
              <w:t>Individual registers with My Aged Care</w:t>
            </w:r>
          </w:p>
        </w:tc>
        <w:tc>
          <w:tcPr>
            <w:tcW w:w="3906" w:type="pct"/>
          </w:tcPr>
          <w:p w14:paraId="3506ACB3" w14:textId="77777777" w:rsidR="007619F0" w:rsidRPr="004979CD" w:rsidRDefault="007619F0" w:rsidP="001F390D">
            <w:pPr>
              <w:pStyle w:val="Tabletext"/>
            </w:pPr>
            <w:r w:rsidRPr="004979CD">
              <w:t xml:space="preserve">The </w:t>
            </w:r>
            <w:r w:rsidRPr="00B5785C">
              <w:t>first st</w:t>
            </w:r>
            <w:r w:rsidRPr="004979CD">
              <w:t xml:space="preserve">ep in getting an aged care needs assessment is to register with My Aged Care. </w:t>
            </w:r>
          </w:p>
          <w:p w14:paraId="5C1C14EF" w14:textId="77777777" w:rsidR="007619F0" w:rsidRPr="004979CD" w:rsidRDefault="007619F0" w:rsidP="001F390D">
            <w:pPr>
              <w:pStyle w:val="Tabletext"/>
            </w:pPr>
            <w:r w:rsidRPr="004979CD">
              <w:t xml:space="preserve">This requires the older person to contact </w:t>
            </w:r>
            <w:hyperlink r:id="rId45" w:history="1">
              <w:r w:rsidRPr="004979CD">
                <w:t>My Aged Care</w:t>
              </w:r>
            </w:hyperlink>
            <w:r w:rsidRPr="004979CD">
              <w:t xml:space="preserve"> either online or by phone (1800 200 422) to create a client record. During registration, individuals provide their name, date of birth and contact details, as well as their consent for a profile to be created. If they meet the eligibility requirements for aged care, they will progress to the screening stage. </w:t>
            </w:r>
          </w:p>
          <w:p w14:paraId="0A1BB530" w14:textId="3C5C00B9" w:rsidR="007619F0" w:rsidRDefault="007619F0" w:rsidP="001F390D">
            <w:pPr>
              <w:pStyle w:val="Tabletext"/>
            </w:pPr>
            <w:r w:rsidRPr="00084B1B">
              <w:t>The older person can be assisted with registration or have someone apply on their behalf. This includes, for example, registered supporters, family members, friends, advocates, care</w:t>
            </w:r>
            <w:r>
              <w:t>r</w:t>
            </w:r>
            <w:r w:rsidRPr="00084B1B">
              <w:t xml:space="preserve">s, allied health professionals, registered providers (and their aged care workers) and social workers. </w:t>
            </w:r>
          </w:p>
        </w:tc>
      </w:tr>
      <w:tr w:rsidR="004979CD" w14:paraId="085BE864" w14:textId="77777777" w:rsidTr="004979CD">
        <w:tc>
          <w:tcPr>
            <w:tcW w:w="1094" w:type="pct"/>
          </w:tcPr>
          <w:p w14:paraId="2185D934" w14:textId="2242A520" w:rsidR="004979CD" w:rsidRDefault="004979CD" w:rsidP="001F390D">
            <w:pPr>
              <w:pStyle w:val="Tabletext"/>
            </w:pPr>
            <w:r w:rsidRPr="00084B1B">
              <w:t>Screening</w:t>
            </w:r>
          </w:p>
        </w:tc>
        <w:tc>
          <w:tcPr>
            <w:tcW w:w="3906" w:type="pct"/>
          </w:tcPr>
          <w:p w14:paraId="71C56FF3" w14:textId="1B119665" w:rsidR="004979CD" w:rsidRPr="00084B1B" w:rsidRDefault="004979CD" w:rsidP="001F390D">
            <w:pPr>
              <w:pStyle w:val="Tabletext"/>
            </w:pPr>
            <w:r w:rsidRPr="00084B1B">
              <w:t>Screening helps to determine the individual’s eligibility for government-funded aged care services in Australia.</w:t>
            </w:r>
            <w:r w:rsidR="002B7502">
              <w:t xml:space="preserve"> </w:t>
            </w:r>
            <w:r w:rsidRPr="00084B1B">
              <w:t xml:space="preserve">It will occur at the same time as registration and requires the older person to answer personal and health-related questions to help identify their care needs and determine their pathway to aged care services. </w:t>
            </w:r>
          </w:p>
          <w:p w14:paraId="26EA5F6F" w14:textId="00BC073A" w:rsidR="004979CD" w:rsidRPr="00006676" w:rsidRDefault="004979CD" w:rsidP="001F390D">
            <w:pPr>
              <w:pStyle w:val="Tabletext"/>
            </w:pPr>
            <w:r w:rsidRPr="00084B1B">
              <w:t>During the screening process, older Aboriginal and</w:t>
            </w:r>
            <w:r>
              <w:t>/or</w:t>
            </w:r>
            <w:r w:rsidRPr="00084B1B">
              <w:t xml:space="preserve"> Torres Strait Islander people can indicate a preference for an assessment </w:t>
            </w:r>
            <w:r>
              <w:t>with</w:t>
            </w:r>
            <w:r w:rsidRPr="00084B1B">
              <w:t xml:space="preserve"> an </w:t>
            </w:r>
            <w:hyperlink w:anchor="Assessmentorgs" w:history="1">
              <w:r w:rsidRPr="00830C5B">
                <w:rPr>
                  <w:rStyle w:val="Hyperlink"/>
                </w:rPr>
                <w:t>Aboriginal and Torres Strait Islander assessment organisation</w:t>
              </w:r>
            </w:hyperlink>
            <w:r w:rsidRPr="00084B1B">
              <w:t xml:space="preserve"> if they are deemed eligible. </w:t>
            </w:r>
          </w:p>
        </w:tc>
      </w:tr>
      <w:tr w:rsidR="004979CD" w14:paraId="32889A7A" w14:textId="77777777" w:rsidTr="004979CD">
        <w:tc>
          <w:tcPr>
            <w:tcW w:w="1094" w:type="pct"/>
          </w:tcPr>
          <w:p w14:paraId="659D9B2F" w14:textId="3D9B0BB1" w:rsidR="004979CD" w:rsidRPr="00084B1B" w:rsidRDefault="004979CD" w:rsidP="001F390D">
            <w:pPr>
              <w:pStyle w:val="Tabletext"/>
            </w:pPr>
            <w:r w:rsidRPr="00084B1B">
              <w:t>Referral to an assessment organisation</w:t>
            </w:r>
          </w:p>
        </w:tc>
        <w:tc>
          <w:tcPr>
            <w:tcW w:w="3906" w:type="pct"/>
          </w:tcPr>
          <w:p w14:paraId="001C692F" w14:textId="77777777" w:rsidR="004979CD" w:rsidRPr="00084B1B" w:rsidRDefault="004979CD" w:rsidP="001F390D">
            <w:pPr>
              <w:pStyle w:val="Tabletext"/>
            </w:pPr>
            <w:r w:rsidRPr="00084B1B">
              <w:t xml:space="preserve">If the older person is deemed eligible through the above screening questions, they will be referred to an aged care assessment organisation. </w:t>
            </w:r>
          </w:p>
          <w:p w14:paraId="5CFBE86B" w14:textId="29068577" w:rsidR="004979CD" w:rsidRPr="00084B1B" w:rsidRDefault="004979CD" w:rsidP="001F390D">
            <w:pPr>
              <w:pStyle w:val="Tabletext"/>
            </w:pPr>
            <w:r w:rsidRPr="00084B1B">
              <w:t>Eligible older Aboriginal and</w:t>
            </w:r>
            <w:r>
              <w:t>/or</w:t>
            </w:r>
            <w:r w:rsidRPr="00084B1B">
              <w:t xml:space="preserve"> Torres Strait Islander people will be referred to an </w:t>
            </w:r>
            <w:hyperlink w:anchor="Assessmentorgs" w:history="1">
              <w:r w:rsidR="009D10CF" w:rsidRPr="00830C5B">
                <w:rPr>
                  <w:rStyle w:val="Hyperlink"/>
                </w:rPr>
                <w:t>Aboriginal and Torres Strait Islander assessment organisation</w:t>
              </w:r>
            </w:hyperlink>
            <w:r w:rsidRPr="00084B1B">
              <w:t xml:space="preserve"> if, at the time of screening, the individual indicated a preference and one is locally available.</w:t>
            </w:r>
          </w:p>
          <w:p w14:paraId="6A574F43" w14:textId="0CC36F85" w:rsidR="004979CD" w:rsidRPr="00084B1B" w:rsidRDefault="004979CD" w:rsidP="001F390D">
            <w:pPr>
              <w:pStyle w:val="Tabletext"/>
            </w:pPr>
            <w:r w:rsidRPr="00084B1B">
              <w:t>The assessment organisation will need to accept the referral before progressing.</w:t>
            </w:r>
          </w:p>
        </w:tc>
      </w:tr>
      <w:tr w:rsidR="004979CD" w14:paraId="367621E7" w14:textId="77777777" w:rsidTr="004979CD">
        <w:tc>
          <w:tcPr>
            <w:tcW w:w="1094" w:type="pct"/>
          </w:tcPr>
          <w:p w14:paraId="364CE9CE" w14:textId="6CFF7102" w:rsidR="004979CD" w:rsidRPr="00084B1B" w:rsidRDefault="004979CD" w:rsidP="001F390D">
            <w:pPr>
              <w:pStyle w:val="Tabletext"/>
            </w:pPr>
            <w:r w:rsidRPr="00084B1B">
              <w:t>Triage by assessment organisation</w:t>
            </w:r>
          </w:p>
        </w:tc>
        <w:tc>
          <w:tcPr>
            <w:tcW w:w="3906" w:type="pct"/>
          </w:tcPr>
          <w:p w14:paraId="1E9F4E9E" w14:textId="4099F817" w:rsidR="004979CD" w:rsidRPr="00084B1B" w:rsidRDefault="004979CD" w:rsidP="001F390D">
            <w:pPr>
              <w:pStyle w:val="Tabletext"/>
            </w:pPr>
            <w:r w:rsidRPr="00084B1B">
              <w:t>Triage is the process of determining the priority of assessment needs for older people. It happens after accepting a referral and before conducting a home support or comprehensive assessment. Triage is done for every accepted referral and generally takes place via a telephone call.</w:t>
            </w:r>
          </w:p>
          <w:p w14:paraId="6097C4A9" w14:textId="0A912903" w:rsidR="004979CD" w:rsidRPr="00084B1B" w:rsidRDefault="004979CD" w:rsidP="001F390D">
            <w:pPr>
              <w:pStyle w:val="Tabletext"/>
            </w:pPr>
            <w:r w:rsidRPr="00084B1B">
              <w:t xml:space="preserve">A trained triage delegate at the assessment organisation will review the </w:t>
            </w:r>
            <w:r w:rsidR="009D10CF" w:rsidRPr="00084B1B">
              <w:t>referral and</w:t>
            </w:r>
            <w:r w:rsidRPr="00084B1B">
              <w:t xml:space="preserve"> consider </w:t>
            </w:r>
            <w:r>
              <w:t>the older persons</w:t>
            </w:r>
            <w:r w:rsidRPr="00084B1B">
              <w:t xml:space="preserve"> circumstances and referral priority (based on the level of risk and need</w:t>
            </w:r>
            <w:r w:rsidR="00F01DC5" w:rsidRPr="00084B1B">
              <w:t>) and</w:t>
            </w:r>
            <w:r w:rsidRPr="00084B1B">
              <w:t xml:space="preserve"> </w:t>
            </w:r>
            <w:proofErr w:type="gramStart"/>
            <w:r w:rsidRPr="00084B1B">
              <w:t>make contact with</w:t>
            </w:r>
            <w:proofErr w:type="gramEnd"/>
            <w:r w:rsidRPr="00084B1B">
              <w:t xml:space="preserve"> the older person or their supporter, generally via a phone call. They will:</w:t>
            </w:r>
          </w:p>
          <w:p w14:paraId="39606940" w14:textId="77777777" w:rsidR="004979CD" w:rsidRPr="0096743B" w:rsidRDefault="004979CD" w:rsidP="0096743B">
            <w:pPr>
              <w:pStyle w:val="ListBullet"/>
              <w:rPr>
                <w:sz w:val="20"/>
                <w:szCs w:val="20"/>
              </w:rPr>
            </w:pPr>
            <w:r w:rsidRPr="0096743B">
              <w:rPr>
                <w:sz w:val="20"/>
                <w:szCs w:val="20"/>
              </w:rPr>
              <w:t>validate that the older person is eligible for an assessment</w:t>
            </w:r>
          </w:p>
          <w:p w14:paraId="42B29EA2" w14:textId="77777777" w:rsidR="004979CD" w:rsidRPr="0096743B" w:rsidRDefault="004979CD" w:rsidP="0096743B">
            <w:pPr>
              <w:pStyle w:val="ListBullet"/>
              <w:rPr>
                <w:sz w:val="20"/>
                <w:szCs w:val="20"/>
              </w:rPr>
            </w:pPr>
            <w:r w:rsidRPr="0096743B">
              <w:rPr>
                <w:sz w:val="20"/>
                <w:szCs w:val="20"/>
              </w:rPr>
              <w:t xml:space="preserve">determine the assessment pathway </w:t>
            </w:r>
          </w:p>
          <w:p w14:paraId="597C7348" w14:textId="6AD873D7" w:rsidR="004979CD" w:rsidRPr="0096743B" w:rsidRDefault="004979CD" w:rsidP="0096743B">
            <w:pPr>
              <w:pStyle w:val="ListBullet"/>
              <w:rPr>
                <w:sz w:val="20"/>
                <w:szCs w:val="20"/>
              </w:rPr>
            </w:pPr>
            <w:r w:rsidRPr="0096743B">
              <w:rPr>
                <w:sz w:val="20"/>
                <w:szCs w:val="20"/>
              </w:rPr>
              <w:t xml:space="preserve">allocate an assessment urgency and a </w:t>
            </w:r>
            <w:hyperlink w:anchor="priority" w:history="1">
              <w:r w:rsidRPr="0096743B">
                <w:rPr>
                  <w:rStyle w:val="Hyperlink"/>
                  <w:sz w:val="20"/>
                  <w:szCs w:val="20"/>
                </w:rPr>
                <w:t>priority</w:t>
              </w:r>
            </w:hyperlink>
            <w:r w:rsidRPr="0096743B">
              <w:rPr>
                <w:sz w:val="20"/>
                <w:szCs w:val="20"/>
              </w:rPr>
              <w:t xml:space="preserve">. </w:t>
            </w:r>
          </w:p>
          <w:p w14:paraId="165F8779" w14:textId="77777777" w:rsidR="004979CD" w:rsidRPr="00084B1B" w:rsidRDefault="004979CD" w:rsidP="001F390D">
            <w:pPr>
              <w:pStyle w:val="Tabletext"/>
            </w:pPr>
            <w:r w:rsidRPr="00084B1B">
              <w:t>If the Triage Delegate</w:t>
            </w:r>
            <w:r>
              <w:rPr>
                <w:lang w:eastAsia="en-AU"/>
              </w:rPr>
              <w:t xml:space="preserve"> </w:t>
            </w:r>
            <w:r w:rsidRPr="00E200F9">
              <w:rPr>
                <w:lang w:eastAsia="en-AU"/>
              </w:rPr>
              <w:t xml:space="preserve">validates the older person’s eligibility for assessment, their referral will be allocated to an aged care assessor to undertake an assessment. </w:t>
            </w:r>
            <w:r>
              <w:rPr>
                <w:lang w:eastAsia="en-AU"/>
              </w:rPr>
              <w:t>If</w:t>
            </w:r>
            <w:r w:rsidRPr="00E200F9">
              <w:rPr>
                <w:lang w:eastAsia="en-AU"/>
              </w:rPr>
              <w:t xml:space="preserve"> unable to validate the older person’s eligibility for an assessment, the older person will be notified of this decision in writing within 14 days.</w:t>
            </w:r>
          </w:p>
          <w:p w14:paraId="3FB24E64" w14:textId="69DCD92A" w:rsidR="004979CD" w:rsidRPr="00084B1B" w:rsidRDefault="004979CD" w:rsidP="001F390D">
            <w:pPr>
              <w:pStyle w:val="Tabletext"/>
            </w:pPr>
            <w:r w:rsidRPr="00084B1B">
              <w:t xml:space="preserve">The My Aged Care website includes information to help individuals </w:t>
            </w:r>
            <w:r w:rsidRPr="007C22D6">
              <w:t>prepare for an assessment</w:t>
            </w:r>
            <w:r>
              <w:t xml:space="preserve">: </w:t>
            </w:r>
            <w:hyperlink r:id="rId46" w:history="1">
              <w:r>
                <w:rPr>
                  <w:rStyle w:val="Hyperlink"/>
                </w:rPr>
                <w:t>M</w:t>
              </w:r>
              <w:r w:rsidRPr="004020B0">
                <w:rPr>
                  <w:rStyle w:val="Hyperlink"/>
                </w:rPr>
                <w:t>y</w:t>
              </w:r>
              <w:r>
                <w:rPr>
                  <w:rStyle w:val="Hyperlink"/>
                </w:rPr>
                <w:t>A</w:t>
              </w:r>
              <w:r w:rsidRPr="004020B0">
                <w:rPr>
                  <w:rStyle w:val="Hyperlink"/>
                </w:rPr>
                <w:t>ged</w:t>
              </w:r>
              <w:r>
                <w:rPr>
                  <w:rStyle w:val="Hyperlink"/>
                </w:rPr>
                <w:t>C</w:t>
              </w:r>
              <w:r w:rsidRPr="004020B0">
                <w:rPr>
                  <w:rStyle w:val="Hyperlink"/>
                </w:rPr>
                <w:t>are.gov.au/assessment/prepare-your-assessment</w:t>
              </w:r>
            </w:hyperlink>
            <w:r w:rsidRPr="00084B1B">
              <w:t>.</w:t>
            </w:r>
          </w:p>
        </w:tc>
      </w:tr>
      <w:tr w:rsidR="004979CD" w14:paraId="5F5BE5D7" w14:textId="77777777" w:rsidTr="004979CD">
        <w:tc>
          <w:tcPr>
            <w:tcW w:w="1094" w:type="pct"/>
          </w:tcPr>
          <w:p w14:paraId="6666F219" w14:textId="4018E573" w:rsidR="004979CD" w:rsidRPr="00084B1B" w:rsidRDefault="004979CD" w:rsidP="001F390D">
            <w:pPr>
              <w:pStyle w:val="Tabletext"/>
            </w:pPr>
            <w:r w:rsidRPr="00084B1B">
              <w:t>Aged care needs assessment</w:t>
            </w:r>
            <w:r>
              <w:t xml:space="preserve"> </w:t>
            </w:r>
            <w:r w:rsidRPr="00084B1B">
              <w:t>and</w:t>
            </w:r>
            <w:r w:rsidR="00A336F3">
              <w:t xml:space="preserve"> </w:t>
            </w:r>
            <w:r w:rsidRPr="00084B1B">
              <w:t>Support Plan development</w:t>
            </w:r>
          </w:p>
        </w:tc>
        <w:tc>
          <w:tcPr>
            <w:tcW w:w="3906" w:type="pct"/>
          </w:tcPr>
          <w:p w14:paraId="1BB57FD9" w14:textId="77777777" w:rsidR="004979CD" w:rsidRPr="00084B1B" w:rsidRDefault="004979CD" w:rsidP="001F390D">
            <w:pPr>
              <w:pStyle w:val="Tabletext"/>
            </w:pPr>
            <w:r w:rsidRPr="00084B1B">
              <w:t>The aged care needs assessment is used to evaluate an older person’s care needs and the types of care and services they may be eligible for.</w:t>
            </w:r>
            <w:r w:rsidRPr="00084B1B">
              <w:rPr>
                <w:lang w:eastAsia="en-AU"/>
              </w:rPr>
              <w:t xml:space="preserve"> Both home support and comprehensive a</w:t>
            </w:r>
            <w:r w:rsidRPr="00084B1B">
              <w:t xml:space="preserve">ssessments are done by a trained aged care assessor using the </w:t>
            </w:r>
            <w:hyperlink r:id="rId47">
              <w:r w:rsidRPr="003002DA">
                <w:rPr>
                  <w:rStyle w:val="Hyperlink"/>
                </w:rPr>
                <w:t>Integrated Assessment Tool</w:t>
              </w:r>
            </w:hyperlink>
            <w:r w:rsidRPr="00084B1B">
              <w:t xml:space="preserve"> (IAT). </w:t>
            </w:r>
          </w:p>
          <w:p w14:paraId="1CF658C3" w14:textId="1244D577" w:rsidR="004979CD" w:rsidRPr="00084B1B" w:rsidRDefault="004979CD" w:rsidP="001F390D">
            <w:pPr>
              <w:pStyle w:val="Tabletext"/>
            </w:pPr>
            <w:r w:rsidRPr="00084B1B">
              <w:t xml:space="preserve">The IAT includes questions that guide conversation across domains such as physical health and function, cognition and psychological state, social engagement, home safety, medical conditions and medications, financial or legal, and support considerations. The IAT also includes validated clinical tools to improve the depth and clinical relevance of the assessment. An overview of the </w:t>
            </w:r>
            <w:r w:rsidRPr="007C22D6">
              <w:t>IAT</w:t>
            </w:r>
            <w:r w:rsidRPr="00084B1B">
              <w:t xml:space="preserve"> is available </w:t>
            </w:r>
            <w:r>
              <w:t xml:space="preserve">at: </w:t>
            </w:r>
            <w:hyperlink r:id="rId48" w:history="1">
              <w:r w:rsidR="00E639F4">
                <w:rPr>
                  <w:rStyle w:val="Hyperlink"/>
                </w:rPr>
                <w:t>health.gov.au/resources/publications/integrated-assessment-tool-iat-overview</w:t>
              </w:r>
            </w:hyperlink>
            <w:r>
              <w:t>.</w:t>
            </w:r>
          </w:p>
          <w:p w14:paraId="31B7FBC5" w14:textId="77777777" w:rsidR="004979CD" w:rsidRPr="00084B1B" w:rsidRDefault="004979CD" w:rsidP="001F390D">
            <w:pPr>
              <w:pStyle w:val="Tabletext"/>
            </w:pPr>
            <w:r w:rsidRPr="223A3D7E">
              <w:t xml:space="preserve">During the assessment, the assessor will work with the older person to develop a support plan, including their strengths, difficulties, goals, what they would like to achieve and their preferences for services. The assessor will provide the older person with a copy of the support plan. </w:t>
            </w:r>
          </w:p>
          <w:p w14:paraId="7A42809E" w14:textId="77777777" w:rsidR="004979CD" w:rsidRDefault="004979CD" w:rsidP="001F390D">
            <w:pPr>
              <w:pStyle w:val="Tabletext"/>
              <w:rPr>
                <w:lang w:val="en-GB"/>
              </w:rPr>
            </w:pPr>
            <w:r w:rsidRPr="24193BAB">
              <w:rPr>
                <w:lang w:val="en-GB"/>
              </w:rPr>
              <w:t xml:space="preserve">It is important to note there are two types </w:t>
            </w:r>
            <w:r w:rsidRPr="70D21D5B">
              <w:rPr>
                <w:lang w:val="en-GB"/>
              </w:rPr>
              <w:t>of assessment</w:t>
            </w:r>
            <w:r>
              <w:rPr>
                <w:lang w:val="en-GB"/>
              </w:rPr>
              <w:t>:</w:t>
            </w:r>
          </w:p>
          <w:p w14:paraId="644D153F" w14:textId="733E2F27" w:rsidR="004979CD" w:rsidRPr="0096743B" w:rsidRDefault="004979CD" w:rsidP="0096743B">
            <w:pPr>
              <w:pStyle w:val="ListBullet"/>
              <w:rPr>
                <w:sz w:val="22"/>
                <w:szCs w:val="22"/>
                <w:lang w:val="en-GB"/>
              </w:rPr>
            </w:pPr>
            <w:r w:rsidRPr="0096743B">
              <w:rPr>
                <w:sz w:val="22"/>
                <w:szCs w:val="22"/>
                <w:lang w:val="en-GB"/>
              </w:rPr>
              <w:t xml:space="preserve">entry level home support services arising from a home support assessment which can be approved by a </w:t>
            </w:r>
            <w:r w:rsidR="00F01DC5" w:rsidRPr="0096743B">
              <w:rPr>
                <w:sz w:val="22"/>
                <w:szCs w:val="22"/>
                <w:lang w:val="en-GB"/>
              </w:rPr>
              <w:t>non-clinical</w:t>
            </w:r>
            <w:r w:rsidRPr="0096743B">
              <w:rPr>
                <w:sz w:val="22"/>
                <w:szCs w:val="22"/>
                <w:lang w:val="en-GB"/>
              </w:rPr>
              <w:t xml:space="preserve"> assessor. </w:t>
            </w:r>
          </w:p>
          <w:p w14:paraId="7C3508CB" w14:textId="77777777" w:rsidR="004979CD" w:rsidRPr="0096743B" w:rsidRDefault="004979CD" w:rsidP="0096743B">
            <w:pPr>
              <w:pStyle w:val="ListBullet"/>
              <w:rPr>
                <w:sz w:val="22"/>
                <w:szCs w:val="22"/>
                <w:lang w:val="en-GB"/>
              </w:rPr>
            </w:pPr>
            <w:r w:rsidRPr="0096743B">
              <w:rPr>
                <w:sz w:val="22"/>
                <w:szCs w:val="22"/>
                <w:lang w:val="en-GB"/>
              </w:rPr>
              <w:t xml:space="preserve">comprehensive assessment for all service groups, classification types and classification levels, which must be approved by a Clinical Assessor. </w:t>
            </w:r>
          </w:p>
          <w:p w14:paraId="199F5E11" w14:textId="3F753777" w:rsidR="004979CD" w:rsidRDefault="004979CD" w:rsidP="001F390D">
            <w:pPr>
              <w:pStyle w:val="Tabletext"/>
              <w:rPr>
                <w:lang w:val="en-GB"/>
              </w:rPr>
            </w:pPr>
            <w:r w:rsidRPr="00F00EB1">
              <w:rPr>
                <w:lang w:val="en-GB"/>
              </w:rPr>
              <w:t>Note: Clinical Assessment Delegates can approve entry-level home support services (as non-clinical Assessment Delegates do) if assessment organisations have chosen to allocate home support assessments to Clinical Assessment Delegates.</w:t>
            </w:r>
          </w:p>
          <w:p w14:paraId="11E871A5" w14:textId="634791A0" w:rsidR="004979CD" w:rsidRPr="00084B1B" w:rsidRDefault="004979CD" w:rsidP="001F390D">
            <w:pPr>
              <w:pStyle w:val="Tabletext"/>
            </w:pPr>
            <w:r w:rsidRPr="00084B1B">
              <w:t xml:space="preserve">The My Aged Care website includes information to help individuals </w:t>
            </w:r>
            <w:r w:rsidRPr="007C22D6">
              <w:t>prepare for an assessment</w:t>
            </w:r>
            <w:r>
              <w:t xml:space="preserve">: </w:t>
            </w:r>
            <w:hyperlink r:id="rId49" w:history="1">
              <w:r>
                <w:rPr>
                  <w:rStyle w:val="Hyperlink"/>
                </w:rPr>
                <w:t>M</w:t>
              </w:r>
              <w:r w:rsidRPr="004020B0">
                <w:rPr>
                  <w:rStyle w:val="Hyperlink"/>
                </w:rPr>
                <w:t>y</w:t>
              </w:r>
              <w:r>
                <w:rPr>
                  <w:rStyle w:val="Hyperlink"/>
                </w:rPr>
                <w:t>A</w:t>
              </w:r>
              <w:r w:rsidRPr="004020B0">
                <w:rPr>
                  <w:rStyle w:val="Hyperlink"/>
                </w:rPr>
                <w:t>ged</w:t>
              </w:r>
              <w:r>
                <w:rPr>
                  <w:rStyle w:val="Hyperlink"/>
                </w:rPr>
                <w:t>C</w:t>
              </w:r>
              <w:r w:rsidRPr="004020B0">
                <w:rPr>
                  <w:rStyle w:val="Hyperlink"/>
                </w:rPr>
                <w:t>are.gov.au/assessment/prepare-your-assessment</w:t>
              </w:r>
            </w:hyperlink>
            <w:r w:rsidRPr="00084B1B">
              <w:t>.</w:t>
            </w:r>
          </w:p>
          <w:p w14:paraId="1D5C74A6" w14:textId="77777777" w:rsidR="004979CD" w:rsidRDefault="004979CD" w:rsidP="001F390D">
            <w:pPr>
              <w:pStyle w:val="Tabletext"/>
              <w:rPr>
                <w:rFonts w:eastAsia="Arial"/>
              </w:rPr>
            </w:pPr>
            <w:r w:rsidRPr="00084B1B">
              <w:rPr>
                <w:rFonts w:eastAsia="Arial"/>
              </w:rPr>
              <w:t>Support Plans may be reviewed when circumstances change or upon request. Information on Support Plan reviews is on the department’s website at</w:t>
            </w:r>
            <w:r>
              <w:rPr>
                <w:rFonts w:eastAsia="Arial"/>
              </w:rPr>
              <w:t>:</w:t>
            </w:r>
          </w:p>
          <w:p w14:paraId="7EF3D67F" w14:textId="77777777" w:rsidR="004979CD" w:rsidRPr="001F390D" w:rsidRDefault="004979CD" w:rsidP="001F390D">
            <w:pPr>
              <w:pStyle w:val="ListBullet"/>
              <w:rPr>
                <w:rFonts w:eastAsia="Arial" w:cs="Arial"/>
                <w:sz w:val="20"/>
                <w:szCs w:val="20"/>
              </w:rPr>
            </w:pPr>
            <w:hyperlink r:id="rId50">
              <w:r w:rsidRPr="001F390D">
                <w:rPr>
                  <w:rStyle w:val="Hyperlink"/>
                  <w:rFonts w:eastAsia="Arial"/>
                  <w:sz w:val="20"/>
                  <w:szCs w:val="20"/>
                </w:rPr>
                <w:t>health.gov.au/resources/publications/when-to-request-a-support-plan-review-from-an-assessor-</w:t>
              </w:r>
              <w:proofErr w:type="gramStart"/>
              <w:r w:rsidRPr="001F390D">
                <w:rPr>
                  <w:rStyle w:val="Hyperlink"/>
                  <w:rFonts w:eastAsia="Arial"/>
                  <w:sz w:val="20"/>
                  <w:szCs w:val="20"/>
                </w:rPr>
                <w:t>fact-sheet</w:t>
              </w:r>
              <w:proofErr w:type="gramEnd"/>
            </w:hyperlink>
          </w:p>
          <w:p w14:paraId="6B78D04D" w14:textId="77777777" w:rsidR="004979CD" w:rsidRPr="001F390D" w:rsidRDefault="004979CD" w:rsidP="001F390D">
            <w:pPr>
              <w:pStyle w:val="ListBullet"/>
              <w:rPr>
                <w:rFonts w:eastAsia="Arial" w:cs="Arial"/>
                <w:sz w:val="20"/>
                <w:szCs w:val="20"/>
              </w:rPr>
            </w:pPr>
            <w:hyperlink r:id="rId51" w:anchor="about-reviews">
              <w:r w:rsidRPr="001F390D">
                <w:rPr>
                  <w:rStyle w:val="Hyperlink"/>
                  <w:rFonts w:eastAsia="Arial"/>
                  <w:sz w:val="20"/>
                  <w:szCs w:val="20"/>
                </w:rPr>
                <w:t>health.gov.au/our-work/single-assessment-system/needs/reviews-reassessments#about-reviews</w:t>
              </w:r>
            </w:hyperlink>
            <w:r w:rsidRPr="001F390D">
              <w:rPr>
                <w:rStyle w:val="Hyperlink"/>
                <w:sz w:val="20"/>
                <w:szCs w:val="20"/>
              </w:rPr>
              <w:t>.</w:t>
            </w:r>
          </w:p>
          <w:p w14:paraId="14DC1814" w14:textId="753A93DE" w:rsidR="004979CD" w:rsidRPr="00084B1B" w:rsidRDefault="004979CD" w:rsidP="001F390D">
            <w:pPr>
              <w:pStyle w:val="Tabletext"/>
            </w:pPr>
            <w:r w:rsidRPr="00084B1B">
              <w:t xml:space="preserve">Note: A classification assessment is generally undertaken at the same time as an aged care needs assessment. Classification levels determine the amount of funding allocated to an older person and will only be relevant if the older person chooses to access aged care services </w:t>
            </w:r>
            <w:r w:rsidRPr="00903C76">
              <w:rPr>
                <w:u w:val="single"/>
              </w:rPr>
              <w:t>outside</w:t>
            </w:r>
            <w:r w:rsidRPr="00084B1B">
              <w:t xml:space="preserve"> of the NATSIFACP.</w:t>
            </w:r>
          </w:p>
          <w:p w14:paraId="16629787" w14:textId="301109B6" w:rsidR="004979CD" w:rsidRPr="00084B1B" w:rsidRDefault="004979CD" w:rsidP="001F390D">
            <w:pPr>
              <w:pStyle w:val="Tabletext"/>
            </w:pPr>
            <w:r w:rsidRPr="00084B1B">
              <w:t>Older people will be assigned a classification type for each service group they have been approved for (either ongoing, short-term or hospital transition</w:t>
            </w:r>
            <w:r w:rsidR="00F01DC5" w:rsidRPr="00084B1B">
              <w:t>) and</w:t>
            </w:r>
            <w:r w:rsidRPr="00084B1B">
              <w:t xml:space="preserve"> may also be assigned classification levels.</w:t>
            </w:r>
          </w:p>
        </w:tc>
      </w:tr>
      <w:tr w:rsidR="004979CD" w14:paraId="52186539" w14:textId="77777777" w:rsidTr="004979CD">
        <w:tc>
          <w:tcPr>
            <w:tcW w:w="1094" w:type="pct"/>
          </w:tcPr>
          <w:p w14:paraId="14628A4F" w14:textId="0CF00C69" w:rsidR="004979CD" w:rsidRPr="00084B1B" w:rsidRDefault="004979CD" w:rsidP="001F390D">
            <w:pPr>
              <w:pStyle w:val="Tabletext"/>
            </w:pPr>
            <w:r w:rsidRPr="00084B1B">
              <w:t>Recommendation to the clinical assessment delegate</w:t>
            </w:r>
          </w:p>
        </w:tc>
        <w:tc>
          <w:tcPr>
            <w:tcW w:w="3906" w:type="pct"/>
          </w:tcPr>
          <w:p w14:paraId="2360C2A8" w14:textId="0D74A9C9" w:rsidR="004979CD" w:rsidRPr="00084B1B" w:rsidRDefault="004979CD" w:rsidP="001F390D">
            <w:pPr>
              <w:pStyle w:val="Tabletext"/>
            </w:pPr>
            <w:r w:rsidRPr="00084B1B">
              <w:t>Clinical a</w:t>
            </w:r>
            <w:r w:rsidRPr="002252B9">
              <w:rPr>
                <w:lang w:eastAsia="en-AU"/>
              </w:rPr>
              <w:t xml:space="preserve">ssessment </w:t>
            </w:r>
            <w:r w:rsidRPr="00084B1B">
              <w:t>d</w:t>
            </w:r>
            <w:r w:rsidRPr="002252B9">
              <w:rPr>
                <w:lang w:eastAsia="en-AU"/>
              </w:rPr>
              <w:t>elegate</w:t>
            </w:r>
            <w:r w:rsidRPr="00084B1B">
              <w:t xml:space="preserve">s are responsible for </w:t>
            </w:r>
            <w:r w:rsidRPr="002252B9">
              <w:rPr>
                <w:lang w:eastAsia="en-AU"/>
              </w:rPr>
              <w:t>review</w:t>
            </w:r>
            <w:r w:rsidRPr="00084B1B">
              <w:t>ing</w:t>
            </w:r>
            <w:r w:rsidRPr="002252B9">
              <w:rPr>
                <w:lang w:eastAsia="en-AU"/>
              </w:rPr>
              <w:t xml:space="preserve"> </w:t>
            </w:r>
            <w:r w:rsidRPr="00084B1B">
              <w:t xml:space="preserve">completed aged care assessments </w:t>
            </w:r>
            <w:r w:rsidRPr="002252B9">
              <w:rPr>
                <w:lang w:eastAsia="en-AU"/>
              </w:rPr>
              <w:t>and approv</w:t>
            </w:r>
            <w:r w:rsidRPr="00084B1B">
              <w:t xml:space="preserve">ing (or making necessary corrections to) </w:t>
            </w:r>
            <w:r w:rsidRPr="002252B9">
              <w:rPr>
                <w:lang w:eastAsia="en-AU"/>
              </w:rPr>
              <w:t>the recommendations</w:t>
            </w:r>
            <w:r w:rsidRPr="00084B1B">
              <w:t xml:space="preserve"> made by</w:t>
            </w:r>
            <w:r w:rsidRPr="002252B9">
              <w:rPr>
                <w:lang w:eastAsia="en-AU"/>
              </w:rPr>
              <w:t xml:space="preserve"> </w:t>
            </w:r>
            <w:r w:rsidRPr="00084B1B">
              <w:t>an</w:t>
            </w:r>
            <w:r w:rsidRPr="002252B9">
              <w:rPr>
                <w:lang w:eastAsia="en-AU"/>
              </w:rPr>
              <w:t xml:space="preserve"> aged care needs assessor</w:t>
            </w:r>
            <w:r w:rsidRPr="00084B1B">
              <w:t>. This step ensures that the decision meets the requirements outlined in the Act and provides the correct level and type of care for the older person.</w:t>
            </w:r>
          </w:p>
        </w:tc>
      </w:tr>
      <w:tr w:rsidR="004979CD" w14:paraId="20138773" w14:textId="77777777" w:rsidTr="004979CD">
        <w:tc>
          <w:tcPr>
            <w:tcW w:w="1094" w:type="pct"/>
          </w:tcPr>
          <w:p w14:paraId="37DD76DA" w14:textId="283FFFA6" w:rsidR="004979CD" w:rsidRPr="00084B1B" w:rsidRDefault="004979CD" w:rsidP="001F390D">
            <w:pPr>
              <w:pStyle w:val="Tabletext"/>
            </w:pPr>
            <w:r w:rsidRPr="00084B1B">
              <w:t>Decision notification</w:t>
            </w:r>
          </w:p>
        </w:tc>
        <w:tc>
          <w:tcPr>
            <w:tcW w:w="3906" w:type="pct"/>
          </w:tcPr>
          <w:p w14:paraId="3A3F57F9" w14:textId="77777777" w:rsidR="004979CD" w:rsidRPr="00084B1B" w:rsidRDefault="004979CD" w:rsidP="001F390D">
            <w:pPr>
              <w:pStyle w:val="Tabletext"/>
            </w:pPr>
            <w:r w:rsidRPr="00084B1B">
              <w:t xml:space="preserve">When the clinical assessment delegate has reviewed the recommendations and finalised their decision, the assessment organisation will send a formal </w:t>
            </w:r>
            <w:r w:rsidRPr="007C22D6">
              <w:t>Notice of Decision</w:t>
            </w:r>
            <w:r w:rsidRPr="00084B1B">
              <w:t xml:space="preserve"> to the older person. </w:t>
            </w:r>
          </w:p>
          <w:p w14:paraId="2B1ECF0A" w14:textId="77777777" w:rsidR="004979CD" w:rsidRPr="00084B1B" w:rsidRDefault="004979CD" w:rsidP="001F390D">
            <w:pPr>
              <w:pStyle w:val="Tabletext"/>
            </w:pPr>
            <w:r w:rsidRPr="00084B1B">
              <w:t>The Notice of Decision is the last step in the process before an older person can receive care and support. It confirms the older person’s eligibility and approval to access care and provides a comprehensive summary of the approved services, including such detail as</w:t>
            </w:r>
            <w:r>
              <w:t xml:space="preserve"> the</w:t>
            </w:r>
            <w:r w:rsidRPr="00084B1B">
              <w:t>:</w:t>
            </w:r>
          </w:p>
          <w:p w14:paraId="57F97578" w14:textId="77777777" w:rsidR="004979CD" w:rsidRPr="001F390D" w:rsidRDefault="004979CD" w:rsidP="001F390D">
            <w:pPr>
              <w:pStyle w:val="ListBullet"/>
              <w:rPr>
                <w:sz w:val="20"/>
                <w:szCs w:val="20"/>
                <w:lang w:val="en-GB"/>
              </w:rPr>
            </w:pPr>
            <w:r w:rsidRPr="001F390D">
              <w:rPr>
                <w:sz w:val="20"/>
                <w:szCs w:val="20"/>
                <w:lang w:val="en-GB"/>
              </w:rPr>
              <w:t>approved service groups, types, their classification and priority</w:t>
            </w:r>
          </w:p>
          <w:p w14:paraId="181C5756" w14:textId="77777777" w:rsidR="004979CD" w:rsidRPr="001F390D" w:rsidRDefault="004979CD" w:rsidP="001F390D">
            <w:pPr>
              <w:pStyle w:val="ListBullet"/>
              <w:rPr>
                <w:sz w:val="20"/>
                <w:szCs w:val="20"/>
                <w:lang w:val="en-GB"/>
              </w:rPr>
            </w:pPr>
            <w:r w:rsidRPr="001F390D">
              <w:rPr>
                <w:sz w:val="20"/>
                <w:szCs w:val="20"/>
                <w:lang w:val="en-GB"/>
              </w:rPr>
              <w:t>reasons for the assessment and evidence that support the decision</w:t>
            </w:r>
          </w:p>
          <w:p w14:paraId="124F3072" w14:textId="0742D669" w:rsidR="004979CD" w:rsidRPr="001F390D" w:rsidRDefault="004979CD" w:rsidP="001F390D">
            <w:pPr>
              <w:pStyle w:val="ListBullet"/>
              <w:rPr>
                <w:sz w:val="20"/>
                <w:szCs w:val="20"/>
                <w:lang w:val="en-GB"/>
              </w:rPr>
            </w:pPr>
            <w:r w:rsidRPr="001F390D">
              <w:rPr>
                <w:sz w:val="20"/>
                <w:szCs w:val="20"/>
                <w:lang w:val="en-GB"/>
              </w:rPr>
              <w:t>rights of review if an individual wishes to dispute a decision.</w:t>
            </w:r>
          </w:p>
          <w:p w14:paraId="46254D4E" w14:textId="1262CB07" w:rsidR="004979CD" w:rsidRPr="00084B1B" w:rsidRDefault="004979CD" w:rsidP="001F390D">
            <w:pPr>
              <w:pStyle w:val="Tabletext"/>
            </w:pPr>
            <w:r w:rsidRPr="00084B1B">
              <w:t xml:space="preserve">While it </w:t>
            </w:r>
            <w:r w:rsidRPr="00903C76">
              <w:rPr>
                <w:u w:val="single"/>
              </w:rPr>
              <w:t>does not</w:t>
            </w:r>
            <w:r w:rsidRPr="00084B1B">
              <w:t xml:space="preserve"> apply to NATSIFACP clients, the Notice of Decision will also include an approved budget for specific supports financial aspects of support for other forms of funded aged care (including for the </w:t>
            </w:r>
            <w:r>
              <w:t>A</w:t>
            </w:r>
            <w:r w:rsidRPr="00084B1B">
              <w:t xml:space="preserve">ssistive </w:t>
            </w:r>
            <w:r>
              <w:t>T</w:t>
            </w:r>
            <w:r w:rsidRPr="00084B1B">
              <w:t>echnology and </w:t>
            </w:r>
            <w:r>
              <w:t>H</w:t>
            </w:r>
            <w:r w:rsidRPr="00084B1B">
              <w:t xml:space="preserve">ome </w:t>
            </w:r>
            <w:r>
              <w:t>M</w:t>
            </w:r>
            <w:r w:rsidRPr="00084B1B">
              <w:t>odifications scheme, short-term restorative support, or end-of-life care).</w:t>
            </w:r>
          </w:p>
        </w:tc>
      </w:tr>
    </w:tbl>
    <w:p w14:paraId="00073158" w14:textId="2E0A4691" w:rsidR="0014260F" w:rsidRPr="00084B1B" w:rsidRDefault="0014260F" w:rsidP="00B5785C">
      <w:pPr>
        <w:pStyle w:val="Heading3"/>
      </w:pPr>
      <w:r w:rsidRPr="00084B1B">
        <w:t>Eligibility</w:t>
      </w:r>
    </w:p>
    <w:p w14:paraId="2EFCA834" w14:textId="77777777" w:rsidR="0014260F" w:rsidRPr="00084B1B" w:rsidRDefault="0014260F" w:rsidP="0014260F">
      <w:r w:rsidRPr="00084B1B">
        <w:t>Under the Act, Aboriginal and</w:t>
      </w:r>
      <w:r>
        <w:t>/or</w:t>
      </w:r>
      <w:r w:rsidRPr="00084B1B">
        <w:t xml:space="preserve"> Torres Strait Islander people who are at least 50 years of age are eligible </w:t>
      </w:r>
      <w:r>
        <w:t xml:space="preserve">to apply </w:t>
      </w:r>
      <w:r w:rsidRPr="00084B1B">
        <w:t xml:space="preserve">for an aged care needs assessment. </w:t>
      </w:r>
    </w:p>
    <w:p w14:paraId="2DCDA551" w14:textId="77777777" w:rsidR="0014260F" w:rsidRPr="00084B1B" w:rsidRDefault="0014260F" w:rsidP="0014260F">
      <w:r w:rsidRPr="00084B1B">
        <w:t xml:space="preserve">They must also have need for aged care services due to </w:t>
      </w:r>
      <w:proofErr w:type="gramStart"/>
      <w:r w:rsidRPr="00084B1B">
        <w:t>experiencing difficulty</w:t>
      </w:r>
      <w:proofErr w:type="gramEnd"/>
      <w:r w:rsidRPr="00084B1B">
        <w:t xml:space="preserve"> (physical, mental or social) undertaking any daily living activities, or requiring help from another person, or the assistance of one or more aids, to maintain physical, mental or social capacity to function independently. </w:t>
      </w:r>
    </w:p>
    <w:p w14:paraId="454BCE0C" w14:textId="77777777" w:rsidR="0014260F" w:rsidRPr="00084B1B" w:rsidRDefault="0014260F" w:rsidP="0014260F">
      <w:pPr>
        <w:pStyle w:val="Heading3"/>
      </w:pPr>
      <w:bookmarkStart w:id="26" w:name="priority"/>
      <w:bookmarkStart w:id="27" w:name="_Priority"/>
      <w:bookmarkEnd w:id="26"/>
      <w:bookmarkEnd w:id="27"/>
      <w:r w:rsidRPr="00084B1B">
        <w:t>Priority</w:t>
      </w:r>
    </w:p>
    <w:p w14:paraId="082C6FFD" w14:textId="73139545" w:rsidR="0014260F" w:rsidRPr="00084B1B" w:rsidRDefault="0014260F" w:rsidP="0014260F">
      <w:r w:rsidRPr="00084B1B">
        <w:t xml:space="preserve">Priority is given to </w:t>
      </w:r>
      <w:r>
        <w:t>older people</w:t>
      </w:r>
      <w:r w:rsidRPr="00084B1B">
        <w:t xml:space="preserve"> with the greatest needs. The allocation of a priority category for a referral is done at the triage stage and is based on a client’s level of function, their circumstances and needs, the level of risk in relation to the care situation and any other relevant concerns.</w:t>
      </w:r>
    </w:p>
    <w:p w14:paraId="2BD0F748" w14:textId="77777777" w:rsidR="0014260F" w:rsidRPr="00084B1B" w:rsidRDefault="0014260F" w:rsidP="0014260F">
      <w:r w:rsidRPr="00084B1B">
        <w:t>Consideration is given for people living in remote or very remote regions and, if applicable, the risk of vulnerability for the below list will be taken in account:</w:t>
      </w:r>
    </w:p>
    <w:p w14:paraId="0AAB4BBE" w14:textId="77777777" w:rsidR="0014260F" w:rsidRPr="00084B1B" w:rsidRDefault="0014260F" w:rsidP="002C4907">
      <w:pPr>
        <w:pStyle w:val="ListBullet"/>
      </w:pPr>
      <w:r w:rsidRPr="00084B1B">
        <w:t xml:space="preserve">Aboriginal </w:t>
      </w:r>
      <w:r>
        <w:t>and/</w:t>
      </w:r>
      <w:r w:rsidRPr="00084B1B">
        <w:t>or Torres Strait Islander</w:t>
      </w:r>
    </w:p>
    <w:p w14:paraId="68856F8B" w14:textId="33960660" w:rsidR="0014260F" w:rsidRPr="00084B1B" w:rsidRDefault="00CF7819" w:rsidP="002C4907">
      <w:pPr>
        <w:pStyle w:val="ListBullet"/>
      </w:pPr>
      <w:r>
        <w:t>V</w:t>
      </w:r>
      <w:r w:rsidR="0014260F" w:rsidRPr="00084B1B">
        <w:t>eteran</w:t>
      </w:r>
    </w:p>
    <w:p w14:paraId="62151830" w14:textId="77777777" w:rsidR="0014260F" w:rsidRPr="00084B1B" w:rsidRDefault="0014260F" w:rsidP="002C4907">
      <w:pPr>
        <w:pStyle w:val="ListBullet"/>
      </w:pPr>
      <w:r>
        <w:t>c</w:t>
      </w:r>
      <w:r w:rsidRPr="00084B1B">
        <w:t>hange in family/carer support arrangements</w:t>
      </w:r>
    </w:p>
    <w:p w14:paraId="5E4DCA78" w14:textId="77777777" w:rsidR="0014260F" w:rsidRPr="00084B1B" w:rsidRDefault="0014260F" w:rsidP="002C4907">
      <w:pPr>
        <w:pStyle w:val="ListBullet"/>
      </w:pPr>
      <w:r>
        <w:t>r</w:t>
      </w:r>
      <w:r w:rsidRPr="00084B1B">
        <w:t>efugees, asylum seekers or recent migrants without support</w:t>
      </w:r>
    </w:p>
    <w:p w14:paraId="695D400C" w14:textId="77777777" w:rsidR="0014260F" w:rsidRPr="00084B1B" w:rsidRDefault="0014260F" w:rsidP="002C4907">
      <w:pPr>
        <w:pStyle w:val="ListBullet"/>
      </w:pPr>
      <w:r>
        <w:t>LGBTI+</w:t>
      </w:r>
      <w:r w:rsidRPr="00084B1B">
        <w:t xml:space="preserve"> or other gender diverse individuals</w:t>
      </w:r>
    </w:p>
    <w:p w14:paraId="396F0020" w14:textId="77777777" w:rsidR="0014260F" w:rsidRPr="00084B1B" w:rsidRDefault="0014260F" w:rsidP="002C4907">
      <w:pPr>
        <w:pStyle w:val="ListBullet"/>
      </w:pPr>
      <w:r>
        <w:t>c</w:t>
      </w:r>
      <w:r w:rsidRPr="00084B1B">
        <w:t>ulturally and linguistically or ethnically diverse individual</w:t>
      </w:r>
    </w:p>
    <w:p w14:paraId="72649773" w14:textId="51526E14" w:rsidR="0014260F" w:rsidRPr="00084B1B" w:rsidRDefault="0014260F" w:rsidP="002C4907">
      <w:pPr>
        <w:pStyle w:val="ListBullet"/>
      </w:pPr>
      <w:r>
        <w:t>s</w:t>
      </w:r>
      <w:r w:rsidRPr="00084B1B">
        <w:t>ocially isolated individual.</w:t>
      </w:r>
    </w:p>
    <w:p w14:paraId="18131017" w14:textId="77777777" w:rsidR="0014260F" w:rsidRPr="00084B1B" w:rsidRDefault="0014260F" w:rsidP="0014260F">
      <w:pPr>
        <w:pStyle w:val="Heading2"/>
      </w:pPr>
      <w:bookmarkStart w:id="28" w:name="_Alternative_entry"/>
      <w:bookmarkStart w:id="29" w:name="altentry_28days"/>
      <w:bookmarkStart w:id="30" w:name="_Toc199872975"/>
      <w:bookmarkStart w:id="31" w:name="_Toc208837994"/>
      <w:bookmarkStart w:id="32" w:name="_Toc212713648"/>
      <w:bookmarkStart w:id="33" w:name="_Toc225416220"/>
      <w:bookmarkEnd w:id="24"/>
      <w:bookmarkEnd w:id="25"/>
      <w:bookmarkEnd w:id="28"/>
      <w:bookmarkEnd w:id="29"/>
      <w:r w:rsidRPr="00084B1B">
        <w:t xml:space="preserve">Alternative </w:t>
      </w:r>
      <w:bookmarkEnd w:id="30"/>
      <w:bookmarkEnd w:id="31"/>
      <w:r>
        <w:t>e</w:t>
      </w:r>
      <w:r w:rsidRPr="00084B1B">
        <w:t>ntry</w:t>
      </w:r>
      <w:bookmarkEnd w:id="32"/>
      <w:bookmarkEnd w:id="33"/>
    </w:p>
    <w:p w14:paraId="2E5CF8D4" w14:textId="6255D266" w:rsidR="0014260F" w:rsidRPr="00084B1B" w:rsidRDefault="0014260F" w:rsidP="0014260F">
      <w:r w:rsidRPr="00084B1B">
        <w:t xml:space="preserve">The alternative entry pathway into the aged care system in Australia allows older people to access care without following the standard route through My Aged Care. This pathway was designed </w:t>
      </w:r>
      <w:r>
        <w:t xml:space="preserve">to </w:t>
      </w:r>
      <w:r w:rsidRPr="00084B1B">
        <w:rPr>
          <w:rFonts w:cs="Arial"/>
        </w:rPr>
        <w:t>ensure that those in immediate need receive support before completing the full assessment and</w:t>
      </w:r>
      <w:r w:rsidRPr="00084B1B">
        <w:t xml:space="preserve"> approval process, while still maintaining a structured approach to assessment and eligibility determination.</w:t>
      </w:r>
    </w:p>
    <w:p w14:paraId="3FC2B8E1" w14:textId="77777777" w:rsidR="0014260F" w:rsidRPr="00084B1B" w:rsidRDefault="0014260F" w:rsidP="0014260F">
      <w:r w:rsidRPr="00084B1B">
        <w:t xml:space="preserve">NATSIFACP providers can begin delivering services to </w:t>
      </w:r>
      <w:r>
        <w:t xml:space="preserve">eligible </w:t>
      </w:r>
      <w:r w:rsidRPr="00084B1B">
        <w:t>older Aboriginal and</w:t>
      </w:r>
      <w:r>
        <w:t>/or</w:t>
      </w:r>
      <w:r w:rsidRPr="00084B1B">
        <w:t xml:space="preserve"> Torres Strait Islander people before they have an </w:t>
      </w:r>
      <w:r w:rsidRPr="00084B1B">
        <w:rPr>
          <w:rFonts w:cs="Arial"/>
        </w:rPr>
        <w:t>aged care needs assessment</w:t>
      </w:r>
      <w:r>
        <w:rPr>
          <w:rFonts w:cs="Arial"/>
        </w:rPr>
        <w:t xml:space="preserve">, if one of the </w:t>
      </w:r>
      <w:r w:rsidRPr="00084B1B">
        <w:rPr>
          <w:rFonts w:cs="Arial"/>
        </w:rPr>
        <w:t xml:space="preserve">following acceptable </w:t>
      </w:r>
      <w:r w:rsidRPr="00084B1B">
        <w:t>circumstances for utilising the alternative entry pathway</w:t>
      </w:r>
      <w:r>
        <w:t xml:space="preserve"> are met</w:t>
      </w:r>
      <w:r w:rsidRPr="00084B1B">
        <w:t>:</w:t>
      </w:r>
    </w:p>
    <w:p w14:paraId="2C3B5DBD" w14:textId="77777777" w:rsidR="0014260F" w:rsidRPr="00084B1B" w:rsidRDefault="0014260F" w:rsidP="002C4907">
      <w:pPr>
        <w:pStyle w:val="ListBullet"/>
      </w:pPr>
      <w:r w:rsidRPr="00084B1B">
        <w:t>the individual urgently needs access to funded aged care services and there was a significant risk of harm to the individual if those services were not delivered to the individual before the approval was given</w:t>
      </w:r>
      <w:r>
        <w:t>,</w:t>
      </w:r>
      <w:r w:rsidRPr="00084B1B">
        <w:t xml:space="preserve"> or</w:t>
      </w:r>
    </w:p>
    <w:p w14:paraId="7C87F8DE" w14:textId="77777777" w:rsidR="0014260F" w:rsidRPr="00084B1B" w:rsidRDefault="0014260F" w:rsidP="002C4907">
      <w:pPr>
        <w:pStyle w:val="ListBullet"/>
      </w:pPr>
      <w:r w:rsidRPr="00084B1B">
        <w:t xml:space="preserve">the individual is an Aboriginal </w:t>
      </w:r>
      <w:r>
        <w:t>and/</w:t>
      </w:r>
      <w:r w:rsidRPr="00084B1B">
        <w:t>or Torres Strait Islander person and at the time the individual was seeking to access funded aged care services there was a lack of availability of an approved needs assessor to undertake a culturally safe aged care needs assessment for the individual</w:t>
      </w:r>
      <w:r>
        <w:t>,</w:t>
      </w:r>
      <w:r w:rsidRPr="00084B1B">
        <w:t xml:space="preserve"> or</w:t>
      </w:r>
    </w:p>
    <w:p w14:paraId="07635B5B" w14:textId="77777777" w:rsidR="0014260F" w:rsidRPr="00084B1B" w:rsidRDefault="0014260F" w:rsidP="002C4907">
      <w:pPr>
        <w:pStyle w:val="ListBullet"/>
      </w:pPr>
      <w:r w:rsidRPr="00084B1B">
        <w:t>the individual commenced accessing funded aged care services under a specialist aged care program before the approval was given and at the time the individual was seeking to access funded aged care services there was a significant delay in the availability of an approved needs assessor to undertake an aged care needs assessment for the individual.</w:t>
      </w:r>
      <w:r w:rsidRPr="00367BA6">
        <w:rPr>
          <w:rStyle w:val="FootnoteReference"/>
          <w:rFonts w:asciiTheme="minorHAnsi" w:hAnsiTheme="minorHAnsi"/>
          <w:i/>
          <w:iCs/>
          <w:sz w:val="21"/>
        </w:rPr>
        <w:footnoteReference w:id="2"/>
      </w:r>
    </w:p>
    <w:p w14:paraId="09B46B88" w14:textId="4053228C" w:rsidR="0014260F" w:rsidRPr="00084B1B" w:rsidRDefault="0014260F" w:rsidP="00CA0C78">
      <w:r w:rsidRPr="00084B1B">
        <w:t>Under th</w:t>
      </w:r>
      <w:r>
        <w:t>e alternative entry</w:t>
      </w:r>
      <w:r w:rsidRPr="00084B1B">
        <w:t xml:space="preserve"> pathway, an older person must</w:t>
      </w:r>
      <w:r>
        <w:t xml:space="preserve"> still</w:t>
      </w:r>
      <w:r w:rsidRPr="00084B1B">
        <w:t xml:space="preserve"> apply for an assessment</w:t>
      </w:r>
      <w:r>
        <w:t xml:space="preserve"> using the standard channels</w:t>
      </w:r>
      <w:r w:rsidR="008A29A4">
        <w:t xml:space="preserve">. </w:t>
      </w:r>
      <w:r w:rsidR="008A29A4" w:rsidRPr="00602B32">
        <w:rPr>
          <w:b/>
          <w:bCs/>
        </w:rPr>
        <w:t>R</w:t>
      </w:r>
      <w:r w:rsidRPr="00602B32">
        <w:rPr>
          <w:b/>
          <w:bCs/>
        </w:rPr>
        <w:t>egistration</w:t>
      </w:r>
      <w:r w:rsidR="008A29A4" w:rsidRPr="00602B32">
        <w:rPr>
          <w:b/>
          <w:bCs/>
        </w:rPr>
        <w:t xml:space="preserve"> for an assessment</w:t>
      </w:r>
      <w:r w:rsidRPr="00602B32">
        <w:rPr>
          <w:b/>
          <w:bCs/>
        </w:rPr>
        <w:t xml:space="preserve"> must occur within 30 days of starting aged care services with a NATSIFACP provider</w:t>
      </w:r>
      <w:r w:rsidRPr="00084B1B">
        <w:t>. NATSIFACP providers can apply for this assessment on behalf of the older person</w:t>
      </w:r>
      <w:r w:rsidR="00CF7819">
        <w:t xml:space="preserve"> with their consent</w:t>
      </w:r>
      <w:r w:rsidRPr="00084B1B">
        <w:t xml:space="preserve">. </w:t>
      </w:r>
    </w:p>
    <w:p w14:paraId="698E0018" w14:textId="60C08B64" w:rsidR="0014260F" w:rsidRPr="00CA0C78" w:rsidRDefault="0014260F" w:rsidP="00CA0C78">
      <w:r w:rsidRPr="00CA0C78">
        <w:t>Note: the period for applying for an assessment varies between program types. Alternative entry into NATSIFACP and Multi-Purpose Service (MPS) services allows 30 days from the start of services to apply for an assessment, but CHSP allows for 5 days.</w:t>
      </w:r>
      <w:r w:rsidRPr="00722796">
        <w:rPr>
          <w:rStyle w:val="FootnoteReference"/>
          <w:rFonts w:asciiTheme="minorHAnsi" w:hAnsiTheme="minorHAnsi"/>
          <w:i/>
          <w:iCs/>
          <w:color w:val="auto"/>
          <w:sz w:val="21"/>
        </w:rPr>
        <w:footnoteReference w:id="3"/>
      </w:r>
      <w:r w:rsidRPr="00722796">
        <w:rPr>
          <w:rStyle w:val="FootnoteReference"/>
          <w:rFonts w:asciiTheme="minorHAnsi" w:hAnsiTheme="minorHAnsi"/>
          <w:i/>
          <w:iCs/>
          <w:color w:val="auto"/>
          <w:sz w:val="21"/>
        </w:rPr>
        <w:t xml:space="preserve"> </w:t>
      </w:r>
      <w:r w:rsidRPr="00CA0C78">
        <w:t>The System Governor can also give a written notice providing a longer period for individuals.</w:t>
      </w:r>
      <w:r w:rsidRPr="00722796">
        <w:rPr>
          <w:rStyle w:val="FootnoteReference"/>
          <w:rFonts w:asciiTheme="minorHAnsi" w:hAnsiTheme="minorHAnsi"/>
          <w:i/>
          <w:iCs/>
          <w:color w:val="auto"/>
          <w:sz w:val="21"/>
        </w:rPr>
        <w:footnoteReference w:id="4"/>
      </w:r>
      <w:r w:rsidRPr="00CA0C78">
        <w:t xml:space="preserve"> Alternative entry does not apply to Support at Home.</w:t>
      </w:r>
    </w:p>
    <w:p w14:paraId="07A681B2" w14:textId="77777777" w:rsidR="0014260F" w:rsidRPr="00084B1B" w:rsidRDefault="0014260F" w:rsidP="0014260F">
      <w:pPr>
        <w:pStyle w:val="Heading3"/>
      </w:pPr>
      <w:r>
        <w:t>Initial provider assessment under the alternative entry pathway</w:t>
      </w:r>
    </w:p>
    <w:p w14:paraId="19CA4F80" w14:textId="099E03AE" w:rsidR="0014260F" w:rsidRPr="00084B1B" w:rsidRDefault="0014260F" w:rsidP="0014260F">
      <w:pPr>
        <w:rPr>
          <w:rFonts w:cstheme="minorHAnsi"/>
          <w:szCs w:val="18"/>
        </w:rPr>
      </w:pPr>
      <w:r w:rsidRPr="00084B1B">
        <w:rPr>
          <w:rFonts w:cstheme="minorHAnsi"/>
          <w:szCs w:val="18"/>
        </w:rPr>
        <w:t xml:space="preserve">If NATSIFACP providers begin delivering services to an older person before an aged care needs assessment has occurred, the provider </w:t>
      </w:r>
      <w:r>
        <w:rPr>
          <w:rFonts w:cstheme="minorHAnsi"/>
          <w:szCs w:val="18"/>
        </w:rPr>
        <w:t>must</w:t>
      </w:r>
      <w:r w:rsidRPr="00084B1B">
        <w:rPr>
          <w:rFonts w:cstheme="minorHAnsi"/>
          <w:szCs w:val="18"/>
        </w:rPr>
        <w:t xml:space="preserve"> conduct an initial assessment the determine the older person’s care needs</w:t>
      </w:r>
      <w:r>
        <w:rPr>
          <w:rFonts w:cstheme="minorHAnsi"/>
          <w:szCs w:val="18"/>
        </w:rPr>
        <w:t xml:space="preserve"> that considers </w:t>
      </w:r>
      <w:r w:rsidRPr="00084B1B">
        <w:t xml:space="preserve">the older </w:t>
      </w:r>
      <w:r w:rsidR="00296A1E" w:rsidRPr="00084B1B">
        <w:t>persons</w:t>
      </w:r>
      <w:r w:rsidRPr="00084B1B">
        <w:t>:</w:t>
      </w:r>
    </w:p>
    <w:p w14:paraId="0158A012" w14:textId="77777777" w:rsidR="0014260F" w:rsidRPr="00084B1B" w:rsidRDefault="0014260F" w:rsidP="00F24283">
      <w:pPr>
        <w:pStyle w:val="ListBullet"/>
      </w:pPr>
      <w:r w:rsidRPr="00084B1B">
        <w:t>eligibility</w:t>
      </w:r>
    </w:p>
    <w:p w14:paraId="4001795A" w14:textId="77777777" w:rsidR="0014260F" w:rsidRPr="00084B1B" w:rsidRDefault="0014260F" w:rsidP="00F24283">
      <w:pPr>
        <w:pStyle w:val="ListBullet"/>
      </w:pPr>
      <w:r w:rsidRPr="00084B1B">
        <w:t>medical history</w:t>
      </w:r>
    </w:p>
    <w:p w14:paraId="13994EFC" w14:textId="77777777" w:rsidR="0014260F" w:rsidRPr="00084B1B" w:rsidRDefault="0014260F" w:rsidP="00F24283">
      <w:pPr>
        <w:pStyle w:val="ListBullet"/>
      </w:pPr>
      <w:r w:rsidRPr="00084B1B">
        <w:t>life story</w:t>
      </w:r>
    </w:p>
    <w:p w14:paraId="7B77DDF4" w14:textId="77777777" w:rsidR="0014260F" w:rsidRPr="00084B1B" w:rsidRDefault="0014260F" w:rsidP="00F24283">
      <w:pPr>
        <w:pStyle w:val="ListBullet"/>
      </w:pPr>
      <w:r w:rsidRPr="00084B1B">
        <w:t>functional status</w:t>
      </w:r>
    </w:p>
    <w:p w14:paraId="408AD3A0" w14:textId="77777777" w:rsidR="0014260F" w:rsidRPr="00084B1B" w:rsidRDefault="0014260F" w:rsidP="00F24283">
      <w:pPr>
        <w:pStyle w:val="ListBullet"/>
      </w:pPr>
      <w:r w:rsidRPr="00084B1B">
        <w:t>cognitive and sensory status</w:t>
      </w:r>
    </w:p>
    <w:p w14:paraId="28E56FE0" w14:textId="77777777" w:rsidR="0014260F" w:rsidRPr="00084B1B" w:rsidRDefault="0014260F" w:rsidP="00F24283">
      <w:pPr>
        <w:pStyle w:val="ListBullet"/>
      </w:pPr>
      <w:r w:rsidRPr="00084B1B">
        <w:t>nutritional status/needs</w:t>
      </w:r>
    </w:p>
    <w:p w14:paraId="0501BA8C" w14:textId="77777777" w:rsidR="0014260F" w:rsidRPr="00084B1B" w:rsidRDefault="0014260F" w:rsidP="00F24283">
      <w:pPr>
        <w:pStyle w:val="ListBullet"/>
      </w:pPr>
      <w:r w:rsidRPr="00084B1B">
        <w:t xml:space="preserve">special care needs, and </w:t>
      </w:r>
    </w:p>
    <w:p w14:paraId="2E5E3BFE" w14:textId="77777777" w:rsidR="0014260F" w:rsidRPr="00084B1B" w:rsidRDefault="0014260F" w:rsidP="00F24283">
      <w:pPr>
        <w:pStyle w:val="ListBullet"/>
      </w:pPr>
      <w:r w:rsidRPr="00084B1B">
        <w:t>clinical risk factors.</w:t>
      </w:r>
    </w:p>
    <w:p w14:paraId="70303C6A" w14:textId="77777777" w:rsidR="0014260F" w:rsidRDefault="0014260F" w:rsidP="0014260F">
      <w:r w:rsidRPr="00084B1B">
        <w:t xml:space="preserve">The older person should be supported to actively participate in and inform this assessment. </w:t>
      </w:r>
    </w:p>
    <w:p w14:paraId="058A90BE" w14:textId="56AEA34B" w:rsidR="0014260F" w:rsidRPr="00084B1B" w:rsidRDefault="0014260F" w:rsidP="0014260F">
      <w:r>
        <w:t xml:space="preserve">When using the alternative entry pathway NATSIFACP providers must develop a </w:t>
      </w:r>
      <w:hyperlink w:anchor="_Service_Agreements" w:history="1">
        <w:r w:rsidRPr="005D7374">
          <w:rPr>
            <w:rStyle w:val="Hyperlink"/>
          </w:rPr>
          <w:t>service agreement</w:t>
        </w:r>
      </w:hyperlink>
      <w:r>
        <w:t xml:space="preserve"> and a </w:t>
      </w:r>
      <w:hyperlink w:anchor="_Care_and_services" w:history="1">
        <w:r w:rsidRPr="007A6748">
          <w:rPr>
            <w:rStyle w:val="Hyperlink"/>
          </w:rPr>
          <w:t>care and services plan</w:t>
        </w:r>
      </w:hyperlink>
      <w:r>
        <w:t xml:space="preserve"> within 28 days of the start of services. </w:t>
      </w:r>
    </w:p>
    <w:p w14:paraId="2FDF8198" w14:textId="77777777" w:rsidR="0014260F" w:rsidRPr="00084B1B" w:rsidRDefault="0014260F" w:rsidP="0014260F">
      <w:r w:rsidRPr="00084B1B">
        <w:t xml:space="preserve">While waiting for an aged care needs assessment, the services that providers deliver should meet the needs identified during this initial assessment </w:t>
      </w:r>
      <w:r>
        <w:t>as long as</w:t>
      </w:r>
      <w:r w:rsidRPr="00084B1B">
        <w:t xml:space="preserve"> the services:</w:t>
      </w:r>
    </w:p>
    <w:p w14:paraId="2C7B8361" w14:textId="77777777" w:rsidR="0014260F" w:rsidRPr="00084B1B" w:rsidRDefault="0014260F" w:rsidP="00F24283">
      <w:pPr>
        <w:pStyle w:val="ListBullet"/>
      </w:pPr>
      <w:r w:rsidRPr="00084B1B">
        <w:t xml:space="preserve">are within the bounds of the type of care the provider </w:t>
      </w:r>
      <w:proofErr w:type="gramStart"/>
      <w:r w:rsidRPr="00084B1B">
        <w:t>is able to</w:t>
      </w:r>
      <w:proofErr w:type="gramEnd"/>
      <w:r w:rsidRPr="00084B1B">
        <w:t xml:space="preserve"> deliver</w:t>
      </w:r>
    </w:p>
    <w:p w14:paraId="196BEDF1" w14:textId="77777777" w:rsidR="0014260F" w:rsidRPr="00084B1B" w:rsidRDefault="0014260F" w:rsidP="00F24283">
      <w:pPr>
        <w:pStyle w:val="ListBullet"/>
      </w:pPr>
      <w:r w:rsidRPr="00084B1B">
        <w:t>are within a registration category the provider is registered to deliver</w:t>
      </w:r>
    </w:p>
    <w:p w14:paraId="5C93F7E3" w14:textId="77777777" w:rsidR="0014260F" w:rsidRPr="00084B1B" w:rsidRDefault="0014260F" w:rsidP="00F24283">
      <w:pPr>
        <w:pStyle w:val="ListBullet"/>
      </w:pPr>
      <w:r w:rsidRPr="00084B1B">
        <w:t>are reasonably likely to be approved following that individual’s aged care needs assessment.</w:t>
      </w:r>
    </w:p>
    <w:p w14:paraId="3399A84A" w14:textId="77777777" w:rsidR="0014260F" w:rsidRPr="00084B1B" w:rsidRDefault="0014260F" w:rsidP="0014260F">
      <w:r>
        <w:t>If an</w:t>
      </w:r>
      <w:r w:rsidRPr="00084B1B">
        <w:t xml:space="preserve"> assessment determine</w:t>
      </w:r>
      <w:r>
        <w:t>s</w:t>
      </w:r>
      <w:r w:rsidRPr="00084B1B">
        <w:t xml:space="preserve"> that the care needs of the </w:t>
      </w:r>
      <w:r>
        <w:t>individual</w:t>
      </w:r>
      <w:r w:rsidRPr="00084B1B">
        <w:t xml:space="preserve"> exceed the type of care that can be delivered through the service, or that the </w:t>
      </w:r>
      <w:r>
        <w:t>individual</w:t>
      </w:r>
      <w:r w:rsidRPr="00084B1B">
        <w:t xml:space="preserve">’s characteristics are such that staff of the service provider may be at risk if the </w:t>
      </w:r>
      <w:r>
        <w:t>individual</w:t>
      </w:r>
      <w:r w:rsidRPr="00084B1B">
        <w:t xml:space="preserve"> was admitted</w:t>
      </w:r>
      <w:r>
        <w:t xml:space="preserve">, </w:t>
      </w:r>
      <w:r w:rsidRPr="00084B1B">
        <w:t xml:space="preserve">the service provider should work with the </w:t>
      </w:r>
      <w:r>
        <w:t>individual</w:t>
      </w:r>
      <w:r w:rsidRPr="00084B1B">
        <w:t xml:space="preserve"> to ensure continuity of care and referral to </w:t>
      </w:r>
      <w:r>
        <w:t xml:space="preserve">a </w:t>
      </w:r>
      <w:r w:rsidRPr="00084B1B">
        <w:t xml:space="preserve">more appropriate type and level of service. </w:t>
      </w:r>
    </w:p>
    <w:p w14:paraId="28D9FD25" w14:textId="77777777" w:rsidR="0014260F" w:rsidRPr="00084B1B" w:rsidRDefault="0014260F" w:rsidP="0014260F">
      <w:r w:rsidRPr="00084B1B">
        <w:t>The decision-making process should still be recorded even where:</w:t>
      </w:r>
    </w:p>
    <w:p w14:paraId="4DD13B40" w14:textId="56781A39" w:rsidR="0014260F" w:rsidRPr="00084B1B" w:rsidRDefault="0014260F" w:rsidP="00F24283">
      <w:pPr>
        <w:pStyle w:val="ListBullet"/>
      </w:pPr>
      <w:r w:rsidRPr="00084B1B">
        <w:t>a</w:t>
      </w:r>
      <w:r w:rsidR="004E2CEA">
        <w:t>n</w:t>
      </w:r>
      <w:r w:rsidRPr="00084B1B">
        <w:t xml:space="preserve"> </w:t>
      </w:r>
      <w:r>
        <w:t>individual</w:t>
      </w:r>
      <w:r w:rsidRPr="00084B1B">
        <w:t xml:space="preserve"> is assessed as ineligible for care at a service</w:t>
      </w:r>
    </w:p>
    <w:p w14:paraId="6EDAD2AD" w14:textId="77777777" w:rsidR="0014260F" w:rsidRPr="00084B1B" w:rsidRDefault="0014260F" w:rsidP="00F24283">
      <w:pPr>
        <w:pStyle w:val="ListBullet"/>
      </w:pPr>
      <w:r w:rsidRPr="00084B1B">
        <w:t>there are not available places at the service</w:t>
      </w:r>
    </w:p>
    <w:p w14:paraId="5BD11B2D" w14:textId="77777777" w:rsidR="0014260F" w:rsidRPr="00084B1B" w:rsidRDefault="0014260F" w:rsidP="00F24283">
      <w:pPr>
        <w:pStyle w:val="ListBullet"/>
      </w:pPr>
      <w:r w:rsidRPr="00084B1B">
        <w:t xml:space="preserve">if it is determined that the care needs of the </w:t>
      </w:r>
      <w:r>
        <w:t>individual</w:t>
      </w:r>
      <w:r w:rsidRPr="00084B1B">
        <w:t xml:space="preserve"> exceed the type of care that can be delivered through the service.</w:t>
      </w:r>
    </w:p>
    <w:p w14:paraId="000C6F95" w14:textId="77777777" w:rsidR="0014260F" w:rsidRPr="00084B1B" w:rsidRDefault="0014260F" w:rsidP="0014260F">
      <w:pPr>
        <w:pStyle w:val="Heading2"/>
      </w:pPr>
      <w:bookmarkStart w:id="34" w:name="_Toc208837995"/>
      <w:bookmarkStart w:id="35" w:name="_Toc212713649"/>
      <w:bookmarkStart w:id="36" w:name="_Toc225416221"/>
      <w:r w:rsidRPr="00084B1B">
        <w:t>Registering a supporter</w:t>
      </w:r>
      <w:bookmarkEnd w:id="34"/>
      <w:bookmarkEnd w:id="35"/>
      <w:bookmarkEnd w:id="36"/>
    </w:p>
    <w:p w14:paraId="78215F9F" w14:textId="77777777" w:rsidR="0014260F" w:rsidRDefault="0014260F" w:rsidP="0014260F">
      <w:r w:rsidRPr="00084B1B">
        <w:t xml:space="preserve">If an older person wants or needs help making decisions, they can </w:t>
      </w:r>
      <w:r>
        <w:t>elect t</w:t>
      </w:r>
      <w:r w:rsidRPr="00084B1B">
        <w:t xml:space="preserve">o have </w:t>
      </w:r>
      <w:r>
        <w:t xml:space="preserve">one or more </w:t>
      </w:r>
      <w:r w:rsidRPr="00084B1B">
        <w:t>registered supporter</w:t>
      </w:r>
      <w:r>
        <w:t>s of their choosing</w:t>
      </w:r>
      <w:r w:rsidRPr="00084B1B">
        <w:t>.</w:t>
      </w:r>
      <w:r>
        <w:t xml:space="preserve"> Supporters must be registered with My Aged Care w</w:t>
      </w:r>
      <w:r w:rsidRPr="00084B1B">
        <w:t>ith the consent of the older person</w:t>
      </w:r>
      <w:r>
        <w:t xml:space="preserve">. When </w:t>
      </w:r>
      <w:r w:rsidRPr="00084B1B">
        <w:t>registered</w:t>
      </w:r>
      <w:r>
        <w:t xml:space="preserve">, they can </w:t>
      </w:r>
      <w:r w:rsidRPr="00084B1B">
        <w:t xml:space="preserve">help an older person to make and communicate their decisions, will and preferences throughout their aged care journey. </w:t>
      </w:r>
    </w:p>
    <w:p w14:paraId="335E5551" w14:textId="77777777" w:rsidR="0014260F" w:rsidRPr="00084B1B" w:rsidRDefault="0014260F" w:rsidP="0014260F">
      <w:r w:rsidRPr="00084B1B">
        <w:t>Registered supporters</w:t>
      </w:r>
      <w:r>
        <w:t xml:space="preserve"> are trusted by the older person to </w:t>
      </w:r>
      <w:r w:rsidRPr="00084B1B">
        <w:t>request, access and receive information about the older person they support</w:t>
      </w:r>
      <w:r>
        <w:t>. They may</w:t>
      </w:r>
      <w:r w:rsidRPr="00084B1B">
        <w:t xml:space="preserve"> also hold guardianship powers, enduring power of attorney or similar. These people are appointed decision makers for the older person and can make decisions on behalf of the older person under state or territory arrangements. An appointed decision maker can only make decisions on the older person’s behalf in line with their active, legal authority.</w:t>
      </w:r>
    </w:p>
    <w:p w14:paraId="44FBE3F6" w14:textId="77777777" w:rsidR="0014260F" w:rsidRDefault="0014260F" w:rsidP="0014260F">
      <w:r>
        <w:t xml:space="preserve">Registered supporters do not: </w:t>
      </w:r>
    </w:p>
    <w:p w14:paraId="0E651E8D" w14:textId="77777777" w:rsidR="0014260F" w:rsidRDefault="0014260F" w:rsidP="00D82385">
      <w:pPr>
        <w:pStyle w:val="ListBullet"/>
      </w:pPr>
      <w:r>
        <w:t>have</w:t>
      </w:r>
      <w:r w:rsidRPr="00084B1B">
        <w:t xml:space="preserve"> decision-making authority for the older person</w:t>
      </w:r>
      <w:r>
        <w:t xml:space="preserve">; their </w:t>
      </w:r>
      <w:r w:rsidRPr="00084B1B">
        <w:t xml:space="preserve">role is to support the older person to make their own decisions. </w:t>
      </w:r>
    </w:p>
    <w:p w14:paraId="5851B3F4" w14:textId="77777777" w:rsidR="0014260F" w:rsidRPr="00084B1B" w:rsidRDefault="0014260F" w:rsidP="00D82385">
      <w:pPr>
        <w:pStyle w:val="ListBullet"/>
      </w:pPr>
      <w:r w:rsidRPr="00084B1B">
        <w:t xml:space="preserve">prevent an older person from doing something they can do themselves. Older people can continue to request, receive and communicate information and make decisions. </w:t>
      </w:r>
    </w:p>
    <w:p w14:paraId="51718256" w14:textId="77777777" w:rsidR="0014260F" w:rsidRPr="00084B1B" w:rsidRDefault="0014260F" w:rsidP="0014260F">
      <w:r w:rsidRPr="00084B1B">
        <w:t>There is no requirement to have a registered supporter</w:t>
      </w:r>
      <w:r>
        <w:t xml:space="preserve"> even </w:t>
      </w:r>
      <w:r w:rsidRPr="00084B1B">
        <w:t>where an appointed decision-maker</w:t>
      </w:r>
      <w:r>
        <w:t xml:space="preserve"> is in place</w:t>
      </w:r>
      <w:r w:rsidRPr="00084B1B">
        <w:t xml:space="preserve"> under a state and territory arrangement. The absence of a registered supporter or appointed decision-maker in an older person’s life is no grounds for exclusion from access to, or receipt of, aged care services or the older person’s involvement in their own decision-making for aged care matters.</w:t>
      </w:r>
    </w:p>
    <w:p w14:paraId="0AA21043" w14:textId="123028C9" w:rsidR="0014260F" w:rsidRPr="00BA4821" w:rsidRDefault="0014260F" w:rsidP="0014260F">
      <w:pPr>
        <w:rPr>
          <w:rStyle w:val="Hyperlink"/>
        </w:rPr>
      </w:pPr>
      <w:r w:rsidRPr="00084B1B">
        <w:t>More information on registered supporters is available on the department’s website</w:t>
      </w:r>
      <w:r>
        <w:t>:</w:t>
      </w:r>
      <w:r w:rsidRPr="00084B1B">
        <w:t xml:space="preserve"> </w:t>
      </w:r>
      <w:hyperlink r:id="rId52" w:history="1">
        <w:r w:rsidRPr="00C65148">
          <w:rPr>
            <w:rStyle w:val="Hyperlink"/>
          </w:rPr>
          <w:t>health.gov.au/our-work/aged-care-act/about/registered-supporters-in-aged-care</w:t>
        </w:r>
      </w:hyperlink>
    </w:p>
    <w:p w14:paraId="065686DA" w14:textId="77777777" w:rsidR="0014260F" w:rsidRPr="00084B1B" w:rsidRDefault="0014260F" w:rsidP="0014260F">
      <w:pPr>
        <w:pStyle w:val="Heading2"/>
      </w:pPr>
      <w:bookmarkStart w:id="37" w:name="_Toc212713650"/>
      <w:bookmarkStart w:id="38" w:name="_Toc225416222"/>
      <w:r>
        <w:t>Support for older people seeking aged care services</w:t>
      </w:r>
      <w:bookmarkEnd w:id="37"/>
      <w:bookmarkEnd w:id="38"/>
      <w:r>
        <w:t xml:space="preserve">  </w:t>
      </w:r>
    </w:p>
    <w:p w14:paraId="408008A0" w14:textId="77777777" w:rsidR="0014260F" w:rsidRPr="00084B1B" w:rsidRDefault="0014260F" w:rsidP="0014260F">
      <w:r w:rsidRPr="00084B1B">
        <w:t xml:space="preserve">The Australian Government funds a range of programs that support vulnerable older people to navigate the complexities of the aged care system and access aged care services, including:  </w:t>
      </w:r>
    </w:p>
    <w:p w14:paraId="0AD7BB25" w14:textId="77777777" w:rsidR="0014260F" w:rsidRPr="00084B1B" w:rsidRDefault="0014260F" w:rsidP="00D82385">
      <w:pPr>
        <w:pStyle w:val="ListBullet"/>
      </w:pPr>
      <w:hyperlink r:id="rId53" w:history="1">
        <w:r w:rsidRPr="00FE16EE">
          <w:rPr>
            <w:rStyle w:val="Hyperlink"/>
          </w:rPr>
          <w:t>Elder Care Support Program</w:t>
        </w:r>
      </w:hyperlink>
      <w:r w:rsidRPr="00084B1B">
        <w:t xml:space="preserve"> – assistance for older Aboriginal and</w:t>
      </w:r>
      <w:r>
        <w:t>/or</w:t>
      </w:r>
      <w:r w:rsidRPr="00084B1B">
        <w:t xml:space="preserve"> Torres Strait Islander people and their families, friends and carers to understand, access and selected funded aged care services, including in regional and remote areas</w:t>
      </w:r>
      <w:r>
        <w:t xml:space="preserve">. For more information visit </w:t>
      </w:r>
      <w:hyperlink r:id="rId54" w:history="1">
        <w:r w:rsidRPr="004020B0">
          <w:rPr>
            <w:rStyle w:val="Hyperlink"/>
          </w:rPr>
          <w:t>health.gov.au/our-work/elder-care-support</w:t>
        </w:r>
      </w:hyperlink>
      <w:r>
        <w:t xml:space="preserve"> </w:t>
      </w:r>
    </w:p>
    <w:p w14:paraId="113325D4" w14:textId="77777777" w:rsidR="0014260F" w:rsidRDefault="0014260F" w:rsidP="00D82385">
      <w:pPr>
        <w:pStyle w:val="ListBullet"/>
      </w:pPr>
      <w:hyperlink r:id="rId55" w:history="1">
        <w:r w:rsidRPr="00FE16EE">
          <w:rPr>
            <w:rStyle w:val="Hyperlink"/>
          </w:rPr>
          <w:t>Care finder program</w:t>
        </w:r>
      </w:hyperlink>
      <w:r w:rsidRPr="00084B1B">
        <w:t xml:space="preserve"> – support for vulnerable older people who require intensive support to interact with My Aged Care and connect them to other relevant supports in the community. Contact information for services in each region is on the My Aged Care website </w:t>
      </w:r>
      <w:hyperlink r:id="rId56" w:history="1">
        <w:r>
          <w:rPr>
            <w:rStyle w:val="Hyperlink"/>
          </w:rPr>
          <w:t>MyAgedCare.gov.au/help-care-finder</w:t>
        </w:r>
      </w:hyperlink>
    </w:p>
    <w:p w14:paraId="723EF002" w14:textId="77777777" w:rsidR="0014260F" w:rsidRDefault="0014260F" w:rsidP="00D82385">
      <w:pPr>
        <w:pStyle w:val="ListBullet"/>
      </w:pPr>
      <w:r w:rsidRPr="00BB2BE3">
        <w:t xml:space="preserve">Older Persons Advocacy Network (OPAN) </w:t>
      </w:r>
      <w:r>
        <w:t>provides</w:t>
      </w:r>
      <w:r w:rsidRPr="00BB2BE3">
        <w:t xml:space="preserve"> free, confidential, and independent information </w:t>
      </w:r>
      <w:r>
        <w:t>and</w:t>
      </w:r>
      <w:r w:rsidRPr="00BB2BE3">
        <w:t xml:space="preserve"> support</w:t>
      </w:r>
      <w:r>
        <w:t xml:space="preserve"> </w:t>
      </w:r>
      <w:r w:rsidRPr="008A7BD9">
        <w:t>to older people receiving government-funded aged care</w:t>
      </w:r>
      <w:r w:rsidRPr="00BB2BE3">
        <w:t xml:space="preserve">. </w:t>
      </w:r>
      <w:r>
        <w:t>Clients</w:t>
      </w:r>
      <w:r w:rsidRPr="00BB2BE3">
        <w:t xml:space="preserve"> can contact the Aged Care Advocacy Line 1800 700 600 or visit </w:t>
      </w:r>
      <w:hyperlink r:id="rId57" w:history="1">
        <w:r>
          <w:rPr>
            <w:rStyle w:val="Hyperlink"/>
          </w:rPr>
          <w:t>opan.org.au</w:t>
        </w:r>
      </w:hyperlink>
      <w:r w:rsidRPr="00BB2BE3">
        <w:t>.</w:t>
      </w:r>
    </w:p>
    <w:p w14:paraId="238504C9" w14:textId="076A0E12" w:rsidR="00EA65D6" w:rsidRDefault="006F478C" w:rsidP="006F478C">
      <w:pPr>
        <w:pStyle w:val="Heading2"/>
      </w:pPr>
      <w:bookmarkStart w:id="39" w:name="_Toc225416223"/>
      <w:r w:rsidRPr="006F478C">
        <w:t xml:space="preserve">Interactions with other </w:t>
      </w:r>
      <w:r w:rsidR="007B2321">
        <w:t xml:space="preserve">aged care </w:t>
      </w:r>
      <w:r w:rsidRPr="006F478C">
        <w:t>programs</w:t>
      </w:r>
      <w:bookmarkEnd w:id="39"/>
      <w:r w:rsidRPr="006F478C">
        <w:t xml:space="preserve"> </w:t>
      </w:r>
    </w:p>
    <w:p w14:paraId="082020C2" w14:textId="7C20DD39" w:rsidR="00D85683" w:rsidRDefault="00D85683" w:rsidP="00D85683">
      <w:r w:rsidRPr="00D85683">
        <w:t xml:space="preserve">While a participant receives services under </w:t>
      </w:r>
      <w:r>
        <w:t>NATSIFACP</w:t>
      </w:r>
      <w:r w:rsidRPr="00D85683">
        <w:t xml:space="preserve">, it may be possible for them to also receive services and supports through other programs and schemes. </w:t>
      </w:r>
    </w:p>
    <w:p w14:paraId="083A1E51" w14:textId="365837BF" w:rsidR="006F478C" w:rsidRDefault="00D85683" w:rsidP="00D85683">
      <w:r w:rsidRPr="00D85683">
        <w:t xml:space="preserve">The Act and its Rules govern how the </w:t>
      </w:r>
      <w:r w:rsidR="007743B6">
        <w:t>NATSIFACP</w:t>
      </w:r>
      <w:r w:rsidRPr="00D85683">
        <w:t xml:space="preserve"> program interacts with other programs. As providers of services under the program, providers must comply with these laws.</w:t>
      </w:r>
    </w:p>
    <w:p w14:paraId="1D244615" w14:textId="0FB1A620" w:rsidR="00D85683" w:rsidRDefault="000C74CE" w:rsidP="003B7A77">
      <w:pPr>
        <w:pStyle w:val="Heading3"/>
      </w:pPr>
      <w:r>
        <w:t>Support at Home</w:t>
      </w:r>
    </w:p>
    <w:p w14:paraId="72CD80D2" w14:textId="4705F155" w:rsidR="000C74CE" w:rsidRDefault="000C74CE" w:rsidP="00D85683">
      <w:r w:rsidRPr="000C74CE">
        <w:t xml:space="preserve">In general, in-home care services must not be provided to individuals who are receiving other similar government-subsidised services. However, individuals may access both the </w:t>
      </w:r>
      <w:r w:rsidR="00F01DC5" w:rsidRPr="000C74CE">
        <w:t>NATSIFAC</w:t>
      </w:r>
      <w:r w:rsidR="00F01DC5">
        <w:t>P</w:t>
      </w:r>
      <w:r w:rsidR="00F01DC5" w:rsidRPr="000C74CE">
        <w:t xml:space="preserve"> and</w:t>
      </w:r>
      <w:r w:rsidRPr="000C74CE">
        <w:t xml:space="preserve"> Support at Home at the same time, provided the services accessed under the programs are different. For example, a participant could access personal care via the </w:t>
      </w:r>
      <w:r w:rsidR="00F01DC5" w:rsidRPr="000C74CE">
        <w:t>NATSIFAC</w:t>
      </w:r>
      <w:r w:rsidR="00F01DC5">
        <w:t>P</w:t>
      </w:r>
      <w:r w:rsidR="00F01DC5" w:rsidRPr="000C74CE">
        <w:t xml:space="preserve"> </w:t>
      </w:r>
      <w:r w:rsidR="00F01DC5">
        <w:t>and</w:t>
      </w:r>
      <w:r>
        <w:t xml:space="preserve"> </w:t>
      </w:r>
      <w:r w:rsidRPr="000C74CE">
        <w:t>gardening through Support at Home.</w:t>
      </w:r>
    </w:p>
    <w:p w14:paraId="56B32CD0" w14:textId="7A53E453" w:rsidR="008E2181" w:rsidRDefault="008E2181" w:rsidP="003B7A77">
      <w:pPr>
        <w:pStyle w:val="Heading3"/>
      </w:pPr>
      <w:bookmarkStart w:id="40" w:name="ATHM_Scheme"/>
      <w:bookmarkEnd w:id="40"/>
      <w:r>
        <w:t>Assistive Technology and Home Modifications</w:t>
      </w:r>
      <w:r w:rsidR="00365BE0">
        <w:t xml:space="preserve"> (AT-HM)</w:t>
      </w:r>
      <w:r>
        <w:t xml:space="preserve"> Scheme</w:t>
      </w:r>
    </w:p>
    <w:p w14:paraId="3932162F" w14:textId="77777777" w:rsidR="009F38E2" w:rsidRDefault="009F38E2" w:rsidP="009F38E2">
      <w:r>
        <w:t>Providers may be aware of t</w:t>
      </w:r>
      <w:r w:rsidRPr="00577029">
        <w:t>he Assistive Technology and Home Modifications (AT-HM) scheme</w:t>
      </w:r>
      <w:r>
        <w:t>. This</w:t>
      </w:r>
      <w:r w:rsidRPr="00577029">
        <w:t xml:space="preserve"> is a short-term pathway</w:t>
      </w:r>
      <w:r>
        <w:t xml:space="preserve"> specifically accessed</w:t>
      </w:r>
      <w:r w:rsidRPr="00577029">
        <w:t xml:space="preserve"> through</w:t>
      </w:r>
      <w:r>
        <w:t xml:space="preserve"> registered</w:t>
      </w:r>
      <w:r w:rsidRPr="00577029">
        <w:t xml:space="preserve"> Support at Home </w:t>
      </w:r>
      <w:r>
        <w:t xml:space="preserve">providers, under which </w:t>
      </w:r>
      <w:r w:rsidRPr="00577029">
        <w:t>separate fund</w:t>
      </w:r>
      <w:r>
        <w:t xml:space="preserve"> are made available</w:t>
      </w:r>
      <w:r w:rsidRPr="00577029">
        <w:t xml:space="preserve"> to support older people with the assistive technology and home modifications</w:t>
      </w:r>
      <w:r>
        <w:t xml:space="preserve">. The AT-HM scheme applies priority categories and funding tiers (with a price cap) to an individual’s assessment, and funding must generally be expended within a twelve-month period. These categories, funding tiers and time limits </w:t>
      </w:r>
      <w:r w:rsidRPr="00EA43C6">
        <w:t>do not apply</w:t>
      </w:r>
      <w:r>
        <w:t xml:space="preserve"> to NATSIFACP providers or clients.</w:t>
      </w:r>
    </w:p>
    <w:p w14:paraId="5189CA30" w14:textId="47B29168" w:rsidR="009F38E2" w:rsidRDefault="009F38E2" w:rsidP="009F38E2">
      <w:r w:rsidRPr="00577029">
        <w:t>Older people receiving aged care through the NATSIFAC</w:t>
      </w:r>
      <w:r w:rsidR="00CF7819">
        <w:t>P</w:t>
      </w:r>
      <w:r w:rsidRPr="00577029">
        <w:t xml:space="preserve"> may </w:t>
      </w:r>
      <w:r>
        <w:t xml:space="preserve">only </w:t>
      </w:r>
      <w:r w:rsidRPr="00577029">
        <w:t xml:space="preserve">access </w:t>
      </w:r>
      <w:r>
        <w:t xml:space="preserve">the </w:t>
      </w:r>
      <w:r w:rsidRPr="00577029">
        <w:t xml:space="preserve">AT-HM scheme if they have a Support at Home approval. In these instances, services should not be duplicative. For example, if an older person receives assistive technology through their </w:t>
      </w:r>
      <w:r>
        <w:t>NATSIFACP provider,</w:t>
      </w:r>
      <w:r w:rsidRPr="00577029">
        <w:t xml:space="preserve"> they should not also have an AT funding tier from the AT-HM scheme.</w:t>
      </w:r>
    </w:p>
    <w:p w14:paraId="2E1E675C" w14:textId="77777777" w:rsidR="009F38E2" w:rsidRDefault="009F38E2" w:rsidP="009F38E2">
      <w:r>
        <w:t xml:space="preserve">Further information on the AT-HM Scheme for providers delivering Support at Home can be found at </w:t>
      </w:r>
      <w:hyperlink r:id="rId58" w:history="1">
        <w:r w:rsidRPr="00EC3C5F">
          <w:rPr>
            <w:rStyle w:val="Hyperlink"/>
          </w:rPr>
          <w:t>health.gov.au/our-work/support-at-home/delivering-services-for-support-at-home/assistive-technology-and-home-modifications-at-hm-scheme</w:t>
        </w:r>
      </w:hyperlink>
      <w:r>
        <w:t>.</w:t>
      </w:r>
    </w:p>
    <w:p w14:paraId="4C10A851" w14:textId="46E52C2D" w:rsidR="00773756" w:rsidRDefault="00773756" w:rsidP="002B34E5">
      <w:r>
        <w:t xml:space="preserve">For information on provision of AT-HM items to clients through the NATSIFACP, please see section </w:t>
      </w:r>
      <w:r w:rsidR="00A65818">
        <w:t>below</w:t>
      </w:r>
      <w:r>
        <w:t xml:space="preserve"> on </w:t>
      </w:r>
      <w:hyperlink w:anchor="ATHM" w:history="1">
        <w:r w:rsidRPr="00A65818">
          <w:rPr>
            <w:rStyle w:val="Hyperlink"/>
          </w:rPr>
          <w:t>Assistive Technology and Home Modifications</w:t>
        </w:r>
      </w:hyperlink>
      <w:r>
        <w:t>.</w:t>
      </w:r>
    </w:p>
    <w:p w14:paraId="243DB0F8" w14:textId="77777777" w:rsidR="008E2181" w:rsidRPr="006F478C" w:rsidRDefault="008E2181" w:rsidP="00D85683"/>
    <w:p w14:paraId="03287224" w14:textId="50344D1B" w:rsidR="000E5193" w:rsidRPr="00A51B4F" w:rsidRDefault="000E5193" w:rsidP="00A51B4F">
      <w:pPr>
        <w:sectPr w:rsidR="000E5193" w:rsidRPr="00A51B4F" w:rsidSect="00E33A42">
          <w:headerReference w:type="default" r:id="rId59"/>
          <w:footerReference w:type="even" r:id="rId60"/>
          <w:footerReference w:type="default" r:id="rId61"/>
          <w:pgSz w:w="11906" w:h="16838"/>
          <w:pgMar w:top="1701" w:right="1418" w:bottom="1418" w:left="1418" w:header="709" w:footer="709" w:gutter="0"/>
          <w:cols w:space="708"/>
          <w:docGrid w:linePitch="360"/>
        </w:sectPr>
      </w:pPr>
    </w:p>
    <w:p w14:paraId="738A6D31" w14:textId="77777777" w:rsidR="0014260F" w:rsidRPr="00A51B4F" w:rsidRDefault="0014260F" w:rsidP="00A51B4F"/>
    <w:p w14:paraId="49EC6787" w14:textId="75F30A4E" w:rsidR="00D77F08" w:rsidRDefault="00D77F08" w:rsidP="00D77F08">
      <w:pPr>
        <w:pStyle w:val="SectionNumber"/>
      </w:pPr>
      <w:r w:rsidRPr="00D7030B">
        <w:drawing>
          <wp:anchor distT="0" distB="0" distL="114300" distR="114300" simplePos="0" relativeHeight="251658250" behindDoc="0" locked="0" layoutInCell="1" allowOverlap="1" wp14:anchorId="5F6301A2" wp14:editId="1C12799B">
            <wp:simplePos x="0" y="0"/>
            <wp:positionH relativeFrom="column">
              <wp:posOffset>-2061845</wp:posOffset>
            </wp:positionH>
            <wp:positionV relativeFrom="paragraph">
              <wp:posOffset>297815</wp:posOffset>
            </wp:positionV>
            <wp:extent cx="1842770" cy="1892300"/>
            <wp:effectExtent l="0" t="0" r="0" b="0"/>
            <wp:wrapNone/>
            <wp:docPr id="2616375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54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892300"/>
                    </a:xfrm>
                    <a:prstGeom prst="rect">
                      <a:avLst/>
                    </a:prstGeom>
                  </pic:spPr>
                </pic:pic>
              </a:graphicData>
            </a:graphic>
            <wp14:sizeRelH relativeFrom="page">
              <wp14:pctWidth>0</wp14:pctWidth>
            </wp14:sizeRelH>
            <wp14:sizeRelV relativeFrom="page">
              <wp14:pctHeight>0</wp14:pctHeight>
            </wp14:sizeRelV>
          </wp:anchor>
        </w:drawing>
      </w:r>
      <w:r w:rsidRPr="00444D55">
        <w:drawing>
          <wp:anchor distT="0" distB="0" distL="114300" distR="114300" simplePos="0" relativeHeight="251658251" behindDoc="0" locked="0" layoutInCell="1" allowOverlap="1" wp14:anchorId="36ABB7A9" wp14:editId="74B1B21F">
            <wp:simplePos x="0" y="0"/>
            <wp:positionH relativeFrom="column">
              <wp:posOffset>-347345</wp:posOffset>
            </wp:positionH>
            <wp:positionV relativeFrom="paragraph">
              <wp:posOffset>7574915</wp:posOffset>
            </wp:positionV>
            <wp:extent cx="1460500" cy="1496695"/>
            <wp:effectExtent l="0" t="0" r="0" b="1905"/>
            <wp:wrapNone/>
            <wp:docPr id="21446702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701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Pr="00CC09BC">
        <mc:AlternateContent>
          <mc:Choice Requires="wps">
            <w:drawing>
              <wp:anchor distT="0" distB="0" distL="114300" distR="114300" simplePos="0" relativeHeight="251658248" behindDoc="1" locked="0" layoutInCell="1" allowOverlap="1" wp14:anchorId="600B4665" wp14:editId="2B9889B4">
                <wp:simplePos x="171450" y="400050"/>
                <wp:positionH relativeFrom="page">
                  <wp:align>left</wp:align>
                </wp:positionH>
                <wp:positionV relativeFrom="page">
                  <wp:align>top</wp:align>
                </wp:positionV>
                <wp:extent cx="7560000" cy="10692000"/>
                <wp:effectExtent l="0" t="0" r="0" b="1905"/>
                <wp:wrapNone/>
                <wp:docPr id="1743437441" name="Rectangle 17434374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D47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768CB90">
              <v:rect id="Rectangle 1743437441" style="position:absolute;margin-left:0;margin-top:0;width:595.3pt;height:841.9pt;z-index:-251658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d4794" stroked="f" strokeweight="2pt" w14:anchorId="0EAA8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">
                <w10:wrap anchorx="page" anchory="page"/>
              </v:rect>
            </w:pict>
          </mc:Fallback>
        </mc:AlternateContent>
      </w:r>
      <w:r>
        <w:t xml:space="preserve">Chapter </w:t>
      </w:r>
      <w:r w:rsidR="001D2C43">
        <w:t>3</w:t>
      </w:r>
    </w:p>
    <w:p w14:paraId="4A5A1834" w14:textId="07DF497A" w:rsidR="00D77F08" w:rsidRPr="00CA5C9D" w:rsidRDefault="006331CE" w:rsidP="00CA5C9D">
      <w:pPr>
        <w:pStyle w:val="SectionTitle"/>
      </w:pPr>
      <w:r w:rsidRPr="00CA5C9D">
        <w:rPr>
          <w:noProof/>
        </w:rPr>
        <w:drawing>
          <wp:anchor distT="0" distB="0" distL="114300" distR="114300" simplePos="0" relativeHeight="251658249" behindDoc="0" locked="0" layoutInCell="1" allowOverlap="1" wp14:anchorId="21F2778A" wp14:editId="57E2F944">
            <wp:simplePos x="0" y="0"/>
            <wp:positionH relativeFrom="page">
              <wp:posOffset>2908935</wp:posOffset>
            </wp:positionH>
            <wp:positionV relativeFrom="page">
              <wp:posOffset>8763000</wp:posOffset>
            </wp:positionV>
            <wp:extent cx="4642485" cy="1925955"/>
            <wp:effectExtent l="0" t="0" r="5715" b="0"/>
            <wp:wrapNone/>
            <wp:docPr id="1666694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8185" name="Picture 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58F" w:rsidRPr="00CA5C9D">
        <w:t>Registered providers, workers and responsible persons</w:t>
      </w:r>
      <w:r w:rsidR="00D77F08" w:rsidRPr="00CA5C9D">
        <w:br w:type="page"/>
      </w:r>
    </w:p>
    <w:p w14:paraId="3DD601DE" w14:textId="6B36BB9A" w:rsidR="00ED244E" w:rsidRPr="00D15F3A" w:rsidRDefault="00ED244E" w:rsidP="00D15F3A">
      <w:pPr>
        <w:pStyle w:val="Heading1"/>
      </w:pPr>
      <w:bookmarkStart w:id="41" w:name="_Toc212713651"/>
      <w:bookmarkStart w:id="42" w:name="_Toc225416224"/>
      <w:r w:rsidRPr="00D15F3A">
        <w:t xml:space="preserve">Chapter 3 </w:t>
      </w:r>
      <w:r w:rsidR="00515F64" w:rsidRPr="00D15F3A">
        <w:t xml:space="preserve">– </w:t>
      </w:r>
      <w:r w:rsidRPr="00D15F3A">
        <w:t>Registered providers, workers and responsible persons</w:t>
      </w:r>
      <w:bookmarkEnd w:id="41"/>
      <w:bookmarkEnd w:id="42"/>
    </w:p>
    <w:p w14:paraId="561265D5" w14:textId="77777777" w:rsidR="00ED244E" w:rsidRDefault="00ED244E" w:rsidP="00ED244E">
      <w:pPr>
        <w:pStyle w:val="Heading2"/>
      </w:pPr>
      <w:bookmarkStart w:id="43" w:name="_Toc212713652"/>
      <w:bookmarkStart w:id="44" w:name="_Toc225416225"/>
      <w:r>
        <w:t>Registered providers</w:t>
      </w:r>
      <w:bookmarkEnd w:id="43"/>
      <w:bookmarkEnd w:id="44"/>
    </w:p>
    <w:p w14:paraId="1AD98176" w14:textId="77777777" w:rsidR="00ED244E" w:rsidRPr="00084B1B" w:rsidRDefault="00ED244E" w:rsidP="00ED244E">
      <w:pPr>
        <w:pStyle w:val="Heading3"/>
      </w:pPr>
      <w:r>
        <w:t>Provider registration</w:t>
      </w:r>
    </w:p>
    <w:p w14:paraId="2548409E" w14:textId="77777777" w:rsidR="00ED244E" w:rsidRPr="00084B1B" w:rsidRDefault="00ED244E" w:rsidP="00ED244E">
      <w:r w:rsidRPr="00084B1B">
        <w:t xml:space="preserve">Under the Act, all providers intending to deliver Commonwealth funded aged care services need to be registered by the </w:t>
      </w:r>
      <w:r>
        <w:t xml:space="preserve">Aged Care Quality and Safety </w:t>
      </w:r>
      <w:r w:rsidRPr="00084B1B">
        <w:t>Commission</w:t>
      </w:r>
      <w:r>
        <w:t xml:space="preserve"> (the Commission)</w:t>
      </w:r>
      <w:r w:rsidRPr="00084B1B">
        <w:t xml:space="preserve">. This includes NATSIFACP providers. </w:t>
      </w:r>
    </w:p>
    <w:p w14:paraId="5FE3C271" w14:textId="77777777" w:rsidR="00ED244E" w:rsidRPr="00084B1B" w:rsidRDefault="00ED244E" w:rsidP="00ED244E">
      <w:r w:rsidRPr="00084B1B">
        <w:t>Registered providers are entities that deliver aged care services to older people in their own home, in community settings or to older people who can no longer live at home.</w:t>
      </w:r>
    </w:p>
    <w:p w14:paraId="3FA7491C" w14:textId="77777777" w:rsidR="00ED244E" w:rsidRPr="00084B1B" w:rsidRDefault="00ED244E" w:rsidP="00ED244E">
      <w:r w:rsidRPr="00084B1B">
        <w:t xml:space="preserve">Providers of Commonwealth funded aged care services (including NATSIFACP providers) must be registered at the provider level, under one or more of six registration categories. </w:t>
      </w:r>
    </w:p>
    <w:p w14:paraId="0FAC8BC5" w14:textId="77777777" w:rsidR="00ED244E" w:rsidRPr="00084B1B" w:rsidRDefault="00ED244E" w:rsidP="00ED244E">
      <w:r w:rsidRPr="00084B1B">
        <w:t>Registration categories group together service types of similar complexity and risk. Service types are grouped this way to facilitate the management of rules and responsibilities for providers delivering the same types of service.</w:t>
      </w:r>
    </w:p>
    <w:p w14:paraId="697ABAD0" w14:textId="77777777" w:rsidR="00ED244E" w:rsidRPr="00084B1B" w:rsidRDefault="00ED244E" w:rsidP="00ED244E">
      <w:r w:rsidRPr="00084B1B">
        <w:t>Universal provider registration under the new regulatory model means that providers only need a single registration to deliver services across all aged care programs, such as home care and residential care. Providers that deliver multiple programs only need to register once, in multiple registration categories to cover all the services they offer.</w:t>
      </w:r>
    </w:p>
    <w:p w14:paraId="245DAAE3" w14:textId="77777777" w:rsidR="00ED244E" w:rsidRPr="00084B1B" w:rsidRDefault="00ED244E" w:rsidP="00ED244E">
      <w:pPr>
        <w:pStyle w:val="Heading4"/>
      </w:pPr>
      <w:r w:rsidRPr="00084B1B">
        <w:t xml:space="preserve">Registration for NATSIFACP providers </w:t>
      </w:r>
    </w:p>
    <w:p w14:paraId="38717A77" w14:textId="77777777" w:rsidR="00ED244E" w:rsidRPr="00084B1B" w:rsidRDefault="00ED244E" w:rsidP="00ED244E">
      <w:r w:rsidRPr="00084B1B">
        <w:t xml:space="preserve">NATSIFACP providers that had a grant funding agreement in place </w:t>
      </w:r>
      <w:proofErr w:type="gramStart"/>
      <w:r w:rsidRPr="00084B1B">
        <w:t>at</w:t>
      </w:r>
      <w:proofErr w:type="gramEnd"/>
      <w:r w:rsidRPr="00084B1B">
        <w:t xml:space="preserve"> 1 November 2025 were automatically </w:t>
      </w:r>
      <w:r>
        <w:t xml:space="preserve">deemed as </w:t>
      </w:r>
      <w:r w:rsidRPr="00084B1B">
        <w:t xml:space="preserve">registered into:  </w:t>
      </w:r>
    </w:p>
    <w:p w14:paraId="74740351" w14:textId="77777777" w:rsidR="00ED244E" w:rsidRPr="00084B1B" w:rsidRDefault="00ED244E" w:rsidP="00D82385">
      <w:pPr>
        <w:pStyle w:val="ListBullet"/>
      </w:pPr>
      <w:r w:rsidRPr="00084B1B">
        <w:t>categories 1, 2, 3, 4 and 5 if they had places allocated to provide home care services and/or</w:t>
      </w:r>
    </w:p>
    <w:p w14:paraId="21B01D55" w14:textId="77777777" w:rsidR="00ED244E" w:rsidRPr="00084B1B" w:rsidRDefault="00ED244E" w:rsidP="00D82385">
      <w:pPr>
        <w:pStyle w:val="ListBullet"/>
      </w:pPr>
      <w:r w:rsidRPr="00084B1B">
        <w:t>category 6 if they have places allocated to provide residential services.</w:t>
      </w:r>
    </w:p>
    <w:p w14:paraId="7C6216B9" w14:textId="7DE2FE08" w:rsidR="00ED244E" w:rsidRPr="00084B1B" w:rsidRDefault="00ED244E" w:rsidP="00ED244E">
      <w:r w:rsidRPr="00084B1B">
        <w:t xml:space="preserve">After 1 November 2025, organisations seeking to become NATSIFACP providers will need to apply to the Commission for registration into the relevant categories. For more information on how to become a registered provider, please visit </w:t>
      </w:r>
      <w:hyperlink r:id="rId62" w:history="1">
        <w:r w:rsidR="003E72C5">
          <w:rPr>
            <w:rStyle w:val="Hyperlink"/>
          </w:rPr>
          <w:t>https://www.agedcarequality.gov.au/providers/provider-registration/becoming-registered-provider</w:t>
        </w:r>
      </w:hyperlink>
      <w:r w:rsidRPr="00763396">
        <w:t>.</w:t>
      </w:r>
    </w:p>
    <w:p w14:paraId="5A0EB709" w14:textId="77777777" w:rsidR="00ED244E" w:rsidRPr="00084B1B" w:rsidRDefault="00ED244E" w:rsidP="00ED244E">
      <w:pPr>
        <w:pStyle w:val="Heading4"/>
      </w:pPr>
      <w:r w:rsidRPr="00084B1B">
        <w:t>Renewal of registration</w:t>
      </w:r>
    </w:p>
    <w:p w14:paraId="0190A99E" w14:textId="77777777" w:rsidR="00ED244E" w:rsidRPr="00084B1B" w:rsidRDefault="00ED244E" w:rsidP="00ED244E">
      <w:r w:rsidRPr="00084B1B">
        <w:t xml:space="preserve">The Commission registers providers for a fixed term. The duration of each registration period is determined during the registration process; it is not the same for all providers. </w:t>
      </w:r>
    </w:p>
    <w:p w14:paraId="25C7C19B" w14:textId="77777777" w:rsidR="00ED244E" w:rsidRPr="00084B1B" w:rsidRDefault="00ED244E" w:rsidP="00ED244E">
      <w:r w:rsidRPr="00084B1B">
        <w:t>Registered providers will be invited by the Commission to renew their registration before their registration period ends. Once invited, registered providers will need to apply to the Commission to renew their registration.</w:t>
      </w:r>
    </w:p>
    <w:p w14:paraId="7B5B1B6B" w14:textId="77777777" w:rsidR="00ED244E" w:rsidRPr="00084B1B" w:rsidRDefault="00ED244E" w:rsidP="00ED244E">
      <w:r w:rsidRPr="00084B1B">
        <w:t>The Commission will consider multiple factors in their decision to renew a provider's registration, including, for example, compliance with relevant laws, previous experience and performance in delivering funded aged care services, audits against the strengthened Aged Care Quality Standards (if they apply to the provider registration category), and any non-conformance issues.</w:t>
      </w:r>
    </w:p>
    <w:p w14:paraId="7137C17B" w14:textId="08387451" w:rsidR="00ED244E" w:rsidRPr="00084B1B" w:rsidRDefault="00ED244E" w:rsidP="00ED244E">
      <w:r w:rsidRPr="00084B1B">
        <w:t>Information on renewing registration is available</w:t>
      </w:r>
      <w:r>
        <w:t xml:space="preserve"> </w:t>
      </w:r>
      <w:r w:rsidR="00627659">
        <w:t xml:space="preserve">through the Commission registration resources page at </w:t>
      </w:r>
      <w:hyperlink r:id="rId63" w:history="1">
        <w:r w:rsidR="00205F99">
          <w:rPr>
            <w:rStyle w:val="Hyperlink"/>
          </w:rPr>
          <w:t xml:space="preserve"> </w:t>
        </w:r>
        <w:r w:rsidR="00205F99" w:rsidRPr="00205F99">
          <w:rPr>
            <w:rStyle w:val="Hyperlink"/>
          </w:rPr>
          <w:t>agedcarequality.gov.au/providers/provider-registration/renew-registration</w:t>
        </w:r>
        <w:r w:rsidR="00887A8A" w:rsidRPr="00887A8A">
          <w:rPr>
            <w:rStyle w:val="Hyperlink"/>
          </w:rPr>
          <w:t>.</w:t>
        </w:r>
      </w:hyperlink>
    </w:p>
    <w:p w14:paraId="0306799C" w14:textId="77777777" w:rsidR="00ED244E" w:rsidRPr="00084B1B" w:rsidRDefault="00ED244E" w:rsidP="00ED244E">
      <w:pPr>
        <w:pStyle w:val="Heading4"/>
      </w:pPr>
      <w:r w:rsidRPr="00084B1B">
        <w:t>Approval of residential care homes</w:t>
      </w:r>
      <w:bookmarkStart w:id="45" w:name="resicarehomes"/>
      <w:bookmarkEnd w:id="45"/>
    </w:p>
    <w:p w14:paraId="2A73F4C5" w14:textId="77777777" w:rsidR="00ED244E" w:rsidRPr="00084B1B" w:rsidRDefault="00ED244E" w:rsidP="00ED244E">
      <w:r w:rsidRPr="00084B1B">
        <w:t>Residential care homes need to be approved by the Commission.</w:t>
      </w:r>
    </w:p>
    <w:p w14:paraId="3D81EBA8" w14:textId="174B1D0A" w:rsidR="00ED244E" w:rsidRPr="00084B1B" w:rsidRDefault="00ED244E" w:rsidP="00ED244E">
      <w:r w:rsidRPr="00084B1B">
        <w:t>Existing NATSIFACP residential providers that ha</w:t>
      </w:r>
      <w:r w:rsidR="00D13A8B">
        <w:t>d</w:t>
      </w:r>
      <w:r w:rsidRPr="00084B1B">
        <w:t xml:space="preserve"> a current grant funding agreement </w:t>
      </w:r>
      <w:proofErr w:type="gramStart"/>
      <w:r w:rsidRPr="00084B1B">
        <w:t>at</w:t>
      </w:r>
      <w:proofErr w:type="gramEnd"/>
      <w:r w:rsidRPr="00084B1B">
        <w:t xml:space="preserve"> 1 November 2025 </w:t>
      </w:r>
      <w:r w:rsidR="00D13A8B">
        <w:t>had</w:t>
      </w:r>
      <w:r w:rsidRPr="00084B1B">
        <w:t xml:space="preserve"> their residential care homes automatically approved so they </w:t>
      </w:r>
      <w:r w:rsidR="00D13A8B">
        <w:t xml:space="preserve">could </w:t>
      </w:r>
      <w:r w:rsidRPr="00084B1B">
        <w:t>continue to provide services after 1 November 2025.</w:t>
      </w:r>
    </w:p>
    <w:p w14:paraId="3C3A5E74" w14:textId="77777777" w:rsidR="00ED244E" w:rsidRPr="00084B1B" w:rsidRDefault="00ED244E" w:rsidP="00ED244E">
      <w:r w:rsidRPr="00084B1B">
        <w:t>New NATSIFACP providers applying to register in the residential care category will also need to apply to have their residential care home/s approved by the Commission.</w:t>
      </w:r>
    </w:p>
    <w:p w14:paraId="26465A7D" w14:textId="77777777" w:rsidR="00ED244E" w:rsidRPr="00084B1B" w:rsidRDefault="00ED244E" w:rsidP="00ED244E">
      <w:pPr>
        <w:pStyle w:val="Heading4"/>
      </w:pPr>
      <w:r w:rsidRPr="00084B1B">
        <w:t>Service delivery branches</w:t>
      </w:r>
    </w:p>
    <w:p w14:paraId="740A38C9" w14:textId="77777777" w:rsidR="00ED244E" w:rsidRPr="0009798F" w:rsidRDefault="00ED244E" w:rsidP="00ED244E">
      <w:r w:rsidRPr="00084B1B">
        <w:t xml:space="preserve">A service delivery branch is the site or place of business from which NATSIFACP providers will deliver funded aged care services. Each branch is part of the provider’s overall organisation </w:t>
      </w:r>
      <w:r w:rsidRPr="0009798F">
        <w:t xml:space="preserve">and registration but is recognised separately for regulatory and operational purposes. </w:t>
      </w:r>
    </w:p>
    <w:p w14:paraId="47316CE2" w14:textId="77777777" w:rsidR="00ED244E" w:rsidRPr="00084B1B" w:rsidRDefault="00ED244E" w:rsidP="00ED244E">
      <w:r w:rsidRPr="0009798F">
        <w:t>Providers must notify the department of any new, changed, merging or closing service delivery branches, or a decision not to open, merge or close a branch. Rules 166-910 to 166-930 of the Aged Care Rules 2025 outline the required timeframes for notifying the department of these occurrences. All notifications must be retained by the provider for 7 years.</w:t>
      </w:r>
      <w:r w:rsidRPr="00084B1B">
        <w:t xml:space="preserve"> </w:t>
      </w:r>
    </w:p>
    <w:p w14:paraId="7EDD83E2" w14:textId="77777777" w:rsidR="0080396B" w:rsidRPr="00A51B4F" w:rsidRDefault="0080396B" w:rsidP="00A51B4F">
      <w:r w:rsidRPr="00A51B4F">
        <w:br w:type="page"/>
      </w:r>
    </w:p>
    <w:p w14:paraId="4E2AE94D" w14:textId="7DCB648D" w:rsidR="00ED244E" w:rsidRDefault="00ED244E" w:rsidP="00ED244E">
      <w:pPr>
        <w:pStyle w:val="Heading3"/>
      </w:pPr>
      <w:r>
        <w:t xml:space="preserve">Services delivered </w:t>
      </w:r>
    </w:p>
    <w:p w14:paraId="5F450896" w14:textId="77777777" w:rsidR="00ED244E" w:rsidRPr="00084B1B" w:rsidRDefault="00ED244E" w:rsidP="00ED244E">
      <w:pPr>
        <w:pStyle w:val="Heading4"/>
      </w:pPr>
      <w:r>
        <w:t>Provider r</w:t>
      </w:r>
      <w:r w:rsidRPr="00084B1B">
        <w:t>egistration categories</w:t>
      </w:r>
      <w:r>
        <w:t xml:space="preserve">, service groups and types  </w:t>
      </w:r>
    </w:p>
    <w:p w14:paraId="7667459F" w14:textId="77777777" w:rsidR="00ED244E" w:rsidRDefault="00ED244E" w:rsidP="00ED244E">
      <w:r w:rsidRPr="00006297">
        <w:t>Under the Act, Commonwealth funded aged care services are grouped as follows:</w:t>
      </w:r>
    </w:p>
    <w:p w14:paraId="72E6CA83" w14:textId="77777777" w:rsidR="00ED244E" w:rsidRDefault="00ED244E" w:rsidP="00D82385">
      <w:pPr>
        <w:pStyle w:val="ListBullet"/>
      </w:pPr>
      <w:r w:rsidRPr="00E56982">
        <w:t>service group</w:t>
      </w:r>
      <w:r>
        <w:t xml:space="preserve"> – the </w:t>
      </w:r>
      <w:r w:rsidRPr="00356E53">
        <w:t>overarching categories under which aged care services are grouped. The service groups are</w:t>
      </w:r>
      <w:r>
        <w:t xml:space="preserve"> home support, assistive technology, home modifications and residential care</w:t>
      </w:r>
    </w:p>
    <w:p w14:paraId="1AF3F735" w14:textId="77777777" w:rsidR="00ED244E" w:rsidRDefault="00ED244E" w:rsidP="00D82385">
      <w:pPr>
        <w:pStyle w:val="ListBullet"/>
      </w:pPr>
      <w:r w:rsidRPr="00E56982">
        <w:t>service type</w:t>
      </w:r>
      <w:r>
        <w:t xml:space="preserve"> – sub-categories under each service group</w:t>
      </w:r>
    </w:p>
    <w:p w14:paraId="1C5F6A39" w14:textId="77777777" w:rsidR="00ED244E" w:rsidRDefault="00ED244E" w:rsidP="00D82385">
      <w:pPr>
        <w:pStyle w:val="ListBullet"/>
      </w:pPr>
      <w:r w:rsidRPr="00E56982">
        <w:t>services</w:t>
      </w:r>
      <w:r>
        <w:t xml:space="preserve"> – the specific </w:t>
      </w:r>
      <w:r w:rsidRPr="00356E53">
        <w:t>aged care services that can be delivered under each service type.</w:t>
      </w:r>
    </w:p>
    <w:p w14:paraId="3714271F" w14:textId="21187569" w:rsidR="0073021C" w:rsidRPr="00B447E9" w:rsidRDefault="00ED244E" w:rsidP="00006297">
      <w:pPr>
        <w:rPr>
          <w:color w:val="auto"/>
          <w:lang w:eastAsia="en-AU"/>
        </w:rPr>
      </w:pPr>
      <w:r w:rsidRPr="53725C7D">
        <w:t xml:space="preserve">The following table outlines the service types under each service group, and which category of registered provider can deliver these service types. </w:t>
      </w:r>
      <w:r w:rsidR="00436F3F">
        <w:t>T</w:t>
      </w:r>
      <w:r w:rsidR="00436F3F" w:rsidRPr="53725C7D">
        <w:t xml:space="preserve">he </w:t>
      </w:r>
      <w:r w:rsidRPr="53725C7D">
        <w:t>specific services that can be delivered under these service types, and a description of these services</w:t>
      </w:r>
      <w:r>
        <w:t xml:space="preserve"> can be found in the</w:t>
      </w:r>
      <w:r w:rsidR="00FF2C54">
        <w:t xml:space="preserve"> </w:t>
      </w:r>
      <w:hyperlink r:id="rId64" w:history="1">
        <w:r w:rsidR="00FF2C54">
          <w:rPr>
            <w:rStyle w:val="Hyperlink"/>
          </w:rPr>
          <w:t>Residential Care Service List</w:t>
        </w:r>
      </w:hyperlink>
      <w:r w:rsidR="00FF2C54">
        <w:t xml:space="preserve"> and the </w:t>
      </w:r>
      <w:r>
        <w:t xml:space="preserve"> </w:t>
      </w:r>
      <w:hyperlink r:id="rId65" w:history="1">
        <w:r>
          <w:rPr>
            <w:rStyle w:val="Hyperlink"/>
          </w:rPr>
          <w:t>Home Care Service List</w:t>
        </w:r>
      </w:hyperlink>
      <w:r>
        <w:t xml:space="preserve"> </w:t>
      </w:r>
      <w:r w:rsidR="00CF6D27">
        <w:t xml:space="preserve"> (</w:t>
      </w:r>
      <w:r w:rsidR="00436F3F">
        <w:t>NATSIFACP providers use</w:t>
      </w:r>
      <w:r w:rsidR="00CF6D27">
        <w:t xml:space="preserve"> the same </w:t>
      </w:r>
      <w:r w:rsidR="00436F3F">
        <w:t xml:space="preserve">list </w:t>
      </w:r>
      <w:r w:rsidR="00CF6D27">
        <w:t xml:space="preserve">as the Support at Home </w:t>
      </w:r>
      <w:r w:rsidR="00436F3F">
        <w:t>providers</w:t>
      </w:r>
      <w:r w:rsidR="00CF6D27">
        <w:t>)</w:t>
      </w:r>
      <w:r w:rsidR="00FF2C54">
        <w:t>.</w:t>
      </w:r>
      <w:r w:rsidR="00CF6D27">
        <w:t xml:space="preserve"> </w:t>
      </w:r>
    </w:p>
    <w:tbl>
      <w:tblPr>
        <w:tblStyle w:val="DepartmentofHealthtable"/>
        <w:tblpPr w:leftFromText="180" w:rightFromText="180" w:vertAnchor="text" w:tblpY="1"/>
        <w:tblOverlap w:val="never"/>
        <w:tblW w:w="5000" w:type="pct"/>
        <w:tblLook w:val="0420" w:firstRow="1" w:lastRow="0" w:firstColumn="0" w:lastColumn="0" w:noHBand="0" w:noVBand="1"/>
      </w:tblPr>
      <w:tblGrid>
        <w:gridCol w:w="2410"/>
        <w:gridCol w:w="1985"/>
        <w:gridCol w:w="4675"/>
      </w:tblGrid>
      <w:tr w:rsidR="000E51EC" w:rsidRPr="00A35762" w14:paraId="4F50A2F0" w14:textId="3D82A275" w:rsidTr="00064E66">
        <w:trPr>
          <w:cnfStyle w:val="100000000000" w:firstRow="1" w:lastRow="0" w:firstColumn="0" w:lastColumn="0" w:oddVBand="0" w:evenVBand="0" w:oddHBand="0" w:evenHBand="0" w:firstRowFirstColumn="0" w:firstRowLastColumn="0" w:lastRowFirstColumn="0" w:lastRowLastColumn="0"/>
          <w:cantSplit/>
          <w:tblHeader/>
        </w:trPr>
        <w:tc>
          <w:tcPr>
            <w:tcW w:w="1329" w:type="pct"/>
            <w:shd w:val="clear" w:color="auto" w:fill="1D4794"/>
          </w:tcPr>
          <w:p w14:paraId="227269CE" w14:textId="40A959AF" w:rsidR="000E51EC" w:rsidRPr="00CA5C9D" w:rsidRDefault="000E51EC" w:rsidP="00CA5C9D">
            <w:pPr>
              <w:pStyle w:val="TableHeaderWhite"/>
            </w:pPr>
            <w:r w:rsidRPr="00CA5C9D">
              <w:t>Provider registration category</w:t>
            </w:r>
          </w:p>
        </w:tc>
        <w:tc>
          <w:tcPr>
            <w:tcW w:w="1094" w:type="pct"/>
            <w:shd w:val="clear" w:color="auto" w:fill="1D4794"/>
          </w:tcPr>
          <w:p w14:paraId="1A51CDCB" w14:textId="4E6B3359" w:rsidR="000E51EC" w:rsidRPr="00CA5C9D" w:rsidRDefault="000E51EC" w:rsidP="00CA5C9D">
            <w:pPr>
              <w:pStyle w:val="TableHeaderWhite"/>
            </w:pPr>
            <w:r w:rsidRPr="00CA5C9D">
              <w:t>Service group</w:t>
            </w:r>
          </w:p>
        </w:tc>
        <w:tc>
          <w:tcPr>
            <w:tcW w:w="2577" w:type="pct"/>
            <w:shd w:val="clear" w:color="auto" w:fill="1D4794"/>
          </w:tcPr>
          <w:p w14:paraId="579F3BE4" w14:textId="61D48CB3" w:rsidR="000E51EC" w:rsidRPr="00CA5C9D" w:rsidRDefault="000E51EC" w:rsidP="00CA5C9D">
            <w:pPr>
              <w:pStyle w:val="TableHeaderWhite"/>
            </w:pPr>
            <w:r w:rsidRPr="00CA5C9D">
              <w:t>Service types</w:t>
            </w:r>
          </w:p>
        </w:tc>
      </w:tr>
      <w:tr w:rsidR="009D6AF2" w14:paraId="7C4D629F" w14:textId="77777777" w:rsidTr="00064E66">
        <w:trPr>
          <w:cantSplit/>
        </w:trPr>
        <w:tc>
          <w:tcPr>
            <w:tcW w:w="1329" w:type="pct"/>
            <w:vAlign w:val="top"/>
          </w:tcPr>
          <w:p w14:paraId="3B41FF3B" w14:textId="77777777" w:rsidR="009D6AF2" w:rsidRPr="00600F20" w:rsidRDefault="009D6AF2" w:rsidP="000A1DEB">
            <w:pPr>
              <w:pStyle w:val="Tabletext"/>
            </w:pPr>
            <w:r w:rsidRPr="00600F20">
              <w:t>Category 1</w:t>
            </w:r>
          </w:p>
          <w:p w14:paraId="58058418" w14:textId="6DE95EFC" w:rsidR="009D6AF2" w:rsidRPr="00084B1B" w:rsidRDefault="009D6AF2" w:rsidP="000A1DEB">
            <w:pPr>
              <w:pStyle w:val="Tabletext"/>
            </w:pPr>
            <w:r>
              <w:t>Home and community services</w:t>
            </w:r>
          </w:p>
        </w:tc>
        <w:tc>
          <w:tcPr>
            <w:tcW w:w="1094" w:type="pct"/>
            <w:vAlign w:val="top"/>
          </w:tcPr>
          <w:p w14:paraId="66A97132" w14:textId="2CEDE09C" w:rsidR="009D6AF2" w:rsidRPr="004979CD" w:rsidRDefault="009D6AF2" w:rsidP="000A1DEB">
            <w:pPr>
              <w:pStyle w:val="Tabletext"/>
            </w:pPr>
            <w:r w:rsidRPr="005F683A">
              <w:t>Home support</w:t>
            </w:r>
          </w:p>
        </w:tc>
        <w:tc>
          <w:tcPr>
            <w:tcW w:w="2577" w:type="pct"/>
            <w:vAlign w:val="top"/>
          </w:tcPr>
          <w:p w14:paraId="3CCE8C46" w14:textId="77777777" w:rsidR="009D6AF2" w:rsidRPr="005F683A" w:rsidRDefault="009D6AF2" w:rsidP="000A1DEB">
            <w:pPr>
              <w:pStyle w:val="Tabletext"/>
              <w:numPr>
                <w:ilvl w:val="0"/>
                <w:numId w:val="17"/>
              </w:numPr>
              <w:rPr>
                <w:b/>
              </w:rPr>
            </w:pPr>
            <w:r w:rsidRPr="005F683A">
              <w:t>Domestic assistance</w:t>
            </w:r>
          </w:p>
          <w:p w14:paraId="5AE83DD5" w14:textId="77777777" w:rsidR="009D6AF2" w:rsidRPr="005F683A" w:rsidRDefault="009D6AF2" w:rsidP="000A1DEB">
            <w:pPr>
              <w:pStyle w:val="Tabletext"/>
              <w:numPr>
                <w:ilvl w:val="0"/>
                <w:numId w:val="17"/>
              </w:numPr>
              <w:rPr>
                <w:b/>
              </w:rPr>
            </w:pPr>
            <w:r w:rsidRPr="005F683A">
              <w:t>Home maintenance and repairs</w:t>
            </w:r>
          </w:p>
          <w:p w14:paraId="2EF95B96" w14:textId="77777777" w:rsidR="009D6AF2" w:rsidRPr="009D6AF2" w:rsidRDefault="009D6AF2" w:rsidP="000A1DEB">
            <w:pPr>
              <w:pStyle w:val="Tabletext"/>
              <w:numPr>
                <w:ilvl w:val="0"/>
                <w:numId w:val="17"/>
              </w:numPr>
              <w:rPr>
                <w:b/>
              </w:rPr>
            </w:pPr>
            <w:r w:rsidRPr="005F683A">
              <w:t>Meals</w:t>
            </w:r>
          </w:p>
          <w:p w14:paraId="0D687B43" w14:textId="23DB4BD8" w:rsidR="009D6AF2" w:rsidRPr="009D6AF2" w:rsidRDefault="009D6AF2" w:rsidP="000A1DEB">
            <w:pPr>
              <w:pStyle w:val="Tabletext"/>
              <w:numPr>
                <w:ilvl w:val="0"/>
                <w:numId w:val="17"/>
              </w:numPr>
              <w:rPr>
                <w:b/>
              </w:rPr>
            </w:pPr>
            <w:r w:rsidRPr="005F683A">
              <w:t>Transport</w:t>
            </w:r>
          </w:p>
        </w:tc>
      </w:tr>
      <w:tr w:rsidR="009D6AF2" w14:paraId="5BA01D65" w14:textId="3C2C481A" w:rsidTr="00064E66">
        <w:trPr>
          <w:cantSplit/>
        </w:trPr>
        <w:tc>
          <w:tcPr>
            <w:tcW w:w="1329" w:type="pct"/>
            <w:vAlign w:val="top"/>
          </w:tcPr>
          <w:p w14:paraId="6E3D8C21" w14:textId="77777777" w:rsidR="009D6AF2" w:rsidRPr="00600F20" w:rsidRDefault="009D6AF2" w:rsidP="000A1DEB">
            <w:pPr>
              <w:pStyle w:val="Tabletext"/>
            </w:pPr>
            <w:r w:rsidRPr="00600F20">
              <w:t>Category 2</w:t>
            </w:r>
          </w:p>
          <w:p w14:paraId="6387A1E2" w14:textId="4A35D190" w:rsidR="009D6AF2" w:rsidRPr="00006676" w:rsidRDefault="009D6AF2" w:rsidP="000A1DEB">
            <w:pPr>
              <w:pStyle w:val="Tabletext"/>
            </w:pPr>
            <w:r w:rsidRPr="005F683A">
              <w:t>Assistive technology and home modifications</w:t>
            </w:r>
          </w:p>
        </w:tc>
        <w:tc>
          <w:tcPr>
            <w:tcW w:w="1094" w:type="pct"/>
            <w:vAlign w:val="top"/>
          </w:tcPr>
          <w:p w14:paraId="7DD7D1FF" w14:textId="013D3B6E" w:rsidR="009D6AF2" w:rsidRDefault="009D6AF2" w:rsidP="000A1DEB">
            <w:pPr>
              <w:pStyle w:val="Tabletext"/>
            </w:pPr>
            <w:r w:rsidRPr="005F683A">
              <w:t>Assistive technology</w:t>
            </w:r>
          </w:p>
        </w:tc>
        <w:tc>
          <w:tcPr>
            <w:tcW w:w="2577" w:type="pct"/>
            <w:vAlign w:val="top"/>
          </w:tcPr>
          <w:p w14:paraId="77D4350F" w14:textId="77777777" w:rsidR="00064E66" w:rsidRPr="00C23013" w:rsidRDefault="009D6AF2" w:rsidP="000A1DEB">
            <w:pPr>
              <w:pStyle w:val="Tabletext"/>
              <w:numPr>
                <w:ilvl w:val="0"/>
                <w:numId w:val="17"/>
              </w:numPr>
            </w:pPr>
            <w:r w:rsidRPr="005F683A">
              <w:t>Equipment and products</w:t>
            </w:r>
          </w:p>
          <w:p w14:paraId="09D6EE55" w14:textId="5B8E2953" w:rsidR="009D6AF2" w:rsidRPr="00C23013" w:rsidRDefault="009D6AF2" w:rsidP="000A1DEB">
            <w:pPr>
              <w:pStyle w:val="Tabletext"/>
              <w:numPr>
                <w:ilvl w:val="0"/>
                <w:numId w:val="17"/>
              </w:numPr>
            </w:pPr>
            <w:r w:rsidRPr="005F683A">
              <w:t>Home adjustments</w:t>
            </w:r>
          </w:p>
        </w:tc>
      </w:tr>
      <w:tr w:rsidR="009D6AF2" w:rsidRPr="00006676" w14:paraId="342108B2" w14:textId="2F413B16" w:rsidTr="00064E66">
        <w:trPr>
          <w:cantSplit/>
        </w:trPr>
        <w:tc>
          <w:tcPr>
            <w:tcW w:w="1329" w:type="pct"/>
            <w:vAlign w:val="top"/>
          </w:tcPr>
          <w:p w14:paraId="726FFE3D" w14:textId="77777777" w:rsidR="009D6AF2" w:rsidRPr="00600F20" w:rsidRDefault="009D6AF2" w:rsidP="000A1DEB">
            <w:pPr>
              <w:pStyle w:val="Tabletext"/>
            </w:pPr>
            <w:r w:rsidRPr="00600F20">
              <w:t>Category 3</w:t>
            </w:r>
          </w:p>
          <w:p w14:paraId="28948BFA" w14:textId="4D7969FD" w:rsidR="009D6AF2" w:rsidRDefault="009D6AF2" w:rsidP="000A1DEB">
            <w:pPr>
              <w:pStyle w:val="Tabletext"/>
            </w:pPr>
            <w:r w:rsidRPr="005F683A">
              <w:t>Advisory and support services</w:t>
            </w:r>
          </w:p>
        </w:tc>
        <w:tc>
          <w:tcPr>
            <w:tcW w:w="1094" w:type="pct"/>
            <w:vAlign w:val="top"/>
          </w:tcPr>
          <w:p w14:paraId="2D265F41" w14:textId="52B8672E" w:rsidR="009D6AF2" w:rsidRPr="00006676" w:rsidRDefault="009D6AF2" w:rsidP="000A1DEB">
            <w:pPr>
              <w:pStyle w:val="Tabletext"/>
            </w:pPr>
            <w:r w:rsidRPr="005F683A">
              <w:t>Home support</w:t>
            </w:r>
          </w:p>
        </w:tc>
        <w:tc>
          <w:tcPr>
            <w:tcW w:w="2577" w:type="pct"/>
            <w:vAlign w:val="top"/>
          </w:tcPr>
          <w:p w14:paraId="4AF8750B" w14:textId="77777777" w:rsidR="00064E66" w:rsidRPr="00C23013" w:rsidRDefault="009D6AF2" w:rsidP="000A1DEB">
            <w:pPr>
              <w:pStyle w:val="Tabletext"/>
              <w:numPr>
                <w:ilvl w:val="0"/>
                <w:numId w:val="17"/>
              </w:numPr>
            </w:pPr>
            <w:r w:rsidRPr="005F683A">
              <w:t>Hoarding and squalor assistance</w:t>
            </w:r>
          </w:p>
          <w:p w14:paraId="748494FA" w14:textId="5FD6B55C" w:rsidR="009D6AF2" w:rsidRPr="00064E66" w:rsidRDefault="009D6AF2" w:rsidP="000A1DEB">
            <w:pPr>
              <w:pStyle w:val="Tabletext"/>
              <w:numPr>
                <w:ilvl w:val="0"/>
                <w:numId w:val="17"/>
              </w:numPr>
              <w:rPr>
                <w:b/>
              </w:rPr>
            </w:pPr>
            <w:r w:rsidRPr="005F683A">
              <w:t>Social support and community engagement</w:t>
            </w:r>
          </w:p>
        </w:tc>
      </w:tr>
      <w:tr w:rsidR="009D6AF2" w:rsidRPr="00006676" w14:paraId="224F756C" w14:textId="77777777" w:rsidTr="00064E66">
        <w:trPr>
          <w:cantSplit/>
        </w:trPr>
        <w:tc>
          <w:tcPr>
            <w:tcW w:w="1329" w:type="pct"/>
            <w:vAlign w:val="top"/>
          </w:tcPr>
          <w:p w14:paraId="5D587F95" w14:textId="77777777" w:rsidR="009D6AF2" w:rsidRPr="00600F20" w:rsidRDefault="009D6AF2" w:rsidP="000A1DEB">
            <w:pPr>
              <w:pStyle w:val="Tabletext"/>
            </w:pPr>
            <w:r w:rsidRPr="00600F20">
              <w:t>Category 4</w:t>
            </w:r>
          </w:p>
          <w:p w14:paraId="72C8FDD7" w14:textId="27235EAF" w:rsidR="009D6AF2" w:rsidRPr="00600F20" w:rsidRDefault="009D6AF2" w:rsidP="000A1DEB">
            <w:pPr>
              <w:pStyle w:val="Tabletext"/>
            </w:pPr>
            <w:r w:rsidRPr="005F683A">
              <w:t>Personal care and care support in the home or community (including respite)</w:t>
            </w:r>
          </w:p>
        </w:tc>
        <w:tc>
          <w:tcPr>
            <w:tcW w:w="1094" w:type="pct"/>
            <w:vAlign w:val="top"/>
          </w:tcPr>
          <w:p w14:paraId="23BF292D" w14:textId="12F4141A" w:rsidR="009D6AF2" w:rsidRPr="005F683A" w:rsidRDefault="009D6AF2" w:rsidP="000A1DEB">
            <w:pPr>
              <w:pStyle w:val="Tabletext"/>
            </w:pPr>
            <w:r w:rsidRPr="005F683A">
              <w:t>Home support</w:t>
            </w:r>
          </w:p>
        </w:tc>
        <w:tc>
          <w:tcPr>
            <w:tcW w:w="2577" w:type="pct"/>
            <w:vAlign w:val="top"/>
          </w:tcPr>
          <w:p w14:paraId="38B3E996" w14:textId="77777777" w:rsidR="009D6AF2" w:rsidRPr="00C23013" w:rsidRDefault="009D6AF2" w:rsidP="000A1DEB">
            <w:pPr>
              <w:pStyle w:val="Tabletext"/>
              <w:numPr>
                <w:ilvl w:val="0"/>
                <w:numId w:val="17"/>
              </w:numPr>
            </w:pPr>
            <w:r w:rsidRPr="005F683A">
              <w:t>Allied health and other therapy</w:t>
            </w:r>
          </w:p>
          <w:p w14:paraId="6914E58C" w14:textId="77777777" w:rsidR="009D6AF2" w:rsidRPr="00C23013" w:rsidRDefault="009D6AF2" w:rsidP="000A1DEB">
            <w:pPr>
              <w:pStyle w:val="Tabletext"/>
              <w:numPr>
                <w:ilvl w:val="0"/>
                <w:numId w:val="17"/>
              </w:numPr>
            </w:pPr>
            <w:r w:rsidRPr="005F683A">
              <w:t>Personal care</w:t>
            </w:r>
          </w:p>
          <w:p w14:paraId="61B725B1" w14:textId="77777777" w:rsidR="009D6AF2" w:rsidRPr="00C23013" w:rsidRDefault="009D6AF2" w:rsidP="000A1DEB">
            <w:pPr>
              <w:pStyle w:val="Tabletext"/>
              <w:numPr>
                <w:ilvl w:val="0"/>
                <w:numId w:val="17"/>
              </w:numPr>
            </w:pPr>
            <w:r w:rsidRPr="005F683A">
              <w:t>Nutrition</w:t>
            </w:r>
          </w:p>
          <w:p w14:paraId="4A2DDE7A" w14:textId="77777777" w:rsidR="009D6AF2" w:rsidRPr="00C23013" w:rsidRDefault="009D6AF2" w:rsidP="000A1DEB">
            <w:pPr>
              <w:pStyle w:val="Tabletext"/>
              <w:numPr>
                <w:ilvl w:val="0"/>
                <w:numId w:val="17"/>
              </w:numPr>
            </w:pPr>
            <w:r w:rsidRPr="005F683A">
              <w:t>Therapeutic services for independent living</w:t>
            </w:r>
          </w:p>
          <w:p w14:paraId="5CBCCCBB" w14:textId="77777777" w:rsidR="009D6AF2" w:rsidRPr="00C23013" w:rsidRDefault="009D6AF2" w:rsidP="000A1DEB">
            <w:pPr>
              <w:pStyle w:val="Tabletext"/>
              <w:numPr>
                <w:ilvl w:val="0"/>
                <w:numId w:val="17"/>
              </w:numPr>
            </w:pPr>
            <w:r w:rsidRPr="005F683A">
              <w:t>Home or community general respite</w:t>
            </w:r>
          </w:p>
          <w:p w14:paraId="5206F6AD" w14:textId="77777777" w:rsidR="009D6AF2" w:rsidRPr="00C23013" w:rsidRDefault="009D6AF2" w:rsidP="000A1DEB">
            <w:pPr>
              <w:pStyle w:val="Tabletext"/>
              <w:numPr>
                <w:ilvl w:val="0"/>
                <w:numId w:val="17"/>
              </w:numPr>
            </w:pPr>
            <w:r w:rsidRPr="005F683A">
              <w:t>Community cottage respite</w:t>
            </w:r>
          </w:p>
          <w:p w14:paraId="260CEEDB" w14:textId="77777777" w:rsidR="00064E66" w:rsidRPr="00C23013" w:rsidRDefault="009D6AF2" w:rsidP="000A1DEB">
            <w:pPr>
              <w:pStyle w:val="Tabletext"/>
              <w:numPr>
                <w:ilvl w:val="0"/>
                <w:numId w:val="17"/>
              </w:numPr>
            </w:pPr>
            <w:r w:rsidRPr="005F683A">
              <w:t>Care management</w:t>
            </w:r>
          </w:p>
          <w:p w14:paraId="779B77CA" w14:textId="2CBE92A8" w:rsidR="009D6AF2" w:rsidRPr="00064E66" w:rsidRDefault="009D6AF2" w:rsidP="000A1DEB">
            <w:pPr>
              <w:pStyle w:val="Tabletext"/>
              <w:numPr>
                <w:ilvl w:val="0"/>
                <w:numId w:val="17"/>
              </w:numPr>
              <w:rPr>
                <w:b/>
              </w:rPr>
            </w:pPr>
            <w:r w:rsidRPr="005F683A">
              <w:t>Restorative care management</w:t>
            </w:r>
          </w:p>
        </w:tc>
      </w:tr>
      <w:tr w:rsidR="009D6AF2" w:rsidRPr="00006676" w14:paraId="11B9442F" w14:textId="77777777" w:rsidTr="00064E66">
        <w:trPr>
          <w:cantSplit/>
        </w:trPr>
        <w:tc>
          <w:tcPr>
            <w:tcW w:w="1329" w:type="pct"/>
            <w:vAlign w:val="top"/>
          </w:tcPr>
          <w:p w14:paraId="0B79898E" w14:textId="77777777" w:rsidR="009D6AF2" w:rsidRPr="0085144A" w:rsidRDefault="009D6AF2" w:rsidP="000A1DEB">
            <w:pPr>
              <w:pStyle w:val="Tabletext"/>
            </w:pPr>
            <w:r w:rsidRPr="0085144A">
              <w:t>Category 5</w:t>
            </w:r>
          </w:p>
          <w:p w14:paraId="42B9C448" w14:textId="509ED531" w:rsidR="009D6AF2" w:rsidRPr="00600F20" w:rsidRDefault="009D6AF2" w:rsidP="000A1DEB">
            <w:pPr>
              <w:pStyle w:val="Tabletext"/>
            </w:pPr>
            <w:r w:rsidRPr="005F683A">
              <w:t>Nursing and transition care</w:t>
            </w:r>
          </w:p>
        </w:tc>
        <w:tc>
          <w:tcPr>
            <w:tcW w:w="1094" w:type="pct"/>
            <w:vAlign w:val="top"/>
          </w:tcPr>
          <w:p w14:paraId="6BABD73E" w14:textId="78659303" w:rsidR="009D6AF2" w:rsidRPr="005F683A" w:rsidRDefault="009D6AF2" w:rsidP="000A1DEB">
            <w:pPr>
              <w:pStyle w:val="Tabletext"/>
            </w:pPr>
            <w:r w:rsidRPr="005F683A">
              <w:t>Home support</w:t>
            </w:r>
          </w:p>
        </w:tc>
        <w:tc>
          <w:tcPr>
            <w:tcW w:w="2577" w:type="pct"/>
            <w:vAlign w:val="top"/>
          </w:tcPr>
          <w:p w14:paraId="34383C38" w14:textId="77777777" w:rsidR="00064E66" w:rsidRPr="00C23013" w:rsidRDefault="009D6AF2" w:rsidP="000A1DEB">
            <w:pPr>
              <w:pStyle w:val="Tabletext"/>
              <w:numPr>
                <w:ilvl w:val="0"/>
                <w:numId w:val="17"/>
              </w:numPr>
            </w:pPr>
            <w:r w:rsidRPr="005F683A">
              <w:t>Nursing care</w:t>
            </w:r>
          </w:p>
          <w:p w14:paraId="3A6D649A" w14:textId="24CBA9A7" w:rsidR="009D6AF2" w:rsidRPr="00064E66" w:rsidRDefault="009D6AF2" w:rsidP="000A1DEB">
            <w:pPr>
              <w:pStyle w:val="Tabletext"/>
              <w:numPr>
                <w:ilvl w:val="0"/>
                <w:numId w:val="17"/>
              </w:numPr>
              <w:rPr>
                <w:b/>
              </w:rPr>
            </w:pPr>
            <w:r w:rsidRPr="005F683A">
              <w:t>Assistance with transition care</w:t>
            </w:r>
          </w:p>
        </w:tc>
      </w:tr>
      <w:tr w:rsidR="009D6AF2" w:rsidRPr="00006676" w14:paraId="0C43BA5D" w14:textId="77777777" w:rsidTr="00064E66">
        <w:trPr>
          <w:cantSplit/>
        </w:trPr>
        <w:tc>
          <w:tcPr>
            <w:tcW w:w="1329" w:type="pct"/>
            <w:vAlign w:val="top"/>
          </w:tcPr>
          <w:p w14:paraId="1D512BAC" w14:textId="77777777" w:rsidR="009D6AF2" w:rsidRPr="0085144A" w:rsidRDefault="009D6AF2" w:rsidP="000A1DEB">
            <w:pPr>
              <w:pStyle w:val="Tabletext"/>
            </w:pPr>
            <w:r w:rsidRPr="0085144A">
              <w:t>Category 6</w:t>
            </w:r>
          </w:p>
          <w:p w14:paraId="456C829B" w14:textId="4E052D91" w:rsidR="009D6AF2" w:rsidRPr="0085144A" w:rsidRDefault="009D6AF2" w:rsidP="000A1DEB">
            <w:pPr>
              <w:pStyle w:val="Tabletext"/>
            </w:pPr>
            <w:r w:rsidRPr="005F683A">
              <w:t>Residential care (including respite)</w:t>
            </w:r>
          </w:p>
        </w:tc>
        <w:tc>
          <w:tcPr>
            <w:tcW w:w="1094" w:type="pct"/>
            <w:vAlign w:val="top"/>
          </w:tcPr>
          <w:p w14:paraId="6EDB4BBF" w14:textId="37B1E37A" w:rsidR="009D6AF2" w:rsidRPr="005F683A" w:rsidRDefault="009D6AF2" w:rsidP="000A1DEB">
            <w:pPr>
              <w:pStyle w:val="Tabletext"/>
            </w:pPr>
            <w:r w:rsidRPr="005F683A">
              <w:t>Residential care</w:t>
            </w:r>
          </w:p>
        </w:tc>
        <w:tc>
          <w:tcPr>
            <w:tcW w:w="2577" w:type="pct"/>
            <w:vAlign w:val="top"/>
          </w:tcPr>
          <w:p w14:paraId="3E7083F4" w14:textId="77777777" w:rsidR="009D6AF2" w:rsidRPr="00C23013" w:rsidRDefault="009D6AF2" w:rsidP="000A1DEB">
            <w:pPr>
              <w:pStyle w:val="Tabletext"/>
              <w:numPr>
                <w:ilvl w:val="0"/>
                <w:numId w:val="17"/>
              </w:numPr>
            </w:pPr>
            <w:r w:rsidRPr="005F683A">
              <w:t>Residential accommodation</w:t>
            </w:r>
          </w:p>
          <w:p w14:paraId="7D83102A" w14:textId="77777777" w:rsidR="009D6AF2" w:rsidRPr="00C23013" w:rsidRDefault="009D6AF2" w:rsidP="000A1DEB">
            <w:pPr>
              <w:pStyle w:val="Tabletext"/>
              <w:numPr>
                <w:ilvl w:val="0"/>
                <w:numId w:val="17"/>
              </w:numPr>
            </w:pPr>
            <w:r w:rsidRPr="005F683A">
              <w:t>Residential everyday living</w:t>
            </w:r>
          </w:p>
          <w:p w14:paraId="54EC1A2B" w14:textId="77777777" w:rsidR="00064E66" w:rsidRPr="00C23013" w:rsidRDefault="009D6AF2" w:rsidP="000A1DEB">
            <w:pPr>
              <w:pStyle w:val="Tabletext"/>
              <w:numPr>
                <w:ilvl w:val="0"/>
                <w:numId w:val="17"/>
              </w:numPr>
            </w:pPr>
            <w:r w:rsidRPr="005F683A">
              <w:t>Residential services</w:t>
            </w:r>
          </w:p>
          <w:p w14:paraId="6DF5DD9D" w14:textId="062F0554" w:rsidR="009D6AF2" w:rsidRPr="00C23013" w:rsidRDefault="009D6AF2" w:rsidP="000A1DEB">
            <w:pPr>
              <w:pStyle w:val="Tabletext"/>
              <w:numPr>
                <w:ilvl w:val="0"/>
                <w:numId w:val="17"/>
              </w:numPr>
            </w:pPr>
            <w:r w:rsidRPr="005F683A">
              <w:t>Residential clinical care</w:t>
            </w:r>
          </w:p>
        </w:tc>
      </w:tr>
    </w:tbl>
    <w:p w14:paraId="644CADCF" w14:textId="031D4EB6" w:rsidR="00ED244E" w:rsidRDefault="00ED244E" w:rsidP="00ED244E">
      <w:r>
        <w:t>M</w:t>
      </w:r>
      <w:r w:rsidRPr="00084B1B">
        <w:t xml:space="preserve">ore information on </w:t>
      </w:r>
      <w:r w:rsidRPr="000B1825">
        <w:t>registration categories</w:t>
      </w:r>
      <w:r>
        <w:t xml:space="preserve"> is on</w:t>
      </w:r>
      <w:r w:rsidRPr="00084B1B">
        <w:t xml:space="preserve"> the </w:t>
      </w:r>
      <w:r w:rsidRPr="008834D0">
        <w:t>department’s website</w:t>
      </w:r>
      <w:r>
        <w:t xml:space="preserve">: </w:t>
      </w:r>
      <w:hyperlink r:id="rId66" w:history="1">
        <w:r w:rsidR="00BD1A8D">
          <w:rPr>
            <w:rStyle w:val="Hyperlink"/>
          </w:rPr>
          <w:t>https://www.health.gov.au/news/understanding-aged-care-provider-registration-categories</w:t>
        </w:r>
      </w:hyperlink>
      <w:r w:rsidR="00A13808">
        <w:t>.</w:t>
      </w:r>
    </w:p>
    <w:p w14:paraId="6CB4BBB5" w14:textId="77777777" w:rsidR="00ED244E" w:rsidRPr="00D15F3A" w:rsidRDefault="00ED244E" w:rsidP="00D15F3A">
      <w:pPr>
        <w:pStyle w:val="Heading3"/>
      </w:pPr>
      <w:bookmarkStart w:id="46" w:name="_Obligations_of_registered"/>
      <w:bookmarkEnd w:id="46"/>
      <w:r w:rsidRPr="00D15F3A">
        <w:t>Obligations of registered providers</w:t>
      </w:r>
    </w:p>
    <w:p w14:paraId="6C9202F7" w14:textId="599C9090" w:rsidR="00ED244E" w:rsidRPr="00CA5C9D" w:rsidRDefault="00ED244E" w:rsidP="00CA5C9D">
      <w:r w:rsidRPr="00CA5C9D">
        <w:t>Under the Act, all registered aged care providers must meet a set of universal conditions of registration designed to ensure safe, high-quality, and accountable care</w:t>
      </w:r>
      <w:r w:rsidR="00760C82" w:rsidRPr="00CA5C9D">
        <w:t>, including</w:t>
      </w:r>
      <w:r w:rsidRPr="00CA5C9D">
        <w:t>:    </w:t>
      </w:r>
    </w:p>
    <w:p w14:paraId="3888B372" w14:textId="05E43FBF" w:rsidR="00ED244E" w:rsidRDefault="00ED244E" w:rsidP="00D82385">
      <w:pPr>
        <w:pStyle w:val="ListBullet"/>
      </w:pPr>
      <w:r>
        <w:t xml:space="preserve">operating within the </w:t>
      </w:r>
      <w:hyperlink w:anchor="Code_of_conduct" w:history="1">
        <w:r w:rsidRPr="004F39E7">
          <w:rPr>
            <w:rStyle w:val="Hyperlink"/>
          </w:rPr>
          <w:t>Aged Care Code of Conduct</w:t>
        </w:r>
      </w:hyperlink>
    </w:p>
    <w:p w14:paraId="6F58DDAD" w14:textId="5BCDD1BF" w:rsidR="00ED244E" w:rsidRDefault="00ED244E" w:rsidP="00D82385">
      <w:pPr>
        <w:pStyle w:val="ListBullet"/>
      </w:pPr>
      <w:r>
        <w:t xml:space="preserve">adhering to the </w:t>
      </w:r>
      <w:hyperlink w:anchor="statement_rights" w:history="1">
        <w:r w:rsidRPr="004560C3">
          <w:rPr>
            <w:rStyle w:val="Hyperlink"/>
          </w:rPr>
          <w:t>Statement of Rights</w:t>
        </w:r>
      </w:hyperlink>
      <w:r w:rsidRPr="004560C3">
        <w:t xml:space="preserve"> and the </w:t>
      </w:r>
      <w:hyperlink w:anchor="statement_principles" w:history="1">
        <w:r w:rsidRPr="004560C3">
          <w:rPr>
            <w:rStyle w:val="Hyperlink"/>
          </w:rPr>
          <w:t>Statement of Principles</w:t>
        </w:r>
      </w:hyperlink>
    </w:p>
    <w:p w14:paraId="3F3D17B4" w14:textId="487DA324" w:rsidR="00ED244E" w:rsidRPr="007E7277" w:rsidRDefault="00ED244E" w:rsidP="00D82385">
      <w:pPr>
        <w:pStyle w:val="ListBullet"/>
        <w:rPr>
          <w:rStyle w:val="Hyperlink"/>
        </w:rPr>
      </w:pPr>
      <w:r>
        <w:t xml:space="preserve">meeting </w:t>
      </w:r>
      <w:r w:rsidR="007E7277">
        <w:fldChar w:fldCharType="begin"/>
      </w:r>
      <w:r w:rsidR="007E7277">
        <w:instrText>HYPERLINK  \l "_Care_planning_and"</w:instrText>
      </w:r>
      <w:r w:rsidR="007E7277">
        <w:fldChar w:fldCharType="separate"/>
      </w:r>
      <w:r w:rsidRPr="007E7277">
        <w:rPr>
          <w:rStyle w:val="Hyperlink"/>
        </w:rPr>
        <w:t>care planning and discharge obligations</w:t>
      </w:r>
    </w:p>
    <w:p w14:paraId="25C336EC" w14:textId="1743BE31" w:rsidR="00ED244E" w:rsidRDefault="007E7277" w:rsidP="00D82385">
      <w:pPr>
        <w:pStyle w:val="ListBullet"/>
      </w:pPr>
      <w:r>
        <w:fldChar w:fldCharType="end"/>
      </w:r>
      <w:r w:rsidR="00ED244E">
        <w:t xml:space="preserve">ensuring workforce and </w:t>
      </w:r>
      <w:hyperlink w:anchor="_Aged_care_screening" w:history="1">
        <w:r w:rsidR="00ED244E" w:rsidRPr="003B1464">
          <w:rPr>
            <w:rStyle w:val="Hyperlink"/>
          </w:rPr>
          <w:t>worker screening requirements</w:t>
        </w:r>
      </w:hyperlink>
      <w:r w:rsidR="00ED244E">
        <w:t xml:space="preserve"> are met</w:t>
      </w:r>
    </w:p>
    <w:p w14:paraId="4D1ED01A" w14:textId="46C18181" w:rsidR="00ED244E" w:rsidRDefault="00ED244E" w:rsidP="00D82385">
      <w:pPr>
        <w:pStyle w:val="ListBullet"/>
      </w:pPr>
      <w:r>
        <w:t xml:space="preserve">maintaining </w:t>
      </w:r>
      <w:bookmarkStart w:id="47" w:name="S14"/>
      <w:r w:rsidRPr="003B1464">
        <w:rPr>
          <w:rStyle w:val="Hyperlink"/>
        </w:rPr>
        <w:fldChar w:fldCharType="begin"/>
      </w:r>
      <w:r w:rsidR="007E7277">
        <w:rPr>
          <w:rStyle w:val="Hyperlink"/>
        </w:rPr>
        <w:instrText>HYPERLINK  \l "_Whistleblower_protections"</w:instrText>
      </w:r>
      <w:r w:rsidRPr="003B1464">
        <w:rPr>
          <w:rStyle w:val="Hyperlink"/>
        </w:rPr>
      </w:r>
      <w:r w:rsidRPr="003B1464">
        <w:rPr>
          <w:rStyle w:val="Hyperlink"/>
        </w:rPr>
        <w:fldChar w:fldCharType="separate"/>
      </w:r>
      <w:r w:rsidRPr="003B1464">
        <w:rPr>
          <w:rStyle w:val="Hyperlink"/>
        </w:rPr>
        <w:t>complaints and whistleblower mechanisms</w:t>
      </w:r>
      <w:bookmarkEnd w:id="47"/>
      <w:r w:rsidRPr="003B1464">
        <w:rPr>
          <w:rStyle w:val="Hyperlink"/>
        </w:rPr>
        <w:fldChar w:fldCharType="end"/>
      </w:r>
    </w:p>
    <w:p w14:paraId="32226384" w14:textId="408BDBE9" w:rsidR="00ED244E" w:rsidRPr="007E7277" w:rsidRDefault="007E7277" w:rsidP="00D82385">
      <w:pPr>
        <w:pStyle w:val="ListBullet"/>
        <w:rPr>
          <w:rStyle w:val="Hyperlink"/>
        </w:rPr>
      </w:pPr>
      <w:r>
        <w:fldChar w:fldCharType="begin"/>
      </w:r>
      <w:r>
        <w:instrText>HYPERLINK  \l "_Protection_of_personal"</w:instrText>
      </w:r>
      <w:r>
        <w:fldChar w:fldCharType="separate"/>
      </w:r>
      <w:r w:rsidR="00ED244E" w:rsidRPr="007E7277">
        <w:rPr>
          <w:rStyle w:val="Hyperlink"/>
        </w:rPr>
        <w:t>protecting personal information</w:t>
      </w:r>
    </w:p>
    <w:p w14:paraId="6C509245" w14:textId="07FAB419" w:rsidR="00ED244E" w:rsidRDefault="007E7277" w:rsidP="00D82385">
      <w:pPr>
        <w:pStyle w:val="ListBullet"/>
      </w:pPr>
      <w:r>
        <w:fldChar w:fldCharType="end"/>
      </w:r>
      <w:r w:rsidR="00ED244E">
        <w:t>a commitment to continuous improvement towards the delivery of high-quality care.</w:t>
      </w:r>
    </w:p>
    <w:p w14:paraId="6A0860AB" w14:textId="77777777" w:rsidR="00ED244E" w:rsidRPr="00CA5C9D" w:rsidRDefault="00ED244E" w:rsidP="00CA5C9D">
      <w:r w:rsidRPr="00CA5C9D">
        <w:t xml:space="preserve">Other conditions apply to providers registered in a specific registration </w:t>
      </w:r>
      <w:proofErr w:type="gramStart"/>
      <w:r w:rsidRPr="00CA5C9D">
        <w:t>categories</w:t>
      </w:r>
      <w:proofErr w:type="gramEnd"/>
      <w:r w:rsidRPr="00CA5C9D">
        <w:t xml:space="preserve">. </w:t>
      </w:r>
    </w:p>
    <w:p w14:paraId="5E7166D9" w14:textId="77777777" w:rsidR="00ED244E" w:rsidRPr="00486B44" w:rsidRDefault="00ED244E" w:rsidP="00B52234">
      <w:pPr>
        <w:pStyle w:val="Heading4"/>
      </w:pPr>
      <w:bookmarkStart w:id="48" w:name="_Toc199872998"/>
      <w:r w:rsidRPr="00486B44">
        <w:t>Vaccination</w:t>
      </w:r>
      <w:bookmarkEnd w:id="48"/>
      <w:r w:rsidRPr="00486B44">
        <w:t>s</w:t>
      </w:r>
    </w:p>
    <w:p w14:paraId="3F836DCC" w14:textId="77777777" w:rsidR="00ED244E" w:rsidRPr="00486B44" w:rsidRDefault="00ED244E" w:rsidP="00ED244E">
      <w:r w:rsidRPr="00486B44">
        <w:t xml:space="preserve">Registered providers registered in the provider registration category </w:t>
      </w:r>
      <w:r>
        <w:t>‘</w:t>
      </w:r>
      <w:r w:rsidRPr="00572CF6">
        <w:t>residential care</w:t>
      </w:r>
      <w:r>
        <w:t>’</w:t>
      </w:r>
      <w:r w:rsidRPr="00486B44">
        <w:t xml:space="preserve"> must provide access to the following vaccinations:</w:t>
      </w:r>
    </w:p>
    <w:p w14:paraId="3017F238" w14:textId="77777777" w:rsidR="00ED244E" w:rsidRPr="00486B44" w:rsidRDefault="00ED244E" w:rsidP="00D82385">
      <w:pPr>
        <w:pStyle w:val="ListBullet"/>
      </w:pPr>
      <w:r>
        <w:t>i</w:t>
      </w:r>
      <w:r w:rsidRPr="00486B44">
        <w:t>nfluenza</w:t>
      </w:r>
    </w:p>
    <w:p w14:paraId="21B41048" w14:textId="77777777" w:rsidR="00ED244E" w:rsidRPr="00486B44" w:rsidRDefault="00ED244E" w:rsidP="00D82385">
      <w:pPr>
        <w:pStyle w:val="ListBullet"/>
      </w:pPr>
      <w:r w:rsidRPr="00486B44">
        <w:t>COVID-19</w:t>
      </w:r>
    </w:p>
    <w:p w14:paraId="13E16E01" w14:textId="77777777" w:rsidR="00ED244E" w:rsidRPr="00486B44" w:rsidRDefault="00ED244E" w:rsidP="00D82385">
      <w:pPr>
        <w:pStyle w:val="ListBullet"/>
      </w:pPr>
      <w:r w:rsidRPr="00486B44">
        <w:t>pneumococcal</w:t>
      </w:r>
    </w:p>
    <w:p w14:paraId="4A45D9A8" w14:textId="77777777" w:rsidR="00ED244E" w:rsidRPr="00486B44" w:rsidRDefault="00ED244E" w:rsidP="00D82385">
      <w:pPr>
        <w:pStyle w:val="ListBullet"/>
      </w:pPr>
      <w:r w:rsidRPr="00486B44">
        <w:t>shingles.</w:t>
      </w:r>
      <w:r w:rsidRPr="00EA4455">
        <w:rPr>
          <w:rStyle w:val="FootnoteReference"/>
          <w:rFonts w:ascii="Arial" w:hAnsi="Arial"/>
          <w:color w:val="000101" w:themeColor="text1"/>
          <w:sz w:val="20"/>
          <w:szCs w:val="20"/>
        </w:rPr>
        <w:footnoteReference w:id="5"/>
      </w:r>
    </w:p>
    <w:p w14:paraId="74BBCBD5" w14:textId="3BEFF883" w:rsidR="00ED244E" w:rsidRPr="00486B44" w:rsidRDefault="00ED244E" w:rsidP="00ED244E">
      <w:r w:rsidRPr="00486B44">
        <w:t xml:space="preserve">These vaccinations must be provided for free, and in accordance with the </w:t>
      </w:r>
      <w:hyperlink r:id="rId67" w:history="1">
        <w:r w:rsidRPr="00486B44">
          <w:rPr>
            <w:rStyle w:val="Hyperlink"/>
          </w:rPr>
          <w:t>Australian Immunisation Handbook</w:t>
        </w:r>
      </w:hyperlink>
      <w:r w:rsidRPr="00486B44">
        <w:t>, to:</w:t>
      </w:r>
    </w:p>
    <w:p w14:paraId="6387A75C" w14:textId="77777777" w:rsidR="00ED244E" w:rsidRPr="00486B44" w:rsidRDefault="00ED244E" w:rsidP="00D82385">
      <w:pPr>
        <w:pStyle w:val="ListBullet"/>
      </w:pPr>
      <w:r w:rsidRPr="00486B44">
        <w:t xml:space="preserve">individuals to whom the provider is delivering funded aged care services </w:t>
      </w:r>
    </w:p>
    <w:p w14:paraId="662C4D5C" w14:textId="77777777" w:rsidR="00ED244E" w:rsidRPr="00486B44" w:rsidRDefault="00ED244E" w:rsidP="00D82385">
      <w:pPr>
        <w:pStyle w:val="ListBullet"/>
      </w:pPr>
      <w:r w:rsidRPr="00486B44">
        <w:t>aged care workers of the provider who access, or are reasonably likely to access, any premises where the delivery of funded aged care services occurs.</w:t>
      </w:r>
    </w:p>
    <w:p w14:paraId="4CA0B390" w14:textId="77777777" w:rsidR="00ED244E" w:rsidRDefault="00ED244E" w:rsidP="00ED244E">
      <w:r w:rsidRPr="00486B44">
        <w:t>Providers must promote the benefits of vaccination for individuals and service staff.</w:t>
      </w:r>
    </w:p>
    <w:p w14:paraId="4C157FCA" w14:textId="77777777" w:rsidR="00ED244E" w:rsidRPr="00084B1B" w:rsidRDefault="00ED244E" w:rsidP="00ED244E">
      <w:pPr>
        <w:pStyle w:val="Heading4"/>
      </w:pPr>
      <w:bookmarkStart w:id="49" w:name="rightsprinciplescode"/>
      <w:bookmarkEnd w:id="49"/>
      <w:r w:rsidRPr="00084B1B">
        <w:t>Statement of Rights</w:t>
      </w:r>
    </w:p>
    <w:p w14:paraId="6FD45879" w14:textId="77777777" w:rsidR="00ED244E" w:rsidRPr="00084B1B" w:rsidRDefault="00ED244E" w:rsidP="00ED244E">
      <w:r w:rsidRPr="00084B1B">
        <w:t>The Statement of Rights is a key part of the new rights-based framework for aged care</w:t>
      </w:r>
      <w:r>
        <w:t xml:space="preserve">, replacing the </w:t>
      </w:r>
      <w:r w:rsidRPr="00C94CAF">
        <w:t>Charter of Aged Care Rights from 1 November 2025. It explains</w:t>
      </w:r>
      <w:r w:rsidRPr="00084B1B">
        <w:t xml:space="preserve"> the legal rights that older people have when accessing funded aged care services and is designed to ensure that aged care is person-centred, respectful, and empowering. </w:t>
      </w:r>
      <w:r>
        <w:t>Providers must</w:t>
      </w:r>
      <w:r w:rsidRPr="00084B1B">
        <w:t xml:space="preserve"> make sure older people are informed of their rights under the Statement of Rights. </w:t>
      </w:r>
    </w:p>
    <w:p w14:paraId="40530FF8" w14:textId="77777777" w:rsidR="00ED244E" w:rsidRPr="00084B1B" w:rsidRDefault="00ED244E" w:rsidP="00ED244E">
      <w:r w:rsidRPr="00084B1B">
        <w:t>The Statement of Rights gives older people the right to:</w:t>
      </w:r>
    </w:p>
    <w:p w14:paraId="4D987A3B" w14:textId="77777777" w:rsidR="00ED244E" w:rsidRPr="00084B1B" w:rsidRDefault="00ED244E" w:rsidP="00D82385">
      <w:pPr>
        <w:pStyle w:val="ListBullet"/>
      </w:pPr>
      <w:r w:rsidRPr="00084B1B">
        <w:t>make decisions about their own lives</w:t>
      </w:r>
    </w:p>
    <w:p w14:paraId="6D95FACE" w14:textId="77777777" w:rsidR="00ED244E" w:rsidRPr="00084B1B" w:rsidRDefault="00ED244E" w:rsidP="00D82385">
      <w:pPr>
        <w:pStyle w:val="ListBullet"/>
      </w:pPr>
      <w:r w:rsidRPr="00084B1B">
        <w:t>have their decisions not just accepted, but respected</w:t>
      </w:r>
    </w:p>
    <w:p w14:paraId="2DC394B7" w14:textId="77777777" w:rsidR="00ED244E" w:rsidRPr="00084B1B" w:rsidRDefault="00ED244E" w:rsidP="00D82385">
      <w:pPr>
        <w:pStyle w:val="ListBullet"/>
      </w:pPr>
      <w:r w:rsidRPr="00084B1B">
        <w:t>get information and support to help them make decisions</w:t>
      </w:r>
    </w:p>
    <w:p w14:paraId="432D0F44" w14:textId="77777777" w:rsidR="00ED244E" w:rsidRPr="00084B1B" w:rsidRDefault="00ED244E" w:rsidP="00D82385">
      <w:pPr>
        <w:pStyle w:val="ListBullet"/>
      </w:pPr>
      <w:r w:rsidRPr="00084B1B">
        <w:t>communicate their wishes, needs and preferences</w:t>
      </w:r>
    </w:p>
    <w:p w14:paraId="32AF74ED" w14:textId="77777777" w:rsidR="00ED244E" w:rsidRPr="00084B1B" w:rsidRDefault="00ED244E" w:rsidP="00D82385">
      <w:pPr>
        <w:pStyle w:val="ListBullet"/>
      </w:pPr>
      <w:r w:rsidRPr="00084B1B">
        <w:t>feel safe and respected</w:t>
      </w:r>
    </w:p>
    <w:p w14:paraId="10257E0B" w14:textId="77777777" w:rsidR="00ED244E" w:rsidRDefault="00ED244E" w:rsidP="00D82385">
      <w:pPr>
        <w:pStyle w:val="ListBullet"/>
      </w:pPr>
      <w:r w:rsidRPr="00084B1B">
        <w:t>have their culture and identity respected</w:t>
      </w:r>
    </w:p>
    <w:p w14:paraId="09612C97" w14:textId="77777777" w:rsidR="00ED244E" w:rsidRPr="00084B1B" w:rsidRDefault="00ED244E" w:rsidP="00D82385">
      <w:pPr>
        <w:pStyle w:val="ListBullet"/>
      </w:pPr>
      <w:r>
        <w:t>stay connected to community, Country and Island Home</w:t>
      </w:r>
      <w:r w:rsidRPr="00084B1B">
        <w:t>.</w:t>
      </w:r>
    </w:p>
    <w:p w14:paraId="6FF83FFF" w14:textId="77777777" w:rsidR="00ED244E" w:rsidRPr="00084B1B" w:rsidRDefault="00ED244E" w:rsidP="00ED244E">
      <w:r w:rsidRPr="00084B1B">
        <w:t>For older Aboriginal and</w:t>
      </w:r>
      <w:r>
        <w:t>/or</w:t>
      </w:r>
      <w:r w:rsidRPr="00084B1B">
        <w:t xml:space="preserve"> Torres Strait Islander people, it embeds the right to access culturally safe, trauma aware and healing informed assessments and aged care services, and stay connected to family, community, </w:t>
      </w:r>
      <w:r>
        <w:t>C</w:t>
      </w:r>
      <w:r w:rsidRPr="00084B1B">
        <w:t xml:space="preserve">ountry and </w:t>
      </w:r>
      <w:r>
        <w:t>I</w:t>
      </w:r>
      <w:r w:rsidRPr="00084B1B">
        <w:t xml:space="preserve">sland </w:t>
      </w:r>
      <w:r>
        <w:t>H</w:t>
      </w:r>
      <w:r w:rsidRPr="00084B1B">
        <w:t>ome.</w:t>
      </w:r>
    </w:p>
    <w:p w14:paraId="21BBFABF" w14:textId="77777777" w:rsidR="00ED244E" w:rsidRPr="00084B1B" w:rsidRDefault="00ED244E" w:rsidP="00ED244E">
      <w:r>
        <w:t>It is a requirement under the Act that all NATSIFACP providers take reasonable steps to act compatibly with the rights when delivering aged care services.</w:t>
      </w:r>
      <w:r>
        <w:rPr>
          <w:rStyle w:val="FootnoteReference"/>
        </w:rPr>
        <w:footnoteReference w:id="6"/>
      </w:r>
      <w:r>
        <w:t xml:space="preserve">  </w:t>
      </w:r>
      <w:r w:rsidRPr="00084B1B">
        <w:t xml:space="preserve">Learn more and read the </w:t>
      </w:r>
      <w:hyperlink r:id="rId68" w:history="1">
        <w:r w:rsidRPr="008834D0">
          <w:rPr>
            <w:rStyle w:val="Hyperlink"/>
          </w:rPr>
          <w:t>Statement of Rights</w:t>
        </w:r>
      </w:hyperlink>
      <w:r w:rsidRPr="00084B1B">
        <w:t xml:space="preserve"> on the department’s website.  </w:t>
      </w:r>
    </w:p>
    <w:p w14:paraId="438F3473" w14:textId="77777777" w:rsidR="00ED244E" w:rsidRPr="00084B1B" w:rsidRDefault="00ED244E" w:rsidP="00ED244E">
      <w:r w:rsidRPr="00084B1B">
        <w:t xml:space="preserve">Further information, including a </w:t>
      </w:r>
      <w:hyperlink r:id="rId69" w:history="1">
        <w:r w:rsidRPr="008834D0">
          <w:rPr>
            <w:rStyle w:val="Hyperlink"/>
          </w:rPr>
          <w:t>plain language Fact Sheet</w:t>
        </w:r>
      </w:hyperlink>
      <w:r w:rsidRPr="00084B1B">
        <w:t xml:space="preserve"> is available on the </w:t>
      </w:r>
      <w:r w:rsidRPr="00DE781E">
        <w:t>Aged Care Quality and Safety Commission website</w:t>
      </w:r>
      <w:r>
        <w:t xml:space="preserve">: </w:t>
      </w:r>
      <w:hyperlink r:id="rId70" w:history="1">
        <w:r>
          <w:rPr>
            <w:rStyle w:val="Hyperlink"/>
          </w:rPr>
          <w:t>A</w:t>
        </w:r>
        <w:r w:rsidRPr="004020B0">
          <w:rPr>
            <w:rStyle w:val="Hyperlink"/>
          </w:rPr>
          <w:t>ged</w:t>
        </w:r>
        <w:r>
          <w:rPr>
            <w:rStyle w:val="Hyperlink"/>
          </w:rPr>
          <w:t>C</w:t>
        </w:r>
        <w:r w:rsidRPr="004020B0">
          <w:rPr>
            <w:rStyle w:val="Hyperlink"/>
          </w:rPr>
          <w:t>are</w:t>
        </w:r>
        <w:r>
          <w:rPr>
            <w:rStyle w:val="Hyperlink"/>
          </w:rPr>
          <w:t>Q</w:t>
        </w:r>
        <w:r w:rsidRPr="004020B0">
          <w:rPr>
            <w:rStyle w:val="Hyperlink"/>
          </w:rPr>
          <w:t>uality.gov.au/older-australians/reform-changes-older-people/statement-rights</w:t>
        </w:r>
      </w:hyperlink>
      <w:r w:rsidRPr="00084B1B">
        <w:t>.</w:t>
      </w:r>
    </w:p>
    <w:p w14:paraId="67DBE90E" w14:textId="77777777" w:rsidR="00ED244E" w:rsidRPr="00084B1B" w:rsidRDefault="00ED244E" w:rsidP="00ED244E">
      <w:pPr>
        <w:pStyle w:val="Heading4"/>
      </w:pPr>
      <w:bookmarkStart w:id="50" w:name="statement_principles"/>
      <w:bookmarkEnd w:id="50"/>
      <w:r w:rsidRPr="00084B1B">
        <w:t>Statement of Principles</w:t>
      </w:r>
    </w:p>
    <w:p w14:paraId="7A88B0A6" w14:textId="77777777" w:rsidR="00ED244E" w:rsidRPr="00084B1B" w:rsidRDefault="00ED244E" w:rsidP="00ED244E">
      <w:r w:rsidRPr="00084B1B">
        <w:t>The Statement of Principles provides guidance on how the aged care system should operate, and will be used to guide the decisions, actions and behaviours of anyone performing functions or exercising powers under the Act.</w:t>
      </w:r>
    </w:p>
    <w:p w14:paraId="68EDC617" w14:textId="77777777" w:rsidR="00ED244E" w:rsidRPr="00084B1B" w:rsidRDefault="00ED244E" w:rsidP="00ED244E">
      <w:r w:rsidRPr="00084B1B">
        <w:t>The Statement of Principles aims to ensure that the aged care system:</w:t>
      </w:r>
    </w:p>
    <w:p w14:paraId="04D54EE1" w14:textId="77777777" w:rsidR="00ED244E" w:rsidRPr="00084B1B" w:rsidRDefault="00ED244E" w:rsidP="00D82385">
      <w:pPr>
        <w:pStyle w:val="ListBullet"/>
      </w:pPr>
      <w:r w:rsidRPr="00084B1B">
        <w:t xml:space="preserve">is person-centred, and respects individual preferences and entitlements </w:t>
      </w:r>
    </w:p>
    <w:p w14:paraId="063FBE25" w14:textId="77777777" w:rsidR="00ED244E" w:rsidRPr="00084B1B" w:rsidRDefault="00ED244E" w:rsidP="00D82385">
      <w:pPr>
        <w:pStyle w:val="ListBullet"/>
      </w:pPr>
      <w:r w:rsidRPr="00084B1B">
        <w:t>values and empowers workers and carers</w:t>
      </w:r>
    </w:p>
    <w:p w14:paraId="566E51F4" w14:textId="77777777" w:rsidR="00ED244E" w:rsidRPr="00084B1B" w:rsidRDefault="00ED244E" w:rsidP="00D82385">
      <w:pPr>
        <w:pStyle w:val="ListBullet"/>
      </w:pPr>
      <w:r w:rsidRPr="00084B1B">
        <w:t>remains transparent, sustainable and represents value for money, and</w:t>
      </w:r>
    </w:p>
    <w:p w14:paraId="614AE68A" w14:textId="77777777" w:rsidR="00ED244E" w:rsidRPr="00084B1B" w:rsidRDefault="00ED244E" w:rsidP="00D82385">
      <w:pPr>
        <w:pStyle w:val="ListBullet"/>
      </w:pPr>
      <w:r w:rsidRPr="00084B1B">
        <w:t>continues to improve.</w:t>
      </w:r>
    </w:p>
    <w:p w14:paraId="117B215D" w14:textId="77777777" w:rsidR="00ED244E" w:rsidRPr="00084B1B" w:rsidRDefault="00ED244E" w:rsidP="00ED244E">
      <w:r>
        <w:t>More i</w:t>
      </w:r>
      <w:r w:rsidRPr="00084B1B">
        <w:t xml:space="preserve">nformation about the </w:t>
      </w:r>
      <w:r w:rsidRPr="006920AA">
        <w:t>Statement of Principles</w:t>
      </w:r>
      <w:r w:rsidRPr="00084B1B">
        <w:t xml:space="preserve"> </w:t>
      </w:r>
      <w:r>
        <w:t xml:space="preserve">is </w:t>
      </w:r>
      <w:r w:rsidRPr="00084B1B">
        <w:t>on the department’s website</w:t>
      </w:r>
      <w:r>
        <w:t xml:space="preserve">: </w:t>
      </w:r>
      <w:hyperlink r:id="rId71" w:history="1">
        <w:r w:rsidRPr="004020B0">
          <w:rPr>
            <w:rStyle w:val="Hyperlink"/>
          </w:rPr>
          <w:t>health.gov.au/resources/publications/guide-to-aged-care-law/chapter-1-introduction/statement-of-principles</w:t>
        </w:r>
      </w:hyperlink>
      <w:r>
        <w:t>.</w:t>
      </w:r>
      <w:r w:rsidRPr="00084B1B">
        <w:t xml:space="preserve">  </w:t>
      </w:r>
    </w:p>
    <w:p w14:paraId="3BBBAF79" w14:textId="77777777" w:rsidR="00ED244E" w:rsidRPr="00247391" w:rsidRDefault="00ED244E" w:rsidP="00ED244E">
      <w:pPr>
        <w:pStyle w:val="Heading4"/>
      </w:pPr>
      <w:bookmarkStart w:id="51" w:name="_Toc199872993"/>
      <w:r>
        <w:t>Aged Care Code of Conduct</w:t>
      </w:r>
      <w:bookmarkEnd w:id="51"/>
      <w:r>
        <w:rPr>
          <w:rStyle w:val="FootnoteReference"/>
        </w:rPr>
        <w:footnoteReference w:id="7"/>
      </w:r>
    </w:p>
    <w:p w14:paraId="2A4781C3" w14:textId="77777777" w:rsidR="00ED244E" w:rsidRDefault="00ED244E" w:rsidP="00ED244E">
      <w:r>
        <w:t>The Act incorporates an Aged Care Code of Conduct (Code of Conduct) that all NATSIFACP providers, their responsible persons and aged care workers (including volunteers) must adhere to when delivering aged care services. It describes how providers must behave and how they should treat older people receiving funded aged care services.</w:t>
      </w:r>
    </w:p>
    <w:p w14:paraId="1449D049" w14:textId="77777777" w:rsidR="00ED244E" w:rsidRDefault="00ED244E" w:rsidP="00ED244E">
      <w:r>
        <w:t>The Code of Conduct:</w:t>
      </w:r>
    </w:p>
    <w:p w14:paraId="6EC84E11" w14:textId="77777777" w:rsidR="00ED244E" w:rsidRPr="00E56982" w:rsidRDefault="00ED244E" w:rsidP="00D82385">
      <w:pPr>
        <w:pStyle w:val="ListBullet"/>
      </w:pPr>
      <w:r w:rsidRPr="001463B0">
        <w:t>supports a person’s right to personal choice, dignity and respect</w:t>
      </w:r>
    </w:p>
    <w:p w14:paraId="1567E24E" w14:textId="77777777" w:rsidR="00ED244E" w:rsidRPr="001463B0" w:rsidRDefault="00ED244E" w:rsidP="00D82385">
      <w:pPr>
        <w:pStyle w:val="ListBullet"/>
      </w:pPr>
      <w:r w:rsidRPr="001463B0">
        <w:t>promotes kind, honest and respectful behaviour</w:t>
      </w:r>
    </w:p>
    <w:p w14:paraId="4D619530" w14:textId="77777777" w:rsidR="00ED244E" w:rsidRPr="00E56982" w:rsidRDefault="00ED244E" w:rsidP="00D82385">
      <w:pPr>
        <w:pStyle w:val="ListBullet"/>
      </w:pPr>
      <w:r w:rsidRPr="001463B0">
        <w:t>keeps people receiving care from harm.</w:t>
      </w:r>
    </w:p>
    <w:p w14:paraId="33A53DE3" w14:textId="77777777" w:rsidR="00ED244E" w:rsidRDefault="00ED244E" w:rsidP="00ED244E">
      <w:r w:rsidRPr="00BE4858">
        <w:rPr>
          <w:rFonts w:cstheme="minorHAnsi"/>
          <w:szCs w:val="22"/>
        </w:rPr>
        <w:t>The Commission monitors and enforces compliance with the Code</w:t>
      </w:r>
      <w:r>
        <w:rPr>
          <w:rFonts w:cstheme="minorHAnsi"/>
          <w:szCs w:val="22"/>
        </w:rPr>
        <w:t xml:space="preserve"> of Conduct</w:t>
      </w:r>
      <w:r w:rsidRPr="00BE4858">
        <w:rPr>
          <w:rFonts w:cstheme="minorHAnsi"/>
          <w:szCs w:val="22"/>
        </w:rPr>
        <w:t>. Where a</w:t>
      </w:r>
      <w:r>
        <w:rPr>
          <w:rFonts w:cstheme="minorHAnsi"/>
          <w:szCs w:val="22"/>
        </w:rPr>
        <w:t xml:space="preserve"> </w:t>
      </w:r>
      <w:r w:rsidRPr="00BE4858">
        <w:rPr>
          <w:rFonts w:cstheme="minorHAnsi"/>
          <w:szCs w:val="22"/>
        </w:rPr>
        <w:t>provider, responsible person or aged care worker fails to comply with the Code</w:t>
      </w:r>
      <w:r>
        <w:rPr>
          <w:rFonts w:cstheme="minorHAnsi"/>
          <w:szCs w:val="22"/>
        </w:rPr>
        <w:t xml:space="preserve"> of Conduct</w:t>
      </w:r>
      <w:r w:rsidRPr="00BE4858">
        <w:rPr>
          <w:rFonts w:cstheme="minorHAnsi"/>
          <w:szCs w:val="22"/>
        </w:rPr>
        <w:t>, they</w:t>
      </w:r>
      <w:r>
        <w:rPr>
          <w:rFonts w:cstheme="minorHAnsi"/>
          <w:szCs w:val="22"/>
        </w:rPr>
        <w:t xml:space="preserve"> </w:t>
      </w:r>
      <w:r w:rsidRPr="00BE4858">
        <w:rPr>
          <w:rFonts w:cstheme="minorHAnsi"/>
          <w:szCs w:val="22"/>
        </w:rPr>
        <w:t>may be subject to enforcement action by the Commission.</w:t>
      </w:r>
    </w:p>
    <w:p w14:paraId="6543F312" w14:textId="77777777" w:rsidR="00ED244E" w:rsidRDefault="00ED244E" w:rsidP="00ED244E">
      <w:r>
        <w:t xml:space="preserve">The </w:t>
      </w:r>
      <w:r w:rsidRPr="006920AA">
        <w:t>Code of Conduct</w:t>
      </w:r>
      <w:r>
        <w:t xml:space="preserve"> is available to view on the department’s website: </w:t>
      </w:r>
      <w:hyperlink r:id="rId72" w:history="1">
        <w:r w:rsidRPr="004020B0">
          <w:rPr>
            <w:rStyle w:val="Hyperlink"/>
          </w:rPr>
          <w:t>health.gov.au/resources/publications/guide-to-aged-care-law/chapter-1-introduction/aged-care-code-of-conduct</w:t>
        </w:r>
      </w:hyperlink>
      <w:r>
        <w:t xml:space="preserve">. </w:t>
      </w:r>
    </w:p>
    <w:p w14:paraId="7AD0EFEC" w14:textId="77777777" w:rsidR="00ED244E" w:rsidRDefault="00ED244E" w:rsidP="00ED244E">
      <w:pPr>
        <w:pStyle w:val="Heading3"/>
      </w:pPr>
      <w:bookmarkStart w:id="52" w:name="care_planning_and_discharge"/>
      <w:bookmarkStart w:id="53" w:name="_Care_planning_and"/>
      <w:bookmarkStart w:id="54" w:name="_Toc208837999"/>
      <w:bookmarkEnd w:id="52"/>
      <w:bookmarkEnd w:id="53"/>
      <w:r>
        <w:t>Care planning and discharge</w:t>
      </w:r>
      <w:bookmarkEnd w:id="54"/>
      <w:r>
        <w:t xml:space="preserve"> obligations</w:t>
      </w:r>
    </w:p>
    <w:p w14:paraId="3C9130A3" w14:textId="67CDDC00" w:rsidR="00ED244E" w:rsidRPr="007D735E" w:rsidRDefault="00ED244E" w:rsidP="00ED244E">
      <w:r>
        <w:t>P</w:t>
      </w:r>
      <w:r w:rsidRPr="00FB41B2">
        <w:t>roviders play a vital role in care planning, ensuring that</w:t>
      </w:r>
      <w:r>
        <w:t xml:space="preserve"> on admission to services</w:t>
      </w:r>
      <w:r w:rsidRPr="00FB41B2">
        <w:t xml:space="preserve"> each resident</w:t>
      </w:r>
      <w:r>
        <w:t xml:space="preserve"> is </w:t>
      </w:r>
      <w:hyperlink w:anchor="awareness" w:history="1">
        <w:r w:rsidRPr="00080D08">
          <w:rPr>
            <w:rStyle w:val="Hyperlink"/>
          </w:rPr>
          <w:t>aware of their rights</w:t>
        </w:r>
      </w:hyperlink>
      <w:r>
        <w:t xml:space="preserve"> to high-quality, person-centred care, and that their</w:t>
      </w:r>
      <w:r w:rsidRPr="00FB41B2">
        <w:t xml:space="preserve"> needs, preferences, and goals are consistently identified, documented, and addressed through </w:t>
      </w:r>
      <w:r>
        <w:t xml:space="preserve">development of both a </w:t>
      </w:r>
      <w:hyperlink w:anchor="awareness" w:history="1">
        <w:r w:rsidRPr="00AC460B">
          <w:rPr>
            <w:rStyle w:val="Hyperlink"/>
          </w:rPr>
          <w:t>service agreement</w:t>
        </w:r>
      </w:hyperlink>
      <w:r>
        <w:t xml:space="preserve"> and a </w:t>
      </w:r>
      <w:hyperlink w:anchor="care_and_services_plan" w:history="1">
        <w:r w:rsidRPr="00170276">
          <w:rPr>
            <w:rStyle w:val="Hyperlink"/>
          </w:rPr>
          <w:t>care and services plan</w:t>
        </w:r>
      </w:hyperlink>
      <w:r w:rsidRPr="00FB41B2">
        <w:t>.</w:t>
      </w:r>
    </w:p>
    <w:p w14:paraId="2903B974" w14:textId="14E45C10" w:rsidR="00ED244E" w:rsidRPr="007160A0" w:rsidRDefault="00ED244E" w:rsidP="00ED244E">
      <w:pPr>
        <w:pStyle w:val="Heading4"/>
      </w:pPr>
      <w:bookmarkStart w:id="55" w:name="_Toc208838000"/>
      <w:r w:rsidRPr="007160A0">
        <w:t xml:space="preserve">Provision of information to </w:t>
      </w:r>
      <w:r>
        <w:t>individual</w:t>
      </w:r>
      <w:r w:rsidRPr="007160A0">
        <w:t>s on admission</w:t>
      </w:r>
      <w:bookmarkEnd w:id="55"/>
    </w:p>
    <w:p w14:paraId="176A4F6C" w14:textId="31060022" w:rsidR="0073021C" w:rsidRPr="000B0275" w:rsidRDefault="00ED244E" w:rsidP="00F6483C">
      <w:r w:rsidRPr="00AC460B">
        <w:t>The following table outlines the information NATSIFACP providers must</w:t>
      </w:r>
      <w:r w:rsidRPr="00AC460B">
        <w:rPr>
          <w:color w:val="auto"/>
        </w:rPr>
        <w:t xml:space="preserve"> </w:t>
      </w:r>
      <w:r>
        <w:t xml:space="preserve">provide to individuals </w:t>
      </w:r>
      <w:r w:rsidRPr="00245967">
        <w:rPr>
          <w:i/>
          <w:iCs/>
        </w:rPr>
        <w:t>before or when they start to receive services</w:t>
      </w:r>
      <w:r>
        <w:t>.</w:t>
      </w:r>
    </w:p>
    <w:tbl>
      <w:tblPr>
        <w:tblStyle w:val="DepartmentofHealthtable"/>
        <w:tblpPr w:leftFromText="180" w:rightFromText="180" w:vertAnchor="text" w:tblpY="1"/>
        <w:tblOverlap w:val="never"/>
        <w:tblW w:w="5000" w:type="pct"/>
        <w:tblLook w:val="0420" w:firstRow="1" w:lastRow="0" w:firstColumn="0" w:lastColumn="0" w:noHBand="0" w:noVBand="1"/>
      </w:tblPr>
      <w:tblGrid>
        <w:gridCol w:w="1985"/>
        <w:gridCol w:w="7085"/>
      </w:tblGrid>
      <w:tr w:rsidR="00DD7546" w:rsidRPr="00A35762" w14:paraId="269E983D" w14:textId="77777777" w:rsidTr="003B1F39">
        <w:trPr>
          <w:cnfStyle w:val="100000000000" w:firstRow="1" w:lastRow="0" w:firstColumn="0" w:lastColumn="0" w:oddVBand="0" w:evenVBand="0" w:oddHBand="0" w:evenHBand="0" w:firstRowFirstColumn="0" w:firstRowLastColumn="0" w:lastRowFirstColumn="0" w:lastRowLastColumn="0"/>
          <w:cantSplit/>
          <w:tblHeader/>
        </w:trPr>
        <w:tc>
          <w:tcPr>
            <w:tcW w:w="1094" w:type="pct"/>
            <w:shd w:val="clear" w:color="auto" w:fill="1D4794"/>
          </w:tcPr>
          <w:p w14:paraId="4A5D8281" w14:textId="4670D921" w:rsidR="00DD7546" w:rsidRPr="00CA5C9D" w:rsidRDefault="00DD7546" w:rsidP="00CA5C9D">
            <w:pPr>
              <w:pStyle w:val="TableHeaderWhite"/>
            </w:pPr>
            <w:r w:rsidRPr="00CA5C9D">
              <w:t>Information</w:t>
            </w:r>
          </w:p>
        </w:tc>
        <w:tc>
          <w:tcPr>
            <w:tcW w:w="3906" w:type="pct"/>
            <w:shd w:val="clear" w:color="auto" w:fill="1D4794"/>
          </w:tcPr>
          <w:p w14:paraId="006465B6" w14:textId="1D6EEFB3" w:rsidR="00DD7546" w:rsidRPr="00CA5C9D" w:rsidRDefault="00DD7546" w:rsidP="00CA5C9D">
            <w:pPr>
              <w:pStyle w:val="TableHeaderWhite"/>
            </w:pPr>
            <w:r w:rsidRPr="00CA5C9D">
              <w:t>Requirement</w:t>
            </w:r>
          </w:p>
        </w:tc>
      </w:tr>
      <w:tr w:rsidR="00BE2A39" w14:paraId="5E35B994" w14:textId="77777777" w:rsidTr="00BB6256">
        <w:tc>
          <w:tcPr>
            <w:tcW w:w="1094" w:type="pct"/>
            <w:vAlign w:val="top"/>
          </w:tcPr>
          <w:p w14:paraId="2D431A94" w14:textId="0C3E5099" w:rsidR="00BE2A39" w:rsidRPr="00006676" w:rsidRDefault="00BE2A39" w:rsidP="00CA5C9D">
            <w:pPr>
              <w:pStyle w:val="Tabletext"/>
            </w:pPr>
            <w:r w:rsidRPr="0018784D">
              <w:t>Statement of Rights</w:t>
            </w:r>
          </w:p>
        </w:tc>
        <w:tc>
          <w:tcPr>
            <w:tcW w:w="3906" w:type="pct"/>
            <w:vAlign w:val="top"/>
          </w:tcPr>
          <w:p w14:paraId="1BC21A8D" w14:textId="77777777" w:rsidR="00BE2A39" w:rsidRPr="0018784D" w:rsidRDefault="00BE2A39" w:rsidP="00482171">
            <w:pPr>
              <w:pStyle w:val="Tabletext"/>
            </w:pPr>
            <w:r w:rsidRPr="0018784D">
              <w:t>The older person has been:</w:t>
            </w:r>
          </w:p>
          <w:p w14:paraId="6D09B8F1" w14:textId="77777777" w:rsidR="00F6483C" w:rsidRDefault="00BE2A39" w:rsidP="000A1DEB">
            <w:pPr>
              <w:pStyle w:val="Tabletext"/>
              <w:numPr>
                <w:ilvl w:val="0"/>
                <w:numId w:val="17"/>
              </w:numPr>
            </w:pPr>
            <w:r w:rsidRPr="0018784D">
              <w:t>provided with information on their rights under the Statement of Rights and a copy of the Statement of Rights</w:t>
            </w:r>
          </w:p>
          <w:p w14:paraId="3A620A66" w14:textId="3D25C52A" w:rsidR="00BE2A39" w:rsidRDefault="00BE2A39" w:rsidP="000A1DEB">
            <w:pPr>
              <w:pStyle w:val="Tabletext"/>
              <w:numPr>
                <w:ilvl w:val="0"/>
                <w:numId w:val="17"/>
              </w:numPr>
            </w:pPr>
            <w:r w:rsidRPr="0018784D">
              <w:t>assisted to understand the Statement of Rights.</w:t>
            </w:r>
          </w:p>
        </w:tc>
      </w:tr>
      <w:tr w:rsidR="00BE2A39" w14:paraId="178DD310" w14:textId="77777777" w:rsidTr="00BB6256">
        <w:tc>
          <w:tcPr>
            <w:tcW w:w="1094" w:type="pct"/>
            <w:vAlign w:val="top"/>
          </w:tcPr>
          <w:p w14:paraId="088AF082" w14:textId="4DA6AB5D" w:rsidR="00BE2A39" w:rsidRPr="0018784D" w:rsidRDefault="00BE2A39" w:rsidP="00CA5C9D">
            <w:pPr>
              <w:pStyle w:val="Tabletext"/>
            </w:pPr>
            <w:r w:rsidRPr="0018784D">
              <w:t>Complaints and feedback</w:t>
            </w:r>
          </w:p>
        </w:tc>
        <w:tc>
          <w:tcPr>
            <w:tcW w:w="3906" w:type="pct"/>
            <w:vAlign w:val="top"/>
          </w:tcPr>
          <w:p w14:paraId="4DCD6428" w14:textId="77777777" w:rsidR="00BE2A39" w:rsidRPr="0018784D" w:rsidRDefault="00BE2A39" w:rsidP="00482171">
            <w:pPr>
              <w:pStyle w:val="Tabletext"/>
            </w:pPr>
            <w:r w:rsidRPr="0018784D">
              <w:t>The older person has been provided with and assisted to understand information on:</w:t>
            </w:r>
          </w:p>
          <w:p w14:paraId="5B883942" w14:textId="77777777" w:rsidR="00BE2A39" w:rsidRPr="0018784D" w:rsidRDefault="00BE2A39" w:rsidP="000A1DEB">
            <w:pPr>
              <w:pStyle w:val="Tabletext"/>
              <w:numPr>
                <w:ilvl w:val="0"/>
                <w:numId w:val="17"/>
              </w:numPr>
            </w:pPr>
            <w:r w:rsidRPr="0018784D">
              <w:t>how to make a complaint or give feedback to the provider</w:t>
            </w:r>
          </w:p>
          <w:p w14:paraId="140973F1" w14:textId="77777777" w:rsidR="00BE2A39" w:rsidRPr="0018784D" w:rsidRDefault="00BE2A39" w:rsidP="000A1DEB">
            <w:pPr>
              <w:pStyle w:val="Tabletext"/>
              <w:numPr>
                <w:ilvl w:val="0"/>
                <w:numId w:val="17"/>
              </w:numPr>
            </w:pPr>
            <w:r w:rsidRPr="0018784D">
              <w:t>what the person can expect in relation to how the feedback or complaint is managed</w:t>
            </w:r>
          </w:p>
          <w:p w14:paraId="1B472F97" w14:textId="77777777" w:rsidR="00F6483C" w:rsidRDefault="00BE2A39" w:rsidP="000A1DEB">
            <w:pPr>
              <w:pStyle w:val="Tabletext"/>
              <w:numPr>
                <w:ilvl w:val="0"/>
                <w:numId w:val="17"/>
              </w:numPr>
            </w:pPr>
            <w:r w:rsidRPr="0018784D">
              <w:t>how feedback or a complaint can be made to the Complaints Commissioner</w:t>
            </w:r>
          </w:p>
          <w:p w14:paraId="55397016" w14:textId="19EC5A0C" w:rsidR="00BE2A39" w:rsidRPr="0018784D" w:rsidRDefault="00BE2A39" w:rsidP="000A1DEB">
            <w:pPr>
              <w:pStyle w:val="Tabletext"/>
              <w:numPr>
                <w:ilvl w:val="0"/>
                <w:numId w:val="17"/>
              </w:numPr>
            </w:pPr>
            <w:r w:rsidRPr="0018784D">
              <w:t>no-one being victimised or discriminated for providing feedback or complaints to a provider or Complaints Commissioner.</w:t>
            </w:r>
          </w:p>
        </w:tc>
      </w:tr>
      <w:tr w:rsidR="00BE2A39" w14:paraId="30903966" w14:textId="77777777" w:rsidTr="00BB6256">
        <w:tc>
          <w:tcPr>
            <w:tcW w:w="1094" w:type="pct"/>
            <w:vAlign w:val="top"/>
          </w:tcPr>
          <w:p w14:paraId="3378A817" w14:textId="6C463D42" w:rsidR="00BE2A39" w:rsidRPr="0018784D" w:rsidRDefault="00BE2A39" w:rsidP="00AC78EF">
            <w:pPr>
              <w:pStyle w:val="Tabletext"/>
            </w:pPr>
            <w:r w:rsidRPr="0018784D">
              <w:t>Code of conduct</w:t>
            </w:r>
          </w:p>
        </w:tc>
        <w:tc>
          <w:tcPr>
            <w:tcW w:w="3906" w:type="pct"/>
            <w:vAlign w:val="top"/>
          </w:tcPr>
          <w:p w14:paraId="418377DC" w14:textId="77777777" w:rsidR="00BE2A39" w:rsidRPr="0018784D" w:rsidRDefault="00BE2A39" w:rsidP="00482171">
            <w:pPr>
              <w:pStyle w:val="Tabletext"/>
            </w:pPr>
            <w:r w:rsidRPr="0018784D">
              <w:t>The older person has been:</w:t>
            </w:r>
          </w:p>
          <w:p w14:paraId="2DEFD3D4" w14:textId="77777777" w:rsidR="00F6483C" w:rsidRDefault="00BE2A39" w:rsidP="000A1DEB">
            <w:pPr>
              <w:pStyle w:val="Tabletext"/>
              <w:numPr>
                <w:ilvl w:val="0"/>
                <w:numId w:val="17"/>
              </w:numPr>
            </w:pPr>
            <w:r w:rsidRPr="0018784D">
              <w:t>provided with a copy of the Aged Care Code of Conduct</w:t>
            </w:r>
          </w:p>
          <w:p w14:paraId="36D550F9" w14:textId="36EC9A7F" w:rsidR="00BE2A39" w:rsidRPr="0018784D" w:rsidRDefault="00BE2A39" w:rsidP="000A1DEB">
            <w:pPr>
              <w:pStyle w:val="Tabletext"/>
              <w:numPr>
                <w:ilvl w:val="0"/>
                <w:numId w:val="17"/>
              </w:numPr>
            </w:pPr>
            <w:r w:rsidRPr="0018784D">
              <w:t>assisted to understand the Aged Care Code of Conduct.</w:t>
            </w:r>
          </w:p>
        </w:tc>
      </w:tr>
      <w:tr w:rsidR="00BE2A39" w14:paraId="05BF2D74" w14:textId="77777777" w:rsidTr="00BB6256">
        <w:tc>
          <w:tcPr>
            <w:tcW w:w="1094" w:type="pct"/>
            <w:vAlign w:val="top"/>
          </w:tcPr>
          <w:p w14:paraId="134CB875" w14:textId="082771D2" w:rsidR="00BE2A39" w:rsidRPr="0018784D" w:rsidRDefault="00BE2A39" w:rsidP="00AC78EF">
            <w:pPr>
              <w:pStyle w:val="Tabletext"/>
            </w:pPr>
            <w:r w:rsidRPr="0018784D">
              <w:t>Protection of personal information</w:t>
            </w:r>
          </w:p>
        </w:tc>
        <w:tc>
          <w:tcPr>
            <w:tcW w:w="3906" w:type="pct"/>
            <w:vAlign w:val="top"/>
          </w:tcPr>
          <w:p w14:paraId="268C202E" w14:textId="77777777" w:rsidR="00BE2A39" w:rsidRPr="0018784D" w:rsidRDefault="00BE2A39" w:rsidP="00482171">
            <w:pPr>
              <w:pStyle w:val="Tabletext"/>
            </w:pPr>
            <w:r w:rsidRPr="0018784D">
              <w:t>The older person has been:</w:t>
            </w:r>
          </w:p>
          <w:p w14:paraId="7ABC263D" w14:textId="77777777" w:rsidR="00F6483C" w:rsidRDefault="00BE2A39" w:rsidP="000A1DEB">
            <w:pPr>
              <w:pStyle w:val="Tabletext"/>
              <w:numPr>
                <w:ilvl w:val="0"/>
                <w:numId w:val="17"/>
              </w:numPr>
            </w:pPr>
            <w:r w:rsidRPr="0018784D">
              <w:t>given an explanation that their personal information will be protected and only used in the ways authorised under the Act</w:t>
            </w:r>
          </w:p>
          <w:p w14:paraId="014D18DB" w14:textId="59C1CC01" w:rsidR="00BE2A39" w:rsidRPr="0018784D" w:rsidRDefault="00BE2A39" w:rsidP="000A1DEB">
            <w:pPr>
              <w:pStyle w:val="Tabletext"/>
              <w:numPr>
                <w:ilvl w:val="0"/>
                <w:numId w:val="17"/>
              </w:numPr>
            </w:pPr>
            <w:r w:rsidRPr="0018784D">
              <w:t>assisted to understand the information provided.</w:t>
            </w:r>
          </w:p>
        </w:tc>
      </w:tr>
      <w:tr w:rsidR="00BE2A39" w14:paraId="3DDC22E7" w14:textId="77777777" w:rsidTr="00BB6256">
        <w:tc>
          <w:tcPr>
            <w:tcW w:w="1094" w:type="pct"/>
            <w:vAlign w:val="top"/>
          </w:tcPr>
          <w:p w14:paraId="3544318E" w14:textId="37105206" w:rsidR="00BE2A39" w:rsidRPr="0018784D" w:rsidRDefault="00BE2A39" w:rsidP="00AC78EF">
            <w:pPr>
              <w:pStyle w:val="Tabletext"/>
            </w:pPr>
            <w:r w:rsidRPr="0018784D">
              <w:t>Ceasing services</w:t>
            </w:r>
          </w:p>
        </w:tc>
        <w:tc>
          <w:tcPr>
            <w:tcW w:w="3906" w:type="pct"/>
            <w:vAlign w:val="top"/>
          </w:tcPr>
          <w:p w14:paraId="7D6FE0B8" w14:textId="77777777" w:rsidR="00BE2A39" w:rsidRPr="0018784D" w:rsidRDefault="00BE2A39" w:rsidP="00482171">
            <w:pPr>
              <w:pStyle w:val="Tabletext"/>
            </w:pPr>
            <w:r w:rsidRPr="0018784D">
              <w:t>The older person has been:</w:t>
            </w:r>
          </w:p>
          <w:p w14:paraId="480D004F" w14:textId="77777777" w:rsidR="00BE2A39" w:rsidRPr="0018784D" w:rsidRDefault="00BE2A39" w:rsidP="000A1DEB">
            <w:pPr>
              <w:pStyle w:val="Tabletext"/>
              <w:numPr>
                <w:ilvl w:val="0"/>
                <w:numId w:val="17"/>
              </w:numPr>
            </w:pPr>
            <w:r w:rsidRPr="0018784D">
              <w:t>given information about the circumstances in which the provider may cease services</w:t>
            </w:r>
          </w:p>
          <w:p w14:paraId="46C6CA65" w14:textId="77777777" w:rsidR="00F6483C" w:rsidRDefault="00BE2A39" w:rsidP="000A1DEB">
            <w:pPr>
              <w:pStyle w:val="Tabletext"/>
              <w:numPr>
                <w:ilvl w:val="0"/>
                <w:numId w:val="17"/>
              </w:numPr>
            </w:pPr>
            <w:proofErr w:type="gramStart"/>
            <w:r w:rsidRPr="0018784D">
              <w:t>given an explanation of</w:t>
            </w:r>
            <w:proofErr w:type="gramEnd"/>
            <w:r w:rsidRPr="0018784D">
              <w:t xml:space="preserve"> the provider’s requirement to provide notice when intending to cease delivery of funded aged care services</w:t>
            </w:r>
          </w:p>
          <w:p w14:paraId="142DD8A0" w14:textId="58C2DDE0" w:rsidR="00BE2A39" w:rsidRPr="0018784D" w:rsidRDefault="00BE2A39" w:rsidP="000A1DEB">
            <w:pPr>
              <w:pStyle w:val="Tabletext"/>
              <w:numPr>
                <w:ilvl w:val="0"/>
                <w:numId w:val="17"/>
              </w:numPr>
            </w:pPr>
            <w:r w:rsidRPr="0018784D">
              <w:t>assisted to understand the information provided.</w:t>
            </w:r>
          </w:p>
        </w:tc>
      </w:tr>
    </w:tbl>
    <w:p w14:paraId="5A00D5CE" w14:textId="77777777" w:rsidR="00ED244E" w:rsidRPr="00170276" w:rsidRDefault="00ED244E" w:rsidP="00ED244E">
      <w:pPr>
        <w:pStyle w:val="Heading4"/>
      </w:pPr>
      <w:r w:rsidRPr="00170276">
        <w:t>Explaining the Statement of Rights</w:t>
      </w:r>
    </w:p>
    <w:p w14:paraId="6D172CC7" w14:textId="77777777" w:rsidR="00ED244E" w:rsidRPr="00380A1C" w:rsidRDefault="00ED244E" w:rsidP="00F6483C">
      <w:r w:rsidRPr="00380A1C">
        <w:t>Older people should be aware of, understand and be empowered to exercise their rights under the Statement of Rights. NATSIFAC</w:t>
      </w:r>
      <w:r>
        <w:t>P</w:t>
      </w:r>
      <w:r w:rsidRPr="00380A1C">
        <w:t xml:space="preserve"> providers have a responsibility to provide </w:t>
      </w:r>
      <w:r>
        <w:t>individual</w:t>
      </w:r>
      <w:r w:rsidRPr="00380A1C">
        <w:t xml:space="preserve">s with a copy of the Statement of Rights before or when services commence, and to support </w:t>
      </w:r>
      <w:r>
        <w:t>individual</w:t>
      </w:r>
      <w:r w:rsidRPr="00380A1C">
        <w:t>s to understand the Statement of Rights.</w:t>
      </w:r>
    </w:p>
    <w:p w14:paraId="2D1DD28B" w14:textId="77777777" w:rsidR="00ED244E" w:rsidRDefault="00ED244E" w:rsidP="00F6483C">
      <w:r w:rsidRPr="00380A1C">
        <w:t xml:space="preserve">Providers must give </w:t>
      </w:r>
      <w:r>
        <w:t>individual</w:t>
      </w:r>
      <w:r w:rsidRPr="00380A1C">
        <w:t xml:space="preserve">s a copy of the Statement of Rights signed by the provider and ensure that the </w:t>
      </w:r>
      <w:r>
        <w:t>individual</w:t>
      </w:r>
      <w:r w:rsidRPr="00380A1C">
        <w:t xml:space="preserve"> or their authorised person has been given a reasonable opportunity to sign a copy of the Statement of Rights.</w:t>
      </w:r>
    </w:p>
    <w:p w14:paraId="6C22E8E6" w14:textId="77777777" w:rsidR="00ED244E" w:rsidRPr="00380A1C" w:rsidRDefault="00ED244E" w:rsidP="00F6483C">
      <w:r>
        <w:t xml:space="preserve">The Statement of Rights toolkit provides information for organisations to inform older people, their families and carers about the Statement of Rights under the Act.  The toolkit which includes links to the Statement of Rights is available at </w:t>
      </w:r>
      <w:hyperlink r:id="rId73" w:history="1">
        <w:r>
          <w:rPr>
            <w:rStyle w:val="Hyperlink"/>
          </w:rPr>
          <w:t>health.gov.au/resources/publications/stakeholder-communications-toolkit-on-the-statement-of-rights</w:t>
        </w:r>
      </w:hyperlink>
      <w:r>
        <w:t xml:space="preserve">. </w:t>
      </w:r>
    </w:p>
    <w:p w14:paraId="124DA78F" w14:textId="77777777" w:rsidR="00ED244E" w:rsidRDefault="00ED244E" w:rsidP="00ED244E">
      <w:pPr>
        <w:pStyle w:val="Heading4"/>
      </w:pPr>
      <w:bookmarkStart w:id="56" w:name="awareness"/>
      <w:bookmarkStart w:id="57" w:name="serviceagreements"/>
      <w:bookmarkStart w:id="58" w:name="_Service_Agreements"/>
      <w:bookmarkStart w:id="59" w:name="_Hlk207132552"/>
      <w:bookmarkStart w:id="60" w:name="_Toc208838001"/>
      <w:bookmarkEnd w:id="56"/>
      <w:bookmarkEnd w:id="57"/>
      <w:bookmarkEnd w:id="58"/>
      <w:r>
        <w:t>Service Agreements</w:t>
      </w:r>
      <w:bookmarkEnd w:id="59"/>
      <w:bookmarkEnd w:id="60"/>
    </w:p>
    <w:p w14:paraId="4821D0EC" w14:textId="77777777" w:rsidR="00ED244E" w:rsidRPr="00F6483C" w:rsidRDefault="00ED244E" w:rsidP="00F6483C">
      <w:r w:rsidRPr="00F6483C">
        <w:t xml:space="preserve">It is a condition of registration that a provider has a service agreement in place for </w:t>
      </w:r>
      <w:proofErr w:type="gramStart"/>
      <w:r w:rsidRPr="00F6483C">
        <w:t>each individual</w:t>
      </w:r>
      <w:proofErr w:type="gramEnd"/>
      <w:r w:rsidRPr="00F6483C">
        <w:t xml:space="preserve"> accessing funded aged care services. The service agreement is a legal contract between a provider and an individual that sets out the terms and conditions by which a provider will deliver services.</w:t>
      </w:r>
    </w:p>
    <w:p w14:paraId="5458BB82" w14:textId="77777777" w:rsidR="00ED244E" w:rsidRPr="00F6483C" w:rsidRDefault="00ED244E" w:rsidP="00F6483C">
      <w:r w:rsidRPr="00F6483C">
        <w:t>The service agreement outlines the rights and responsibilities of each party and lists the services that will be provided to the individual under the provider’s registration classification.</w:t>
      </w:r>
    </w:p>
    <w:p w14:paraId="6B1E58E5" w14:textId="77777777" w:rsidR="00ED244E" w:rsidRPr="00F6483C" w:rsidRDefault="00ED244E" w:rsidP="00F6483C">
      <w:r w:rsidRPr="00F6483C">
        <w:t>The service provider and individual must enter into a service agreement before services can be delivered. This should happen on or before the individual’s start day.</w:t>
      </w:r>
    </w:p>
    <w:p w14:paraId="06452DE6" w14:textId="77777777" w:rsidR="00ED244E" w:rsidRPr="00F6483C" w:rsidRDefault="00ED244E" w:rsidP="00F6483C">
      <w:r w:rsidRPr="00F6483C">
        <w:t>If the individual has started services under the alternative entry pathway, the NATSIFACP provider has 28 days from the start of services to enter into both a service agreement and a care and services plan.</w:t>
      </w:r>
    </w:p>
    <w:p w14:paraId="26FE88D4" w14:textId="1AD43F87" w:rsidR="00ED244E" w:rsidRPr="00F6483C" w:rsidRDefault="00ED244E" w:rsidP="00F6483C">
      <w:r w:rsidRPr="00F6483C">
        <w:t xml:space="preserve">For more information about the requirements for Service Agreements, please refer to of the Aged Care Rules 2025 at </w:t>
      </w:r>
      <w:hyperlink r:id="rId74" w:history="1">
        <w:r w:rsidRPr="00943806">
          <w:rPr>
            <w:rStyle w:val="Hyperlink"/>
          </w:rPr>
          <w:t>https://www.legislation.gov.au/F2025L01173/latest/text</w:t>
        </w:r>
      </w:hyperlink>
      <w:r w:rsidRPr="00F6483C">
        <w:t>.</w:t>
      </w:r>
      <w:r w:rsidRPr="00F6483C">
        <w:rPr>
          <w:vertAlign w:val="superscript"/>
        </w:rPr>
        <w:t xml:space="preserve"> </w:t>
      </w:r>
      <w:r w:rsidRPr="00F6483C">
        <w:rPr>
          <w:rStyle w:val="FootnoteReference"/>
          <w:color w:val="1E1545"/>
        </w:rPr>
        <w:footnoteReference w:id="8"/>
      </w:r>
      <w:r w:rsidRPr="00F6483C">
        <w:t xml:space="preserve"> </w:t>
      </w:r>
    </w:p>
    <w:p w14:paraId="0DD3F04E" w14:textId="77777777" w:rsidR="00ED244E" w:rsidRDefault="00ED244E" w:rsidP="00ED244E">
      <w:pPr>
        <w:pStyle w:val="Heading3"/>
      </w:pPr>
      <w:bookmarkStart w:id="61" w:name="care_and_services_plan"/>
      <w:bookmarkStart w:id="62" w:name="_Care_and_services"/>
      <w:bookmarkStart w:id="63" w:name="_Toc208838002"/>
      <w:bookmarkEnd w:id="61"/>
      <w:bookmarkEnd w:id="62"/>
      <w:r>
        <w:t>Care and services plans</w:t>
      </w:r>
      <w:bookmarkStart w:id="64" w:name="_Hlk207137818"/>
      <w:bookmarkEnd w:id="63"/>
    </w:p>
    <w:p w14:paraId="16B69829" w14:textId="77777777" w:rsidR="00ED244E" w:rsidRDefault="00ED244E" w:rsidP="00ED244E">
      <w:r>
        <w:t xml:space="preserve">Care and services plans are a key resource that document an individual’s care needs, goals and preferences. </w:t>
      </w:r>
    </w:p>
    <w:p w14:paraId="75F81CBB" w14:textId="77777777" w:rsidR="00ED244E" w:rsidRPr="00AF6051" w:rsidRDefault="00ED244E" w:rsidP="00ED244E">
      <w:pPr>
        <w:rPr>
          <w:rFonts w:cs="Arial"/>
        </w:rPr>
      </w:pPr>
      <w:r w:rsidRPr="00AF6051">
        <w:rPr>
          <w:rFonts w:cs="Arial"/>
        </w:rPr>
        <w:t>Care and services plans guide the provision of care to ensure that the provider and aged care staff:</w:t>
      </w:r>
    </w:p>
    <w:p w14:paraId="4A7328D8" w14:textId="77777777" w:rsidR="00ED244E" w:rsidRDefault="00ED244E" w:rsidP="00D82385">
      <w:pPr>
        <w:pStyle w:val="ListBullet"/>
      </w:pPr>
      <w:r>
        <w:t xml:space="preserve">meet the documented </w:t>
      </w:r>
      <w:bookmarkEnd w:id="64"/>
      <w:r>
        <w:t>care needs, goals, and preferences</w:t>
      </w:r>
    </w:p>
    <w:p w14:paraId="3EF2CA80" w14:textId="77777777" w:rsidR="00ED244E" w:rsidRDefault="00ED244E" w:rsidP="00D82385">
      <w:pPr>
        <w:pStyle w:val="ListBullet"/>
      </w:pPr>
      <w:r>
        <w:t>optimise quality of life, reablement and maintenance of function, and</w:t>
      </w:r>
    </w:p>
    <w:p w14:paraId="034F56C9" w14:textId="77777777" w:rsidR="00ED244E" w:rsidRDefault="00ED244E" w:rsidP="00D82385">
      <w:pPr>
        <w:pStyle w:val="ListBullet"/>
      </w:pPr>
      <w:r>
        <w:t>receive culturally safe, trauma aware and healing informed care.</w:t>
      </w:r>
    </w:p>
    <w:p w14:paraId="15C11F09" w14:textId="77777777" w:rsidR="00ED244E" w:rsidRDefault="00ED244E" w:rsidP="00ED244E">
      <w:r>
        <w:t>Care and services plans are person-centred and are used to formalise an individual’s choice and control over their services, unlike service agreements, which focus on terms and conditions of service and the rights and responsibilities of both parties.</w:t>
      </w:r>
    </w:p>
    <w:p w14:paraId="2CD050B9" w14:textId="77777777" w:rsidR="00ED244E" w:rsidRDefault="00ED244E" w:rsidP="00ED244E">
      <w:r>
        <w:t xml:space="preserve">The care and services plan </w:t>
      </w:r>
      <w:proofErr w:type="gramStart"/>
      <w:r>
        <w:t>is</w:t>
      </w:r>
      <w:proofErr w:type="gramEnd"/>
      <w:r>
        <w:t xml:space="preserve"> a living document that will change in line with the individual’s needs, goals, preferences and situation. It must be provided to the individual when it is developed, any time it is updated and if the individual asks for it.  </w:t>
      </w:r>
    </w:p>
    <w:p w14:paraId="4EB59961" w14:textId="77777777" w:rsidR="00ED244E" w:rsidRDefault="00ED244E" w:rsidP="00ED244E">
      <w:r>
        <w:t>Providers must work with in collaboration with the individual, their registered supporters and other persons involved in their care to develop a care and services plan. It must be informed by the Notice of Decision and Support Plan generated during the aged care needs assessment, and done:</w:t>
      </w:r>
    </w:p>
    <w:p w14:paraId="27CA05B7" w14:textId="77777777" w:rsidR="00ED244E" w:rsidRPr="00E56982" w:rsidRDefault="00ED244E" w:rsidP="00D82385">
      <w:pPr>
        <w:pStyle w:val="ListBullet"/>
      </w:pPr>
      <w:r w:rsidRPr="00E56982">
        <w:t xml:space="preserve">on or before the individual’s start day, or </w:t>
      </w:r>
    </w:p>
    <w:p w14:paraId="0C4A1167" w14:textId="77777777" w:rsidR="00ED244E" w:rsidRPr="00E56982" w:rsidRDefault="00ED244E" w:rsidP="00D82385">
      <w:pPr>
        <w:pStyle w:val="ListBullet"/>
      </w:pPr>
      <w:r w:rsidRPr="00E56982">
        <w:t>if the individual has started services under the alternative entry pathway, within 28 days after services commence.</w:t>
      </w:r>
    </w:p>
    <w:p w14:paraId="108A60AE" w14:textId="77777777" w:rsidR="00ED244E" w:rsidRPr="0004735F" w:rsidRDefault="00ED244E" w:rsidP="00ED244E">
      <w:pPr>
        <w:rPr>
          <w:color w:val="2FA2A6" w:themeColor="text2"/>
        </w:rPr>
      </w:pPr>
      <w:r w:rsidRPr="00AF1894">
        <w:t xml:space="preserve">Please view the Commission’s Care and Services Fact Sheet for detailed information: </w:t>
      </w:r>
      <w:hyperlink r:id="rId75" w:history="1">
        <w:r w:rsidRPr="0071230B">
          <w:rPr>
            <w:rStyle w:val="Hyperlink"/>
          </w:rPr>
          <w:t>AgedCareQuality.gov.au/sites/default/files/media/standard-3-care-and-services-provider-fact-sheet.pdf</w:t>
        </w:r>
      </w:hyperlink>
      <w:r>
        <w:rPr>
          <w:color w:val="2FA2A6" w:themeColor="text2"/>
        </w:rPr>
        <w:t>.</w:t>
      </w:r>
    </w:p>
    <w:p w14:paraId="27ABB8E5" w14:textId="77777777" w:rsidR="00ED244E" w:rsidRDefault="00ED244E" w:rsidP="00ED244E">
      <w:pPr>
        <w:pStyle w:val="Heading3"/>
      </w:pPr>
      <w:bookmarkStart w:id="65" w:name="_Toc208838003"/>
      <w:r>
        <w:t>Individual discharge from the service</w:t>
      </w:r>
      <w:bookmarkStart w:id="66" w:name="_Hlk207139005"/>
      <w:bookmarkEnd w:id="65"/>
    </w:p>
    <w:p w14:paraId="158FE790" w14:textId="77777777" w:rsidR="00AB2D72" w:rsidRDefault="00AB2D72" w:rsidP="00AB2D72">
      <w:pPr>
        <w:pStyle w:val="Heading4"/>
      </w:pPr>
      <w:r>
        <w:t>Security of tenure</w:t>
      </w:r>
    </w:p>
    <w:p w14:paraId="4CB33077" w14:textId="77777777" w:rsidR="00AB2D72" w:rsidRDefault="00AB2D72" w:rsidP="00AB2D72">
      <w:r>
        <w:t xml:space="preserve">All </w:t>
      </w:r>
      <w:r w:rsidRPr="00355A19">
        <w:t>NATSIFACP care</w:t>
      </w:r>
      <w:r>
        <w:t xml:space="preserve"> recipients are entitled to security of tenure. NATSIFACP residential providers may only ask an individual to leave a residential care home in </w:t>
      </w:r>
      <w:hyperlink r:id="rId76" w:history="1">
        <w:r w:rsidRPr="003671F9">
          <w:rPr>
            <w:rStyle w:val="Hyperlink"/>
          </w:rPr>
          <w:t>certain circumstances</w:t>
        </w:r>
      </w:hyperlink>
      <w:r>
        <w:t xml:space="preserve"> that are outlined on the departments website. Circumstances under which an individual may be asked to leave a residential home must be outlined in their service agreement.</w:t>
      </w:r>
    </w:p>
    <w:p w14:paraId="11572511" w14:textId="77777777" w:rsidR="00AB2D72" w:rsidRDefault="00AB2D72" w:rsidP="00AB2D72">
      <w:r>
        <w:t>NATSIFACP providers must ensure that alternative accommodation is available with another registered aged care provider before asking an individual to leave the home. This accommodation must be affordable for the individual and meet their assessed needs.</w:t>
      </w:r>
    </w:p>
    <w:p w14:paraId="3CBB87F8" w14:textId="77777777" w:rsidR="003E1F4E" w:rsidRPr="00A51B4F" w:rsidRDefault="003E1F4E" w:rsidP="00A51B4F">
      <w:r w:rsidRPr="00A51B4F">
        <w:br w:type="page"/>
      </w:r>
    </w:p>
    <w:p w14:paraId="57D4909D" w14:textId="28AAD509" w:rsidR="003F4D55" w:rsidRDefault="003F4D55" w:rsidP="003F4D55">
      <w:pPr>
        <w:pStyle w:val="Heading4"/>
      </w:pPr>
      <w:r>
        <w:t>Ceasing delivery of services to an individual</w:t>
      </w:r>
    </w:p>
    <w:p w14:paraId="1859F7FD" w14:textId="5B7A366B" w:rsidR="00AB2D72" w:rsidRDefault="00AB2D72" w:rsidP="00AB2D72">
      <w:r w:rsidRPr="00653025">
        <w:t>When a</w:t>
      </w:r>
      <w:r>
        <w:t>n</w:t>
      </w:r>
      <w:r w:rsidRPr="00653025">
        <w:t xml:space="preserve"> </w:t>
      </w:r>
      <w:r>
        <w:t>individual</w:t>
      </w:r>
      <w:r w:rsidRPr="00653025">
        <w:t xml:space="preserve"> </w:t>
      </w:r>
      <w:r>
        <w:t xml:space="preserve">first </w:t>
      </w:r>
      <w:r w:rsidRPr="00653025">
        <w:t xml:space="preserve">commences with </w:t>
      </w:r>
      <w:r>
        <w:t>a</w:t>
      </w:r>
      <w:r w:rsidRPr="00653025">
        <w:t xml:space="preserve"> service, the service provider should explain that </w:t>
      </w:r>
      <w:r>
        <w:t>they</w:t>
      </w:r>
      <w:r w:rsidRPr="00653025">
        <w:t xml:space="preserve"> might have to transfer out of the service at some stage if they no longer need care or if their care needs increase beyond the resources available to the service provider.</w:t>
      </w:r>
      <w:r w:rsidRPr="003F4D55">
        <w:t xml:space="preserve"> </w:t>
      </w:r>
    </w:p>
    <w:p w14:paraId="01E10030" w14:textId="766D34F8" w:rsidR="00ED244E" w:rsidRDefault="003F4D55" w:rsidP="00ED244E">
      <w:r>
        <w:t xml:space="preserve">A registered provider must not cease the delivery of </w:t>
      </w:r>
      <w:r w:rsidR="00ED244E">
        <w:t xml:space="preserve">NATSIFACP services </w:t>
      </w:r>
      <w:r>
        <w:t>to an individual unless:</w:t>
      </w:r>
      <w:r w:rsidR="00ED244E">
        <w:rPr>
          <w:rStyle w:val="FootnoteReference"/>
        </w:rPr>
        <w:footnoteReference w:id="9"/>
      </w:r>
    </w:p>
    <w:p w14:paraId="3317E6BC" w14:textId="77777777" w:rsidR="003F4D55" w:rsidRDefault="003F4D55" w:rsidP="00D82385">
      <w:pPr>
        <w:pStyle w:val="ListBullet"/>
      </w:pPr>
      <w:r w:rsidRPr="003F4D55">
        <w:t>the individual cannot be cared for in the home or community with the resources available to the provider; or</w:t>
      </w:r>
    </w:p>
    <w:p w14:paraId="186285B4" w14:textId="70B8F34C" w:rsidR="003F4D55" w:rsidRPr="003F4D55" w:rsidRDefault="003F4D55" w:rsidP="00D82385">
      <w:pPr>
        <w:pStyle w:val="ListBullet"/>
      </w:pPr>
      <w:r w:rsidRPr="003F4D55">
        <w:t>the individual’s condition changes to the extent that:</w:t>
      </w:r>
    </w:p>
    <w:p w14:paraId="16B010C0" w14:textId="66922046" w:rsidR="003F4D55" w:rsidRPr="003F4D55" w:rsidRDefault="003F4D55" w:rsidP="002F6B13">
      <w:pPr>
        <w:pStyle w:val="ListBullet"/>
        <w:numPr>
          <w:ilvl w:val="1"/>
          <w:numId w:val="40"/>
        </w:numPr>
      </w:pPr>
      <w:r w:rsidRPr="003F4D55">
        <w:t>the individual no longer needs the funded aged care services delivered by the provider; or</w:t>
      </w:r>
    </w:p>
    <w:p w14:paraId="7B7F5EBA" w14:textId="4BAB2522" w:rsidR="003F4D55" w:rsidRPr="003F4D55" w:rsidRDefault="003F4D55" w:rsidP="002F6B13">
      <w:pPr>
        <w:pStyle w:val="ListBullet"/>
        <w:numPr>
          <w:ilvl w:val="1"/>
          <w:numId w:val="40"/>
        </w:numPr>
      </w:pPr>
      <w:r w:rsidRPr="003F4D55">
        <w:t>the individual’s needs, as assessed by an approved needs assessor, can be more appropriately met by other types of funded aged care services; or</w:t>
      </w:r>
    </w:p>
    <w:p w14:paraId="606202A0" w14:textId="736A82D0" w:rsidR="003F4D55" w:rsidRPr="003F4D55" w:rsidRDefault="003F4D55" w:rsidP="00D82385">
      <w:pPr>
        <w:pStyle w:val="ListBullet"/>
      </w:pPr>
      <w:r w:rsidRPr="003F4D55">
        <w:t> the individual has:</w:t>
      </w:r>
    </w:p>
    <w:p w14:paraId="2B0B941C" w14:textId="68CD5F18" w:rsidR="003F4D55" w:rsidRPr="003F4D55" w:rsidRDefault="003F4D55" w:rsidP="002F6B13">
      <w:pPr>
        <w:pStyle w:val="ListBullet"/>
        <w:numPr>
          <w:ilvl w:val="1"/>
          <w:numId w:val="40"/>
        </w:numPr>
      </w:pPr>
      <w:r w:rsidRPr="003F4D55">
        <w:t> intentionally caused serious injury to an aged care worker of the provider; or</w:t>
      </w:r>
    </w:p>
    <w:p w14:paraId="763DC3CB" w14:textId="237154CA" w:rsidR="003F4D55" w:rsidRPr="003F4D55" w:rsidRDefault="003F4D55" w:rsidP="002F6B13">
      <w:pPr>
        <w:pStyle w:val="ListBullet"/>
        <w:numPr>
          <w:ilvl w:val="1"/>
          <w:numId w:val="40"/>
        </w:numPr>
      </w:pPr>
      <w:r w:rsidRPr="003F4D55">
        <w:t> intentionally infringed the right of an aged care worker of the provider to work in a safe environment; or</w:t>
      </w:r>
    </w:p>
    <w:p w14:paraId="3A8D49D8" w14:textId="7AA5C99C" w:rsidR="003F4D55" w:rsidRPr="003F4D55" w:rsidRDefault="003F4D55" w:rsidP="00D82385">
      <w:pPr>
        <w:pStyle w:val="ListBullet"/>
      </w:pPr>
      <w:r w:rsidRPr="003F4D55">
        <w:t> the individual:</w:t>
      </w:r>
    </w:p>
    <w:p w14:paraId="5956AA20" w14:textId="649704B2" w:rsidR="003F4D55" w:rsidRPr="003F4D55" w:rsidRDefault="003F4D55" w:rsidP="002F6B13">
      <w:pPr>
        <w:pStyle w:val="ListBullet"/>
        <w:numPr>
          <w:ilvl w:val="1"/>
          <w:numId w:val="40"/>
        </w:numPr>
      </w:pPr>
      <w:r w:rsidRPr="003F4D55">
        <w:t> has not paid to the provider, for a reason within the individual’s control, any fee or contribution specified in the service agreement between the individual and the provider; and</w:t>
      </w:r>
    </w:p>
    <w:p w14:paraId="6CC9727A" w14:textId="458B577F" w:rsidR="003F4D55" w:rsidRPr="003F4D55" w:rsidRDefault="003F4D55" w:rsidP="002F6B13">
      <w:pPr>
        <w:pStyle w:val="ListBullet"/>
        <w:numPr>
          <w:ilvl w:val="1"/>
          <w:numId w:val="40"/>
        </w:numPr>
      </w:pPr>
      <w:r w:rsidRPr="003F4D55">
        <w:t> has not negotiated an alternative arrangement with the provider for payment of the fee or contribution; and</w:t>
      </w:r>
    </w:p>
    <w:p w14:paraId="07399EE5" w14:textId="2F69BE32" w:rsidR="003F4D55" w:rsidRPr="003F4D55" w:rsidRDefault="003F4D55" w:rsidP="002F6B13">
      <w:pPr>
        <w:pStyle w:val="ListBullet"/>
        <w:numPr>
          <w:ilvl w:val="1"/>
          <w:numId w:val="40"/>
        </w:numPr>
      </w:pPr>
      <w:r w:rsidRPr="003F4D55">
        <w:t> if the individual is accessing the services other than under a specialist aged care program—has no application for the fee reduction supplement in place; or</w:t>
      </w:r>
    </w:p>
    <w:p w14:paraId="4891724F" w14:textId="4FA75DB9" w:rsidR="003F4D55" w:rsidRPr="003F4D55" w:rsidRDefault="003F4D55" w:rsidP="00D82385">
      <w:pPr>
        <w:pStyle w:val="ListBullet"/>
      </w:pPr>
      <w:r w:rsidRPr="003F4D55">
        <w:t xml:space="preserve">the individual notifies the provider, in writing, that </w:t>
      </w:r>
      <w:r>
        <w:t>they</w:t>
      </w:r>
      <w:r w:rsidRPr="003F4D55">
        <w:t xml:space="preserve"> wish to move to a location where funded aged care services are not delivered by the provider; or</w:t>
      </w:r>
    </w:p>
    <w:p w14:paraId="0EDB269B" w14:textId="5B5D8DDE" w:rsidR="003F4D55" w:rsidRPr="003F4D55" w:rsidRDefault="003F4D55" w:rsidP="00D82385">
      <w:pPr>
        <w:pStyle w:val="ListBullet"/>
      </w:pPr>
      <w:r w:rsidRPr="003F4D55">
        <w:t> the individual notifies the provider, in writing, that the individual no longer wishes to receive funded aged care services from the provider.</w:t>
      </w:r>
    </w:p>
    <w:p w14:paraId="6D1C5AA2" w14:textId="77777777" w:rsidR="00ED244E" w:rsidRDefault="00ED244E" w:rsidP="00ED244E">
      <w:pPr>
        <w:pStyle w:val="Heading4"/>
      </w:pPr>
      <w:bookmarkStart w:id="67" w:name="Securityoftenure"/>
      <w:bookmarkEnd w:id="66"/>
      <w:bookmarkEnd w:id="67"/>
      <w:r>
        <w:t>Notification of ceasing services for individuals</w:t>
      </w:r>
    </w:p>
    <w:p w14:paraId="73CDE1AC" w14:textId="77777777" w:rsidR="00ED244E" w:rsidRDefault="00ED244E" w:rsidP="00ED244E">
      <w:r>
        <w:t>If a NATSIFACP provider intends to stop delivering services to an individual, they must provide written notice to the individual at least 14 days before services stop.</w:t>
      </w:r>
    </w:p>
    <w:p w14:paraId="3C57882F" w14:textId="77777777" w:rsidR="00ED244E" w:rsidRDefault="00ED244E" w:rsidP="00ED244E">
      <w:r>
        <w:t>This written notice must include:</w:t>
      </w:r>
    </w:p>
    <w:p w14:paraId="051040EE" w14:textId="77777777" w:rsidR="00ED244E" w:rsidRDefault="00ED244E" w:rsidP="00D82385">
      <w:pPr>
        <w:pStyle w:val="ListBullet"/>
      </w:pPr>
      <w:r>
        <w:t>the decision to stop services and the reason for this decision</w:t>
      </w:r>
    </w:p>
    <w:p w14:paraId="5B97935F" w14:textId="77777777" w:rsidR="00ED244E" w:rsidRDefault="00ED244E" w:rsidP="00D82385">
      <w:pPr>
        <w:pStyle w:val="ListBullet"/>
      </w:pPr>
      <w:r>
        <w:t>the date services will stop (or the date they are to leave the residential home)</w:t>
      </w:r>
    </w:p>
    <w:p w14:paraId="60FD8418" w14:textId="77777777" w:rsidR="00ED244E" w:rsidRDefault="00ED244E" w:rsidP="00D82385">
      <w:pPr>
        <w:pStyle w:val="ListBullet"/>
      </w:pPr>
      <w:r>
        <w:t>the individual’s rights, including</w:t>
      </w:r>
    </w:p>
    <w:p w14:paraId="78C16BBA" w14:textId="77777777" w:rsidR="00ED244E" w:rsidRDefault="00ED244E" w:rsidP="00211F5B">
      <w:pPr>
        <w:pStyle w:val="ListBullet"/>
        <w:numPr>
          <w:ilvl w:val="1"/>
          <w:numId w:val="40"/>
        </w:numPr>
      </w:pPr>
      <w:r>
        <w:t>the provider’s complaints and feedback management system</w:t>
      </w:r>
    </w:p>
    <w:p w14:paraId="2F4EA4B3" w14:textId="77777777" w:rsidR="00ED244E" w:rsidRDefault="00ED244E" w:rsidP="00211F5B">
      <w:pPr>
        <w:pStyle w:val="ListBullet"/>
        <w:numPr>
          <w:ilvl w:val="1"/>
          <w:numId w:val="40"/>
        </w:numPr>
      </w:pPr>
      <w:r>
        <w:t>any other mechanisms available to address complaints</w:t>
      </w:r>
    </w:p>
    <w:p w14:paraId="771130AE" w14:textId="77777777" w:rsidR="00ED244E" w:rsidRDefault="00ED244E" w:rsidP="00211F5B">
      <w:pPr>
        <w:pStyle w:val="ListBullet"/>
        <w:numPr>
          <w:ilvl w:val="1"/>
          <w:numId w:val="40"/>
        </w:numPr>
      </w:pPr>
      <w:r>
        <w:t>independent aged care advocates</w:t>
      </w:r>
    </w:p>
    <w:p w14:paraId="69857241" w14:textId="34FC7AB1" w:rsidR="00ED244E" w:rsidRDefault="00ED244E" w:rsidP="00D82385">
      <w:pPr>
        <w:pStyle w:val="ListBullet"/>
      </w:pPr>
      <w:r w:rsidRPr="00215CC8">
        <w:t xml:space="preserve">a copy of the </w:t>
      </w:r>
      <w:r>
        <w:t>individual</w:t>
      </w:r>
      <w:r w:rsidRPr="00215CC8">
        <w:t>’s continuity of care plan (if continuing services elsewhere)</w:t>
      </w:r>
      <w:r w:rsidR="00AB2D72">
        <w:rPr>
          <w:rStyle w:val="FootnoteReference"/>
        </w:rPr>
        <w:footnoteReference w:id="10"/>
      </w:r>
      <w:r>
        <w:t>.</w:t>
      </w:r>
    </w:p>
    <w:p w14:paraId="3F7D08F2" w14:textId="77777777" w:rsidR="00ED244E" w:rsidRDefault="00ED244E" w:rsidP="00ED244E">
      <w:r w:rsidRPr="00215CC8">
        <w:t>If services are being stopped because of a</w:t>
      </w:r>
      <w:r>
        <w:t>n</w:t>
      </w:r>
      <w:r w:rsidRPr="00215CC8">
        <w:t xml:space="preserve"> </w:t>
      </w:r>
      <w:r>
        <w:t>individual</w:t>
      </w:r>
      <w:r w:rsidRPr="00215CC8">
        <w:t xml:space="preserve">’s behaviour, but </w:t>
      </w:r>
      <w:r>
        <w:t xml:space="preserve">after notification of cessation, </w:t>
      </w:r>
      <w:r w:rsidRPr="00215CC8">
        <w:t xml:space="preserve">that behaviour has improved to a point where </w:t>
      </w:r>
      <w:r>
        <w:t xml:space="preserve">the provider agrees that </w:t>
      </w:r>
      <w:r w:rsidRPr="00215CC8">
        <w:t xml:space="preserve">services can continue, </w:t>
      </w:r>
      <w:r>
        <w:t xml:space="preserve">the </w:t>
      </w:r>
      <w:r w:rsidRPr="00215CC8">
        <w:t xml:space="preserve">provider must also give the </w:t>
      </w:r>
      <w:r>
        <w:t>individual</w:t>
      </w:r>
      <w:r w:rsidRPr="00215CC8">
        <w:t xml:space="preserve"> written notice </w:t>
      </w:r>
      <w:r>
        <w:t xml:space="preserve">that </w:t>
      </w:r>
      <w:r w:rsidRPr="00215CC8">
        <w:t xml:space="preserve">services </w:t>
      </w:r>
      <w:r>
        <w:t xml:space="preserve">will </w:t>
      </w:r>
      <w:r w:rsidRPr="00215CC8">
        <w:t>continu</w:t>
      </w:r>
      <w:r>
        <w:t>e</w:t>
      </w:r>
      <w:r w:rsidRPr="00215CC8">
        <w:t>.</w:t>
      </w:r>
    </w:p>
    <w:p w14:paraId="3ACD03E1" w14:textId="77777777" w:rsidR="00ED244E" w:rsidRDefault="00ED244E" w:rsidP="00ED244E">
      <w:pPr>
        <w:pStyle w:val="Heading4"/>
      </w:pPr>
      <w:r>
        <w:t>Security of tenure – movement of individuals</w:t>
      </w:r>
    </w:p>
    <w:p w14:paraId="661AB204" w14:textId="77777777" w:rsidR="00ED244E" w:rsidRPr="00A51B4F" w:rsidRDefault="00ED244E" w:rsidP="00A51B4F">
      <w:r w:rsidRPr="00A51B4F">
        <w:t>A registered provider must not move an individual from one room (or part of a room) to another unless one of the following applies</w:t>
      </w:r>
      <w:r w:rsidRPr="00AC78EF">
        <w:rPr>
          <w:rStyle w:val="FootnoteTextChar"/>
        </w:rPr>
        <w:footnoteReference w:id="11"/>
      </w:r>
      <w:r w:rsidRPr="00A51B4F">
        <w:t>:</w:t>
      </w:r>
    </w:p>
    <w:p w14:paraId="292C3725" w14:textId="77777777" w:rsidR="00ED244E" w:rsidRPr="007F380D" w:rsidRDefault="00ED244E" w:rsidP="00A826EA">
      <w:pPr>
        <w:pStyle w:val="ListBullet"/>
      </w:pPr>
      <w:r>
        <w:t>t</w:t>
      </w:r>
      <w:r w:rsidRPr="007F380D">
        <w:t>he resident asks to move</w:t>
      </w:r>
    </w:p>
    <w:p w14:paraId="204C4B4E" w14:textId="77777777" w:rsidR="00ED244E" w:rsidRPr="007F380D" w:rsidRDefault="00ED244E" w:rsidP="00A826EA">
      <w:pPr>
        <w:pStyle w:val="ListBullet"/>
      </w:pPr>
      <w:r>
        <w:t>t</w:t>
      </w:r>
      <w:r w:rsidRPr="007F380D">
        <w:t>he resident agrees to the move after being properly consulted and without any pressure</w:t>
      </w:r>
    </w:p>
    <w:p w14:paraId="29F1A00A" w14:textId="77777777" w:rsidR="00ED244E" w:rsidRPr="007F380D" w:rsidRDefault="00ED244E" w:rsidP="00A826EA">
      <w:pPr>
        <w:pStyle w:val="ListBullet"/>
      </w:pPr>
      <w:r>
        <w:t>t</w:t>
      </w:r>
      <w:r w:rsidRPr="007F380D">
        <w:t>he move is needed for medical reasons, and this has been confirmed by:</w:t>
      </w:r>
    </w:p>
    <w:p w14:paraId="35957C05" w14:textId="77777777" w:rsidR="00ED244E" w:rsidRPr="007F380D" w:rsidRDefault="00ED244E" w:rsidP="00A826EA">
      <w:pPr>
        <w:pStyle w:val="ListBullet"/>
        <w:numPr>
          <w:ilvl w:val="1"/>
          <w:numId w:val="40"/>
        </w:numPr>
      </w:pPr>
      <w:r>
        <w:t>a</w:t>
      </w:r>
      <w:r w:rsidRPr="007F380D">
        <w:t>n approved assessor, or</w:t>
      </w:r>
    </w:p>
    <w:p w14:paraId="42C3A43B" w14:textId="77777777" w:rsidR="00ED244E" w:rsidRPr="007F380D" w:rsidRDefault="00ED244E" w:rsidP="00A826EA">
      <w:pPr>
        <w:pStyle w:val="ListBullet"/>
        <w:numPr>
          <w:ilvl w:val="1"/>
          <w:numId w:val="40"/>
        </w:numPr>
      </w:pPr>
      <w:r>
        <w:t>a</w:t>
      </w:r>
      <w:r w:rsidRPr="00A324FA">
        <w:t>t least t</w:t>
      </w:r>
      <w:r w:rsidRPr="007F380D">
        <w:t xml:space="preserve">wo qualified </w:t>
      </w:r>
      <w:r w:rsidRPr="00A324FA">
        <w:t xml:space="preserve">medical or other </w:t>
      </w:r>
      <w:r w:rsidRPr="007F380D">
        <w:t xml:space="preserve">health </w:t>
      </w:r>
      <w:r w:rsidRPr="00A324FA">
        <w:t>practitioners</w:t>
      </w:r>
    </w:p>
    <w:p w14:paraId="66805229" w14:textId="77777777" w:rsidR="00ED244E" w:rsidRPr="007F380D" w:rsidRDefault="00ED244E" w:rsidP="00A826EA">
      <w:pPr>
        <w:pStyle w:val="ListBullet"/>
      </w:pPr>
      <w:r>
        <w:t>t</w:t>
      </w:r>
      <w:r w:rsidRPr="007F380D">
        <w:t xml:space="preserve">he resident is in a specialist dementia care program, and the clinical advisory </w:t>
      </w:r>
      <w:r w:rsidRPr="00A324FA">
        <w:t>committee</w:t>
      </w:r>
      <w:r w:rsidRPr="007F380D">
        <w:t xml:space="preserve"> decides the current room is no longer suitable</w:t>
      </w:r>
    </w:p>
    <w:p w14:paraId="63DCC9DB" w14:textId="77777777" w:rsidR="00ED244E" w:rsidRPr="007F380D" w:rsidRDefault="00ED244E" w:rsidP="00A826EA">
      <w:pPr>
        <w:pStyle w:val="ListBullet"/>
      </w:pPr>
      <w:r>
        <w:t>r</w:t>
      </w:r>
      <w:r w:rsidRPr="007F380D">
        <w:t xml:space="preserve">epairs or </w:t>
      </w:r>
      <w:r w:rsidRPr="00A324FA">
        <w:t>improvements</w:t>
      </w:r>
      <w:r w:rsidRPr="007F380D">
        <w:t xml:space="preserve"> need to be done </w:t>
      </w:r>
      <w:r w:rsidRPr="00A324FA">
        <w:t>to</w:t>
      </w:r>
      <w:r w:rsidRPr="007F380D">
        <w:t xml:space="preserve"> the room, and the resident has the right to return once the work is finished</w:t>
      </w:r>
      <w:r w:rsidRPr="00A324FA">
        <w:t xml:space="preserve"> (if it still exists)</w:t>
      </w:r>
    </w:p>
    <w:p w14:paraId="2838C408" w14:textId="77777777" w:rsidR="00ED244E" w:rsidRPr="007F380D" w:rsidRDefault="00ED244E" w:rsidP="00A826EA">
      <w:pPr>
        <w:pStyle w:val="ListBullet"/>
      </w:pPr>
      <w:r>
        <w:t>t</w:t>
      </w:r>
      <w:r w:rsidRPr="007F380D">
        <w:t>here’s an emergency, such as:</w:t>
      </w:r>
    </w:p>
    <w:p w14:paraId="24C528D8" w14:textId="77777777" w:rsidR="00ED244E" w:rsidRPr="007F380D" w:rsidRDefault="00ED244E" w:rsidP="00A826EA">
      <w:pPr>
        <w:pStyle w:val="ListBullet"/>
        <w:numPr>
          <w:ilvl w:val="1"/>
          <w:numId w:val="40"/>
        </w:numPr>
      </w:pPr>
      <w:r>
        <w:t>a</w:t>
      </w:r>
      <w:r w:rsidRPr="007F380D">
        <w:t xml:space="preserve"> serious </w:t>
      </w:r>
      <w:r w:rsidRPr="00A324FA">
        <w:t>medical situation</w:t>
      </w:r>
      <w:r w:rsidRPr="007F380D">
        <w:t xml:space="preserve"> (like a</w:t>
      </w:r>
      <w:r w:rsidRPr="00A324FA">
        <w:t xml:space="preserve"> disease outbreak,</w:t>
      </w:r>
      <w:r w:rsidRPr="007F380D">
        <w:t xml:space="preserve"> pandemic</w:t>
      </w:r>
      <w:r w:rsidRPr="00A324FA">
        <w:t xml:space="preserve"> or epidemic</w:t>
      </w:r>
      <w:r w:rsidRPr="007F380D">
        <w:t>)</w:t>
      </w:r>
    </w:p>
    <w:p w14:paraId="3ABCBA50" w14:textId="77777777" w:rsidR="00ED244E" w:rsidRPr="007F380D" w:rsidRDefault="00ED244E" w:rsidP="00A826EA">
      <w:pPr>
        <w:pStyle w:val="ListBullet"/>
        <w:numPr>
          <w:ilvl w:val="1"/>
          <w:numId w:val="40"/>
        </w:numPr>
      </w:pPr>
      <w:r>
        <w:t>a</w:t>
      </w:r>
      <w:r w:rsidRPr="007F380D">
        <w:t xml:space="preserve"> safety threat (like a fire or flood)</w:t>
      </w:r>
    </w:p>
    <w:p w14:paraId="754472B7" w14:textId="77777777" w:rsidR="00ED244E" w:rsidRPr="007F380D" w:rsidRDefault="00ED244E" w:rsidP="009F331A">
      <w:pPr>
        <w:pStyle w:val="ListBullet"/>
        <w:numPr>
          <w:ilvl w:val="1"/>
          <w:numId w:val="40"/>
        </w:numPr>
      </w:pPr>
      <w:r>
        <w:t xml:space="preserve">the individual has been repeatedly violent towards or </w:t>
      </w:r>
      <w:proofErr w:type="gramStart"/>
      <w:r>
        <w:t>in close proximity to</w:t>
      </w:r>
      <w:proofErr w:type="gramEnd"/>
      <w:r>
        <w:t xml:space="preserve"> another person in the same room.</w:t>
      </w:r>
    </w:p>
    <w:p w14:paraId="5DF1C6A6" w14:textId="77777777" w:rsidR="00ED244E" w:rsidRDefault="00ED244E" w:rsidP="00ED244E">
      <w:pPr>
        <w:pStyle w:val="Heading4"/>
      </w:pPr>
      <w:r>
        <w:t>Continuity of care plan (residential)</w:t>
      </w:r>
    </w:p>
    <w:p w14:paraId="1F5EA500" w14:textId="77777777" w:rsidR="00ED244E" w:rsidRDefault="00ED244E" w:rsidP="00ED244E">
      <w:r>
        <w:t>For individuals moving out of a residential care home and into another, a continuity of care plan also needs to be developed.</w:t>
      </w:r>
      <w:r>
        <w:rPr>
          <w:rStyle w:val="FootnoteReference"/>
        </w:rPr>
        <w:footnoteReference w:id="12"/>
      </w:r>
    </w:p>
    <w:p w14:paraId="0CECAA8C" w14:textId="77777777" w:rsidR="00ED244E" w:rsidRDefault="00ED244E" w:rsidP="00ED244E">
      <w:r>
        <w:t>This plan must include:</w:t>
      </w:r>
    </w:p>
    <w:p w14:paraId="6E578384" w14:textId="77777777" w:rsidR="00ED244E" w:rsidRDefault="00ED244E" w:rsidP="00D82385">
      <w:pPr>
        <w:pStyle w:val="ListBullet"/>
      </w:pPr>
      <w:r>
        <w:t>details of any suitable alternative accommodation that is available with alternative registered providers</w:t>
      </w:r>
    </w:p>
    <w:p w14:paraId="2E5D43CF" w14:textId="77777777" w:rsidR="00ED244E" w:rsidRDefault="00ED244E" w:rsidP="00D82385">
      <w:pPr>
        <w:pStyle w:val="ListBullet"/>
      </w:pPr>
      <w:r>
        <w:t>the steps the NATSIFACP provider has taken to ensure that any alternative accommodation meets the individual’s needs</w:t>
      </w:r>
    </w:p>
    <w:p w14:paraId="4AFF228E" w14:textId="77777777" w:rsidR="00ED244E" w:rsidRDefault="00ED244E" w:rsidP="00D82385">
      <w:pPr>
        <w:pStyle w:val="ListBullet"/>
      </w:pPr>
      <w:r>
        <w:t>how records that will ensure continuity of care will be transferred to the alternative registered provider, if required</w:t>
      </w:r>
    </w:p>
    <w:p w14:paraId="38DD90EE" w14:textId="77777777" w:rsidR="00ED244E" w:rsidRDefault="00ED244E" w:rsidP="00D82385">
      <w:pPr>
        <w:pStyle w:val="ListBullet"/>
      </w:pPr>
      <w:r>
        <w:t>the intended start date (if any) with the suitable alternative registered provider</w:t>
      </w:r>
    </w:p>
    <w:p w14:paraId="270DD128" w14:textId="77777777" w:rsidR="00ED244E" w:rsidRDefault="00ED244E" w:rsidP="00D82385">
      <w:pPr>
        <w:pStyle w:val="ListBullet"/>
      </w:pPr>
      <w:r>
        <w:t>if the individual does not intend to continue accessing funded aged care services with an alternative registered provider, the reason for this</w:t>
      </w:r>
    </w:p>
    <w:p w14:paraId="581DA513" w14:textId="77777777" w:rsidR="00ED244E" w:rsidRDefault="00ED244E" w:rsidP="00D82385">
      <w:pPr>
        <w:pStyle w:val="ListBullet"/>
      </w:pPr>
      <w:r>
        <w:t>the way in which the registered provider proposes to help the individual move (with their personal possessions)</w:t>
      </w:r>
    </w:p>
    <w:p w14:paraId="0452B6ED" w14:textId="77777777" w:rsidR="00ED244E" w:rsidRDefault="00ED244E" w:rsidP="00D82385">
      <w:pPr>
        <w:pStyle w:val="ListBullet"/>
      </w:pPr>
      <w:r>
        <w:t>t</w:t>
      </w:r>
      <w:r w:rsidRPr="00802A95">
        <w:t xml:space="preserve">he measures the registered provider proposes to take to refund any fees or contributions to the individual as required </w:t>
      </w:r>
      <w:r>
        <w:t xml:space="preserve">by </w:t>
      </w:r>
      <w:r w:rsidRPr="00802A95">
        <w:t>the Act</w:t>
      </w:r>
      <w:r>
        <w:t>.</w:t>
      </w:r>
      <w:r>
        <w:rPr>
          <w:rStyle w:val="FootnoteReference"/>
        </w:rPr>
        <w:footnoteReference w:id="13"/>
      </w:r>
    </w:p>
    <w:p w14:paraId="74406096" w14:textId="77777777" w:rsidR="00ED244E" w:rsidRDefault="00ED244E" w:rsidP="00ED244E">
      <w:pPr>
        <w:pStyle w:val="Heading4"/>
      </w:pPr>
      <w:r>
        <w:t>Transferring records</w:t>
      </w:r>
    </w:p>
    <w:p w14:paraId="64C64710" w14:textId="77777777" w:rsidR="00ED244E" w:rsidRDefault="00ED244E" w:rsidP="00ED244E">
      <w:r>
        <w:t xml:space="preserve">If a registered provider (the outgoing provider) ceases to deliver services to an individual and another registered provider (the incoming provider) starts service delivery to that person, the incoming provider may request the outgoing provider to give records relating to the individual that are necessary to ensure continuity of care. </w:t>
      </w:r>
    </w:p>
    <w:p w14:paraId="25A1124C" w14:textId="52549F12" w:rsidR="00ED244E" w:rsidRPr="0005135D" w:rsidRDefault="00ED244E" w:rsidP="00ED244E">
      <w:r>
        <w:t xml:space="preserve">If requested, original or copies of the records must be provided within 28 days of the request from the incoming provider. If the outgoing provider is required to keep records under section 7 of the </w:t>
      </w:r>
      <w:proofErr w:type="gramStart"/>
      <w:r w:rsidRPr="007E0C4E">
        <w:rPr>
          <w:i/>
          <w:iCs/>
        </w:rPr>
        <w:t>Records</w:t>
      </w:r>
      <w:proofErr w:type="gramEnd"/>
      <w:r w:rsidRPr="007E0C4E">
        <w:rPr>
          <w:i/>
          <w:iCs/>
        </w:rPr>
        <w:t xml:space="preserve"> Principles 2014</w:t>
      </w:r>
      <w:r>
        <w:t xml:space="preserve"> or under rule 154-1</w:t>
      </w:r>
      <w:r w:rsidR="00705DF8">
        <w:t>0</w:t>
      </w:r>
      <w:r>
        <w:t xml:space="preserve">00 of the </w:t>
      </w:r>
      <w:r w:rsidRPr="0009337E">
        <w:t>Aged Care Rules 2025</w:t>
      </w:r>
      <w:r>
        <w:rPr>
          <w:i/>
          <w:iCs/>
        </w:rPr>
        <w:t xml:space="preserve"> </w:t>
      </w:r>
      <w:r>
        <w:t>concerning continuity of care, these must be provided to the incoming provider.</w:t>
      </w:r>
      <w:r>
        <w:rPr>
          <w:rStyle w:val="FootnoteReference"/>
        </w:rPr>
        <w:footnoteReference w:id="14"/>
      </w:r>
      <w:r>
        <w:t xml:space="preserve"> </w:t>
      </w:r>
    </w:p>
    <w:p w14:paraId="45C98092" w14:textId="77777777" w:rsidR="003E1F4E" w:rsidRPr="00A51B4F" w:rsidRDefault="003E1F4E" w:rsidP="00A51B4F">
      <w:bookmarkStart w:id="68" w:name="_Protection_of_personal"/>
      <w:bookmarkEnd w:id="68"/>
      <w:r w:rsidRPr="00A51B4F">
        <w:br w:type="page"/>
      </w:r>
    </w:p>
    <w:p w14:paraId="2F47AD26" w14:textId="015C1CCC" w:rsidR="00ED244E" w:rsidRDefault="00ED244E" w:rsidP="00ED244E">
      <w:pPr>
        <w:pStyle w:val="Heading3"/>
      </w:pPr>
      <w:r>
        <w:t>Protection of personal information</w:t>
      </w:r>
    </w:p>
    <w:p w14:paraId="6BCA65D7" w14:textId="35B9B5B8" w:rsidR="00ED244E" w:rsidRDefault="00862E24" w:rsidP="00ED244E">
      <w:r>
        <w:t xml:space="preserve">It is a condition of registration that a </w:t>
      </w:r>
      <w:r w:rsidR="00ED244E" w:rsidRPr="005F3107">
        <w:t>registered provider</w:t>
      </w:r>
      <w:r w:rsidR="001F69B7">
        <w:t xml:space="preserve"> must</w:t>
      </w:r>
      <w:r w:rsidR="00ED244E" w:rsidRPr="005F3107">
        <w:t xml:space="preserve"> </w:t>
      </w:r>
      <w:r w:rsidR="00ED244E">
        <w:t xml:space="preserve">take measures to </w:t>
      </w:r>
      <w:r w:rsidR="00ED244E" w:rsidRPr="005F3107">
        <w:t>safeguard individuals' personal data</w:t>
      </w:r>
      <w:r w:rsidR="00ED244E">
        <w:t>. This includes:</w:t>
      </w:r>
    </w:p>
    <w:p w14:paraId="4EB1DD8B" w14:textId="77777777" w:rsidR="00ED244E" w:rsidRDefault="00ED244E" w:rsidP="00D82385">
      <w:pPr>
        <w:pStyle w:val="ListBullet"/>
      </w:pPr>
      <w:r w:rsidRPr="005F3107">
        <w:t>using personal information only for purposes related to the delivery of funded aged care services</w:t>
      </w:r>
      <w:r>
        <w:t xml:space="preserve"> or for a purpose for which it was given to the registered provider</w:t>
      </w:r>
    </w:p>
    <w:p w14:paraId="188D01D4" w14:textId="77777777" w:rsidR="00ED244E" w:rsidRDefault="00ED244E" w:rsidP="00D82385">
      <w:pPr>
        <w:pStyle w:val="ListBullet"/>
      </w:pPr>
      <w:r w:rsidRPr="005F3107">
        <w:t xml:space="preserve">not disclosing it without consent (except under specific legal or service-related circumstances) </w:t>
      </w:r>
    </w:p>
    <w:p w14:paraId="573C7AEF" w14:textId="72A94068" w:rsidR="00D21536" w:rsidRDefault="00ED244E" w:rsidP="00D82385">
      <w:pPr>
        <w:pStyle w:val="ListBullet"/>
      </w:pPr>
      <w:r w:rsidRPr="005F3107">
        <w:t>implementing reasonable security measures to prevent loss or misuse</w:t>
      </w:r>
      <w:r>
        <w:t>.</w:t>
      </w:r>
      <w:r>
        <w:rPr>
          <w:rStyle w:val="FootnoteReference"/>
        </w:rPr>
        <w:footnoteReference w:id="15"/>
      </w:r>
      <w:r>
        <w:t xml:space="preserve"> </w:t>
      </w:r>
    </w:p>
    <w:p w14:paraId="1ACD20E4" w14:textId="4B42D6A8" w:rsidR="00D21536" w:rsidRDefault="003D5211" w:rsidP="00ED244E">
      <w:r>
        <w:t xml:space="preserve">This requirement is further supported by the </w:t>
      </w:r>
      <w:r w:rsidR="00D071FC">
        <w:t>Statement of Rights, the Aged Care Code of Conduct and the Strengthened Quality Standards.</w:t>
      </w:r>
    </w:p>
    <w:p w14:paraId="34C92617" w14:textId="02418216" w:rsidR="00ED244E" w:rsidRPr="00B34A90" w:rsidRDefault="009412C2" w:rsidP="00ED244E">
      <w:r>
        <w:t>A video about privacy and confidentiality is available on</w:t>
      </w:r>
      <w:r w:rsidR="00ED244E">
        <w:t xml:space="preserve"> the Commission's website: </w:t>
      </w:r>
      <w:hyperlink r:id="rId77" w:history="1">
        <w:r w:rsidR="00F073A4" w:rsidRPr="00F073A4">
          <w:rPr>
            <w:rStyle w:val="Hyperlink"/>
          </w:rPr>
          <w:t>agedcarequality.gov.au/quality-standards/privacy-and-confidentiality-introduction-aged-care-video</w:t>
        </w:r>
      </w:hyperlink>
      <w:r w:rsidR="00206308">
        <w:t>.</w:t>
      </w:r>
      <w:r w:rsidR="00ED244E">
        <w:t xml:space="preserve"> </w:t>
      </w:r>
    </w:p>
    <w:p w14:paraId="23C71CBE" w14:textId="77777777" w:rsidR="00ED244E" w:rsidRPr="00140E21" w:rsidRDefault="00ED244E" w:rsidP="00ED244E">
      <w:pPr>
        <w:pStyle w:val="Heading3"/>
      </w:pPr>
      <w:bookmarkStart w:id="69" w:name="incidentmgt"/>
      <w:bookmarkEnd w:id="69"/>
      <w:r w:rsidRPr="00140E21">
        <w:t>Continuous Improvement</w:t>
      </w:r>
    </w:p>
    <w:p w14:paraId="28A67D71" w14:textId="4DB951F0" w:rsidR="00ED244E" w:rsidRDefault="00ED244E" w:rsidP="00ED244E">
      <w:r w:rsidRPr="002A4657">
        <w:t xml:space="preserve">All registered providers must demonstrate capability and commitment to continuous improvement towards the delivery of </w:t>
      </w:r>
      <w:r>
        <w:t>high-quality</w:t>
      </w:r>
      <w:r w:rsidRPr="002A4657">
        <w:t xml:space="preserve"> care.</w:t>
      </w:r>
      <w:r>
        <w:rPr>
          <w:rStyle w:val="FootnoteReference"/>
        </w:rPr>
        <w:footnoteReference w:id="16"/>
      </w:r>
      <w:r>
        <w:t xml:space="preserve"> See </w:t>
      </w:r>
      <w:hyperlink w:anchor="_Continuous_Improvement" w:history="1">
        <w:r w:rsidRPr="00364BB0">
          <w:rPr>
            <w:rStyle w:val="Hyperlink"/>
          </w:rPr>
          <w:t>continuous improvement</w:t>
        </w:r>
      </w:hyperlink>
      <w:r>
        <w:t xml:space="preserve"> later in this </w:t>
      </w:r>
      <w:r w:rsidR="00E54090">
        <w:t xml:space="preserve">program </w:t>
      </w:r>
      <w:r>
        <w:t>manual.</w:t>
      </w:r>
    </w:p>
    <w:p w14:paraId="1627186B" w14:textId="77777777" w:rsidR="00ED244E" w:rsidRDefault="00ED244E" w:rsidP="00ED244E">
      <w:pPr>
        <w:pStyle w:val="Heading3"/>
      </w:pPr>
      <w:bookmarkStart w:id="70" w:name="_Toc208838008"/>
      <w:r>
        <w:t>Preventing damage to property</w:t>
      </w:r>
    </w:p>
    <w:p w14:paraId="74E07578" w14:textId="77777777" w:rsidR="00ED244E" w:rsidRDefault="00ED244E" w:rsidP="00ED244E">
      <w:r>
        <w:t>All NATSIFACP providers must take reasonable steps to prevent damage to an individual’s property when delivering funded aged care services to an older person.</w:t>
      </w:r>
      <w:r>
        <w:rPr>
          <w:rStyle w:val="FootnoteReference"/>
        </w:rPr>
        <w:footnoteReference w:id="17"/>
      </w:r>
    </w:p>
    <w:p w14:paraId="62076A10" w14:textId="77777777" w:rsidR="00ED244E" w:rsidRPr="00247391" w:rsidRDefault="00ED244E" w:rsidP="00ED244E">
      <w:pPr>
        <w:pStyle w:val="Heading3"/>
      </w:pPr>
      <w:bookmarkStart w:id="71" w:name="_Toc199873012"/>
      <w:r w:rsidRPr="00551FFA">
        <w:t xml:space="preserve">Risk management </w:t>
      </w:r>
      <w:bookmarkEnd w:id="71"/>
    </w:p>
    <w:p w14:paraId="517CD030" w14:textId="77777777" w:rsidR="00ED244E" w:rsidRDefault="00ED244E" w:rsidP="00ED244E">
      <w:r w:rsidRPr="00653025">
        <w:t xml:space="preserve">All the department’s grant agreements are managed according to their level of assessed risk. Service providers will be subject to a provider capacity risk assessment prior to any negotiation of grant agreements. </w:t>
      </w:r>
    </w:p>
    <w:p w14:paraId="3C4B9C40" w14:textId="77777777" w:rsidR="00ED244E" w:rsidRPr="00B34A90" w:rsidRDefault="00ED244E" w:rsidP="00ED244E">
      <w:r w:rsidRPr="00653025">
        <w:t>Service providers may also be required to participate in a financial viability assessment during the assessment of a grant funding application. Service delivery is monitored during the term of the grant agreement and is used to provide supporting information and evidence for ongoing risk assessments.</w:t>
      </w:r>
    </w:p>
    <w:p w14:paraId="3BB622C9" w14:textId="77777777" w:rsidR="00ED244E" w:rsidRDefault="00ED244E" w:rsidP="00ED244E">
      <w:pPr>
        <w:pStyle w:val="Heading2"/>
      </w:pPr>
      <w:bookmarkStart w:id="72" w:name="_Toc212713653"/>
      <w:bookmarkStart w:id="73" w:name="_Toc225416226"/>
      <w:r>
        <w:t>Provider</w:t>
      </w:r>
      <w:r w:rsidRPr="001A37A2">
        <w:t xml:space="preserve"> </w:t>
      </w:r>
      <w:r>
        <w:t>obligations dependent on registration category</w:t>
      </w:r>
      <w:bookmarkEnd w:id="70"/>
      <w:bookmarkEnd w:id="72"/>
      <w:bookmarkEnd w:id="73"/>
      <w:r>
        <w:t xml:space="preserve"> </w:t>
      </w:r>
    </w:p>
    <w:p w14:paraId="55614333" w14:textId="77777777" w:rsidR="00ED244E" w:rsidRDefault="00ED244E" w:rsidP="00ED244E">
      <w:r>
        <w:t xml:space="preserve">The </w:t>
      </w:r>
      <w:r w:rsidRPr="0021624F">
        <w:t xml:space="preserve">conditions or obligations </w:t>
      </w:r>
      <w:r>
        <w:t>outlined in this section apply</w:t>
      </w:r>
      <w:r w:rsidRPr="0021624F">
        <w:t xml:space="preserve"> to providers registered in specific registration categor</w:t>
      </w:r>
      <w:r>
        <w:t xml:space="preserve">ies.  </w:t>
      </w:r>
    </w:p>
    <w:p w14:paraId="0F5BCEA0" w14:textId="77777777" w:rsidR="00ED244E" w:rsidRPr="00247391" w:rsidRDefault="00ED244E" w:rsidP="00ED244E">
      <w:pPr>
        <w:pStyle w:val="Heading3"/>
      </w:pPr>
      <w:r>
        <w:t>Strengthened Aged Care Quality Standards</w:t>
      </w:r>
    </w:p>
    <w:p w14:paraId="50129475" w14:textId="77777777" w:rsidR="00ED244E" w:rsidRDefault="00ED244E" w:rsidP="00ED244E">
      <w:r>
        <w:t>T</w:t>
      </w:r>
      <w:r w:rsidRPr="0012072D">
        <w:t xml:space="preserve">he Act establishes a framework that links </w:t>
      </w:r>
      <w:r>
        <w:t xml:space="preserve">the strengthened </w:t>
      </w:r>
      <w:r w:rsidRPr="0012072D">
        <w:t>Aged Care Quality Standards to the</w:t>
      </w:r>
      <w:r>
        <w:t xml:space="preserve"> </w:t>
      </w:r>
      <w:r w:rsidRPr="0012072D">
        <w:t>regulation of a registered provider.</w:t>
      </w:r>
      <w:r>
        <w:t xml:space="preserve"> The strengthened Aged Care Quality Standards apply to providers in registration categories 4, 5 and 6, with some standards only applying to a particular registration category or service.</w:t>
      </w:r>
      <w:r w:rsidRPr="0012072D">
        <w:t xml:space="preserve"> </w:t>
      </w:r>
    </w:p>
    <w:p w14:paraId="73D63F84" w14:textId="77777777" w:rsidR="00ED244E" w:rsidRDefault="00ED244E" w:rsidP="00ED244E">
      <w:r w:rsidRPr="0012072D">
        <w:t>The strengthened Quality</w:t>
      </w:r>
      <w:r>
        <w:t xml:space="preserve"> </w:t>
      </w:r>
      <w:r w:rsidRPr="0012072D">
        <w:t>Standards explain what safe quality care should look like and support providers to</w:t>
      </w:r>
      <w:r>
        <w:t xml:space="preserve"> </w:t>
      </w:r>
      <w:r w:rsidRPr="0012072D">
        <w:t>deliver the funded aged care services that older people need and expect. The diagram below outlines the 7 strengthened Quality Standards.</w:t>
      </w:r>
    </w:p>
    <w:p w14:paraId="7D4FA42F" w14:textId="77777777" w:rsidR="00ED244E" w:rsidRDefault="00ED244E" w:rsidP="00ED244E">
      <w:pPr>
        <w:jc w:val="center"/>
      </w:pPr>
      <w:r>
        <w:rPr>
          <w:noProof/>
        </w:rPr>
        <w:drawing>
          <wp:inline distT="0" distB="0" distL="0" distR="0" wp14:anchorId="69616A35" wp14:editId="593469B7">
            <wp:extent cx="3814811" cy="3712575"/>
            <wp:effectExtent l="0" t="0" r="0" b="2540"/>
            <wp:docPr id="610389466" name="Picture 1" descr="This is a diagram to help explain the strengthened Aged Care Quality Standards. It's a donut shape with 7 components: the person, the organisation, care and services, the environment, clinical care, food and nutrition and the residential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89466" name="Picture 1" descr="This is a diagram to help explain the strengthened Aged Care Quality Standards. It's a donut shape with 7 components: the person, the organisation, care and services, the environment, clinical care, food and nutrition and the residential community."/>
                    <pic:cNvPicPr/>
                  </pic:nvPicPr>
                  <pic:blipFill>
                    <a:blip r:embed="rId78">
                      <a:extLst>
                        <a:ext uri="{28A0092B-C50C-407E-A947-70E740481C1C}">
                          <a14:useLocalDpi xmlns:a14="http://schemas.microsoft.com/office/drawing/2010/main" val="0"/>
                        </a:ext>
                      </a:extLst>
                    </a:blip>
                    <a:stretch>
                      <a:fillRect/>
                    </a:stretch>
                  </pic:blipFill>
                  <pic:spPr>
                    <a:xfrm>
                      <a:off x="0" y="0"/>
                      <a:ext cx="3817870" cy="3715552"/>
                    </a:xfrm>
                    <a:prstGeom prst="rect">
                      <a:avLst/>
                    </a:prstGeom>
                  </pic:spPr>
                </pic:pic>
              </a:graphicData>
            </a:graphic>
          </wp:inline>
        </w:drawing>
      </w:r>
    </w:p>
    <w:p w14:paraId="735A9B61" w14:textId="77777777" w:rsidR="00ED244E" w:rsidRDefault="00ED244E" w:rsidP="00ED244E">
      <w:r>
        <w:t>Standard 1 is relevant to all standards and underpins the expectations for all other strengthened Quality Standards by requiring providers and aged care workers to deliver person-centred care. Providers must meet the strengthened Quality Standards that apply to their registration category and the services they deliver. The Commission will monitor and regulate providers by auditing their ability to comply with all legislative provider obligations, including the requirements of the strengthened Quality Standards.</w:t>
      </w:r>
    </w:p>
    <w:p w14:paraId="5EAA09B2" w14:textId="6E53E970" w:rsidR="0073021C" w:rsidRPr="000B0275" w:rsidRDefault="00ED244E" w:rsidP="00ED36B9">
      <w:r>
        <w:t xml:space="preserve">The table below outlines the provider registration categories that the </w:t>
      </w:r>
      <w:hyperlink w:anchor="Code_of_conduct" w:history="1">
        <w:r w:rsidRPr="0042507C">
          <w:rPr>
            <w:rStyle w:val="Hyperlink"/>
          </w:rPr>
          <w:t>Code of Conduct</w:t>
        </w:r>
      </w:hyperlink>
      <w:r>
        <w:t xml:space="preserve"> (described above) and certain strengthened Quality Standards will apply to.</w:t>
      </w:r>
    </w:p>
    <w:tbl>
      <w:tblPr>
        <w:tblStyle w:val="DepartmentofHealthtable"/>
        <w:tblW w:w="5000" w:type="pct"/>
        <w:tblLook w:val="0420" w:firstRow="1" w:lastRow="0" w:firstColumn="0" w:lastColumn="0" w:noHBand="0" w:noVBand="1"/>
      </w:tblPr>
      <w:tblGrid>
        <w:gridCol w:w="3828"/>
        <w:gridCol w:w="1843"/>
        <w:gridCol w:w="3399"/>
      </w:tblGrid>
      <w:tr w:rsidR="00D06B68" w:rsidRPr="00C043C0" w14:paraId="6E9824AF" w14:textId="77777777" w:rsidTr="00ED36B9">
        <w:trPr>
          <w:cnfStyle w:val="100000000000" w:firstRow="1" w:lastRow="0" w:firstColumn="0" w:lastColumn="0" w:oddVBand="0" w:evenVBand="0" w:oddHBand="0" w:evenHBand="0" w:firstRowFirstColumn="0" w:firstRowLastColumn="0" w:lastRowFirstColumn="0" w:lastRowLastColumn="0"/>
        </w:trPr>
        <w:tc>
          <w:tcPr>
            <w:tcW w:w="2110" w:type="pct"/>
            <w:shd w:val="clear" w:color="auto" w:fill="1D4794"/>
          </w:tcPr>
          <w:p w14:paraId="7C4825A3" w14:textId="18C6D2F6" w:rsidR="00D06B68" w:rsidRPr="00C043C0" w:rsidRDefault="00D06B68" w:rsidP="00C043C0">
            <w:pPr>
              <w:rPr>
                <w:color w:val="FFFFFF" w:themeColor="background1"/>
                <w:sz w:val="20"/>
                <w:szCs w:val="20"/>
              </w:rPr>
            </w:pPr>
            <w:r>
              <w:rPr>
                <w:color w:val="FFFFFF" w:themeColor="background1"/>
                <w:sz w:val="20"/>
                <w:szCs w:val="20"/>
              </w:rPr>
              <w:t>Provider category</w:t>
            </w:r>
          </w:p>
        </w:tc>
        <w:tc>
          <w:tcPr>
            <w:tcW w:w="1016" w:type="pct"/>
            <w:shd w:val="clear" w:color="auto" w:fill="1D4794"/>
          </w:tcPr>
          <w:p w14:paraId="76D8CA1C" w14:textId="0ECA5DC7" w:rsidR="00D06B68" w:rsidRPr="00C043C0" w:rsidRDefault="00D06B68" w:rsidP="00C043C0">
            <w:pPr>
              <w:rPr>
                <w:sz w:val="20"/>
                <w:szCs w:val="20"/>
              </w:rPr>
            </w:pPr>
            <w:r>
              <w:rPr>
                <w:color w:val="FFFFFF" w:themeColor="background1"/>
                <w:sz w:val="20"/>
                <w:szCs w:val="20"/>
              </w:rPr>
              <w:t>Code of conduct</w:t>
            </w:r>
          </w:p>
        </w:tc>
        <w:tc>
          <w:tcPr>
            <w:tcW w:w="1874" w:type="pct"/>
            <w:shd w:val="clear" w:color="auto" w:fill="1D4794"/>
          </w:tcPr>
          <w:p w14:paraId="75CE8396" w14:textId="62E20F4E" w:rsidR="00D06B68" w:rsidRPr="00C043C0" w:rsidRDefault="00D06B68" w:rsidP="00C043C0">
            <w:pPr>
              <w:rPr>
                <w:sz w:val="20"/>
                <w:szCs w:val="20"/>
              </w:rPr>
            </w:pPr>
            <w:r>
              <w:rPr>
                <w:color w:val="FFFFFF" w:themeColor="background1"/>
                <w:sz w:val="20"/>
                <w:szCs w:val="20"/>
              </w:rPr>
              <w:t>Strengthened Aged C</w:t>
            </w:r>
            <w:r w:rsidR="00D33B04">
              <w:rPr>
                <w:color w:val="FFFFFF" w:themeColor="background1"/>
                <w:sz w:val="20"/>
                <w:szCs w:val="20"/>
              </w:rPr>
              <w:t>are Quality Standards</w:t>
            </w:r>
          </w:p>
        </w:tc>
      </w:tr>
      <w:tr w:rsidR="00D06B68" w:rsidRPr="00C043C0" w14:paraId="70084DF8" w14:textId="77777777" w:rsidTr="00ED36B9">
        <w:tc>
          <w:tcPr>
            <w:tcW w:w="2110" w:type="pct"/>
          </w:tcPr>
          <w:p w14:paraId="5DC43DD1" w14:textId="05A27361" w:rsidR="00D06B68" w:rsidRPr="00C043C0" w:rsidRDefault="00D06B68" w:rsidP="00296A1E">
            <w:pPr>
              <w:pStyle w:val="Tabletext"/>
            </w:pPr>
            <w:r w:rsidRPr="00D33B04">
              <w:t>Home and community services</w:t>
            </w:r>
          </w:p>
        </w:tc>
        <w:tc>
          <w:tcPr>
            <w:tcW w:w="1016" w:type="pct"/>
          </w:tcPr>
          <w:p w14:paraId="4C8458A9" w14:textId="530CF4F5" w:rsidR="00D06B68" w:rsidRPr="00C043C0" w:rsidRDefault="00D06B68" w:rsidP="00D06B68">
            <w:pPr>
              <w:rPr>
                <w:sz w:val="20"/>
                <w:szCs w:val="20"/>
              </w:rPr>
            </w:pPr>
            <w:r w:rsidRPr="00D33B04">
              <w:rPr>
                <w:rFonts w:ascii="Segoe UI Symbol" w:hAnsi="Segoe UI Symbol" w:cs="Segoe UI Symbol"/>
                <w:sz w:val="20"/>
                <w:szCs w:val="20"/>
              </w:rPr>
              <w:t>✔</w:t>
            </w:r>
          </w:p>
        </w:tc>
        <w:tc>
          <w:tcPr>
            <w:tcW w:w="1874" w:type="pct"/>
          </w:tcPr>
          <w:p w14:paraId="0C4A2E27" w14:textId="2A7EE164" w:rsidR="00D06B68" w:rsidRPr="00C043C0" w:rsidRDefault="00D06B68" w:rsidP="00D06B68">
            <w:pPr>
              <w:rPr>
                <w:sz w:val="20"/>
                <w:szCs w:val="20"/>
              </w:rPr>
            </w:pPr>
            <w:r w:rsidRPr="00D33B04">
              <w:rPr>
                <w:rFonts w:ascii="Segoe UI Symbol" w:hAnsi="Segoe UI Symbol" w:cs="Segoe UI Symbol"/>
                <w:sz w:val="20"/>
                <w:szCs w:val="20"/>
              </w:rPr>
              <w:t>✘</w:t>
            </w:r>
          </w:p>
        </w:tc>
      </w:tr>
      <w:tr w:rsidR="00D06B68" w:rsidRPr="00C043C0" w14:paraId="112D12DD" w14:textId="77777777" w:rsidTr="00ED36B9">
        <w:tc>
          <w:tcPr>
            <w:tcW w:w="2110" w:type="pct"/>
          </w:tcPr>
          <w:p w14:paraId="63AC7749" w14:textId="670E05D0" w:rsidR="00D06B68" w:rsidRPr="00D33B04" w:rsidRDefault="00D06B68" w:rsidP="000A1DEB">
            <w:pPr>
              <w:pStyle w:val="Tabletext"/>
            </w:pPr>
            <w:r w:rsidRPr="00D33B04">
              <w:t>Assistive technology and home modifications</w:t>
            </w:r>
          </w:p>
        </w:tc>
        <w:tc>
          <w:tcPr>
            <w:tcW w:w="1016" w:type="pct"/>
          </w:tcPr>
          <w:p w14:paraId="6A692786" w14:textId="23DD6669" w:rsidR="00D06B68" w:rsidRPr="00C043C0" w:rsidRDefault="00D06B68" w:rsidP="00D06B68">
            <w:pPr>
              <w:rPr>
                <w:sz w:val="20"/>
                <w:szCs w:val="20"/>
              </w:rPr>
            </w:pPr>
            <w:r w:rsidRPr="00D33B04">
              <w:rPr>
                <w:rFonts w:ascii="Segoe UI Symbol" w:hAnsi="Segoe UI Symbol" w:cs="Segoe UI Symbol"/>
                <w:sz w:val="20"/>
                <w:szCs w:val="20"/>
              </w:rPr>
              <w:t>✔</w:t>
            </w:r>
          </w:p>
        </w:tc>
        <w:tc>
          <w:tcPr>
            <w:tcW w:w="1874" w:type="pct"/>
          </w:tcPr>
          <w:p w14:paraId="5F1E311F" w14:textId="659A1CF9" w:rsidR="00D06B68" w:rsidRPr="00C043C0" w:rsidRDefault="00D06B68" w:rsidP="00D06B68">
            <w:pPr>
              <w:rPr>
                <w:sz w:val="20"/>
                <w:szCs w:val="20"/>
              </w:rPr>
            </w:pPr>
            <w:r w:rsidRPr="00D33B04">
              <w:rPr>
                <w:rFonts w:ascii="Segoe UI Symbol" w:hAnsi="Segoe UI Symbol" w:cs="Segoe UI Symbol"/>
                <w:sz w:val="20"/>
                <w:szCs w:val="20"/>
              </w:rPr>
              <w:t>✘</w:t>
            </w:r>
          </w:p>
        </w:tc>
      </w:tr>
      <w:tr w:rsidR="00D06B68" w:rsidRPr="00C043C0" w14:paraId="12ABB011" w14:textId="77777777" w:rsidTr="00ED36B9">
        <w:tc>
          <w:tcPr>
            <w:tcW w:w="2110" w:type="pct"/>
          </w:tcPr>
          <w:p w14:paraId="28729DC7" w14:textId="26926A09" w:rsidR="00D06B68" w:rsidRPr="00D33B04" w:rsidRDefault="00D06B68" w:rsidP="000A1DEB">
            <w:pPr>
              <w:pStyle w:val="Tabletext"/>
            </w:pPr>
            <w:r w:rsidRPr="00D33B04">
              <w:t>Advisory and support services</w:t>
            </w:r>
          </w:p>
        </w:tc>
        <w:tc>
          <w:tcPr>
            <w:tcW w:w="1016" w:type="pct"/>
          </w:tcPr>
          <w:p w14:paraId="501BA925" w14:textId="6D8D426A" w:rsidR="00D06B68" w:rsidRPr="00D33B04" w:rsidRDefault="00D06B68" w:rsidP="00D06B68">
            <w:pPr>
              <w:rPr>
                <w:sz w:val="20"/>
                <w:szCs w:val="20"/>
              </w:rPr>
            </w:pPr>
            <w:r w:rsidRPr="00D33B04">
              <w:rPr>
                <w:rFonts w:ascii="Segoe UI Symbol" w:hAnsi="Segoe UI Symbol" w:cs="Segoe UI Symbol"/>
                <w:sz w:val="20"/>
                <w:szCs w:val="20"/>
              </w:rPr>
              <w:t>✔</w:t>
            </w:r>
          </w:p>
        </w:tc>
        <w:tc>
          <w:tcPr>
            <w:tcW w:w="1874" w:type="pct"/>
          </w:tcPr>
          <w:p w14:paraId="5034BFB7" w14:textId="5F39CC73" w:rsidR="00D06B68" w:rsidRPr="00D33B04" w:rsidRDefault="00D06B68" w:rsidP="00D06B68">
            <w:pPr>
              <w:rPr>
                <w:sz w:val="20"/>
                <w:szCs w:val="20"/>
              </w:rPr>
            </w:pPr>
            <w:r w:rsidRPr="00D33B04">
              <w:rPr>
                <w:rFonts w:ascii="Segoe UI Symbol" w:hAnsi="Segoe UI Symbol" w:cs="Segoe UI Symbol"/>
                <w:sz w:val="20"/>
                <w:szCs w:val="20"/>
              </w:rPr>
              <w:t>✘</w:t>
            </w:r>
          </w:p>
        </w:tc>
      </w:tr>
      <w:tr w:rsidR="00D06B68" w:rsidRPr="00C043C0" w14:paraId="5BAB5E7B" w14:textId="77777777" w:rsidTr="00ED36B9">
        <w:tc>
          <w:tcPr>
            <w:tcW w:w="2110" w:type="pct"/>
          </w:tcPr>
          <w:p w14:paraId="1060CA9F" w14:textId="23CC2738" w:rsidR="00D06B68" w:rsidRPr="00D33B04" w:rsidRDefault="00D06B68" w:rsidP="000A1DEB">
            <w:pPr>
              <w:pStyle w:val="Tabletext"/>
            </w:pPr>
            <w:r w:rsidRPr="00D33B04">
              <w:t>Personal care and care support in the home or community (including respite)</w:t>
            </w:r>
          </w:p>
        </w:tc>
        <w:tc>
          <w:tcPr>
            <w:tcW w:w="1016" w:type="pct"/>
          </w:tcPr>
          <w:p w14:paraId="6C49E989" w14:textId="3AB375C2" w:rsidR="00D06B68" w:rsidRPr="00D33B04" w:rsidRDefault="00D06B68" w:rsidP="00D06B68">
            <w:pPr>
              <w:rPr>
                <w:sz w:val="20"/>
                <w:szCs w:val="20"/>
              </w:rPr>
            </w:pPr>
            <w:r w:rsidRPr="00D33B04">
              <w:rPr>
                <w:rFonts w:ascii="Segoe UI Symbol" w:hAnsi="Segoe UI Symbol" w:cs="Segoe UI Symbol"/>
                <w:sz w:val="20"/>
                <w:szCs w:val="20"/>
              </w:rPr>
              <w:t>✔</w:t>
            </w:r>
          </w:p>
        </w:tc>
        <w:tc>
          <w:tcPr>
            <w:tcW w:w="1874" w:type="pct"/>
          </w:tcPr>
          <w:p w14:paraId="11B95A83" w14:textId="77777777" w:rsidR="00D06B68" w:rsidRPr="00424E50" w:rsidRDefault="00D06B68" w:rsidP="00482171">
            <w:pPr>
              <w:pStyle w:val="Tabletext"/>
            </w:pPr>
            <w:r>
              <w:t>Standards 1 – 5 (5.1)</w:t>
            </w:r>
          </w:p>
          <w:p w14:paraId="6A911A50" w14:textId="0ED20E90" w:rsidR="00D06B68" w:rsidRPr="00D33B04" w:rsidRDefault="00D06B68" w:rsidP="00D06B68">
            <w:pPr>
              <w:rPr>
                <w:sz w:val="20"/>
                <w:szCs w:val="20"/>
              </w:rPr>
            </w:pPr>
            <w:r w:rsidRPr="00D33B04">
              <w:rPr>
                <w:sz w:val="20"/>
                <w:szCs w:val="20"/>
              </w:rPr>
              <w:t>(Applies to care management and restorative care management)</w:t>
            </w:r>
          </w:p>
        </w:tc>
      </w:tr>
      <w:tr w:rsidR="00D06B68" w:rsidRPr="00C043C0" w14:paraId="74F88D1C" w14:textId="77777777" w:rsidTr="00ED36B9">
        <w:tc>
          <w:tcPr>
            <w:tcW w:w="2110" w:type="pct"/>
          </w:tcPr>
          <w:p w14:paraId="54180B7A" w14:textId="22A49DA0" w:rsidR="00D06B68" w:rsidRPr="00D33B04" w:rsidRDefault="00D06B68" w:rsidP="000A1DEB">
            <w:pPr>
              <w:pStyle w:val="Tabletext"/>
            </w:pPr>
            <w:r w:rsidRPr="00D33B04">
              <w:t>Nursing and transition care</w:t>
            </w:r>
          </w:p>
        </w:tc>
        <w:tc>
          <w:tcPr>
            <w:tcW w:w="1016" w:type="pct"/>
          </w:tcPr>
          <w:p w14:paraId="397D1E63" w14:textId="0434BF99" w:rsidR="00D06B68" w:rsidRPr="00D33B04" w:rsidRDefault="00D06B68" w:rsidP="00D06B68">
            <w:pPr>
              <w:rPr>
                <w:sz w:val="20"/>
                <w:szCs w:val="20"/>
              </w:rPr>
            </w:pPr>
            <w:r w:rsidRPr="00D33B04">
              <w:rPr>
                <w:rFonts w:ascii="Segoe UI Symbol" w:hAnsi="Segoe UI Symbol" w:cs="Segoe UI Symbol"/>
                <w:sz w:val="20"/>
                <w:szCs w:val="20"/>
              </w:rPr>
              <w:t>✔</w:t>
            </w:r>
          </w:p>
        </w:tc>
        <w:tc>
          <w:tcPr>
            <w:tcW w:w="1874" w:type="pct"/>
          </w:tcPr>
          <w:p w14:paraId="1003985B" w14:textId="76A6F85E" w:rsidR="00D06B68" w:rsidRDefault="00D06B68" w:rsidP="00482171">
            <w:pPr>
              <w:pStyle w:val="Tabletext"/>
            </w:pPr>
            <w:r w:rsidRPr="00F1003C">
              <w:t xml:space="preserve">Standards 1 </w:t>
            </w:r>
            <w:r>
              <w:t>to</w:t>
            </w:r>
            <w:r w:rsidRPr="00F1003C">
              <w:t xml:space="preserve"> 5</w:t>
            </w:r>
          </w:p>
        </w:tc>
      </w:tr>
      <w:tr w:rsidR="00D06B68" w:rsidRPr="00C043C0" w14:paraId="6B9630C1" w14:textId="77777777" w:rsidTr="00ED36B9">
        <w:tc>
          <w:tcPr>
            <w:tcW w:w="2110" w:type="pct"/>
          </w:tcPr>
          <w:p w14:paraId="753D1E1B" w14:textId="77FE8620" w:rsidR="00D06B68" w:rsidRPr="00D33B04" w:rsidRDefault="00D06B68" w:rsidP="000A1DEB">
            <w:pPr>
              <w:pStyle w:val="Tabletext"/>
            </w:pPr>
            <w:r w:rsidRPr="00D33B04">
              <w:t>Residential care (including respite)</w:t>
            </w:r>
          </w:p>
        </w:tc>
        <w:tc>
          <w:tcPr>
            <w:tcW w:w="1016" w:type="pct"/>
          </w:tcPr>
          <w:p w14:paraId="44B8DFA7" w14:textId="5D3B9B39" w:rsidR="00D06B68" w:rsidRPr="00D33B04" w:rsidRDefault="00D06B68" w:rsidP="00D06B68">
            <w:pPr>
              <w:rPr>
                <w:sz w:val="20"/>
                <w:szCs w:val="20"/>
              </w:rPr>
            </w:pPr>
            <w:r w:rsidRPr="00D33B04">
              <w:rPr>
                <w:rFonts w:ascii="Segoe UI Symbol" w:hAnsi="Segoe UI Symbol" w:cs="Segoe UI Symbol"/>
                <w:sz w:val="20"/>
                <w:szCs w:val="20"/>
              </w:rPr>
              <w:t>✔</w:t>
            </w:r>
          </w:p>
        </w:tc>
        <w:tc>
          <w:tcPr>
            <w:tcW w:w="1874" w:type="pct"/>
          </w:tcPr>
          <w:p w14:paraId="0368EE9A" w14:textId="52BEBC63" w:rsidR="00D06B68" w:rsidRPr="00F1003C" w:rsidRDefault="00D06B68" w:rsidP="00482171">
            <w:pPr>
              <w:pStyle w:val="Tabletext"/>
            </w:pPr>
            <w:r w:rsidRPr="000F79F1">
              <w:t>Standards 1 to 7</w:t>
            </w:r>
            <w:r>
              <w:t xml:space="preserve"> (all)</w:t>
            </w:r>
          </w:p>
        </w:tc>
      </w:tr>
    </w:tbl>
    <w:p w14:paraId="583DF82A" w14:textId="77777777" w:rsidR="00ED244E" w:rsidRDefault="00ED244E" w:rsidP="00ED244E">
      <w:r>
        <w:t xml:space="preserve">The Commission has developed a suite of guidance and training resources for providers on the strengthened Quality Standards. These can be found on the Commission’s website at </w:t>
      </w:r>
      <w:hyperlink r:id="rId79" w:history="1">
        <w:r>
          <w:rPr>
            <w:rStyle w:val="Hyperlink"/>
          </w:rPr>
          <w:t>AgedCareQuality.gov.au/providers/quality-standards/strengthened-quality-standards</w:t>
        </w:r>
      </w:hyperlink>
      <w:r>
        <w:t>.</w:t>
      </w:r>
    </w:p>
    <w:p w14:paraId="5C6637ED" w14:textId="6C53299E" w:rsidR="00ED244E" w:rsidRPr="00247391" w:rsidRDefault="00ED244E" w:rsidP="00ED244E">
      <w:pPr>
        <w:pStyle w:val="Heading3"/>
      </w:pPr>
      <w:r w:rsidRPr="00551FFA">
        <w:t xml:space="preserve">24/7 </w:t>
      </w:r>
      <w:r w:rsidR="00535EAE">
        <w:t>r</w:t>
      </w:r>
      <w:r w:rsidRPr="00551FFA">
        <w:t xml:space="preserve">egistered nurse </w:t>
      </w:r>
      <w:r>
        <w:t>r</w:t>
      </w:r>
      <w:r w:rsidRPr="00551FFA">
        <w:t>equirement</w:t>
      </w:r>
    </w:p>
    <w:p w14:paraId="587C62AD" w14:textId="77777777" w:rsidR="00ED244E" w:rsidRPr="00653025" w:rsidRDefault="00ED244E" w:rsidP="00ED244E">
      <w:r>
        <w:t>P</w:t>
      </w:r>
      <w:r w:rsidRPr="00653025">
        <w:t xml:space="preserve">roviders of residential aged care </w:t>
      </w:r>
      <w:r>
        <w:t xml:space="preserve">are required to have </w:t>
      </w:r>
      <w:r w:rsidRPr="00653025">
        <w:t xml:space="preserve">at least one </w:t>
      </w:r>
      <w:r>
        <w:t>registered nurse</w:t>
      </w:r>
      <w:r w:rsidRPr="00653025">
        <w:t xml:space="preserve"> </w:t>
      </w:r>
      <w:r>
        <w:t>(</w:t>
      </w:r>
      <w:r w:rsidRPr="00653025">
        <w:t>RN</w:t>
      </w:r>
      <w:r>
        <w:t>)</w:t>
      </w:r>
      <w:r w:rsidRPr="00653025">
        <w:t xml:space="preserve"> on site and on duty 24 hours a day, 7 days a week at each residential facility they operate. Under the Aged Care Quality Standards, service providers must maintain an adequate number of appropriately skilled staff to ensure the care needs of residents are met. The 24/7 RN requirement supports this responsibility through improved quality of care and additional safety for residents. </w:t>
      </w:r>
    </w:p>
    <w:p w14:paraId="36E2700C" w14:textId="77777777" w:rsidR="00ED244E" w:rsidRPr="001C0ED0" w:rsidRDefault="00ED244E" w:rsidP="00ED244E">
      <w:pPr>
        <w:pStyle w:val="Heading4"/>
      </w:pPr>
      <w:r w:rsidRPr="001C0ED0">
        <w:t xml:space="preserve">Exemption from 24/7 registered nurse requirement </w:t>
      </w:r>
    </w:p>
    <w:p w14:paraId="27F15719" w14:textId="77777777" w:rsidR="00ED244E" w:rsidRPr="00653025" w:rsidRDefault="00ED244E" w:rsidP="00ED244E">
      <w:r>
        <w:t xml:space="preserve">NATSIFACP residential aged care facilities with 30 or less places in Modified Monash Model (MMM) 5- 7 locations have been provided an exemption from the 24/7 RN requirement if the provider takes reasonable steps to ensure that the clinical care needs of the residents of the facility will be met during the exemption period. This exemption period is currently to 30 June 2026. </w:t>
      </w:r>
    </w:p>
    <w:p w14:paraId="70A732A5" w14:textId="77777777" w:rsidR="00ED244E" w:rsidRPr="001C0ED0" w:rsidRDefault="00ED244E" w:rsidP="00ED244E">
      <w:pPr>
        <w:pStyle w:val="Heading4"/>
      </w:pPr>
      <w:r w:rsidRPr="001C0ED0">
        <w:t>Funding support to meet nursing requirements</w:t>
      </w:r>
    </w:p>
    <w:p w14:paraId="594ED89B" w14:textId="77777777" w:rsidR="00ED244E" w:rsidRPr="00653025" w:rsidRDefault="00ED244E" w:rsidP="00ED244E">
      <w:r w:rsidRPr="00653025">
        <w:t>The Australian Government provid</w:t>
      </w:r>
      <w:r>
        <w:t>es</w:t>
      </w:r>
      <w:r w:rsidRPr="00653025">
        <w:t xml:space="preserve"> extra funding to all residential aged care services to ensure they have an appropriate mix of </w:t>
      </w:r>
      <w:r>
        <w:t>RNs, enrolled nurses (EN</w:t>
      </w:r>
      <w:r w:rsidRPr="00653025">
        <w:t>s</w:t>
      </w:r>
      <w:r>
        <w:t xml:space="preserve">) </w:t>
      </w:r>
      <w:r w:rsidRPr="00653025">
        <w:t xml:space="preserve">and </w:t>
      </w:r>
      <w:r>
        <w:t>personal care workers (P</w:t>
      </w:r>
      <w:r w:rsidRPr="00653025">
        <w:t>CWs</w:t>
      </w:r>
      <w:r>
        <w:t>)</w:t>
      </w:r>
      <w:r w:rsidRPr="00653025">
        <w:t xml:space="preserve"> </w:t>
      </w:r>
      <w:r>
        <w:t>to</w:t>
      </w:r>
      <w:r w:rsidRPr="00653025">
        <w:t xml:space="preserve"> meet their care minute responsibilities. </w:t>
      </w:r>
    </w:p>
    <w:p w14:paraId="40D8851B" w14:textId="77777777" w:rsidR="00ED244E" w:rsidRPr="00653025" w:rsidRDefault="00ED244E" w:rsidP="00ED244E">
      <w:r w:rsidRPr="00653025">
        <w:t>The NATSIFAC</w:t>
      </w:r>
      <w:r>
        <w:t>P</w:t>
      </w:r>
      <w:r w:rsidRPr="00653025">
        <w:t xml:space="preserve"> funding model includes funding to cover the</w:t>
      </w:r>
      <w:r>
        <w:t>se direct care</w:t>
      </w:r>
      <w:r w:rsidRPr="00653025">
        <w:t xml:space="preserve"> cost</w:t>
      </w:r>
      <w:r>
        <w:t>s</w:t>
      </w:r>
      <w:r w:rsidRPr="00653025">
        <w:t xml:space="preserve">, including the wages for these </w:t>
      </w:r>
      <w:r>
        <w:t>RN, EN and PCWs</w:t>
      </w:r>
      <w:r w:rsidRPr="00653025">
        <w:t xml:space="preserve">. Care minute funding </w:t>
      </w:r>
      <w:r>
        <w:t xml:space="preserve">has been </w:t>
      </w:r>
      <w:r w:rsidRPr="00653025">
        <w:t xml:space="preserve">incorporated into the quarterly payments </w:t>
      </w:r>
      <w:r>
        <w:t>in</w:t>
      </w:r>
      <w:r w:rsidRPr="00653025">
        <w:t xml:space="preserve"> </w:t>
      </w:r>
      <w:r>
        <w:t xml:space="preserve">NATSIFACP </w:t>
      </w:r>
      <w:r w:rsidRPr="00653025">
        <w:t>grant funding agreements</w:t>
      </w:r>
      <w:r>
        <w:t xml:space="preserve"> since January 2023</w:t>
      </w:r>
      <w:r w:rsidRPr="00ED32BA">
        <w:t xml:space="preserve"> </w:t>
      </w:r>
      <w:r w:rsidRPr="00653025">
        <w:t xml:space="preserve">to enable residential aged care services to meet their </w:t>
      </w:r>
      <w:r>
        <w:t xml:space="preserve">reporting </w:t>
      </w:r>
      <w:r w:rsidRPr="00653025">
        <w:t>requirements.</w:t>
      </w:r>
    </w:p>
    <w:p w14:paraId="4D772BA2" w14:textId="77777777" w:rsidR="00ED244E" w:rsidRPr="00247391" w:rsidRDefault="00ED244E" w:rsidP="00ED244E">
      <w:pPr>
        <w:pStyle w:val="Heading3"/>
      </w:pPr>
      <w:r w:rsidRPr="00551FFA">
        <w:t>Care minutes</w:t>
      </w:r>
    </w:p>
    <w:p w14:paraId="6FD1C2FC" w14:textId="77777777" w:rsidR="00ED244E" w:rsidRPr="00653025" w:rsidRDefault="00ED244E" w:rsidP="00ED244E">
      <w:r w:rsidRPr="00653025">
        <w:t>Care minutes refers to the time that older Australians who live in government-funded residential aged care services receive care from</w:t>
      </w:r>
      <w:r>
        <w:t xml:space="preserve"> RNs, ENs and PCWs.</w:t>
      </w:r>
    </w:p>
    <w:p w14:paraId="5D323548" w14:textId="77777777" w:rsidR="00ED244E" w:rsidRPr="00653025" w:rsidRDefault="00ED244E" w:rsidP="00ED244E">
      <w:r>
        <w:t xml:space="preserve">NATSIFACP providers must ensure that they deliver at least 215 minutes of </w:t>
      </w:r>
      <w:r w:rsidRPr="00653025">
        <w:t>care per resident per day, including</w:t>
      </w:r>
      <w:r>
        <w:t xml:space="preserve"> a minimum of 44 minutes of RN and EN time per day (which must consist of at</w:t>
      </w:r>
      <w:r w:rsidRPr="00653025">
        <w:t xml:space="preserve"> </w:t>
      </w:r>
      <w:r>
        <w:t>39.6</w:t>
      </w:r>
      <w:r w:rsidRPr="00653025">
        <w:t xml:space="preserve"> minutes </w:t>
      </w:r>
      <w:r>
        <w:t xml:space="preserve">of </w:t>
      </w:r>
      <w:r w:rsidRPr="00653025">
        <w:t>RN</w:t>
      </w:r>
      <w:r>
        <w:t xml:space="preserve"> time)</w:t>
      </w:r>
      <w:r w:rsidRPr="00653025">
        <w:t>.</w:t>
      </w:r>
      <w:r>
        <w:rPr>
          <w:rStyle w:val="FootnoteReference"/>
        </w:rPr>
        <w:footnoteReference w:id="18"/>
      </w:r>
    </w:p>
    <w:p w14:paraId="6A32EF2F" w14:textId="77777777" w:rsidR="00ED244E" w:rsidRPr="0035410A" w:rsidRDefault="00ED244E" w:rsidP="00ED244E">
      <w:r w:rsidRPr="0035410A">
        <w:rPr>
          <w:b/>
        </w:rPr>
        <w:t>Note</w:t>
      </w:r>
      <w:r w:rsidRPr="0035410A">
        <w:t xml:space="preserve">: </w:t>
      </w:r>
      <w:r>
        <w:t>c</w:t>
      </w:r>
      <w:r w:rsidRPr="0035410A">
        <w:t xml:space="preserve">are minutes do not include the worked hours of allied health staff, however, there are a range of services that aged care providers must make available, including access to allied health services. To better understand the provision of these services, the department is collecting information related to allied health staff, along with other direct care staff, as part of reporting on care minutes. </w:t>
      </w:r>
    </w:p>
    <w:p w14:paraId="3F0ECAB8" w14:textId="77777777" w:rsidR="00ED244E" w:rsidRPr="001C0ED0" w:rsidRDefault="00ED244E" w:rsidP="00ED244E">
      <w:pPr>
        <w:pStyle w:val="Heading4"/>
      </w:pPr>
      <w:r w:rsidRPr="001C0ED0">
        <w:t xml:space="preserve">How to report </w:t>
      </w:r>
      <w:r>
        <w:t>care minutes data</w:t>
      </w:r>
    </w:p>
    <w:p w14:paraId="3583DD38" w14:textId="707C3EE7" w:rsidR="00ED244E" w:rsidRPr="00653025" w:rsidRDefault="00ED244E" w:rsidP="00ED244E">
      <w:r w:rsidRPr="00653025">
        <w:t>NATSIFAC</w:t>
      </w:r>
      <w:r>
        <w:t>P</w:t>
      </w:r>
      <w:r w:rsidRPr="00653025">
        <w:t xml:space="preserve"> </w:t>
      </w:r>
      <w:r>
        <w:t>services</w:t>
      </w:r>
      <w:r w:rsidRPr="00653025">
        <w:t xml:space="preserve"> report</w:t>
      </w:r>
      <w:r>
        <w:t xml:space="preserve"> care minutes</w:t>
      </w:r>
      <w:r w:rsidRPr="00653025">
        <w:t xml:space="preserve"> </w:t>
      </w:r>
      <w:r w:rsidR="0062447B">
        <w:t xml:space="preserve">data </w:t>
      </w:r>
      <w:r w:rsidRPr="00653025">
        <w:t xml:space="preserve">via </w:t>
      </w:r>
      <w:r w:rsidR="00B40523">
        <w:t xml:space="preserve">the ‘Labour hours and costs’ </w:t>
      </w:r>
      <w:r w:rsidR="0062447B">
        <w:t xml:space="preserve">and ‘Occupied beds’ </w:t>
      </w:r>
      <w:r w:rsidRPr="00653025">
        <w:t>tab</w:t>
      </w:r>
      <w:r w:rsidR="0062447B">
        <w:t>s</w:t>
      </w:r>
      <w:r w:rsidRPr="00653025">
        <w:t xml:space="preserve"> in the</w:t>
      </w:r>
      <w:r>
        <w:t xml:space="preserve"> Service Activity Report</w:t>
      </w:r>
      <w:r w:rsidRPr="00653025">
        <w:t xml:space="preserve"> </w:t>
      </w:r>
      <w:r>
        <w:t>(</w:t>
      </w:r>
      <w:r w:rsidRPr="00653025">
        <w:t>SAR</w:t>
      </w:r>
      <w:r>
        <w:t>)</w:t>
      </w:r>
      <w:r w:rsidRPr="00653025">
        <w:t xml:space="preserve">. Data collected </w:t>
      </w:r>
      <w:r>
        <w:t xml:space="preserve">to calculate care minutes </w:t>
      </w:r>
      <w:r w:rsidRPr="00653025">
        <w:t>include</w:t>
      </w:r>
      <w:r>
        <w:t>s</w:t>
      </w:r>
      <w:r w:rsidRPr="00653025">
        <w:t>:</w:t>
      </w:r>
    </w:p>
    <w:p w14:paraId="1ECA8829" w14:textId="77777777" w:rsidR="00ED244E" w:rsidRPr="00136F18" w:rsidRDefault="00ED244E" w:rsidP="00D82385">
      <w:pPr>
        <w:pStyle w:val="ListBullet"/>
      </w:pPr>
      <w:r>
        <w:t>labour</w:t>
      </w:r>
      <w:r w:rsidRPr="00136F18">
        <w:t xml:space="preserve"> worked </w:t>
      </w:r>
      <w:r w:rsidRPr="00E56982">
        <w:t>hours</w:t>
      </w:r>
      <w:r w:rsidRPr="00136F18">
        <w:t xml:space="preserve"> data for registered nurses, enrolled nurses, personal care workers and allied health workers for the reporting period</w:t>
      </w:r>
    </w:p>
    <w:p w14:paraId="5AD64610" w14:textId="77777777" w:rsidR="00ED244E" w:rsidRPr="00136F18" w:rsidRDefault="00ED244E" w:rsidP="00D82385">
      <w:pPr>
        <w:pStyle w:val="ListBullet"/>
      </w:pPr>
      <w:r>
        <w:t>labour</w:t>
      </w:r>
      <w:r w:rsidRPr="00136F18">
        <w:t xml:space="preserve"> </w:t>
      </w:r>
      <w:r w:rsidRPr="00E56982">
        <w:t>cost</w:t>
      </w:r>
      <w:r w:rsidRPr="00136F18">
        <w:t xml:space="preserve"> for registered nurses, enrolled nurses, personal care workers and allied health workers for the reporting period</w:t>
      </w:r>
    </w:p>
    <w:p w14:paraId="694AC45A" w14:textId="77777777" w:rsidR="00ED244E" w:rsidRPr="00136F18" w:rsidRDefault="00ED244E" w:rsidP="00D82385">
      <w:pPr>
        <w:pStyle w:val="ListBullet"/>
      </w:pPr>
      <w:r>
        <w:t>number</w:t>
      </w:r>
      <w:r w:rsidRPr="00136F18">
        <w:t xml:space="preserve"> of occupied beds for the reporting period</w:t>
      </w:r>
      <w:r>
        <w:t>.</w:t>
      </w:r>
    </w:p>
    <w:p w14:paraId="745BAA27" w14:textId="77777777" w:rsidR="00ED244E" w:rsidRPr="001C0ED0" w:rsidRDefault="00ED244E" w:rsidP="00ED244E">
      <w:pPr>
        <w:pStyle w:val="Heading4"/>
      </w:pPr>
      <w:r w:rsidRPr="001C0ED0">
        <w:t>Compliance and auditing</w:t>
      </w:r>
    </w:p>
    <w:p w14:paraId="7B9B84DD" w14:textId="77777777" w:rsidR="00ED244E" w:rsidRPr="00653025" w:rsidRDefault="00ED244E" w:rsidP="00ED244E">
      <w:r w:rsidRPr="00653025">
        <w:t>Worked hours data for registered nurses, enrolled nurses and personal care workers collected through the SAR will be monitored by the department.</w:t>
      </w:r>
    </w:p>
    <w:p w14:paraId="1845054E" w14:textId="77777777" w:rsidR="00ED244E" w:rsidRPr="00653025" w:rsidRDefault="00ED244E" w:rsidP="00ED244E">
      <w:r w:rsidRPr="00653025">
        <w:t>Data collected can be provided to the Aged Care Quality and Safety Commission. They may use this information, along with other regulatory intelligence, to monitor the right nursing skills mix within services. This includes having an appropriately qualified enrolled nursing workforce.</w:t>
      </w:r>
    </w:p>
    <w:p w14:paraId="2AE92DEB" w14:textId="77777777" w:rsidR="00ED244E" w:rsidRPr="00653025" w:rsidRDefault="00ED244E" w:rsidP="00ED244E">
      <w:r w:rsidRPr="00653025">
        <w:t>Residential providers that do not have an appropriately skilled workforce are at risk of not meeting Aged Care Quality Standard 7 and facing compliance actions.</w:t>
      </w:r>
    </w:p>
    <w:p w14:paraId="4E936D22" w14:textId="2DECA3B7" w:rsidR="00ED244E" w:rsidRPr="00140E21" w:rsidRDefault="00ED244E" w:rsidP="00ED244E">
      <w:pPr>
        <w:pStyle w:val="Heading3"/>
      </w:pPr>
      <w:bookmarkStart w:id="74" w:name="_Continuous_Improvement"/>
      <w:bookmarkStart w:id="75" w:name="_Toc199873007"/>
      <w:bookmarkEnd w:id="74"/>
      <w:r w:rsidRPr="00140E21">
        <w:t xml:space="preserve">Continuous </w:t>
      </w:r>
      <w:r w:rsidR="00BD08D4">
        <w:t>i</w:t>
      </w:r>
      <w:r w:rsidRPr="00140E21">
        <w:t>mprovement</w:t>
      </w:r>
      <w:bookmarkEnd w:id="75"/>
    </w:p>
    <w:p w14:paraId="08CE8640" w14:textId="77777777" w:rsidR="00ED244E" w:rsidRPr="00A51B4F" w:rsidRDefault="00ED244E" w:rsidP="00A51B4F">
      <w:r w:rsidRPr="00A51B4F">
        <w:t>All registered providers must demonstrate capability and commitment to continuous improvement towards the delivery of high-quality care.</w:t>
      </w:r>
      <w:r w:rsidRPr="00AC78EF">
        <w:rPr>
          <w:rStyle w:val="FootnoteTextChar"/>
        </w:rPr>
        <w:footnoteReference w:id="19"/>
      </w:r>
      <w:r w:rsidRPr="00A51B4F">
        <w:t xml:space="preserve"> Continuous improvement is a systematic, ongoing effort to improve care and services that:</w:t>
      </w:r>
    </w:p>
    <w:p w14:paraId="7600F101" w14:textId="77777777" w:rsidR="00ED244E" w:rsidRDefault="00ED244E" w:rsidP="00D82385">
      <w:pPr>
        <w:pStyle w:val="ListBullet"/>
      </w:pPr>
      <w:r w:rsidRPr="00B34A90">
        <w:t>considers the needs of people receiving aged care and may involve them in improvement activities</w:t>
      </w:r>
    </w:p>
    <w:p w14:paraId="1D2AB691" w14:textId="77777777" w:rsidR="00ED244E" w:rsidRDefault="00ED244E" w:rsidP="00D82385">
      <w:pPr>
        <w:pStyle w:val="ListBullet"/>
      </w:pPr>
      <w:r w:rsidRPr="00B34A90">
        <w:t>is part of a quality system that assesses how well a provider’s systems are working and the standard of care and services achieved</w:t>
      </w:r>
    </w:p>
    <w:p w14:paraId="0AAA8E41" w14:textId="77777777" w:rsidR="00ED244E" w:rsidRPr="00B34A90" w:rsidRDefault="00ED244E" w:rsidP="00D82385">
      <w:pPr>
        <w:pStyle w:val="ListBullet"/>
      </w:pPr>
      <w:r w:rsidRPr="00B34A90">
        <w:t>focuses on outputs and outcomes.</w:t>
      </w:r>
    </w:p>
    <w:p w14:paraId="4C200238" w14:textId="77777777" w:rsidR="00ED244E" w:rsidRPr="00140E21" w:rsidRDefault="00ED244E" w:rsidP="00ED244E">
      <w:pPr>
        <w:rPr>
          <w:rFonts w:cs="Arial"/>
        </w:rPr>
      </w:pPr>
      <w:r w:rsidRPr="00140E21">
        <w:rPr>
          <w:rFonts w:cs="Arial"/>
        </w:rPr>
        <w:t xml:space="preserve">As a condition of registration, registered providers in registration categories 4–6 (personal and care support in the home or community, nursing and transition care, and residential care) must </w:t>
      </w:r>
      <w:r>
        <w:rPr>
          <w:rFonts w:cs="Arial"/>
        </w:rPr>
        <w:t xml:space="preserve">also </w:t>
      </w:r>
      <w:r w:rsidRPr="00140E21">
        <w:rPr>
          <w:rFonts w:cs="Arial"/>
        </w:rPr>
        <w:t xml:space="preserve">have a </w:t>
      </w:r>
      <w:r>
        <w:rPr>
          <w:rFonts w:cs="Arial"/>
        </w:rPr>
        <w:t xml:space="preserve">plan for </w:t>
      </w:r>
      <w:r w:rsidRPr="00140E21">
        <w:rPr>
          <w:rFonts w:cs="Arial"/>
        </w:rPr>
        <w:t xml:space="preserve">continuous improvement </w:t>
      </w:r>
      <w:r>
        <w:rPr>
          <w:rFonts w:cs="Arial"/>
        </w:rPr>
        <w:t>(PCI)</w:t>
      </w:r>
      <w:r w:rsidRPr="00140E21">
        <w:rPr>
          <w:rFonts w:cs="Arial"/>
        </w:rPr>
        <w:t xml:space="preserve">. </w:t>
      </w:r>
    </w:p>
    <w:p w14:paraId="0301F770" w14:textId="77777777" w:rsidR="00ED244E" w:rsidRDefault="00ED244E" w:rsidP="00ED244E">
      <w:pPr>
        <w:rPr>
          <w:rFonts w:cs="Arial"/>
        </w:rPr>
      </w:pPr>
      <w:r w:rsidRPr="00140E21">
        <w:rPr>
          <w:rFonts w:cs="Arial"/>
        </w:rPr>
        <w:t xml:space="preserve">In addition to being a regulatory obligation, continuous improvement can help providers to identify changes needed in care and service, improve care and services for </w:t>
      </w:r>
      <w:r>
        <w:rPr>
          <w:rFonts w:cs="Arial"/>
        </w:rPr>
        <w:t>older people</w:t>
      </w:r>
      <w:r w:rsidRPr="00140E21">
        <w:rPr>
          <w:rFonts w:cs="Arial"/>
        </w:rPr>
        <w:t>, improve stakeholder input and ownership, improve the systems used to monitor and track changes, and support sustainable results.</w:t>
      </w:r>
    </w:p>
    <w:p w14:paraId="7D7E3609" w14:textId="6279C435" w:rsidR="00ED244E" w:rsidRPr="00A51B4F" w:rsidRDefault="00ED244E" w:rsidP="00A51B4F">
      <w:r w:rsidRPr="00A51B4F">
        <w:t xml:space="preserve">To learn more about the elements, benefits and cycle of </w:t>
      </w:r>
      <w:hyperlink r:id="rId80" w:history="1">
        <w:r w:rsidRPr="00A51B4F">
          <w:rPr>
            <w:rStyle w:val="Hyperlink"/>
          </w:rPr>
          <w:t>effective continuous improvement</w:t>
        </w:r>
      </w:hyperlink>
      <w:r w:rsidRPr="00A51B4F">
        <w:t xml:space="preserve"> </w:t>
      </w:r>
      <w:r w:rsidR="00C6727B" w:rsidRPr="00A51B4F">
        <w:t xml:space="preserve">please visit the department’s website at: </w:t>
      </w:r>
      <w:hyperlink r:id="rId81" w:history="1">
        <w:r w:rsidR="002D4E0E" w:rsidRPr="00A51B4F">
          <w:rPr>
            <w:rStyle w:val="Hyperlink"/>
          </w:rPr>
          <w:t>Quality improvement guidance for aged care providers</w:t>
        </w:r>
      </w:hyperlink>
      <w:r w:rsidR="002D4E0E" w:rsidRPr="00A51B4F">
        <w:t>.</w:t>
      </w:r>
      <w:r w:rsidR="00C6727B" w:rsidRPr="00A51B4F" w:rsidDel="007A661A">
        <w:t xml:space="preserve"> </w:t>
      </w:r>
      <w:r w:rsidR="002D4E0E" w:rsidRPr="00A51B4F">
        <w:t xml:space="preserve"> Note: this reference refers to the Star Ratings which do not apply to NATSIFACP, however the content remains relevant. </w:t>
      </w:r>
    </w:p>
    <w:p w14:paraId="6DEBF9DF" w14:textId="77777777" w:rsidR="00ED244E" w:rsidRDefault="00ED244E" w:rsidP="00ED244E">
      <w:pPr>
        <w:pStyle w:val="Heading3"/>
      </w:pPr>
      <w:bookmarkStart w:id="76" w:name="_Toc199873003"/>
      <w:r>
        <w:t xml:space="preserve">Incident </w:t>
      </w:r>
      <w:bookmarkEnd w:id="76"/>
      <w:r>
        <w:t>management</w:t>
      </w:r>
    </w:p>
    <w:p w14:paraId="10DDC17F" w14:textId="77777777" w:rsidR="00ED244E" w:rsidRDefault="00ED244E" w:rsidP="00ED244E">
      <w:r w:rsidRPr="006F2B4E">
        <w:t>Incidents</w:t>
      </w:r>
      <w:r>
        <w:t xml:space="preserve"> are </w:t>
      </w:r>
      <w:r w:rsidRPr="00A23D7A">
        <w:t>act</w:t>
      </w:r>
      <w:r>
        <w:t>s</w:t>
      </w:r>
      <w:r w:rsidRPr="00A23D7A">
        <w:t>, omission</w:t>
      </w:r>
      <w:r>
        <w:t>s</w:t>
      </w:r>
      <w:r w:rsidRPr="00A23D7A">
        <w:t>, event</w:t>
      </w:r>
      <w:r>
        <w:t>s</w:t>
      </w:r>
      <w:r w:rsidRPr="00A23D7A">
        <w:t xml:space="preserve"> or circumstance</w:t>
      </w:r>
      <w:r>
        <w:t>s</w:t>
      </w:r>
      <w:r w:rsidRPr="00A23D7A">
        <w:t xml:space="preserve"> that</w:t>
      </w:r>
      <w:r>
        <w:t xml:space="preserve"> </w:t>
      </w:r>
      <w:r w:rsidRPr="007A3CCE">
        <w:t xml:space="preserve">occur, </w:t>
      </w:r>
      <w:r>
        <w:t>are</w:t>
      </w:r>
      <w:r w:rsidRPr="007A3CCE">
        <w:t xml:space="preserve"> alleged to have occurred, or </w:t>
      </w:r>
      <w:r>
        <w:t>are</w:t>
      </w:r>
      <w:r w:rsidRPr="007A3CCE">
        <w:t xml:space="preserve"> suspected of having occurred, in connection with the delivery of funded aged care services to an individual by a registered provider</w:t>
      </w:r>
      <w:r>
        <w:t>. An incident e</w:t>
      </w:r>
      <w:r w:rsidRPr="007A3CCE">
        <w:t>ithe</w:t>
      </w:r>
      <w:r>
        <w:t xml:space="preserve">r </w:t>
      </w:r>
      <w:r w:rsidRPr="007A3CCE">
        <w:t xml:space="preserve">caused harm </w:t>
      </w:r>
      <w:r>
        <w:t xml:space="preserve">or could have caused harm </w:t>
      </w:r>
      <w:r w:rsidRPr="007A3CCE">
        <w:t xml:space="preserve">to </w:t>
      </w:r>
      <w:r>
        <w:t>an</w:t>
      </w:r>
      <w:r w:rsidRPr="007A3CCE">
        <w:t xml:space="preserve"> individual or another person</w:t>
      </w:r>
      <w:r>
        <w:t>.</w:t>
      </w:r>
    </w:p>
    <w:p w14:paraId="2654E4C1" w14:textId="77777777" w:rsidR="00ED244E" w:rsidRPr="00140E21" w:rsidRDefault="00ED244E" w:rsidP="00ED244E">
      <w:pPr>
        <w:rPr>
          <w:rFonts w:cs="Arial"/>
        </w:rPr>
      </w:pPr>
      <w:r w:rsidRPr="00140E21">
        <w:rPr>
          <w:rFonts w:cs="Arial"/>
        </w:rPr>
        <w:t>Under the A</w:t>
      </w:r>
      <w:r>
        <w:rPr>
          <w:rFonts w:cs="Arial"/>
        </w:rPr>
        <w:t>ct</w:t>
      </w:r>
      <w:r w:rsidRPr="00140E21">
        <w:rPr>
          <w:rFonts w:cs="Arial"/>
        </w:rPr>
        <w:t xml:space="preserve">, providers need to manage incidents and take reasonable steps to prevent incidents with a focus on the safety, health and wellbeing of </w:t>
      </w:r>
      <w:r>
        <w:rPr>
          <w:rFonts w:cs="Arial"/>
        </w:rPr>
        <w:t>individual</w:t>
      </w:r>
      <w:r w:rsidRPr="00140E21">
        <w:rPr>
          <w:rFonts w:cs="Arial"/>
        </w:rPr>
        <w:t xml:space="preserve">s. Incident management responsibilities apply to all registered providers in the following registration categories: </w:t>
      </w:r>
    </w:p>
    <w:p w14:paraId="21D87BC2" w14:textId="77777777" w:rsidR="00ED244E" w:rsidRDefault="00ED244E" w:rsidP="00D82385">
      <w:pPr>
        <w:pStyle w:val="ListBullet"/>
      </w:pPr>
      <w:r w:rsidRPr="002226D1">
        <w:t>home and community services</w:t>
      </w:r>
    </w:p>
    <w:p w14:paraId="09108B6F" w14:textId="77777777" w:rsidR="00ED244E" w:rsidRDefault="00ED244E" w:rsidP="00D82385">
      <w:pPr>
        <w:pStyle w:val="ListBullet"/>
      </w:pPr>
      <w:r w:rsidRPr="002226D1">
        <w:t>advisory and support services</w:t>
      </w:r>
    </w:p>
    <w:p w14:paraId="5AC1DF83" w14:textId="77777777" w:rsidR="00ED244E" w:rsidRPr="00140E21" w:rsidRDefault="00ED244E" w:rsidP="00D82385">
      <w:pPr>
        <w:pStyle w:val="ListBullet"/>
      </w:pPr>
      <w:r w:rsidRPr="65121B19">
        <w:t>personal and care support in the home or community</w:t>
      </w:r>
    </w:p>
    <w:p w14:paraId="5AA89BA6" w14:textId="77777777" w:rsidR="00ED244E" w:rsidRPr="00140E21" w:rsidRDefault="00ED244E" w:rsidP="00D82385">
      <w:pPr>
        <w:pStyle w:val="ListBullet"/>
      </w:pPr>
      <w:r w:rsidRPr="65121B19">
        <w:t>nursing and transition care</w:t>
      </w:r>
    </w:p>
    <w:p w14:paraId="11682133" w14:textId="77777777" w:rsidR="00ED244E" w:rsidRPr="00140E21" w:rsidRDefault="00ED244E" w:rsidP="00D82385">
      <w:pPr>
        <w:pStyle w:val="ListBullet"/>
      </w:pPr>
      <w:r w:rsidRPr="65121B19">
        <w:t>residential care.</w:t>
      </w:r>
    </w:p>
    <w:p w14:paraId="62CE5899" w14:textId="77777777" w:rsidR="00ED244E" w:rsidRPr="00140E21" w:rsidRDefault="00ED244E" w:rsidP="00ED244E">
      <w:pPr>
        <w:pStyle w:val="Heading4"/>
      </w:pPr>
      <w:r>
        <w:t>What is incident management?</w:t>
      </w:r>
    </w:p>
    <w:p w14:paraId="2129D2D4" w14:textId="77777777" w:rsidR="00ED244E" w:rsidRPr="00140E21" w:rsidRDefault="00ED244E" w:rsidP="00ED244E">
      <w:pPr>
        <w:rPr>
          <w:rFonts w:cs="Arial"/>
        </w:rPr>
      </w:pPr>
      <w:r w:rsidRPr="00140E21">
        <w:rPr>
          <w:rFonts w:cs="Arial"/>
        </w:rPr>
        <w:t xml:space="preserve">Incident management consists of several activities, including: </w:t>
      </w:r>
    </w:p>
    <w:p w14:paraId="5C89E269" w14:textId="77777777" w:rsidR="00ED244E" w:rsidRDefault="00ED244E" w:rsidP="00D82385">
      <w:pPr>
        <w:pStyle w:val="ListBullet"/>
      </w:pPr>
      <w:r w:rsidRPr="002226D1">
        <w:t>Implementing and maintaining an incident management system</w:t>
      </w:r>
    </w:p>
    <w:p w14:paraId="30BFB65B" w14:textId="77777777" w:rsidR="00ED244E" w:rsidRDefault="00ED244E" w:rsidP="00D82385">
      <w:pPr>
        <w:pStyle w:val="ListBullet"/>
      </w:pPr>
      <w:r w:rsidRPr="002226D1">
        <w:t>Managing and taking reasonable steps to prevent incidents</w:t>
      </w:r>
    </w:p>
    <w:p w14:paraId="45C37D3A" w14:textId="77777777" w:rsidR="00ED244E" w:rsidRDefault="00ED244E" w:rsidP="00D82385">
      <w:pPr>
        <w:pStyle w:val="ListBullet"/>
      </w:pPr>
      <w:r w:rsidRPr="002226D1">
        <w:t>Training staff</w:t>
      </w:r>
      <w:r>
        <w:t xml:space="preserve"> on incident management processes</w:t>
      </w:r>
    </w:p>
    <w:p w14:paraId="77A7EE70" w14:textId="77777777" w:rsidR="00ED244E" w:rsidRPr="00F64478" w:rsidRDefault="00ED244E" w:rsidP="00D82385">
      <w:pPr>
        <w:pStyle w:val="ListBullet"/>
      </w:pPr>
      <w:r w:rsidRPr="002226D1">
        <w:t xml:space="preserve">Reporting reportable incidents to the Commissioner.  </w:t>
      </w:r>
    </w:p>
    <w:p w14:paraId="00732CC3" w14:textId="77777777" w:rsidR="00ED244E" w:rsidRPr="00140E21" w:rsidRDefault="00ED244E" w:rsidP="00ED244E">
      <w:pPr>
        <w:pStyle w:val="Heading4"/>
      </w:pPr>
      <w:r w:rsidRPr="00140E21">
        <w:t>Incident management systems</w:t>
      </w:r>
    </w:p>
    <w:p w14:paraId="5D88E1DF" w14:textId="77777777" w:rsidR="00ED244E" w:rsidRPr="00B12281" w:rsidRDefault="00ED244E" w:rsidP="00ED244E">
      <w:bookmarkStart w:id="77" w:name="_Toc199873004"/>
      <w:r>
        <w:t>Registered</w:t>
      </w:r>
      <w:r w:rsidRPr="00140E21">
        <w:t xml:space="preserve"> providers must have in place and maintain an effective incident management system</w:t>
      </w:r>
      <w:r>
        <w:t xml:space="preserve"> </w:t>
      </w:r>
      <w:r w:rsidRPr="00B12281">
        <w:t xml:space="preserve">(IMS) </w:t>
      </w:r>
      <w:r>
        <w:t xml:space="preserve">that </w:t>
      </w:r>
      <w:r w:rsidRPr="00B12281">
        <w:t>help</w:t>
      </w:r>
      <w:r>
        <w:t xml:space="preserve"> with</w:t>
      </w:r>
      <w:r w:rsidRPr="00B12281">
        <w:t xml:space="preserve"> respond</w:t>
      </w:r>
      <w:r>
        <w:t>ing</w:t>
      </w:r>
      <w:r w:rsidRPr="00B12281">
        <w:t xml:space="preserve"> to incidents</w:t>
      </w:r>
      <w:r>
        <w:t xml:space="preserve"> and </w:t>
      </w:r>
      <w:r w:rsidRPr="00B12281">
        <w:t>tak</w:t>
      </w:r>
      <w:r>
        <w:t>ing</w:t>
      </w:r>
      <w:r w:rsidRPr="00B12281">
        <w:t xml:space="preserve"> steps to ensure they don't happen again.</w:t>
      </w:r>
    </w:p>
    <w:p w14:paraId="674E0838" w14:textId="77777777" w:rsidR="00ED244E" w:rsidRPr="00140E21" w:rsidRDefault="00ED244E" w:rsidP="00ED244E">
      <w:r w:rsidRPr="00B12281">
        <w:t xml:space="preserve">An IMS </w:t>
      </w:r>
      <w:r>
        <w:t>is</w:t>
      </w:r>
      <w:r w:rsidRPr="00140E21">
        <w:t xml:space="preserve"> set of protocols, processes and standard operating procedures that staff are trained in and expected to use when </w:t>
      </w:r>
      <w:r>
        <w:t xml:space="preserve">documenting, </w:t>
      </w:r>
      <w:r w:rsidRPr="00140E21">
        <w:t>reporting and responding to incidents.</w:t>
      </w:r>
      <w:bookmarkEnd w:id="77"/>
    </w:p>
    <w:p w14:paraId="379E3A57" w14:textId="77777777" w:rsidR="00ED244E" w:rsidRDefault="00ED244E" w:rsidP="00ED244E">
      <w:bookmarkStart w:id="78" w:name="_Toc199873005"/>
      <w:r w:rsidRPr="00140E21">
        <w:t>Providers in the above registration categories must use an incident management system for the purpose of:</w:t>
      </w:r>
      <w:bookmarkEnd w:id="78"/>
      <w:r w:rsidRPr="00140E21">
        <w:t xml:space="preserve"> </w:t>
      </w:r>
    </w:p>
    <w:p w14:paraId="4C30E7F5" w14:textId="77777777" w:rsidR="00ED244E" w:rsidRPr="002226D1" w:rsidRDefault="00ED244E" w:rsidP="00D82385">
      <w:pPr>
        <w:pStyle w:val="ListBullet"/>
      </w:pPr>
      <w:r w:rsidRPr="002226D1">
        <w:t>promoting the safety, health, wellbeing and quality of life of individuals in their care by:</w:t>
      </w:r>
    </w:p>
    <w:p w14:paraId="0B3F7F5E" w14:textId="77777777" w:rsidR="00ED244E" w:rsidRPr="002226D1" w:rsidRDefault="00ED244E" w:rsidP="00E57EB7">
      <w:pPr>
        <w:pStyle w:val="ListBullet"/>
        <w:numPr>
          <w:ilvl w:val="1"/>
          <w:numId w:val="40"/>
        </w:numPr>
      </w:pPr>
      <w:r w:rsidRPr="002226D1">
        <w:t>detecting, addressing and remediating incidents</w:t>
      </w:r>
    </w:p>
    <w:p w14:paraId="1E05F911" w14:textId="77777777" w:rsidR="00ED244E" w:rsidRPr="002226D1" w:rsidRDefault="00ED244E" w:rsidP="00E57EB7">
      <w:pPr>
        <w:pStyle w:val="ListBullet"/>
        <w:numPr>
          <w:ilvl w:val="1"/>
          <w:numId w:val="40"/>
        </w:numPr>
      </w:pPr>
      <w:r w:rsidRPr="002226D1">
        <w:t>preventing incidents</w:t>
      </w:r>
    </w:p>
    <w:p w14:paraId="6630B254" w14:textId="77777777" w:rsidR="00ED244E" w:rsidRPr="002226D1" w:rsidRDefault="00ED244E" w:rsidP="00E57EB7">
      <w:pPr>
        <w:pStyle w:val="ListBullet"/>
        <w:numPr>
          <w:ilvl w:val="1"/>
          <w:numId w:val="40"/>
        </w:numPr>
      </w:pPr>
      <w:r w:rsidRPr="002226D1">
        <w:t>ensuring the provider’s incident management system facilitates the open disclosure and resolution of incidents between individuals and the provider</w:t>
      </w:r>
    </w:p>
    <w:p w14:paraId="75362059" w14:textId="77777777" w:rsidR="00ED244E" w:rsidRPr="002226D1" w:rsidRDefault="00ED244E" w:rsidP="00D82385">
      <w:pPr>
        <w:pStyle w:val="ListBullet"/>
      </w:pPr>
      <w:r w:rsidRPr="002226D1">
        <w:t>promoting continuous improvement of the providers:</w:t>
      </w:r>
    </w:p>
    <w:p w14:paraId="3883DC63" w14:textId="77777777" w:rsidR="00ED244E" w:rsidRPr="002226D1" w:rsidRDefault="00ED244E" w:rsidP="00E57EB7">
      <w:pPr>
        <w:pStyle w:val="ListBullet"/>
        <w:numPr>
          <w:ilvl w:val="1"/>
          <w:numId w:val="40"/>
        </w:numPr>
      </w:pPr>
      <w:r w:rsidRPr="002226D1">
        <w:t>management and prevention of incidents, and</w:t>
      </w:r>
    </w:p>
    <w:p w14:paraId="35AA84BA" w14:textId="77777777" w:rsidR="00ED244E" w:rsidRPr="002226D1" w:rsidRDefault="00ED244E" w:rsidP="00E57EB7">
      <w:pPr>
        <w:pStyle w:val="ListBullet"/>
        <w:numPr>
          <w:ilvl w:val="1"/>
          <w:numId w:val="40"/>
        </w:numPr>
      </w:pPr>
      <w:r w:rsidRPr="002226D1">
        <w:t>delivery of funded aged care services.</w:t>
      </w:r>
    </w:p>
    <w:p w14:paraId="69B2A757" w14:textId="21C99208" w:rsidR="00ED244E" w:rsidRPr="00626A2A" w:rsidRDefault="00ED244E" w:rsidP="00ED244E">
      <w:r>
        <w:t>Further detail about the requirements fo</w:t>
      </w:r>
      <w:r w:rsidRPr="00CB611D">
        <w:t>r IMS is ava</w:t>
      </w:r>
      <w:r w:rsidRPr="008E2B67">
        <w:t>ilable a</w:t>
      </w:r>
      <w:r w:rsidRPr="00CB611D">
        <w:t xml:space="preserve">t: </w:t>
      </w:r>
      <w:hyperlink r:id="rId82" w:history="1">
        <w:r w:rsidRPr="00F77F17">
          <w:rPr>
            <w:rStyle w:val="Hyperlink"/>
          </w:rPr>
          <w:t>agedcarequality.gov.au/providers/serious-incident-response-scheme/incident-management-systems</w:t>
        </w:r>
      </w:hyperlink>
      <w:r w:rsidRPr="00F77F17">
        <w:t>.</w:t>
      </w:r>
    </w:p>
    <w:p w14:paraId="05CA914C" w14:textId="77777777" w:rsidR="00ED244E" w:rsidRPr="00140E21" w:rsidRDefault="00ED244E" w:rsidP="00ED244E">
      <w:pPr>
        <w:pStyle w:val="Heading3"/>
      </w:pPr>
      <w:bookmarkStart w:id="79" w:name="SIRS"/>
      <w:bookmarkStart w:id="80" w:name="_Serious_Incident_Response"/>
      <w:bookmarkStart w:id="81" w:name="_Toc199873006"/>
      <w:bookmarkEnd w:id="79"/>
      <w:bookmarkEnd w:id="80"/>
      <w:r w:rsidRPr="00140E21">
        <w:t>Serious Incident Response Scheme</w:t>
      </w:r>
      <w:bookmarkEnd w:id="81"/>
    </w:p>
    <w:p w14:paraId="4734B82C" w14:textId="77777777" w:rsidR="00ED244E" w:rsidRPr="00140E21" w:rsidRDefault="00ED244E" w:rsidP="00ED244E">
      <w:pPr>
        <w:rPr>
          <w:rFonts w:cs="Arial"/>
        </w:rPr>
      </w:pPr>
      <w:r w:rsidRPr="00140E21">
        <w:rPr>
          <w:rFonts w:cs="Arial"/>
        </w:rPr>
        <w:t xml:space="preserve">The Serious Incident Response Scheme (SIRS) aims to reduce abuse and neglect of older people receiving government funded aged care services. They scheme focuses on older people’s safety, health, wellbeing and quality of life. </w:t>
      </w:r>
    </w:p>
    <w:p w14:paraId="4C8A463A" w14:textId="77777777" w:rsidR="00ED244E" w:rsidRPr="00140E21" w:rsidRDefault="00ED244E" w:rsidP="00ED244E">
      <w:pPr>
        <w:tabs>
          <w:tab w:val="num" w:pos="720"/>
        </w:tabs>
        <w:rPr>
          <w:rFonts w:cs="Arial"/>
        </w:rPr>
      </w:pPr>
      <w:r w:rsidRPr="00140E21">
        <w:rPr>
          <w:rFonts w:cs="Arial"/>
        </w:rPr>
        <w:t>SIRS establishes responsibilities for all providers of residential aged care and home services, to identify, manage, and resolve incidents that happen during the delivery of care and services, and to prevent future incidents.</w:t>
      </w:r>
    </w:p>
    <w:p w14:paraId="6FB4FB87" w14:textId="77777777" w:rsidR="00ED244E" w:rsidRPr="00140E21" w:rsidRDefault="00ED244E" w:rsidP="00ED244E">
      <w:pPr>
        <w:rPr>
          <w:rFonts w:cs="Arial"/>
        </w:rPr>
      </w:pPr>
      <w:r w:rsidRPr="00140E21">
        <w:rPr>
          <w:rFonts w:cs="Arial"/>
        </w:rPr>
        <w:t xml:space="preserve">There are three major components of the SIRS that must be implemented by aged care providers in home and community settings. These are: </w:t>
      </w:r>
    </w:p>
    <w:p w14:paraId="0D226FCB" w14:textId="77777777" w:rsidR="00ED244E" w:rsidRPr="00140E21" w:rsidRDefault="00ED244E" w:rsidP="00D82385">
      <w:pPr>
        <w:pStyle w:val="ListBullet"/>
      </w:pPr>
      <w:r>
        <w:rPr>
          <w:b/>
          <w:bCs/>
        </w:rPr>
        <w:t>i</w:t>
      </w:r>
      <w:r w:rsidRPr="00140E21">
        <w:rPr>
          <w:b/>
          <w:bCs/>
        </w:rPr>
        <w:t>ncident management obligations</w:t>
      </w:r>
      <w:r w:rsidRPr="00140E21">
        <w:t xml:space="preserve"> – providers must have effective systems and practices in place for preventing and managing all incidents. This includes using an Incident Management System (IMS) to record, manage and respond to incidents that occur</w:t>
      </w:r>
    </w:p>
    <w:p w14:paraId="7D277B0F" w14:textId="77777777" w:rsidR="00ED244E" w:rsidRPr="00140E21" w:rsidRDefault="00ED244E" w:rsidP="00D82385">
      <w:pPr>
        <w:pStyle w:val="ListBullet"/>
      </w:pPr>
      <w:r>
        <w:rPr>
          <w:b/>
          <w:bCs/>
        </w:rPr>
        <w:t>c</w:t>
      </w:r>
      <w:r w:rsidRPr="00140E21">
        <w:rPr>
          <w:b/>
          <w:bCs/>
        </w:rPr>
        <w:t xml:space="preserve">ontinuous improvement </w:t>
      </w:r>
      <w:r w:rsidRPr="00140E21">
        <w:t>– providers must use data from their IMS to analyse incidents and implement actions that both prevent future incidents and drive quality improvement in their service</w:t>
      </w:r>
    </w:p>
    <w:p w14:paraId="6EA8F71E" w14:textId="77777777" w:rsidR="00ED244E" w:rsidRPr="00140E21" w:rsidRDefault="00ED244E" w:rsidP="00D82385">
      <w:pPr>
        <w:pStyle w:val="ListBullet"/>
      </w:pPr>
      <w:r>
        <w:rPr>
          <w:b/>
          <w:bCs/>
        </w:rPr>
        <w:t>s</w:t>
      </w:r>
      <w:r w:rsidRPr="00140E21">
        <w:rPr>
          <w:b/>
          <w:bCs/>
        </w:rPr>
        <w:t xml:space="preserve">erious incident reporting and response </w:t>
      </w:r>
      <w:r w:rsidRPr="00140E21">
        <w:t>– providers must notify the Commission of any reportable incidents</w:t>
      </w:r>
      <w:r>
        <w:t xml:space="preserve">, </w:t>
      </w:r>
      <w:r w:rsidRPr="00140E21">
        <w:t>report to police where there are reasonable grounds to do so</w:t>
      </w:r>
      <w:r>
        <w:t xml:space="preserve"> and </w:t>
      </w:r>
      <w:r w:rsidRPr="00140E21">
        <w:t>manag</w:t>
      </w:r>
      <w:r>
        <w:t>e</w:t>
      </w:r>
      <w:r w:rsidRPr="00140E21">
        <w:t xml:space="preserve"> incidents through </w:t>
      </w:r>
      <w:r>
        <w:t>thei</w:t>
      </w:r>
      <w:r w:rsidRPr="00140E21">
        <w:t>r IMS.</w:t>
      </w:r>
    </w:p>
    <w:p w14:paraId="631D1FB9" w14:textId="77777777" w:rsidR="00ED244E" w:rsidRPr="00140E21" w:rsidRDefault="00ED244E" w:rsidP="00ED244E">
      <w:pPr>
        <w:rPr>
          <w:rFonts w:cs="Arial"/>
        </w:rPr>
      </w:pPr>
      <w:r w:rsidRPr="00140E21">
        <w:rPr>
          <w:rFonts w:cs="Arial"/>
        </w:rPr>
        <w:t xml:space="preserve">The </w:t>
      </w:r>
      <w:hyperlink r:id="rId83" w:history="1">
        <w:r w:rsidRPr="00140E21">
          <w:rPr>
            <w:rStyle w:val="Hyperlink"/>
            <w:rFonts w:cs="Arial"/>
          </w:rPr>
          <w:t>C</w:t>
        </w:r>
        <w:r>
          <w:rPr>
            <w:rStyle w:val="Hyperlink"/>
            <w:rFonts w:cs="Arial"/>
          </w:rPr>
          <w:t>ommission</w:t>
        </w:r>
        <w:r w:rsidRPr="00140E21">
          <w:rPr>
            <w:rStyle w:val="Hyperlink"/>
            <w:rFonts w:cs="Arial"/>
          </w:rPr>
          <w:t xml:space="preserve"> website</w:t>
        </w:r>
      </w:hyperlink>
      <w:r w:rsidRPr="00140E21">
        <w:rPr>
          <w:rFonts w:cs="Arial"/>
        </w:rPr>
        <w:t xml:space="preserve"> provides further information and guidance for providers on the above components, as well as information on:</w:t>
      </w:r>
    </w:p>
    <w:p w14:paraId="6F56F6B6" w14:textId="77777777" w:rsidR="00ED244E" w:rsidRPr="00140E21" w:rsidRDefault="00ED244E" w:rsidP="00D82385">
      <w:pPr>
        <w:pStyle w:val="ListBullet"/>
      </w:pPr>
      <w:r>
        <w:rPr>
          <w:b/>
          <w:bCs/>
        </w:rPr>
        <w:t>r</w:t>
      </w:r>
      <w:r w:rsidRPr="00140E21">
        <w:rPr>
          <w:b/>
          <w:bCs/>
        </w:rPr>
        <w:t>eportable incidents</w:t>
      </w:r>
      <w:r w:rsidRPr="00140E21">
        <w:t xml:space="preserve"> – service providers must learn the different types of reportable incidents in residential and home services, and the differences between Priority 1 and Priority 2 incidents, what needs to be reported and the timeframes for doing so</w:t>
      </w:r>
    </w:p>
    <w:p w14:paraId="7643A3A4" w14:textId="77777777" w:rsidR="00ED244E" w:rsidRPr="00140E21" w:rsidRDefault="00ED244E" w:rsidP="00D82385">
      <w:pPr>
        <w:pStyle w:val="ListBullet"/>
      </w:pPr>
      <w:r>
        <w:t>r</w:t>
      </w:r>
      <w:r w:rsidRPr="00140E21">
        <w:t xml:space="preserve">eporting requirements, forms and processes </w:t>
      </w:r>
    </w:p>
    <w:p w14:paraId="1BE9D0C7" w14:textId="77777777" w:rsidR="00ED244E" w:rsidRPr="00140E21" w:rsidRDefault="00ED244E" w:rsidP="00D82385">
      <w:pPr>
        <w:pStyle w:val="ListBullet"/>
      </w:pPr>
      <w:r>
        <w:rPr>
          <w:b/>
          <w:bCs/>
        </w:rPr>
        <w:t>r</w:t>
      </w:r>
      <w:r w:rsidRPr="00140E21">
        <w:rPr>
          <w:b/>
          <w:bCs/>
        </w:rPr>
        <w:t>oles and responsibilities</w:t>
      </w:r>
      <w:r w:rsidRPr="00140E21">
        <w:t xml:space="preserve"> for managers and workers under the SIRS</w:t>
      </w:r>
    </w:p>
    <w:p w14:paraId="73FB220E" w14:textId="77777777" w:rsidR="00ED244E" w:rsidRPr="00140E21" w:rsidRDefault="00ED244E" w:rsidP="00D82385">
      <w:pPr>
        <w:pStyle w:val="ListBullet"/>
      </w:pPr>
      <w:r>
        <w:rPr>
          <w:b/>
          <w:bCs/>
        </w:rPr>
        <w:t>p</w:t>
      </w:r>
      <w:r w:rsidRPr="00140E21">
        <w:rPr>
          <w:b/>
          <w:bCs/>
        </w:rPr>
        <w:t>rotections</w:t>
      </w:r>
      <w:r w:rsidRPr="00140E21">
        <w:t xml:space="preserve"> that must be provided for persons who make disclosures about reportable incidents.</w:t>
      </w:r>
    </w:p>
    <w:p w14:paraId="04566308" w14:textId="77777777" w:rsidR="00ED244E" w:rsidRPr="00140E21" w:rsidRDefault="00ED244E" w:rsidP="00ED244E">
      <w:pPr>
        <w:rPr>
          <w:rFonts w:cs="Arial"/>
        </w:rPr>
      </w:pPr>
      <w:r w:rsidRPr="00140E21">
        <w:rPr>
          <w:rFonts w:cs="Arial"/>
        </w:rPr>
        <w:t xml:space="preserve">Providers with questions about SIRS can contact the Commission by: </w:t>
      </w:r>
    </w:p>
    <w:p w14:paraId="0121EBC6" w14:textId="77777777" w:rsidR="00ED244E" w:rsidRPr="00140E21" w:rsidRDefault="00ED244E" w:rsidP="00D82385">
      <w:pPr>
        <w:pStyle w:val="ListBullet"/>
      </w:pPr>
      <w:r w:rsidRPr="00140E21">
        <w:t>calling 1800 081 549</w:t>
      </w:r>
    </w:p>
    <w:p w14:paraId="0D5EB172" w14:textId="77777777" w:rsidR="00ED244E" w:rsidRDefault="00ED244E" w:rsidP="00D82385">
      <w:pPr>
        <w:pStyle w:val="ListBullet"/>
        <w:rPr>
          <w:rFonts w:cs="Arial"/>
        </w:rPr>
      </w:pPr>
      <w:r w:rsidRPr="00140E21">
        <w:rPr>
          <w:rFonts w:cs="Arial"/>
        </w:rPr>
        <w:t xml:space="preserve">emailing </w:t>
      </w:r>
      <w:hyperlink r:id="rId84" w:history="1">
        <w:r w:rsidRPr="00140E21">
          <w:rPr>
            <w:rStyle w:val="Hyperlink"/>
            <w:rFonts w:cs="Arial"/>
          </w:rPr>
          <w:t>sirs@agedcarequality.gov.au</w:t>
        </w:r>
      </w:hyperlink>
      <w:r w:rsidRPr="00140E21">
        <w:rPr>
          <w:rFonts w:cs="Arial"/>
        </w:rPr>
        <w:t>.</w:t>
      </w:r>
    </w:p>
    <w:p w14:paraId="04CA23D5" w14:textId="77777777" w:rsidR="00ED244E" w:rsidRPr="00CA0E3D" w:rsidRDefault="00ED244E" w:rsidP="00ED244E">
      <w:pPr>
        <w:pStyle w:val="Heading3"/>
      </w:pPr>
      <w:bookmarkStart w:id="82" w:name="_Toc130464997"/>
      <w:bookmarkStart w:id="83" w:name="_Toc199873014"/>
      <w:r>
        <w:t xml:space="preserve">Missing </w:t>
      </w:r>
      <w:bookmarkEnd w:id="82"/>
      <w:bookmarkEnd w:id="83"/>
      <w:r>
        <w:t>consumers</w:t>
      </w:r>
    </w:p>
    <w:p w14:paraId="59CD50F2" w14:textId="77777777" w:rsidR="00ED244E" w:rsidRPr="007E3334" w:rsidRDefault="00ED244E" w:rsidP="00ED244E">
      <w:r w:rsidRPr="007E3334">
        <w:t xml:space="preserve">Service providers </w:t>
      </w:r>
      <w:r w:rsidRPr="00420252">
        <w:t>should have clear internal protocols for managing non-responses</w:t>
      </w:r>
      <w:r>
        <w:t xml:space="preserve"> from individuals</w:t>
      </w:r>
      <w:r w:rsidRPr="00420252">
        <w:t>, including risk assessment and appropriate follow-up actions, especially for consumers identified as high-risk.</w:t>
      </w:r>
    </w:p>
    <w:p w14:paraId="34A73CB4" w14:textId="6D8A0E07" w:rsidR="00ED244E" w:rsidRDefault="00ED244E" w:rsidP="00ED244E">
      <w:r w:rsidRPr="00420252">
        <w:t xml:space="preserve">The SIRS provides </w:t>
      </w:r>
      <w:r>
        <w:t xml:space="preserve">a definition and </w:t>
      </w:r>
      <w:r w:rsidRPr="00420252">
        <w:t>guidance for scenarios</w:t>
      </w:r>
      <w:r>
        <w:t xml:space="preserve"> involving </w:t>
      </w:r>
      <w:r w:rsidRPr="006920AA">
        <w:t>missing consumers</w:t>
      </w:r>
      <w:r>
        <w:t xml:space="preserve">: </w:t>
      </w:r>
      <w:hyperlink r:id="rId85" w:history="1">
        <w:r w:rsidR="00825523">
          <w:rPr>
            <w:rStyle w:val="Hyperlink"/>
          </w:rPr>
          <w:t>AgedCareQuality.gov.au/providers/serious-incident-response-scheme/reportable-incidents/missing-consumers</w:t>
        </w:r>
      </w:hyperlink>
      <w:r>
        <w:t xml:space="preserve"> </w:t>
      </w:r>
    </w:p>
    <w:p w14:paraId="0ED08D07" w14:textId="77777777" w:rsidR="00ED244E" w:rsidRDefault="00ED244E" w:rsidP="00ED244E">
      <w:pPr>
        <w:pStyle w:val="Heading3"/>
      </w:pPr>
      <w:bookmarkStart w:id="84" w:name="_Toc199872999"/>
      <w:r>
        <w:t>Meal</w:t>
      </w:r>
      <w:bookmarkEnd w:id="84"/>
      <w:r>
        <w:t xml:space="preserve"> services</w:t>
      </w:r>
    </w:p>
    <w:p w14:paraId="71BEEB87" w14:textId="77777777" w:rsidR="00ED244E" w:rsidRDefault="00ED244E" w:rsidP="00ED244E">
      <w:r>
        <w:t>NATSIFACP providers that deliver meal services in the community must ensure that their meals are nutritious and appetising and have regard to the older person’s abilities and preferences.</w:t>
      </w:r>
      <w:r>
        <w:rPr>
          <w:rStyle w:val="FootnoteReference"/>
        </w:rPr>
        <w:footnoteReference w:id="20"/>
      </w:r>
    </w:p>
    <w:p w14:paraId="445E9DC4" w14:textId="77777777" w:rsidR="00ED244E" w:rsidRDefault="00ED244E" w:rsidP="00ED244E">
      <w:r>
        <w:t>Meals need to be assessed by an accredited dietician, at least annually, to ensure that the meals are:</w:t>
      </w:r>
    </w:p>
    <w:p w14:paraId="7CD74EA0" w14:textId="77777777" w:rsidR="00ED244E" w:rsidRPr="0022273B" w:rsidRDefault="00ED244E" w:rsidP="00D82385">
      <w:pPr>
        <w:pStyle w:val="ListBullet"/>
      </w:pPr>
      <w:r>
        <w:t xml:space="preserve">nutritious and </w:t>
      </w:r>
      <w:r w:rsidRPr="0022273B">
        <w:t>appetising</w:t>
      </w:r>
    </w:p>
    <w:p w14:paraId="6AF05BF0" w14:textId="77777777" w:rsidR="00ED244E" w:rsidRPr="0022273B" w:rsidRDefault="00ED244E" w:rsidP="00D82385">
      <w:pPr>
        <w:pStyle w:val="ListBullet"/>
      </w:pPr>
      <w:r w:rsidRPr="0022273B">
        <w:t xml:space="preserve">appropriate to the needs of </w:t>
      </w:r>
      <w:r>
        <w:t>individual</w:t>
      </w:r>
      <w:r w:rsidRPr="0022273B">
        <w:t>s, including those with specialised dietary needs (including medical, cultural or religious preferences)</w:t>
      </w:r>
    </w:p>
    <w:p w14:paraId="2204044B" w14:textId="77777777" w:rsidR="00ED244E" w:rsidRPr="0022273B" w:rsidRDefault="00ED244E" w:rsidP="00D82385">
      <w:pPr>
        <w:pStyle w:val="ListBullet"/>
      </w:pPr>
      <w:r w:rsidRPr="0022273B">
        <w:t>reflect contemporary and evidence-based practice.</w:t>
      </w:r>
    </w:p>
    <w:p w14:paraId="0F257FB3" w14:textId="77777777" w:rsidR="00ED244E" w:rsidRDefault="00ED244E" w:rsidP="00ED244E">
      <w:r>
        <w:t>Providers must also implement a quality assurance framework to continuously improve their meals and refreshments, considering individual satisfaction with meals, and assessments done by accredited practicing dieticians.</w:t>
      </w:r>
    </w:p>
    <w:p w14:paraId="2CA0B053" w14:textId="77777777" w:rsidR="00ED244E" w:rsidRDefault="00ED244E" w:rsidP="00ED244E">
      <w:r>
        <w:t xml:space="preserve">Food and nutrition requirements for residential aged care providers are covered under the </w:t>
      </w:r>
      <w:r w:rsidRPr="006920AA">
        <w:t>Strengthened Aged Care Quality Standards</w:t>
      </w:r>
      <w:r>
        <w:t xml:space="preserve">, Standard 6 – Food and Nutrition: </w:t>
      </w:r>
      <w:hyperlink r:id="rId86" w:history="1">
        <w:r w:rsidRPr="004020B0">
          <w:rPr>
            <w:rStyle w:val="Hyperlink"/>
          </w:rPr>
          <w:t>health.gov.au/resources/publications/strengthened-aged-care-quality-standards-august-2025</w:t>
        </w:r>
      </w:hyperlink>
      <w:r>
        <w:t>.</w:t>
      </w:r>
    </w:p>
    <w:p w14:paraId="2B991FC5" w14:textId="77777777" w:rsidR="00ED244E" w:rsidRDefault="00ED244E" w:rsidP="00ED244E">
      <w:pPr>
        <w:pStyle w:val="Heading3"/>
      </w:pPr>
      <w:bookmarkStart w:id="85" w:name="_Toc199873002"/>
      <w:bookmarkStart w:id="86" w:name="PPE"/>
      <w:bookmarkStart w:id="87" w:name="_Toc199873000"/>
      <w:r>
        <w:t>Personal protective equipment, infection prevention and control</w:t>
      </w:r>
      <w:bookmarkEnd w:id="85"/>
    </w:p>
    <w:bookmarkEnd w:id="86"/>
    <w:p w14:paraId="2C648436" w14:textId="77777777" w:rsidR="00ED244E" w:rsidRDefault="00ED244E" w:rsidP="00ED244E">
      <w:r w:rsidRPr="00D45A74">
        <w:t>NATSIFAC</w:t>
      </w:r>
      <w:r>
        <w:t>P</w:t>
      </w:r>
      <w:r w:rsidRPr="00D45A74">
        <w:t xml:space="preserve"> providers </w:t>
      </w:r>
      <w:r>
        <w:t xml:space="preserve">in registration categories home and community services, assistive technology and home modifications or advisory and support services must: </w:t>
      </w:r>
    </w:p>
    <w:p w14:paraId="2730D593" w14:textId="77777777" w:rsidR="00ED244E" w:rsidRDefault="00ED244E" w:rsidP="00D82385">
      <w:pPr>
        <w:pStyle w:val="ListBullet"/>
      </w:pPr>
      <w:r>
        <w:t>ensure that personal protective equipment (PPE) is available to individuals, aged care workers, or anyone else who might need this equipment</w:t>
      </w:r>
    </w:p>
    <w:p w14:paraId="177E2698" w14:textId="77777777" w:rsidR="00ED244E" w:rsidRDefault="00ED244E" w:rsidP="00D82385">
      <w:pPr>
        <w:pStyle w:val="ListBullet"/>
      </w:pPr>
      <w:r>
        <w:t>support these people to correctly use PPE equipment</w:t>
      </w:r>
      <w:r>
        <w:rPr>
          <w:rStyle w:val="FootnoteReference"/>
        </w:rPr>
        <w:footnoteReference w:id="21"/>
      </w:r>
    </w:p>
    <w:p w14:paraId="5D9B65EA" w14:textId="77777777" w:rsidR="00ED244E" w:rsidRDefault="00ED244E" w:rsidP="00D82385">
      <w:pPr>
        <w:pStyle w:val="ListBullet"/>
      </w:pPr>
      <w:r>
        <w:t xml:space="preserve">have an appropriate infection prevention and control system in place </w:t>
      </w:r>
    </w:p>
    <w:p w14:paraId="2DA1B3E6" w14:textId="77777777" w:rsidR="00ED244E" w:rsidRPr="00653025" w:rsidRDefault="00ED244E" w:rsidP="00D82385">
      <w:pPr>
        <w:pStyle w:val="ListBullet"/>
      </w:pPr>
      <w:r>
        <w:t>ensure that their aged care workers use appropriate infection prevention and control procedures when delivering services.</w:t>
      </w:r>
    </w:p>
    <w:p w14:paraId="2F7F5BFE" w14:textId="77777777" w:rsidR="00ED244E" w:rsidRDefault="00ED244E" w:rsidP="00ED244E">
      <w:bookmarkStart w:id="88" w:name="_Toc199873008"/>
      <w:bookmarkEnd w:id="87"/>
      <w:r>
        <w:t xml:space="preserve">PPE, infection prevention and control requirements for residential aged care providers are covered under the </w:t>
      </w:r>
      <w:r w:rsidRPr="006920AA">
        <w:t>Strengthened Aged Care Quality Standards</w:t>
      </w:r>
      <w:r>
        <w:t xml:space="preserve">, Standard 4 – The Environment: </w:t>
      </w:r>
      <w:hyperlink r:id="rId87" w:history="1">
        <w:r w:rsidRPr="004020B0">
          <w:rPr>
            <w:rStyle w:val="Hyperlink"/>
          </w:rPr>
          <w:t>health.gov.au/resources/publications/strengthened-aged-care-quality-standards-august-2025</w:t>
        </w:r>
      </w:hyperlink>
      <w:r>
        <w:t>.</w:t>
      </w:r>
    </w:p>
    <w:p w14:paraId="43F8E628" w14:textId="77777777" w:rsidR="00ED244E" w:rsidRPr="00247391" w:rsidRDefault="00ED244E" w:rsidP="00ED244E">
      <w:pPr>
        <w:pStyle w:val="Heading3"/>
      </w:pPr>
      <w:r>
        <w:t>R</w:t>
      </w:r>
      <w:r w:rsidRPr="005D475B">
        <w:t>estrictive practices</w:t>
      </w:r>
      <w:r>
        <w:t xml:space="preserve"> in residential care homes</w:t>
      </w:r>
      <w:bookmarkEnd w:id="88"/>
    </w:p>
    <w:p w14:paraId="3EA25FED" w14:textId="77777777" w:rsidR="00ED244E" w:rsidRDefault="00ED244E" w:rsidP="00ED244E">
      <w:r w:rsidRPr="008D67A1">
        <w:t>A restrictive practice is any action that restricts the rights or freedom of movement of a</w:t>
      </w:r>
      <w:r>
        <w:t>n</w:t>
      </w:r>
      <w:r w:rsidRPr="008D67A1">
        <w:t xml:space="preserve"> </w:t>
      </w:r>
      <w:r>
        <w:t>individual</w:t>
      </w:r>
      <w:r w:rsidRPr="008D67A1">
        <w:t>. </w:t>
      </w:r>
      <w:r>
        <w:t xml:space="preserve">Restrictive practices are used in residential care, primarily to influence an individual’s behaviour. </w:t>
      </w:r>
    </w:p>
    <w:p w14:paraId="7646E74D" w14:textId="77777777" w:rsidR="00ED244E" w:rsidRDefault="00ED244E" w:rsidP="00ED244E">
      <w:r>
        <w:t>R</w:t>
      </w:r>
      <w:r w:rsidRPr="00653025">
        <w:t xml:space="preserve">estrictive practices </w:t>
      </w:r>
      <w:r>
        <w:t>must only be</w:t>
      </w:r>
      <w:r w:rsidRPr="00653025">
        <w:t xml:space="preserve"> used</w:t>
      </w:r>
      <w:r>
        <w:t xml:space="preserve">: </w:t>
      </w:r>
    </w:p>
    <w:p w14:paraId="19247DDF" w14:textId="77777777" w:rsidR="00ED244E" w:rsidRDefault="00ED244E" w:rsidP="00D82385">
      <w:pPr>
        <w:pStyle w:val="ListBullet"/>
      </w:pPr>
      <w:r w:rsidRPr="00653025">
        <w:t>as a last resort</w:t>
      </w:r>
    </w:p>
    <w:p w14:paraId="27FD8218" w14:textId="77777777" w:rsidR="00ED244E" w:rsidRDefault="00ED244E" w:rsidP="00D82385">
      <w:pPr>
        <w:pStyle w:val="ListBullet"/>
      </w:pPr>
      <w:r w:rsidRPr="00653025">
        <w:t>in the least restrictive form</w:t>
      </w:r>
    </w:p>
    <w:p w14:paraId="4374A165" w14:textId="77777777" w:rsidR="00ED244E" w:rsidRDefault="00ED244E" w:rsidP="00D82385">
      <w:pPr>
        <w:pStyle w:val="ListBullet"/>
      </w:pPr>
      <w:r w:rsidRPr="00653025">
        <w:t xml:space="preserve">for the shortest </w:t>
      </w:r>
      <w:proofErr w:type="gramStart"/>
      <w:r w:rsidRPr="00653025">
        <w:t>period of time</w:t>
      </w:r>
      <w:proofErr w:type="gramEnd"/>
      <w:r>
        <w:t xml:space="preserve"> necessary to prevent harm to the individual or other people</w:t>
      </w:r>
      <w:r w:rsidRPr="00653025">
        <w:t xml:space="preserve"> </w:t>
      </w:r>
    </w:p>
    <w:p w14:paraId="6C606EE3" w14:textId="77777777" w:rsidR="00ED244E" w:rsidRDefault="00ED244E" w:rsidP="00D82385">
      <w:pPr>
        <w:pStyle w:val="ListBullet"/>
      </w:pPr>
      <w:r w:rsidRPr="00653025">
        <w:t xml:space="preserve">after careful consideration of the impacts on the </w:t>
      </w:r>
      <w:r>
        <w:t>individual</w:t>
      </w:r>
      <w:r w:rsidRPr="00653025">
        <w:t>.</w:t>
      </w:r>
      <w:r>
        <w:rPr>
          <w:rStyle w:val="FootnoteReference"/>
        </w:rPr>
        <w:footnoteReference w:id="22"/>
      </w:r>
    </w:p>
    <w:p w14:paraId="4A8AFA71" w14:textId="77777777" w:rsidR="00ED244E" w:rsidRPr="005204B0" w:rsidRDefault="00ED244E" w:rsidP="00ED244E">
      <w:r>
        <w:t>Other than in an emergency situation when certain requirements do not apply for the duration of that emergency, informed c</w:t>
      </w:r>
      <w:r w:rsidRPr="005204B0">
        <w:t xml:space="preserve">onsent must be given by the individual or their </w:t>
      </w:r>
      <w:r>
        <w:t xml:space="preserve">appointed </w:t>
      </w:r>
      <w:r w:rsidRPr="005204B0">
        <w:t>restrictive practice substitute decision</w:t>
      </w:r>
      <w:r w:rsidRPr="005204B0">
        <w:noBreakHyphen/>
        <w:t xml:space="preserve">maker </w:t>
      </w:r>
      <w:r>
        <w:t xml:space="preserve">(RPSDM) to the use of the restrictive practice, how it will be used (including duration, frequency, and intended outcome), </w:t>
      </w:r>
      <w:r w:rsidRPr="005204B0">
        <w:t xml:space="preserve">before </w:t>
      </w:r>
      <w:r>
        <w:t>the</w:t>
      </w:r>
      <w:r w:rsidRPr="005204B0">
        <w:t xml:space="preserve"> restrictive practice is used.</w:t>
      </w:r>
    </w:p>
    <w:p w14:paraId="50B6A42E" w14:textId="29FA9FD6" w:rsidR="00ED244E" w:rsidRDefault="00ED244E" w:rsidP="00ED244E">
      <w:r>
        <w:t>Please visit the department’s website for further i</w:t>
      </w:r>
      <w:r w:rsidRPr="00653025">
        <w:t xml:space="preserve">nformation about the use of </w:t>
      </w:r>
      <w:hyperlink r:id="rId88" w:history="1">
        <w:r w:rsidRPr="00B32641">
          <w:rPr>
            <w:rStyle w:val="Hyperlink"/>
          </w:rPr>
          <w:t>restrictive practices in aged care</w:t>
        </w:r>
      </w:hyperlink>
      <w:r w:rsidRPr="00653025">
        <w:t>, including</w:t>
      </w:r>
      <w:r>
        <w:t>:</w:t>
      </w:r>
    </w:p>
    <w:p w14:paraId="09C55E78" w14:textId="77777777" w:rsidR="00ED244E" w:rsidRDefault="00ED244E" w:rsidP="00D82385">
      <w:pPr>
        <w:pStyle w:val="ListBullet"/>
      </w:pPr>
      <w:r>
        <w:t>t</w:t>
      </w:r>
      <w:r w:rsidRPr="00F87027">
        <w:t>he five types of restrictive practices</w:t>
      </w:r>
    </w:p>
    <w:p w14:paraId="73C5C854" w14:textId="77777777" w:rsidR="00ED244E" w:rsidRDefault="00ED244E" w:rsidP="00D82385">
      <w:pPr>
        <w:pStyle w:val="ListBullet"/>
      </w:pPr>
      <w:r>
        <w:t>m</w:t>
      </w:r>
      <w:r w:rsidRPr="00F87027">
        <w:t>inimising the inappropriate use of restrictive practices</w:t>
      </w:r>
    </w:p>
    <w:p w14:paraId="05A33B33" w14:textId="77777777" w:rsidR="00ED244E" w:rsidRDefault="00ED244E" w:rsidP="00D82385">
      <w:pPr>
        <w:pStyle w:val="ListBullet"/>
      </w:pPr>
      <w:r>
        <w:t>additional requirements for use of restrictive practices in emergency situations</w:t>
      </w:r>
    </w:p>
    <w:p w14:paraId="6222D098" w14:textId="77777777" w:rsidR="00ED244E" w:rsidRDefault="00ED244E" w:rsidP="00D82385">
      <w:pPr>
        <w:pStyle w:val="ListBullet"/>
      </w:pPr>
      <w:r>
        <w:t>p</w:t>
      </w:r>
      <w:r w:rsidRPr="00F87027">
        <w:t xml:space="preserve">rovider responsibilities, including use of alternative strategies, least restrictive forms, rights and responsibilities of </w:t>
      </w:r>
      <w:r>
        <w:t>individual</w:t>
      </w:r>
      <w:r w:rsidRPr="00F87027">
        <w:t xml:space="preserve">s, monitoring and review, and the inclusion of a </w:t>
      </w:r>
      <w:r>
        <w:t>b</w:t>
      </w:r>
      <w:r w:rsidRPr="00F87027">
        <w:t xml:space="preserve">ehaviour </w:t>
      </w:r>
      <w:r>
        <w:t>s</w:t>
      </w:r>
      <w:r w:rsidRPr="00F87027">
        <w:t xml:space="preserve">upport </w:t>
      </w:r>
      <w:r>
        <w:t>p</w:t>
      </w:r>
      <w:r w:rsidRPr="00F87027">
        <w:t>lan in the individual</w:t>
      </w:r>
      <w:r>
        <w:t>’</w:t>
      </w:r>
      <w:r w:rsidRPr="00F87027">
        <w:t>s Care and Services Plan</w:t>
      </w:r>
    </w:p>
    <w:p w14:paraId="6CA9327B" w14:textId="77777777" w:rsidR="00ED244E" w:rsidRDefault="00ED244E" w:rsidP="00D82385">
      <w:pPr>
        <w:pStyle w:val="ListBullet"/>
      </w:pPr>
      <w:r>
        <w:t>r</w:t>
      </w:r>
      <w:r w:rsidRPr="00F87027">
        <w:t>equirements for informed consent and the hierarchy of consent (in use until 1 December 2026)</w:t>
      </w:r>
    </w:p>
    <w:p w14:paraId="32027BAA" w14:textId="77777777" w:rsidR="00ED244E" w:rsidRDefault="00ED244E" w:rsidP="00D82385">
      <w:pPr>
        <w:pStyle w:val="ListBullet"/>
      </w:pPr>
      <w:r>
        <w:t>m</w:t>
      </w:r>
      <w:r w:rsidRPr="00F87027">
        <w:t>edical practitioner responsibilities, and</w:t>
      </w:r>
    </w:p>
    <w:p w14:paraId="244F00A7" w14:textId="77777777" w:rsidR="00ED244E" w:rsidRPr="00F87027" w:rsidRDefault="00ED244E" w:rsidP="00D82385">
      <w:pPr>
        <w:pStyle w:val="ListBullet"/>
      </w:pPr>
      <w:r>
        <w:t>a</w:t>
      </w:r>
      <w:r w:rsidRPr="00F87027">
        <w:t xml:space="preserve"> range of resources. </w:t>
      </w:r>
    </w:p>
    <w:p w14:paraId="05D8BC9F" w14:textId="77777777" w:rsidR="00ED244E" w:rsidRPr="00A51B4F" w:rsidRDefault="00ED244E" w:rsidP="00A51B4F">
      <w:r w:rsidRPr="00A51B4F">
        <w:t xml:space="preserve">The Commission also provides information to support registered providers to meet the requirements around restrictive practices: </w:t>
      </w:r>
      <w:hyperlink r:id="rId89" w:history="1">
        <w:r w:rsidRPr="00A51B4F">
          <w:rPr>
            <w:rStyle w:val="Hyperlink"/>
          </w:rPr>
          <w:t>AgedCareQuality.gov.au</w:t>
        </w:r>
      </w:hyperlink>
      <w:r w:rsidRPr="00A51B4F">
        <w:t>.</w:t>
      </w:r>
    </w:p>
    <w:p w14:paraId="66C8CAD8" w14:textId="77777777" w:rsidR="00ED244E" w:rsidRDefault="00ED244E" w:rsidP="00ED244E">
      <w:pPr>
        <w:pStyle w:val="Heading3"/>
      </w:pPr>
      <w:r>
        <w:t>Behaviour support plans</w:t>
      </w:r>
    </w:p>
    <w:p w14:paraId="401AAB51" w14:textId="77777777" w:rsidR="00ED244E" w:rsidRDefault="00ED244E" w:rsidP="00ED244E">
      <w:r>
        <w:t>R</w:t>
      </w:r>
      <w:r w:rsidRPr="008808BF">
        <w:t xml:space="preserve">esidential aged care providers are required to </w:t>
      </w:r>
      <w:r>
        <w:t>include a</w:t>
      </w:r>
      <w:r w:rsidRPr="008808BF">
        <w:t xml:space="preserve"> behaviour support plan </w:t>
      </w:r>
      <w:r>
        <w:t>(BSP)</w:t>
      </w:r>
      <w:r w:rsidRPr="008808BF">
        <w:t xml:space="preserve"> for </w:t>
      </w:r>
      <w:proofErr w:type="gramStart"/>
      <w:r w:rsidRPr="008808BF">
        <w:t xml:space="preserve">each </w:t>
      </w:r>
      <w:r>
        <w:t>individual</w:t>
      </w:r>
      <w:proofErr w:type="gramEnd"/>
      <w:r w:rsidRPr="008808BF">
        <w:t xml:space="preserve"> who requires, or may require, </w:t>
      </w:r>
      <w:r>
        <w:t>behaviour support</w:t>
      </w:r>
      <w:r w:rsidRPr="002C5AC5">
        <w:t xml:space="preserve"> </w:t>
      </w:r>
      <w:r w:rsidRPr="008808BF">
        <w:t>as part of their care</w:t>
      </w:r>
      <w:r>
        <w:t xml:space="preserve">.  </w:t>
      </w:r>
      <w:r w:rsidRPr="002C5AC5">
        <w:t xml:space="preserve">A behaviour support plan </w:t>
      </w:r>
      <w:r>
        <w:t xml:space="preserve">must be included in </w:t>
      </w:r>
      <w:r w:rsidRPr="002C5AC5">
        <w:t>the care and services plan</w:t>
      </w:r>
      <w:r>
        <w:t xml:space="preserve"> for the individual</w:t>
      </w:r>
      <w:r w:rsidRPr="002C5AC5">
        <w:t>.</w:t>
      </w:r>
    </w:p>
    <w:p w14:paraId="5A2B1D03" w14:textId="11687248" w:rsidR="00ED244E" w:rsidRDefault="00ED244E" w:rsidP="00ED244E">
      <w:r>
        <w:t>B</w:t>
      </w:r>
      <w:r w:rsidRPr="008808BF">
        <w:t>ehaviour support plan</w:t>
      </w:r>
      <w:r>
        <w:t>s are used</w:t>
      </w:r>
      <w:r w:rsidRPr="008808BF">
        <w:t> to reduce and potentially eliminate the use </w:t>
      </w:r>
      <w:r w:rsidRPr="00C11C06">
        <w:t>of </w:t>
      </w:r>
      <w:hyperlink r:id="rId90" w:history="1">
        <w:r w:rsidR="00465B90">
          <w:rPr>
            <w:rStyle w:val="Hyperlink"/>
          </w:rPr>
          <w:t>restrictive practices</w:t>
        </w:r>
      </w:hyperlink>
      <w:r w:rsidRPr="00C11C06">
        <w:t xml:space="preserve"> in</w:t>
      </w:r>
      <w:r w:rsidRPr="008808BF">
        <w:t xml:space="preserve"> aged care. </w:t>
      </w:r>
      <w:r>
        <w:t>They</w:t>
      </w:r>
      <w:r w:rsidRPr="008808BF">
        <w:t xml:space="preserve"> enable providers to reference information about the consumer to improve their care provision and quality of life and ensure that restrictive practices are used as a last resort.</w:t>
      </w:r>
    </w:p>
    <w:p w14:paraId="4304ED15" w14:textId="77777777" w:rsidR="00ED244E" w:rsidRDefault="00ED244E" w:rsidP="00ED244E">
      <w:r>
        <w:t>Please visit</w:t>
      </w:r>
      <w:r w:rsidRPr="00156887">
        <w:t xml:space="preserve"> the </w:t>
      </w:r>
      <w:hyperlink r:id="rId91" w:history="1">
        <w:r>
          <w:rPr>
            <w:rStyle w:val="Hyperlink"/>
          </w:rPr>
          <w:t>Commission Behaviour Support Plan Fact Sheet</w:t>
        </w:r>
      </w:hyperlink>
      <w:r>
        <w:t xml:space="preserve"> for further information on:</w:t>
      </w:r>
    </w:p>
    <w:p w14:paraId="2F08152C" w14:textId="77777777" w:rsidR="00ED244E" w:rsidRPr="00894F76" w:rsidRDefault="00ED244E" w:rsidP="00D82385">
      <w:pPr>
        <w:pStyle w:val="ListBullet"/>
      </w:pPr>
      <w:r>
        <w:t>d</w:t>
      </w:r>
      <w:r w:rsidRPr="00894F76">
        <w:t>eveloping, consulting and reviewing BSPs</w:t>
      </w:r>
    </w:p>
    <w:p w14:paraId="64210AF4" w14:textId="77777777" w:rsidR="00ED244E" w:rsidRPr="00894F76" w:rsidRDefault="00ED244E" w:rsidP="00D82385">
      <w:pPr>
        <w:pStyle w:val="ListBullet"/>
      </w:pPr>
      <w:r>
        <w:t>r</w:t>
      </w:r>
      <w:r w:rsidRPr="00894F76">
        <w:t>equirements for BSPs, including when:</w:t>
      </w:r>
    </w:p>
    <w:p w14:paraId="62AE27E7" w14:textId="77777777" w:rsidR="00ED244E" w:rsidRPr="00894F76" w:rsidRDefault="00ED244E" w:rsidP="006C15E3">
      <w:pPr>
        <w:pStyle w:val="ListBullet"/>
        <w:numPr>
          <w:ilvl w:val="1"/>
          <w:numId w:val="40"/>
        </w:numPr>
      </w:pPr>
      <w:r w:rsidRPr="00894F76">
        <w:t>restrictive practices are assessed as necessary</w:t>
      </w:r>
    </w:p>
    <w:p w14:paraId="4E3DAD06" w14:textId="77777777" w:rsidR="00ED244E" w:rsidRPr="00894F76" w:rsidRDefault="00ED244E" w:rsidP="006C15E3">
      <w:pPr>
        <w:pStyle w:val="ListBullet"/>
        <w:numPr>
          <w:ilvl w:val="1"/>
          <w:numId w:val="40"/>
        </w:numPr>
      </w:pPr>
      <w:r w:rsidRPr="00894F76">
        <w:t>restrictive practices are used</w:t>
      </w:r>
    </w:p>
    <w:p w14:paraId="2F238C6F" w14:textId="77777777" w:rsidR="00ED244E" w:rsidRPr="00894F76" w:rsidRDefault="00ED244E" w:rsidP="006C15E3">
      <w:pPr>
        <w:pStyle w:val="ListBullet"/>
        <w:numPr>
          <w:ilvl w:val="1"/>
          <w:numId w:val="40"/>
        </w:numPr>
      </w:pPr>
      <w:r w:rsidRPr="00894F76">
        <w:t>an ongoing need for restrictive practices is indicated.</w:t>
      </w:r>
    </w:p>
    <w:p w14:paraId="54ED8CA7" w14:textId="77777777" w:rsidR="0052180A" w:rsidRDefault="0052180A" w:rsidP="0052180A">
      <w:pPr>
        <w:pStyle w:val="Heading3"/>
      </w:pPr>
      <w:bookmarkStart w:id="89" w:name="ATHM"/>
      <w:bookmarkStart w:id="90" w:name="_Toc199873001"/>
      <w:bookmarkEnd w:id="89"/>
      <w:r w:rsidRPr="00577029">
        <w:t>Assistive technology and/or home modifications</w:t>
      </w:r>
    </w:p>
    <w:p w14:paraId="3839BB4F" w14:textId="77777777" w:rsidR="0052180A" w:rsidRDefault="0052180A" w:rsidP="0052180A">
      <w:r w:rsidRPr="00B47A5A">
        <w:t>This section applies to aged care providers registered in Category 2, which covers Assistive Technology and Home Modifications</w:t>
      </w:r>
      <w:r>
        <w:t xml:space="preserve"> (AT-HM) and is designed to </w:t>
      </w:r>
      <w:r w:rsidRPr="00577029">
        <w:t xml:space="preserve">support older people to live at home and within their community with increased independence, safety, accessibility and wellbeing. </w:t>
      </w:r>
    </w:p>
    <w:p w14:paraId="19D39AF8" w14:textId="34CE3447" w:rsidR="0052180A" w:rsidRDefault="0052180A" w:rsidP="0052180A">
      <w:r w:rsidRPr="00B47A5A">
        <w:rPr>
          <w:b/>
          <w:bCs/>
        </w:rPr>
        <w:t xml:space="preserve">Assistive </w:t>
      </w:r>
      <w:r w:rsidRPr="00C8613D">
        <w:rPr>
          <w:b/>
          <w:bCs/>
        </w:rPr>
        <w:t>technology (AT)</w:t>
      </w:r>
      <w:r>
        <w:t xml:space="preserve"> refers to products, equipment, and systems that support older people to </w:t>
      </w:r>
      <w:r w:rsidR="00CF1040">
        <w:t xml:space="preserve">perform daily activities </w:t>
      </w:r>
      <w:r>
        <w:t>and improve safety in their home or care environment. Examples include mobility equipment</w:t>
      </w:r>
      <w:r w:rsidR="00F10DEF">
        <w:t xml:space="preserve"> such as walking sticks and wheelchairs</w:t>
      </w:r>
      <w:r>
        <w:t>, bathing equipment</w:t>
      </w:r>
      <w:r w:rsidR="00F10DEF">
        <w:t xml:space="preserve"> such as shower chairs and non-slip mats</w:t>
      </w:r>
      <w:r>
        <w:t xml:space="preserve">, cognitive supports and daily activity supports. </w:t>
      </w:r>
    </w:p>
    <w:p w14:paraId="76DAF3EF" w14:textId="77777777" w:rsidR="00404C03" w:rsidRDefault="00404C03" w:rsidP="00404C03">
      <w:r>
        <w:t>Items that are not included are:</w:t>
      </w:r>
    </w:p>
    <w:p w14:paraId="48CD17A7" w14:textId="77777777" w:rsidR="00404C03" w:rsidRDefault="00404C03" w:rsidP="00D82385">
      <w:pPr>
        <w:pStyle w:val="ListBullet"/>
      </w:pPr>
      <w:r>
        <w:t xml:space="preserve">Everyday household appliances such as dishwashers  </w:t>
      </w:r>
    </w:p>
    <w:p w14:paraId="7F113702" w14:textId="77777777" w:rsidR="00404C03" w:rsidRDefault="00404C03" w:rsidP="00D82385">
      <w:pPr>
        <w:pStyle w:val="ListBullet"/>
      </w:pPr>
      <w:r>
        <w:t>Assessment or therapy tools used by a therapist</w:t>
      </w:r>
    </w:p>
    <w:p w14:paraId="527843A8" w14:textId="77777777" w:rsidR="00404C03" w:rsidRDefault="00404C03" w:rsidP="00D82385">
      <w:pPr>
        <w:pStyle w:val="ListBullet"/>
      </w:pPr>
      <w:r>
        <w:t xml:space="preserve">Products that are more appropriately funded through an alternative national or state-based program (such as CPAP machines). </w:t>
      </w:r>
    </w:p>
    <w:p w14:paraId="65ECEAB1" w14:textId="4F2CB376" w:rsidR="0052180A" w:rsidRDefault="0052180A" w:rsidP="0052180A">
      <w:r w:rsidRPr="00B47A5A">
        <w:rPr>
          <w:b/>
          <w:bCs/>
        </w:rPr>
        <w:t>H</w:t>
      </w:r>
      <w:r w:rsidRPr="00C03A7F">
        <w:rPr>
          <w:b/>
          <w:bCs/>
        </w:rPr>
        <w:t>ome modifications</w:t>
      </w:r>
      <w:r>
        <w:rPr>
          <w:b/>
          <w:bCs/>
        </w:rPr>
        <w:t xml:space="preserve"> (HM)</w:t>
      </w:r>
      <w:r>
        <w:t xml:space="preserve"> refer to p</w:t>
      </w:r>
      <w:r w:rsidRPr="006E45F2">
        <w:t>hysical changes to a person's home environment to improve safety, accessibility, and independence</w:t>
      </w:r>
      <w:r>
        <w:t>, and are</w:t>
      </w:r>
      <w:r w:rsidRPr="00C03A7F">
        <w:t xml:space="preserve"> </w:t>
      </w:r>
      <w:r w:rsidRPr="006E45F2">
        <w:t>designed to help older people remain living safely in their own homes for longer.</w:t>
      </w:r>
      <w:r>
        <w:t xml:space="preserve"> Home modifications can include changes like installing internal and external handrails, ramps and stair lifts</w:t>
      </w:r>
      <w:r w:rsidR="00CC72C3">
        <w:t xml:space="preserve">, </w:t>
      </w:r>
      <w:r>
        <w:t>redesigning a bathroom</w:t>
      </w:r>
      <w:r w:rsidR="00CC72C3">
        <w:t xml:space="preserve"> or widening a doorway to allow for wheelchair access</w:t>
      </w:r>
      <w:r>
        <w:t>.</w:t>
      </w:r>
      <w:r w:rsidRPr="006E45F2">
        <w:t xml:space="preserve"> </w:t>
      </w:r>
      <w:r>
        <w:t xml:space="preserve"> </w:t>
      </w:r>
    </w:p>
    <w:p w14:paraId="3DE84916" w14:textId="213E609A" w:rsidR="00404C03" w:rsidRDefault="00404C03" w:rsidP="0052180A">
      <w:r>
        <w:t>Items that are not included are:</w:t>
      </w:r>
    </w:p>
    <w:p w14:paraId="253FD540" w14:textId="1D07D500" w:rsidR="00404C03" w:rsidRDefault="00404C03" w:rsidP="00D82385">
      <w:pPr>
        <w:pStyle w:val="ListBullet"/>
      </w:pPr>
      <w:r>
        <w:t>General renovations to a home or dwelling</w:t>
      </w:r>
    </w:p>
    <w:p w14:paraId="46A7C006" w14:textId="325B2934" w:rsidR="00404C03" w:rsidRDefault="00404C03" w:rsidP="00D82385">
      <w:pPr>
        <w:pStyle w:val="ListBullet"/>
      </w:pPr>
      <w:r>
        <w:t>Restorations or repairs that are considered normal maintenance of a home or dwelling</w:t>
      </w:r>
    </w:p>
    <w:p w14:paraId="1ADC04BD" w14:textId="3EE88A20" w:rsidR="00404C03" w:rsidRPr="00C03A7F" w:rsidRDefault="00404C03" w:rsidP="00D82385">
      <w:pPr>
        <w:pStyle w:val="ListBullet"/>
      </w:pPr>
      <w:r>
        <w:t>Changes to a home layout that do not relate to a participant’s support needs.</w:t>
      </w:r>
    </w:p>
    <w:p w14:paraId="4CF476E5" w14:textId="77777777" w:rsidR="0052180A" w:rsidRPr="00577029" w:rsidRDefault="0052180A" w:rsidP="0052180A">
      <w:pPr>
        <w:pStyle w:val="Heading4"/>
      </w:pPr>
      <w:r>
        <w:t>AT-HM requirements for NATSIFACP providers</w:t>
      </w:r>
    </w:p>
    <w:p w14:paraId="59820CED" w14:textId="77777777" w:rsidR="0052180A" w:rsidRDefault="0052180A" w:rsidP="0052180A">
      <w:r>
        <w:t xml:space="preserve">Individuals receiving aged care services through a registered NATSIFACP aged care provider can be provided with AT-HM items if they have </w:t>
      </w:r>
      <w:r w:rsidRPr="00577029">
        <w:t>an assessed need</w:t>
      </w:r>
      <w:r>
        <w:t xml:space="preserve">.  </w:t>
      </w:r>
    </w:p>
    <w:p w14:paraId="6D36C2DA" w14:textId="77777777" w:rsidR="0052180A" w:rsidRDefault="0052180A" w:rsidP="0052180A">
      <w:r>
        <w:t xml:space="preserve">There is no funding cap </w:t>
      </w:r>
      <w:r w:rsidRPr="00577029">
        <w:t>for</w:t>
      </w:r>
      <w:r>
        <w:t xml:space="preserve"> AT-HM</w:t>
      </w:r>
      <w:r w:rsidRPr="00577029">
        <w:t xml:space="preserve"> </w:t>
      </w:r>
      <w:r>
        <w:t>items for N</w:t>
      </w:r>
      <w:r w:rsidRPr="00577029">
        <w:t xml:space="preserve">ATSIFACP </w:t>
      </w:r>
      <w:r>
        <w:t>clients</w:t>
      </w:r>
      <w:r w:rsidRPr="00577029">
        <w:t xml:space="preserve">, however providers must ensure that funding is available within their quarterly allocation as there is no additional funding source for AT-HM purchases under NATSIFACP. </w:t>
      </w:r>
    </w:p>
    <w:p w14:paraId="68DE0E78" w14:textId="77777777" w:rsidR="0052180A" w:rsidRDefault="0052180A" w:rsidP="0052180A">
      <w:r w:rsidRPr="00577029">
        <w:t>When utilising NATSIFACP funding for AT-HM, providers</w:t>
      </w:r>
      <w:r>
        <w:t xml:space="preserve"> must:</w:t>
      </w:r>
    </w:p>
    <w:p w14:paraId="29DDF360" w14:textId="77777777" w:rsidR="0052180A" w:rsidRDefault="0052180A" w:rsidP="00A51B4F">
      <w:pPr>
        <w:pStyle w:val="ListNumber"/>
        <w:numPr>
          <w:ilvl w:val="0"/>
          <w:numId w:val="34"/>
        </w:numPr>
      </w:pPr>
      <w:r>
        <w:t xml:space="preserve">be registered in Category 2: </w:t>
      </w:r>
      <w:r w:rsidRPr="00B47A5A">
        <w:t>Assistive Technology and Home Modifications</w:t>
      </w:r>
    </w:p>
    <w:p w14:paraId="42CE854A" w14:textId="77777777" w:rsidR="0052180A" w:rsidRPr="00577029" w:rsidRDefault="0052180A" w:rsidP="00A51B4F">
      <w:pPr>
        <w:pStyle w:val="ListNumber"/>
      </w:pPr>
      <w:r>
        <w:t>s</w:t>
      </w:r>
      <w:r w:rsidRPr="00577029">
        <w:t>eek Departmental approval for items over $10,000</w:t>
      </w:r>
      <w:r>
        <w:t>. This requirement</w:t>
      </w:r>
      <w:r w:rsidRPr="00577029">
        <w:t xml:space="preserve"> remains unchanged</w:t>
      </w:r>
      <w:r>
        <w:t xml:space="preserve"> as i</w:t>
      </w:r>
      <w:r w:rsidRPr="00577029">
        <w:t xml:space="preserve">t is included in the Terms and Conditions of the Grant Agreement, as opposed to the </w:t>
      </w:r>
      <w:r w:rsidRPr="00577029">
        <w:rPr>
          <w:i/>
          <w:iCs/>
        </w:rPr>
        <w:t>Aged Care Act 2024</w:t>
      </w:r>
      <w:r w:rsidRPr="00577029">
        <w:t xml:space="preserve"> or </w:t>
      </w:r>
      <w:r w:rsidRPr="00577029">
        <w:rPr>
          <w:i/>
          <w:iCs/>
        </w:rPr>
        <w:t>Aged Care Rules 2025</w:t>
      </w:r>
      <w:r w:rsidRPr="00577029">
        <w:t>.</w:t>
      </w:r>
    </w:p>
    <w:p w14:paraId="1C94C011" w14:textId="7B580BE7" w:rsidR="00B35583" w:rsidRDefault="00B35583" w:rsidP="00A51B4F">
      <w:pPr>
        <w:pStyle w:val="ListNumber"/>
      </w:pPr>
      <w:r w:rsidRPr="00B35583">
        <w:t>communicate with any relevant professionals about the participant’s needs, where required</w:t>
      </w:r>
    </w:p>
    <w:p w14:paraId="07DC3271" w14:textId="4B8A881E" w:rsidR="0052180A" w:rsidRDefault="0052180A" w:rsidP="00A51B4F">
      <w:pPr>
        <w:pStyle w:val="ListNumber"/>
      </w:pPr>
      <w:r w:rsidRPr="00577029">
        <w:t>record the recommendation from the</w:t>
      </w:r>
      <w:r>
        <w:t xml:space="preserve"> health practitioner</w:t>
      </w:r>
      <w:r w:rsidRPr="00577029">
        <w:t xml:space="preserve"> in the clients care plan</w:t>
      </w:r>
    </w:p>
    <w:p w14:paraId="506ED134" w14:textId="639BDA6C" w:rsidR="00C622FF" w:rsidRDefault="00977CC0" w:rsidP="00A51B4F">
      <w:pPr>
        <w:pStyle w:val="ListNumber"/>
      </w:pPr>
      <w:r w:rsidRPr="00977CC0">
        <w:t>confirm the needs and goals of the participant in relation to identified needs in the support plan</w:t>
      </w:r>
      <w:r>
        <w:t xml:space="preserve">, identify the appropriate solution to meet the identified need, and </w:t>
      </w:r>
      <w:r w:rsidR="00C622FF">
        <w:t>ensure that the equipment is safe and meets the needs of the older person at the time the service is delivered.</w:t>
      </w:r>
      <w:r w:rsidR="00C622FF">
        <w:rPr>
          <w:rStyle w:val="FootnoteReference"/>
        </w:rPr>
        <w:footnoteReference w:id="23"/>
      </w:r>
    </w:p>
    <w:p w14:paraId="2587C243" w14:textId="77777777" w:rsidR="0052180A" w:rsidRDefault="0052180A" w:rsidP="00A51B4F">
      <w:pPr>
        <w:pStyle w:val="ListNumber"/>
      </w:pPr>
      <w:r w:rsidRPr="00577029">
        <w:t>retain evidence of the AT-HM purchase and any other related documentation</w:t>
      </w:r>
    </w:p>
    <w:p w14:paraId="64345A6E" w14:textId="77777777" w:rsidR="0052180A" w:rsidRPr="00577029" w:rsidRDefault="0052180A" w:rsidP="00A51B4F">
      <w:pPr>
        <w:pStyle w:val="ListNumber"/>
      </w:pPr>
      <w:r>
        <w:t xml:space="preserve">record the </w:t>
      </w:r>
      <w:r w:rsidRPr="00C03A7F">
        <w:rPr>
          <w:i/>
          <w:iCs/>
        </w:rPr>
        <w:t>number</w:t>
      </w:r>
      <w:r>
        <w:t xml:space="preserve"> of clients who received AT and/or HM in the Service Activity Report.  </w:t>
      </w:r>
    </w:p>
    <w:p w14:paraId="477E22D9" w14:textId="77777777" w:rsidR="0052180A" w:rsidRDefault="0052180A" w:rsidP="0052180A">
      <w:r>
        <w:t>You can find a comprehensive list of</w:t>
      </w:r>
      <w:r w:rsidRPr="00577029">
        <w:t xml:space="preserve"> products, equipment and home modifications that </w:t>
      </w:r>
      <w:r>
        <w:t xml:space="preserve">can be provided to </w:t>
      </w:r>
      <w:r w:rsidRPr="00577029">
        <w:t>eligible participant</w:t>
      </w:r>
      <w:r>
        <w:t xml:space="preserve">s at the following link: </w:t>
      </w:r>
      <w:hyperlink r:id="rId92" w:history="1">
        <w:r>
          <w:rPr>
            <w:rStyle w:val="Hyperlink"/>
          </w:rPr>
          <w:t>health.gov.au/resources/publications/assistive-technology-and-home-modifications-list-at-hm-list</w:t>
        </w:r>
      </w:hyperlink>
    </w:p>
    <w:p w14:paraId="2DC73F3F" w14:textId="77777777" w:rsidR="003E1F4E" w:rsidRPr="00A51B4F" w:rsidRDefault="003E1F4E" w:rsidP="00A51B4F">
      <w:r w:rsidRPr="00A51B4F">
        <w:br w:type="page"/>
      </w:r>
    </w:p>
    <w:p w14:paraId="773219E0" w14:textId="5E563F4C" w:rsidR="001928EA" w:rsidRDefault="001928EA" w:rsidP="0052180A">
      <w:r>
        <w:t>Items that are not included are:</w:t>
      </w:r>
    </w:p>
    <w:p w14:paraId="3EBDDD88" w14:textId="1D4A3367" w:rsidR="001928EA" w:rsidRDefault="001928EA" w:rsidP="00D82385">
      <w:pPr>
        <w:pStyle w:val="ListBullet"/>
      </w:pPr>
      <w:r>
        <w:t xml:space="preserve">Everyday household appliances such as dishwashers  </w:t>
      </w:r>
    </w:p>
    <w:p w14:paraId="7014D3A5" w14:textId="57E20BBF" w:rsidR="001928EA" w:rsidRDefault="001928EA" w:rsidP="00D82385">
      <w:pPr>
        <w:pStyle w:val="ListBullet"/>
      </w:pPr>
      <w:r>
        <w:t>Assessment or therapy tools used by a therapist</w:t>
      </w:r>
    </w:p>
    <w:p w14:paraId="1F1CB82B" w14:textId="320C4FEA" w:rsidR="001928EA" w:rsidRDefault="001928EA" w:rsidP="00D82385">
      <w:pPr>
        <w:pStyle w:val="ListBullet"/>
      </w:pPr>
      <w:r>
        <w:t xml:space="preserve">Products that are more appropriately funded through an alternative national or state-based program (such as CPAP machines). </w:t>
      </w:r>
    </w:p>
    <w:p w14:paraId="399A1576" w14:textId="77777777" w:rsidR="00F81FA8" w:rsidRDefault="00F81FA8" w:rsidP="00F81FA8">
      <w:r>
        <w:t xml:space="preserve">The </w:t>
      </w:r>
      <w:proofErr w:type="spellStart"/>
      <w:r>
        <w:t>LiveUp</w:t>
      </w:r>
      <w:proofErr w:type="spellEnd"/>
      <w:r>
        <w:t xml:space="preserve"> website includes a list of free resources designed to support culturally appropriate assistive technology, independence and wellbeing for Elders, older people and their families. Resources can be found at </w:t>
      </w:r>
      <w:hyperlink r:id="rId93" w:history="1">
        <w:r>
          <w:rPr>
            <w:rStyle w:val="Hyperlink"/>
          </w:rPr>
          <w:t>liveup.org.au/resources/first-nations-resources</w:t>
        </w:r>
      </w:hyperlink>
      <w:r>
        <w:t xml:space="preserve"> and a guide to everyday tools is at </w:t>
      </w:r>
      <w:hyperlink r:id="rId94" w:history="1">
        <w:r>
          <w:rPr>
            <w:rStyle w:val="Hyperlink"/>
          </w:rPr>
          <w:t>liveup.org.au/media/MobGuide.pdf</w:t>
        </w:r>
      </w:hyperlink>
      <w:r>
        <w:t>.</w:t>
      </w:r>
    </w:p>
    <w:p w14:paraId="4D0BC675" w14:textId="77777777" w:rsidR="0052180A" w:rsidRDefault="0052180A" w:rsidP="0052180A">
      <w:pPr>
        <w:pStyle w:val="Heading4"/>
      </w:pPr>
      <w:r w:rsidRPr="00577029">
        <w:t>The Assistive Technology and Home Modifications (AT-HM) scheme</w:t>
      </w:r>
    </w:p>
    <w:p w14:paraId="6F49D86E" w14:textId="0515A220" w:rsidR="00374FC8" w:rsidRPr="00374FC8" w:rsidRDefault="00F22DDE" w:rsidP="00296A1E">
      <w:r>
        <w:t>For p</w:t>
      </w:r>
      <w:r w:rsidR="00374FC8">
        <w:t xml:space="preserve">roviders </w:t>
      </w:r>
      <w:r>
        <w:t xml:space="preserve">also </w:t>
      </w:r>
      <w:r w:rsidR="00374FC8">
        <w:t xml:space="preserve">delivering </w:t>
      </w:r>
      <w:r>
        <w:t xml:space="preserve">services through the </w:t>
      </w:r>
      <w:r w:rsidR="00374FC8">
        <w:t xml:space="preserve">Support </w:t>
      </w:r>
      <w:proofErr w:type="gramStart"/>
      <w:r w:rsidR="00374FC8">
        <w:t>At</w:t>
      </w:r>
      <w:proofErr w:type="gramEnd"/>
      <w:r w:rsidR="00374FC8">
        <w:t xml:space="preserve"> Home</w:t>
      </w:r>
      <w:r>
        <w:t xml:space="preserve"> program</w:t>
      </w:r>
      <w:r w:rsidR="00374FC8">
        <w:t xml:space="preserve">, please see the section on the </w:t>
      </w:r>
      <w:hyperlink w:anchor="ATHM_Scheme" w:history="1">
        <w:r w:rsidR="00374FC8" w:rsidRPr="00374FC8">
          <w:rPr>
            <w:rStyle w:val="Hyperlink"/>
          </w:rPr>
          <w:t>AT-HM Scheme</w:t>
        </w:r>
      </w:hyperlink>
      <w:r w:rsidR="00374FC8">
        <w:t xml:space="preserve"> above. </w:t>
      </w:r>
    </w:p>
    <w:p w14:paraId="6C6C7EA2" w14:textId="125C4D62" w:rsidR="00ED244E" w:rsidRDefault="00ED244E" w:rsidP="00ED244E">
      <w:pPr>
        <w:pStyle w:val="Heading2"/>
      </w:pPr>
      <w:bookmarkStart w:id="91" w:name="Code_of_conduct"/>
      <w:bookmarkStart w:id="92" w:name="Standards"/>
      <w:bookmarkStart w:id="93" w:name="Reg_nurse_recs"/>
      <w:bookmarkStart w:id="94" w:name="vaccinations"/>
      <w:bookmarkStart w:id="95" w:name="_Workers,_volunteers_and"/>
      <w:bookmarkStart w:id="96" w:name="_Toc212713654"/>
      <w:bookmarkStart w:id="97" w:name="_Toc225416227"/>
      <w:bookmarkEnd w:id="90"/>
      <w:bookmarkEnd w:id="91"/>
      <w:bookmarkEnd w:id="92"/>
      <w:bookmarkEnd w:id="93"/>
      <w:bookmarkEnd w:id="94"/>
      <w:bookmarkEnd w:id="95"/>
      <w:r>
        <w:t>Workers, volunteers and responsible persons</w:t>
      </w:r>
      <w:bookmarkEnd w:id="96"/>
      <w:bookmarkEnd w:id="97"/>
    </w:p>
    <w:p w14:paraId="19430B09" w14:textId="77777777" w:rsidR="00ED244E" w:rsidRDefault="00ED244E" w:rsidP="00ED244E">
      <w:pPr>
        <w:rPr>
          <w:rFonts w:eastAsia="Arial" w:cs="Arial"/>
          <w:color w:val="1E1545"/>
        </w:rPr>
      </w:pPr>
      <w:r w:rsidRPr="4814A078">
        <w:rPr>
          <w:rFonts w:eastAsia="Arial" w:cs="Arial"/>
          <w:color w:val="1E1545"/>
        </w:rPr>
        <w:t xml:space="preserve">Under the Act, an </w:t>
      </w:r>
      <w:r w:rsidRPr="4814A078">
        <w:rPr>
          <w:rFonts w:eastAsia="Arial" w:cs="Arial"/>
          <w:b/>
          <w:bCs/>
          <w:color w:val="1E1545"/>
        </w:rPr>
        <w:t>aged care worker</w:t>
      </w:r>
      <w:r w:rsidRPr="4814A078">
        <w:rPr>
          <w:rFonts w:eastAsia="Arial" w:cs="Arial"/>
          <w:color w:val="1E1545"/>
        </w:rPr>
        <w:t xml:space="preserve"> of a registered provider </w:t>
      </w:r>
      <w:proofErr w:type="gramStart"/>
      <w:r w:rsidRPr="4814A078">
        <w:rPr>
          <w:rFonts w:eastAsia="Arial" w:cs="Arial"/>
          <w:color w:val="1E1545"/>
        </w:rPr>
        <w:t>is someone who is</w:t>
      </w:r>
      <w:proofErr w:type="gramEnd"/>
      <w:r w:rsidRPr="4814A078">
        <w:rPr>
          <w:rFonts w:eastAsia="Arial" w:cs="Arial"/>
          <w:color w:val="1E1545"/>
        </w:rPr>
        <w:t xml:space="preserve"> employed or engaged (including as a volunteer) to deliver funded aged care services. It also includes someone who is employed or engaged (including as a volunteer) by a subcontractor (also known as an associated provider). </w:t>
      </w:r>
    </w:p>
    <w:p w14:paraId="3C0B0740" w14:textId="77777777" w:rsidR="00ED244E" w:rsidRDefault="00ED244E" w:rsidP="00ED244E">
      <w:pPr>
        <w:rPr>
          <w:rFonts w:eastAsia="Arial" w:cs="Arial"/>
          <w:color w:val="1E1545"/>
        </w:rPr>
      </w:pPr>
      <w:r w:rsidRPr="4814A078">
        <w:rPr>
          <w:rFonts w:eastAsia="Arial" w:cs="Arial"/>
          <w:color w:val="1E1545"/>
        </w:rPr>
        <w:t xml:space="preserve">NATSIFACP providers have a responsibility to ensure all aged care workers and responsible persons have the appropriate skills, knowledge and attributes, receive adequate training with an emphasis on quality care, and are appropriately screened. </w:t>
      </w:r>
    </w:p>
    <w:p w14:paraId="0E21F7D2" w14:textId="77777777" w:rsidR="00ED244E" w:rsidRDefault="00ED244E" w:rsidP="00ED244E">
      <w:pPr>
        <w:rPr>
          <w:rFonts w:eastAsia="Arial" w:cs="Arial"/>
          <w:color w:val="1E1545"/>
        </w:rPr>
      </w:pPr>
      <w:r w:rsidRPr="4814A078">
        <w:rPr>
          <w:rFonts w:eastAsia="Arial" w:cs="Arial"/>
          <w:color w:val="1E1545"/>
        </w:rPr>
        <w:t xml:space="preserve">This will ensure that aged care workers and responsible persons are trustworthy, have integrity and will respect the </w:t>
      </w:r>
      <w:bookmarkStart w:id="98" w:name="privacy"/>
      <w:r w:rsidRPr="4814A078">
        <w:rPr>
          <w:rFonts w:eastAsia="Arial" w:cs="Arial"/>
          <w:color w:val="1E1545"/>
        </w:rPr>
        <w:t>privacy</w:t>
      </w:r>
      <w:bookmarkEnd w:id="98"/>
      <w:r w:rsidRPr="4814A078">
        <w:rPr>
          <w:rFonts w:eastAsia="Arial" w:cs="Arial"/>
          <w:color w:val="1E1545"/>
        </w:rPr>
        <w:t xml:space="preserve"> and dignity of </w:t>
      </w:r>
      <w:r>
        <w:rPr>
          <w:rFonts w:eastAsia="Arial" w:cs="Arial"/>
          <w:color w:val="1E1545"/>
        </w:rPr>
        <w:t>individual</w:t>
      </w:r>
      <w:r w:rsidRPr="4814A078">
        <w:rPr>
          <w:rFonts w:eastAsia="Arial" w:cs="Arial"/>
          <w:color w:val="1E1545"/>
        </w:rPr>
        <w:t>s.</w:t>
      </w:r>
    </w:p>
    <w:p w14:paraId="482CF766" w14:textId="77777777" w:rsidR="00ED244E" w:rsidRPr="007855CC" w:rsidRDefault="00ED244E" w:rsidP="00A51B4F">
      <w:pPr>
        <w:pStyle w:val="Heading3"/>
        <w:rPr>
          <w:rFonts w:eastAsia="Arial"/>
        </w:rPr>
      </w:pPr>
      <w:r w:rsidRPr="007855CC">
        <w:rPr>
          <w:rFonts w:eastAsia="Arial"/>
        </w:rPr>
        <w:t>Qualifications of staff</w:t>
      </w:r>
    </w:p>
    <w:p w14:paraId="001BE22B" w14:textId="77777777" w:rsidR="00ED244E" w:rsidRDefault="00ED244E" w:rsidP="00ED244E">
      <w:pPr>
        <w:rPr>
          <w:rFonts w:eastAsia="Arial" w:cs="Arial"/>
          <w:color w:val="1E1545"/>
        </w:rPr>
      </w:pPr>
      <w:r w:rsidRPr="4814A078">
        <w:rPr>
          <w:rFonts w:eastAsia="Arial" w:cs="Arial"/>
          <w:color w:val="1E1545"/>
        </w:rPr>
        <w:t>There are a range of service types delivered under NATSIFACP, and the department recognises that qualifications and skills required vary across services and jurisdictions. Service providers must be aware of any registration, accreditation or licensing requirements for the professions from which they draw their workforce and must ensure their personnel (including any subcontractors approved by the department) comply with these requirements.</w:t>
      </w:r>
    </w:p>
    <w:p w14:paraId="48C0447E" w14:textId="77777777" w:rsidR="00ED244E" w:rsidRDefault="00ED244E" w:rsidP="00ED244E">
      <w:pPr>
        <w:rPr>
          <w:rFonts w:eastAsia="Arial" w:cs="Arial"/>
          <w:color w:val="1E1545"/>
        </w:rPr>
      </w:pPr>
      <w:r w:rsidRPr="4814A078">
        <w:rPr>
          <w:rFonts w:eastAsia="Arial" w:cs="Arial"/>
          <w:color w:val="1E1545"/>
        </w:rPr>
        <w:t>It is a condition of registration that aged care workers of a registered provider have appropriate qualifications, skills or experience to provide the funded aged care services that the provider delivers.</w:t>
      </w:r>
      <w:r>
        <w:rPr>
          <w:rFonts w:eastAsia="Arial" w:cs="Arial"/>
          <w:color w:val="1E1545"/>
        </w:rPr>
        <w:t xml:space="preserve"> </w:t>
      </w:r>
      <w:r w:rsidRPr="4814A078">
        <w:rPr>
          <w:rFonts w:eastAsia="Arial" w:cs="Arial"/>
          <w:color w:val="1E1545"/>
        </w:rPr>
        <w:t>The service provider should regularly monitor roles and tasks of staff to ensure that all aged care workers are adequately trained, supported and supervised for their role.</w:t>
      </w:r>
    </w:p>
    <w:p w14:paraId="13106A72" w14:textId="77777777" w:rsidR="00ED244E" w:rsidRPr="007855CC" w:rsidRDefault="00ED244E" w:rsidP="00A51B4F">
      <w:pPr>
        <w:pStyle w:val="Heading3"/>
        <w:rPr>
          <w:rFonts w:eastAsia="Arial"/>
        </w:rPr>
      </w:pPr>
      <w:r w:rsidRPr="007855CC">
        <w:rPr>
          <w:rFonts w:eastAsia="Arial"/>
        </w:rPr>
        <w:t>Medication administration</w:t>
      </w:r>
    </w:p>
    <w:p w14:paraId="77D06303" w14:textId="77777777" w:rsidR="00ED244E" w:rsidRDefault="00ED244E" w:rsidP="003665A3">
      <w:pPr>
        <w:rPr>
          <w:rFonts w:eastAsia="Arial"/>
          <w:color w:val="1E1545"/>
        </w:rPr>
      </w:pPr>
      <w:r w:rsidRPr="65121B19">
        <w:rPr>
          <w:rFonts w:eastAsia="Arial"/>
        </w:rPr>
        <w:t xml:space="preserve">State and territory legislation governs medication management and service providers must </w:t>
      </w:r>
      <w:proofErr w:type="gramStart"/>
      <w:r w:rsidRPr="65121B19">
        <w:rPr>
          <w:rFonts w:eastAsia="Arial"/>
        </w:rPr>
        <w:t>take into account</w:t>
      </w:r>
      <w:proofErr w:type="gramEnd"/>
      <w:r w:rsidRPr="65121B19">
        <w:rPr>
          <w:rFonts w:eastAsia="Arial"/>
        </w:rPr>
        <w:t xml:space="preserve"> all relevant legislation and guidelines in developing policies and procedures around medication administration. They must also ensure that staff have appropriate levels of skills, knowledge and training in relation to medication management, administration and duty of care.</w:t>
      </w:r>
    </w:p>
    <w:p w14:paraId="107374DC" w14:textId="77777777" w:rsidR="00ED244E" w:rsidRDefault="00ED244E" w:rsidP="00AF6ABD">
      <w:pPr>
        <w:pStyle w:val="Heading3"/>
        <w:rPr>
          <w:rFonts w:eastAsia="Arial"/>
          <w:color w:val="1E1545"/>
        </w:rPr>
      </w:pPr>
      <w:bookmarkStart w:id="99" w:name="_Aged_care_screening"/>
      <w:bookmarkEnd w:id="99"/>
      <w:r w:rsidRPr="65121B19">
        <w:rPr>
          <w:rFonts w:eastAsia="Arial"/>
        </w:rPr>
        <w:t>Aged care screening requirements</w:t>
      </w:r>
    </w:p>
    <w:p w14:paraId="3856DEAF" w14:textId="77777777" w:rsidR="00ED244E" w:rsidRDefault="00ED244E" w:rsidP="003665A3">
      <w:pPr>
        <w:rPr>
          <w:rFonts w:eastAsia="Arial"/>
          <w:lang w:val="en-GB"/>
        </w:rPr>
      </w:pPr>
      <w:r w:rsidRPr="65121B19">
        <w:rPr>
          <w:rFonts w:eastAsia="Arial"/>
          <w:lang w:val="en-GB"/>
        </w:rPr>
        <w:t>Worker screening requirements remain largely the same for NATSIFACP providers. All aged care workers (including volunteers) who deliver NATSIFACP services and responsible persons of NATSIFACP providers must hold</w:t>
      </w:r>
      <w:r>
        <w:rPr>
          <w:rFonts w:eastAsia="Arial"/>
          <w:lang w:val="en-GB"/>
        </w:rPr>
        <w:t>:</w:t>
      </w:r>
    </w:p>
    <w:p w14:paraId="77A9B357" w14:textId="77777777" w:rsidR="00ED244E" w:rsidRPr="006920AA" w:rsidRDefault="00ED244E" w:rsidP="00D82385">
      <w:pPr>
        <w:pStyle w:val="ListBullet"/>
      </w:pPr>
      <w:r w:rsidRPr="006920AA">
        <w:rPr>
          <w:rFonts w:eastAsia="Arial"/>
          <w:lang w:val="en-GB"/>
        </w:rPr>
        <w:t>either</w:t>
      </w:r>
      <w:r w:rsidRPr="00907277">
        <w:rPr>
          <w:rFonts w:eastAsia="Arial"/>
          <w:lang w:val="en-GB"/>
        </w:rPr>
        <w:t xml:space="preserve"> </w:t>
      </w:r>
      <w:proofErr w:type="gramStart"/>
      <w:r w:rsidRPr="00907277">
        <w:rPr>
          <w:rFonts w:eastAsia="Arial"/>
          <w:lang w:val="en-GB"/>
        </w:rPr>
        <w:t>an</w:t>
      </w:r>
      <w:proofErr w:type="gramEnd"/>
      <w:r w:rsidRPr="00907277">
        <w:rPr>
          <w:rFonts w:eastAsia="Arial"/>
          <w:lang w:val="en-GB"/>
        </w:rPr>
        <w:t xml:space="preserve"> NDIS worker screening clearance (also known as </w:t>
      </w:r>
      <w:proofErr w:type="gramStart"/>
      <w:r w:rsidRPr="00907277">
        <w:rPr>
          <w:rFonts w:eastAsia="Arial"/>
          <w:lang w:val="en-GB"/>
        </w:rPr>
        <w:t>an</w:t>
      </w:r>
      <w:proofErr w:type="gramEnd"/>
      <w:r w:rsidRPr="00907277">
        <w:rPr>
          <w:rFonts w:eastAsia="Arial"/>
          <w:lang w:val="en-GB"/>
        </w:rPr>
        <w:t xml:space="preserve"> NDIS check or NDIS worker screening check)</w:t>
      </w:r>
    </w:p>
    <w:p w14:paraId="445213A8" w14:textId="77777777" w:rsidR="00ED244E" w:rsidRDefault="00ED244E" w:rsidP="00D82385">
      <w:pPr>
        <w:pStyle w:val="ListBullet"/>
      </w:pPr>
      <w:r w:rsidRPr="006920AA">
        <w:rPr>
          <w:rFonts w:eastAsia="Arial"/>
          <w:lang w:val="en-GB"/>
        </w:rPr>
        <w:t>or</w:t>
      </w:r>
      <w:r w:rsidRPr="00907277">
        <w:rPr>
          <w:rFonts w:eastAsia="Arial"/>
          <w:lang w:val="en-GB"/>
        </w:rPr>
        <w:t xml:space="preserve"> a police certificate that does not contain certain precluding offences.</w:t>
      </w:r>
    </w:p>
    <w:p w14:paraId="1BC8E209" w14:textId="77777777" w:rsidR="00ED244E" w:rsidRDefault="00ED244E" w:rsidP="003665A3">
      <w:r w:rsidRPr="65121B19">
        <w:rPr>
          <w:rFonts w:eastAsia="Arial"/>
          <w:lang w:val="en-GB"/>
        </w:rPr>
        <w:t>NATSIFACP providers that deliver services under other programs are reminded that separate worker screening requirements may apply under those programs.</w:t>
      </w:r>
    </w:p>
    <w:p w14:paraId="0B4BA556" w14:textId="77777777" w:rsidR="001624B9" w:rsidRDefault="00ED244E" w:rsidP="003665A3">
      <w:pPr>
        <w:rPr>
          <w:rFonts w:eastAsia="Arial"/>
          <w:lang w:val="en-GB"/>
        </w:rPr>
      </w:pPr>
      <w:r w:rsidRPr="65121B19">
        <w:rPr>
          <w:rFonts w:eastAsia="Arial"/>
          <w:lang w:val="en-GB"/>
        </w:rPr>
        <w:t xml:space="preserve">Aged care worker screening guidance material can be found at </w:t>
      </w:r>
    </w:p>
    <w:p w14:paraId="04942A1F" w14:textId="6023F196" w:rsidR="00ED244E" w:rsidRDefault="000D6A1D" w:rsidP="003665A3">
      <w:hyperlink r:id="rId95" w:history="1">
        <w:r w:rsidRPr="00111377">
          <w:rPr>
            <w:rStyle w:val="Hyperlink"/>
            <w:rFonts w:eastAsia="Arial"/>
          </w:rPr>
          <w:t>health.gov.au/resources/publications/aged-care-worker-screening-guidance-material</w:t>
        </w:r>
      </w:hyperlink>
      <w:r w:rsidR="002D4E0E">
        <w:t>.</w:t>
      </w:r>
    </w:p>
    <w:p w14:paraId="4320993D" w14:textId="77777777" w:rsidR="00ED244E" w:rsidRDefault="00ED244E" w:rsidP="00AF6ABD">
      <w:pPr>
        <w:pStyle w:val="Heading4"/>
        <w:rPr>
          <w:rFonts w:eastAsia="Arial"/>
        </w:rPr>
      </w:pPr>
      <w:r w:rsidRPr="00AF6ABD">
        <w:rPr>
          <w:rFonts w:eastAsia="Arial"/>
        </w:rPr>
        <w:t>Volunteers</w:t>
      </w:r>
    </w:p>
    <w:p w14:paraId="54A398EB" w14:textId="77777777" w:rsidR="00ED244E" w:rsidRDefault="00ED244E" w:rsidP="00AF6ABD">
      <w:pPr>
        <w:rPr>
          <w:rFonts w:eastAsia="Arial"/>
        </w:rPr>
      </w:pPr>
      <w:r w:rsidRPr="65121B19">
        <w:rPr>
          <w:rFonts w:eastAsia="Arial"/>
        </w:rPr>
        <w:t xml:space="preserve">NATSIFACP providers may use volunteers in the operation of their services. Provider-engaged volunteers are different from the aged care volunteer visitors (see </w:t>
      </w:r>
      <w:r w:rsidRPr="006920AA">
        <w:rPr>
          <w:rFonts w:eastAsia="Arial"/>
        </w:rPr>
        <w:t>Aged Care Volunteer Visitors Scheme (ACVVS)</w:t>
      </w:r>
      <w:r w:rsidRPr="65121B19">
        <w:rPr>
          <w:rFonts w:eastAsia="Arial"/>
        </w:rPr>
        <w:t xml:space="preserve"> for more information</w:t>
      </w:r>
      <w:r>
        <w:rPr>
          <w:rFonts w:eastAsia="Arial"/>
        </w:rPr>
        <w:t xml:space="preserve">: </w:t>
      </w:r>
      <w:hyperlink r:id="rId96" w:history="1">
        <w:r w:rsidRPr="004020B0">
          <w:rPr>
            <w:rStyle w:val="Hyperlink"/>
            <w:rFonts w:eastAsia="Arial" w:cs="Arial"/>
          </w:rPr>
          <w:t>health.gov.au/our-work/aged-care-volunteer-visitors-scheme-acvvs</w:t>
        </w:r>
      </w:hyperlink>
      <w:r w:rsidRPr="65121B19">
        <w:rPr>
          <w:rFonts w:eastAsia="Arial"/>
        </w:rPr>
        <w:t>).</w:t>
      </w:r>
    </w:p>
    <w:p w14:paraId="232E4E75" w14:textId="3A9B9A69" w:rsidR="00ED244E" w:rsidRDefault="00ED244E" w:rsidP="00AF6ABD">
      <w:pPr>
        <w:rPr>
          <w:rFonts w:eastAsia="Arial"/>
        </w:rPr>
      </w:pPr>
      <w:r w:rsidRPr="65121B19">
        <w:rPr>
          <w:rFonts w:eastAsia="Arial"/>
          <w:color w:val="1D1545"/>
        </w:rPr>
        <w:t xml:space="preserve">Under the Act, provider-engaged volunteers must meet the same worker screening requirements as aged care workers. Consequently, a reference to ‘aged care worker’ or ‘workers’ in this part of the </w:t>
      </w:r>
      <w:r w:rsidR="004B450C">
        <w:rPr>
          <w:rFonts w:eastAsia="Arial"/>
          <w:color w:val="1D1545"/>
        </w:rPr>
        <w:t xml:space="preserve">program </w:t>
      </w:r>
      <w:r w:rsidRPr="65121B19">
        <w:rPr>
          <w:rFonts w:eastAsia="Arial"/>
          <w:color w:val="1D1545"/>
        </w:rPr>
        <w:t xml:space="preserve">manual includes provider-engaged volunteers. </w:t>
      </w:r>
    </w:p>
    <w:p w14:paraId="4284A53D" w14:textId="77777777" w:rsidR="00ED244E" w:rsidRDefault="00ED244E" w:rsidP="00AF6ABD">
      <w:pPr>
        <w:rPr>
          <w:rFonts w:eastAsia="Arial"/>
        </w:rPr>
      </w:pPr>
      <w:r w:rsidRPr="65121B19">
        <w:rPr>
          <w:rFonts w:eastAsia="Arial"/>
        </w:rPr>
        <w:t xml:space="preserve">Providers must also ensure that the volunteers they engage have the necessary knowledge, skills and training to undertake the activities they have been engaged.  </w:t>
      </w:r>
    </w:p>
    <w:p w14:paraId="75C3DA9E" w14:textId="77777777" w:rsidR="00ED244E" w:rsidRDefault="00ED244E" w:rsidP="00AF6ABD">
      <w:pPr>
        <w:rPr>
          <w:rFonts w:eastAsia="Arial"/>
        </w:rPr>
      </w:pPr>
      <w:r w:rsidRPr="65121B19">
        <w:rPr>
          <w:rFonts w:eastAsia="Arial"/>
        </w:rPr>
        <w:t xml:space="preserve">Learn about your </w:t>
      </w:r>
      <w:r w:rsidRPr="002042E2">
        <w:rPr>
          <w:rFonts w:eastAsia="Arial"/>
        </w:rPr>
        <w:t>responsibilities regarding volunteers</w:t>
      </w:r>
      <w:r w:rsidRPr="65121B19">
        <w:rPr>
          <w:rFonts w:eastAsia="Arial"/>
        </w:rPr>
        <w:t xml:space="preserve"> </w:t>
      </w:r>
      <w:r>
        <w:rPr>
          <w:rFonts w:eastAsia="Arial"/>
        </w:rPr>
        <w:t xml:space="preserve">at: </w:t>
      </w:r>
      <w:hyperlink r:id="rId97" w:history="1">
        <w:r w:rsidRPr="002042E2">
          <w:rPr>
            <w:rStyle w:val="Hyperlink"/>
            <w:rFonts w:eastAsia="Arial" w:cs="Arial"/>
          </w:rPr>
          <w:t>health.gov.au/resources/publications/new-aged-care-act-and-volunteering-in-aged-care-what-providers-volunteer-managers-and-volunteers-need-to-know</w:t>
        </w:r>
      </w:hyperlink>
      <w:r w:rsidRPr="65121B19">
        <w:rPr>
          <w:rFonts w:eastAsia="Arial"/>
        </w:rPr>
        <w:t>.</w:t>
      </w:r>
    </w:p>
    <w:p w14:paraId="75A6C7D8" w14:textId="77777777" w:rsidR="00ED244E" w:rsidRDefault="00ED244E" w:rsidP="009265E8">
      <w:pPr>
        <w:pStyle w:val="Heading4"/>
        <w:rPr>
          <w:rFonts w:eastAsia="Arial"/>
          <w:lang w:val="en-GB"/>
        </w:rPr>
      </w:pPr>
      <w:r w:rsidRPr="65121B19">
        <w:rPr>
          <w:rFonts w:eastAsia="Arial"/>
          <w:lang w:val="en-GB"/>
        </w:rPr>
        <w:t xml:space="preserve">Aged care workers </w:t>
      </w:r>
    </w:p>
    <w:p w14:paraId="1A4DB1C4" w14:textId="77777777" w:rsidR="00ED244E" w:rsidRPr="002E5BEE" w:rsidRDefault="00ED244E" w:rsidP="009265E8">
      <w:pPr>
        <w:rPr>
          <w:rFonts w:eastAsia="Arial"/>
          <w:color w:val="1E1545"/>
        </w:rPr>
      </w:pPr>
      <w:r w:rsidRPr="65121B19">
        <w:rPr>
          <w:rFonts w:eastAsia="Arial"/>
        </w:rPr>
        <w:t>From 1 November 2025, NATSIFACP providers must ensure that all aged care workers (including volunteers) who deliver NATSIFACP services meet one of the following in that they:</w:t>
      </w:r>
    </w:p>
    <w:p w14:paraId="31A96F44" w14:textId="77777777" w:rsidR="00ED244E" w:rsidRPr="002E5BEE" w:rsidRDefault="00ED244E" w:rsidP="00D82385">
      <w:pPr>
        <w:pStyle w:val="ListBullet"/>
        <w:rPr>
          <w:rFonts w:eastAsia="Arial"/>
        </w:rPr>
      </w:pPr>
      <w:r>
        <w:rPr>
          <w:rFonts w:eastAsia="Arial"/>
        </w:rPr>
        <w:t xml:space="preserve">hold </w:t>
      </w:r>
      <w:r w:rsidRPr="002E5BEE">
        <w:rPr>
          <w:rFonts w:eastAsia="Arial"/>
        </w:rPr>
        <w:t>a police certificate not older than 3 years that does not show convictions for precluding offences (see police certificates below), or</w:t>
      </w:r>
    </w:p>
    <w:p w14:paraId="4C1E4CFC" w14:textId="77777777" w:rsidR="00ED244E" w:rsidRPr="002E5BEE" w:rsidRDefault="00ED244E" w:rsidP="00D82385">
      <w:pPr>
        <w:pStyle w:val="ListBullet"/>
        <w:rPr>
          <w:rFonts w:eastAsia="Arial"/>
        </w:rPr>
      </w:pPr>
      <w:r>
        <w:rPr>
          <w:rFonts w:eastAsia="Arial"/>
        </w:rPr>
        <w:t xml:space="preserve">hold </w:t>
      </w:r>
      <w:proofErr w:type="gramStart"/>
      <w:r w:rsidRPr="002E5BEE">
        <w:rPr>
          <w:rFonts w:eastAsia="Arial"/>
        </w:rPr>
        <w:t>an</w:t>
      </w:r>
      <w:proofErr w:type="gramEnd"/>
      <w:r w:rsidRPr="002E5BEE">
        <w:rPr>
          <w:rFonts w:eastAsia="Arial"/>
        </w:rPr>
        <w:t xml:space="preserve"> NDIS worker screening clearance decision that is in force (not older than 5 years or suspended), or</w:t>
      </w:r>
    </w:p>
    <w:p w14:paraId="417C2BC0" w14:textId="77777777" w:rsidR="00ED244E" w:rsidRPr="00E6248D" w:rsidRDefault="00ED244E" w:rsidP="00D82385">
      <w:pPr>
        <w:pStyle w:val="ListBullet"/>
        <w:rPr>
          <w:rFonts w:eastAsia="Arial"/>
        </w:rPr>
      </w:pPr>
      <w:r w:rsidRPr="4814A078">
        <w:rPr>
          <w:rFonts w:eastAsia="Arial"/>
        </w:rPr>
        <w:t>are a secondary school student on a formal work experience placement and are directly supervised by a person who does hold a document that meets (a) or (b).</w:t>
      </w:r>
    </w:p>
    <w:p w14:paraId="53A7342C" w14:textId="77777777" w:rsidR="00ED244E" w:rsidRPr="00CA5C9D" w:rsidRDefault="00ED244E" w:rsidP="00CA5C9D">
      <w:pPr>
        <w:rPr>
          <w:rFonts w:eastAsia="Arial"/>
        </w:rPr>
      </w:pPr>
      <w:r w:rsidRPr="00CA5C9D">
        <w:rPr>
          <w:rFonts w:eastAsia="Arial"/>
        </w:rPr>
        <w:t xml:space="preserve">If the worker has applied for a police certificate or </w:t>
      </w:r>
      <w:proofErr w:type="gramStart"/>
      <w:r w:rsidRPr="00CA5C9D">
        <w:rPr>
          <w:rFonts w:eastAsia="Arial"/>
        </w:rPr>
        <w:t>an</w:t>
      </w:r>
      <w:proofErr w:type="gramEnd"/>
      <w:r w:rsidRPr="00CA5C9D">
        <w:rPr>
          <w:rFonts w:eastAsia="Arial"/>
        </w:rPr>
        <w:t xml:space="preserve"> NDIS worker screening clearance and is waiting for it to be provided, they can be engaged if they are appropriately supervised and have signed a statutory declaration that states they have:</w:t>
      </w:r>
    </w:p>
    <w:p w14:paraId="50896A81" w14:textId="77777777" w:rsidR="00ED244E" w:rsidRDefault="00ED244E" w:rsidP="00D82385">
      <w:pPr>
        <w:pStyle w:val="ListBullet"/>
        <w:rPr>
          <w:rFonts w:eastAsia="Arial"/>
        </w:rPr>
      </w:pPr>
      <w:r w:rsidRPr="4814A078">
        <w:rPr>
          <w:rFonts w:eastAsia="Arial"/>
        </w:rPr>
        <w:t>never been convicted of an offence involving the death of a person, and</w:t>
      </w:r>
    </w:p>
    <w:p w14:paraId="42C7ADA1" w14:textId="77777777" w:rsidR="00ED244E" w:rsidRDefault="00ED244E" w:rsidP="00D82385">
      <w:pPr>
        <w:pStyle w:val="ListBullet"/>
        <w:rPr>
          <w:rFonts w:eastAsia="Arial"/>
        </w:rPr>
      </w:pPr>
      <w:r w:rsidRPr="4814A078">
        <w:rPr>
          <w:rFonts w:eastAsia="Arial"/>
        </w:rPr>
        <w:t>never been convicted of, and sentenced to imprisonment for at least one year, for:</w:t>
      </w:r>
    </w:p>
    <w:p w14:paraId="015CE05E" w14:textId="0B0893A1" w:rsidR="00ED244E" w:rsidRDefault="00ED244E" w:rsidP="00424AEF">
      <w:pPr>
        <w:pStyle w:val="ListBullet"/>
        <w:numPr>
          <w:ilvl w:val="1"/>
          <w:numId w:val="40"/>
        </w:numPr>
        <w:rPr>
          <w:rFonts w:eastAsia="Arial"/>
        </w:rPr>
      </w:pPr>
      <w:r w:rsidRPr="4814A078">
        <w:rPr>
          <w:rFonts w:eastAsia="Arial"/>
        </w:rPr>
        <w:t>a sex related offence, including sexual assault (against an adult or a child), child abuse material offences, or an indecent act involving a child</w:t>
      </w:r>
      <w:r w:rsidR="00BF47DD">
        <w:rPr>
          <w:rFonts w:eastAsia="Arial"/>
        </w:rPr>
        <w:t>,</w:t>
      </w:r>
      <w:r w:rsidRPr="4814A078">
        <w:rPr>
          <w:rFonts w:eastAsia="Arial"/>
        </w:rPr>
        <w:t xml:space="preserve"> or</w:t>
      </w:r>
    </w:p>
    <w:p w14:paraId="631838AF" w14:textId="77777777" w:rsidR="00ED244E" w:rsidRDefault="00ED244E" w:rsidP="00424AEF">
      <w:pPr>
        <w:pStyle w:val="ListBullet"/>
        <w:numPr>
          <w:ilvl w:val="1"/>
          <w:numId w:val="40"/>
        </w:numPr>
        <w:rPr>
          <w:rFonts w:eastAsia="Arial"/>
        </w:rPr>
      </w:pPr>
      <w:r w:rsidRPr="4814A078">
        <w:rPr>
          <w:rFonts w:eastAsia="Arial"/>
        </w:rPr>
        <w:t xml:space="preserve">an offence involving dishonesty. </w:t>
      </w:r>
    </w:p>
    <w:p w14:paraId="334376CE" w14:textId="77777777" w:rsidR="00ED244E" w:rsidRDefault="00ED244E" w:rsidP="00ED244E">
      <w:pPr>
        <w:rPr>
          <w:rFonts w:eastAsia="Arial" w:cs="Arial"/>
          <w:color w:val="1E1545"/>
        </w:rPr>
      </w:pPr>
      <w:r>
        <w:rPr>
          <w:rFonts w:eastAsia="Arial" w:cs="Arial"/>
          <w:color w:val="1E1545"/>
        </w:rPr>
        <w:t xml:space="preserve">It is an offence to make a false statement in a statutory declaration. </w:t>
      </w:r>
    </w:p>
    <w:p w14:paraId="0A9EABD8" w14:textId="77777777" w:rsidR="00ED244E" w:rsidRDefault="00ED244E" w:rsidP="00ED244E">
      <w:pPr>
        <w:pStyle w:val="Heading3"/>
        <w:rPr>
          <w:rFonts w:eastAsia="Arial"/>
          <w:b w:val="0"/>
          <w:bCs w:val="0"/>
        </w:rPr>
      </w:pPr>
      <w:r w:rsidRPr="4814A078">
        <w:rPr>
          <w:rFonts w:eastAsia="Arial"/>
        </w:rPr>
        <w:t>Responsible Persons</w:t>
      </w:r>
    </w:p>
    <w:p w14:paraId="04333512" w14:textId="77777777" w:rsidR="00ED244E" w:rsidRDefault="00ED244E" w:rsidP="00E77934">
      <w:pPr>
        <w:rPr>
          <w:rFonts w:eastAsia="Arial"/>
        </w:rPr>
      </w:pPr>
      <w:r w:rsidRPr="4814A078">
        <w:rPr>
          <w:rFonts w:eastAsia="Arial"/>
        </w:rPr>
        <w:t xml:space="preserve">Under the Act, a responsible person is someone who has formal </w:t>
      </w:r>
      <w:r>
        <w:rPr>
          <w:rFonts w:eastAsia="Arial"/>
        </w:rPr>
        <w:t xml:space="preserve">authority or </w:t>
      </w:r>
      <w:r w:rsidRPr="4814A078">
        <w:rPr>
          <w:rFonts w:eastAsia="Arial"/>
        </w:rPr>
        <w:t xml:space="preserve">responsibility for managing the operations </w:t>
      </w:r>
      <w:r>
        <w:rPr>
          <w:rFonts w:eastAsia="Arial"/>
        </w:rPr>
        <w:t xml:space="preserve">and day-to-day activities </w:t>
      </w:r>
      <w:r w:rsidRPr="4814A078">
        <w:rPr>
          <w:rFonts w:eastAsia="Arial"/>
        </w:rPr>
        <w:t>of a registered aged care provider or one of its government-funded aged care services.</w:t>
      </w:r>
      <w:r>
        <w:rPr>
          <w:rFonts w:eastAsia="Arial"/>
        </w:rPr>
        <w:t xml:space="preserve"> A responsible person can also be an aged care worker if they are employed or engaged by the NATSIFACP provider, or by an associated provider, to deliver funded aged care services. Owing to their key role in the planning and delivery of aged care services, responsible persons must be assessed for their suitability. </w:t>
      </w:r>
    </w:p>
    <w:p w14:paraId="3B879E79" w14:textId="77777777" w:rsidR="00ED244E" w:rsidRDefault="00ED244E" w:rsidP="00ED244E">
      <w:pPr>
        <w:rPr>
          <w:rFonts w:eastAsia="Arial" w:cs="Arial"/>
          <w:color w:val="1E1545"/>
        </w:rPr>
      </w:pPr>
      <w:r w:rsidRPr="4814A078">
        <w:rPr>
          <w:rFonts w:eastAsia="Arial" w:cs="Arial"/>
          <w:color w:val="1E1545"/>
        </w:rPr>
        <w:t xml:space="preserve">A </w:t>
      </w:r>
      <w:r w:rsidRPr="4814A078">
        <w:rPr>
          <w:rFonts w:eastAsia="Arial" w:cs="Arial"/>
          <w:b/>
          <w:bCs/>
          <w:color w:val="1E1545"/>
        </w:rPr>
        <w:t>responsible person</w:t>
      </w:r>
      <w:r w:rsidRPr="4814A078">
        <w:rPr>
          <w:rFonts w:eastAsia="Arial" w:cs="Arial"/>
          <w:color w:val="1E1545"/>
        </w:rPr>
        <w:t xml:space="preserve"> is defined as:</w:t>
      </w:r>
    </w:p>
    <w:p w14:paraId="5CD764DE" w14:textId="77777777" w:rsidR="00ED244E" w:rsidRDefault="00ED244E" w:rsidP="00D82385">
      <w:pPr>
        <w:pStyle w:val="ListBullet"/>
        <w:rPr>
          <w:rFonts w:eastAsia="Arial"/>
        </w:rPr>
      </w:pPr>
      <w:r w:rsidRPr="4814A078">
        <w:rPr>
          <w:rFonts w:eastAsia="Arial"/>
        </w:rPr>
        <w:t>any person who is responsible for executive decisions (including members of the governing body)</w:t>
      </w:r>
    </w:p>
    <w:p w14:paraId="4E457B7A" w14:textId="77777777" w:rsidR="00ED244E" w:rsidRDefault="00ED244E" w:rsidP="00D82385">
      <w:pPr>
        <w:pStyle w:val="ListBullet"/>
        <w:rPr>
          <w:rFonts w:eastAsia="Arial"/>
        </w:rPr>
      </w:pPr>
      <w:r w:rsidRPr="4814A078">
        <w:rPr>
          <w:rFonts w:eastAsia="Arial"/>
        </w:rPr>
        <w:t>any other person who has authority or responsibility for (or significant influence over) planning, directing or controlling the activities of the registered provider</w:t>
      </w:r>
    </w:p>
    <w:p w14:paraId="5A9EE790" w14:textId="77777777" w:rsidR="00ED244E" w:rsidRDefault="00ED244E" w:rsidP="00D82385">
      <w:pPr>
        <w:pStyle w:val="ListBullet"/>
        <w:rPr>
          <w:rFonts w:eastAsia="Arial"/>
        </w:rPr>
      </w:pPr>
      <w:r w:rsidRPr="4814A078">
        <w:rPr>
          <w:rFonts w:eastAsia="Arial"/>
        </w:rPr>
        <w:t>any person who has responsibility for overall management of the nursing services delivered by the registered provider, and who is a registered nurse</w:t>
      </w:r>
    </w:p>
    <w:p w14:paraId="1D265CE6" w14:textId="77777777" w:rsidR="00ED244E" w:rsidRPr="00614889" w:rsidRDefault="00ED244E" w:rsidP="00D82385">
      <w:pPr>
        <w:pStyle w:val="ListBullet"/>
        <w:rPr>
          <w:rFonts w:eastAsia="Arial"/>
        </w:rPr>
      </w:pPr>
      <w:r w:rsidRPr="4814A078">
        <w:rPr>
          <w:rFonts w:eastAsia="Arial"/>
        </w:rPr>
        <w:t>any person who is responsible for the day-to-day operations of the registered provider.</w:t>
      </w:r>
    </w:p>
    <w:p w14:paraId="63C6B85F" w14:textId="77777777" w:rsidR="00ED244E" w:rsidRPr="00167FA4" w:rsidRDefault="00ED244E" w:rsidP="00E77934">
      <w:pPr>
        <w:pStyle w:val="Heading4"/>
        <w:rPr>
          <w:rFonts w:eastAsia="Arial"/>
          <w:b w:val="0"/>
          <w:bCs w:val="0"/>
          <w:i/>
          <w:iCs w:val="0"/>
        </w:rPr>
      </w:pPr>
      <w:r w:rsidRPr="4814A078">
        <w:rPr>
          <w:rFonts w:eastAsia="Arial"/>
        </w:rPr>
        <w:t xml:space="preserve">Suitability </w:t>
      </w:r>
      <w:r w:rsidRPr="00E77934">
        <w:rPr>
          <w:rFonts w:eastAsia="Arial"/>
        </w:rPr>
        <w:t>matters</w:t>
      </w:r>
    </w:p>
    <w:p w14:paraId="599C0607" w14:textId="77777777" w:rsidR="00ED244E" w:rsidRDefault="00ED244E" w:rsidP="00ED244E">
      <w:pPr>
        <w:rPr>
          <w:rFonts w:eastAsia="Arial" w:cs="Arial"/>
          <w:color w:val="1E1545"/>
        </w:rPr>
      </w:pPr>
      <w:r w:rsidRPr="00E77934">
        <w:rPr>
          <w:rFonts w:eastAsia="Arial"/>
        </w:rPr>
        <w:t>The suitability matters that must be considered when assessing an individual responsible person are defined as</w:t>
      </w:r>
      <w:r>
        <w:rPr>
          <w:rFonts w:eastAsia="Arial" w:cs="Arial"/>
          <w:color w:val="1E1545"/>
        </w:rPr>
        <w:t>:</w:t>
      </w:r>
    </w:p>
    <w:p w14:paraId="51A01B80" w14:textId="77777777" w:rsidR="00ED244E" w:rsidRDefault="00ED244E" w:rsidP="00D82385">
      <w:pPr>
        <w:pStyle w:val="ListBullet"/>
        <w:rPr>
          <w:rFonts w:eastAsia="Arial"/>
        </w:rPr>
      </w:pPr>
      <w:r>
        <w:rPr>
          <w:rFonts w:eastAsia="Arial"/>
        </w:rPr>
        <w:t>experience in providing funded aged care services or other similar services</w:t>
      </w:r>
    </w:p>
    <w:p w14:paraId="064BD8FE" w14:textId="77777777" w:rsidR="00ED244E" w:rsidRDefault="00ED244E" w:rsidP="00D82385">
      <w:pPr>
        <w:pStyle w:val="ListBullet"/>
        <w:rPr>
          <w:rFonts w:eastAsia="Arial"/>
        </w:rPr>
      </w:pPr>
      <w:r>
        <w:rPr>
          <w:rFonts w:eastAsia="Arial"/>
        </w:rPr>
        <w:t>whether an aged care or NDIS banning order against the individual is or has ever been in force</w:t>
      </w:r>
    </w:p>
    <w:p w14:paraId="26D0336F" w14:textId="77777777" w:rsidR="00ED244E" w:rsidRDefault="00ED244E" w:rsidP="00D82385">
      <w:pPr>
        <w:pStyle w:val="ListBullet"/>
        <w:rPr>
          <w:rFonts w:eastAsia="Arial"/>
        </w:rPr>
      </w:pPr>
      <w:r>
        <w:rPr>
          <w:rFonts w:eastAsia="Arial"/>
        </w:rPr>
        <w:t>whether the individual has been convicted of an indictable office</w:t>
      </w:r>
    </w:p>
    <w:p w14:paraId="1C51F4C8" w14:textId="77777777" w:rsidR="00ED244E" w:rsidRDefault="00ED244E" w:rsidP="00D82385">
      <w:pPr>
        <w:pStyle w:val="ListBullet"/>
        <w:rPr>
          <w:rFonts w:eastAsia="Arial"/>
        </w:rPr>
      </w:pPr>
      <w:r>
        <w:rPr>
          <w:rFonts w:eastAsia="Arial"/>
        </w:rPr>
        <w:t>whether a civil penalty order has been made against the individual</w:t>
      </w:r>
    </w:p>
    <w:p w14:paraId="0F284CC3" w14:textId="77777777" w:rsidR="00ED244E" w:rsidRDefault="00ED244E" w:rsidP="00D82385">
      <w:pPr>
        <w:pStyle w:val="ListBullet"/>
        <w:rPr>
          <w:rFonts w:eastAsia="Arial"/>
        </w:rPr>
      </w:pPr>
      <w:r>
        <w:rPr>
          <w:rFonts w:eastAsia="Arial"/>
        </w:rPr>
        <w:t>whether the individual is or has ever been an insolvent under administration</w:t>
      </w:r>
    </w:p>
    <w:p w14:paraId="18159FD9" w14:textId="77777777" w:rsidR="00ED244E" w:rsidRDefault="00ED244E" w:rsidP="00D82385">
      <w:pPr>
        <w:pStyle w:val="ListBullet"/>
        <w:rPr>
          <w:rFonts w:eastAsia="Arial"/>
        </w:rPr>
      </w:pPr>
      <w:r>
        <w:rPr>
          <w:rFonts w:eastAsia="Arial"/>
        </w:rPr>
        <w:t>whether the individual is or has ever been the subject of adverse findings or enforcement action by any of:</w:t>
      </w:r>
    </w:p>
    <w:p w14:paraId="10A1F47E" w14:textId="77777777" w:rsidR="00ED244E" w:rsidRDefault="00ED244E" w:rsidP="009C54CA">
      <w:pPr>
        <w:pStyle w:val="ListBullet"/>
        <w:numPr>
          <w:ilvl w:val="1"/>
          <w:numId w:val="40"/>
        </w:numPr>
        <w:rPr>
          <w:rFonts w:eastAsia="Arial"/>
        </w:rPr>
      </w:pPr>
      <w:r>
        <w:rPr>
          <w:rFonts w:eastAsia="Arial"/>
        </w:rPr>
        <w:t>a Department of the Commonwealth, State or Territory</w:t>
      </w:r>
    </w:p>
    <w:p w14:paraId="302D4324" w14:textId="77777777" w:rsidR="00ED244E" w:rsidRDefault="00ED244E" w:rsidP="009C54CA">
      <w:pPr>
        <w:pStyle w:val="ListBullet"/>
        <w:numPr>
          <w:ilvl w:val="1"/>
          <w:numId w:val="40"/>
        </w:numPr>
        <w:rPr>
          <w:rFonts w:eastAsia="Arial"/>
        </w:rPr>
      </w:pPr>
      <w:r>
        <w:rPr>
          <w:rFonts w:eastAsia="Arial"/>
        </w:rPr>
        <w:t>the Australian Securities and Investments Commission</w:t>
      </w:r>
    </w:p>
    <w:p w14:paraId="53758CDA" w14:textId="77777777" w:rsidR="00ED244E" w:rsidRDefault="00ED244E" w:rsidP="009C54CA">
      <w:pPr>
        <w:pStyle w:val="ListBullet"/>
        <w:numPr>
          <w:ilvl w:val="1"/>
          <w:numId w:val="40"/>
        </w:numPr>
        <w:rPr>
          <w:rFonts w:eastAsia="Arial"/>
        </w:rPr>
      </w:pPr>
      <w:r>
        <w:rPr>
          <w:rFonts w:eastAsia="Arial"/>
        </w:rPr>
        <w:t>the Australian Charities and Not-for-profits Commission</w:t>
      </w:r>
    </w:p>
    <w:p w14:paraId="5FA959B1" w14:textId="77777777" w:rsidR="00ED244E" w:rsidRDefault="00ED244E" w:rsidP="009C54CA">
      <w:pPr>
        <w:pStyle w:val="ListBullet"/>
        <w:numPr>
          <w:ilvl w:val="1"/>
          <w:numId w:val="40"/>
        </w:numPr>
        <w:rPr>
          <w:rFonts w:eastAsia="Arial"/>
        </w:rPr>
      </w:pPr>
      <w:r>
        <w:rPr>
          <w:rFonts w:eastAsia="Arial"/>
        </w:rPr>
        <w:t>the Australian Competition and Consumer Commission</w:t>
      </w:r>
    </w:p>
    <w:p w14:paraId="7EE2B49D" w14:textId="77777777" w:rsidR="00ED244E" w:rsidRDefault="00ED244E" w:rsidP="009C54CA">
      <w:pPr>
        <w:pStyle w:val="ListBullet"/>
        <w:numPr>
          <w:ilvl w:val="1"/>
          <w:numId w:val="40"/>
        </w:numPr>
        <w:rPr>
          <w:rFonts w:eastAsia="Arial"/>
        </w:rPr>
      </w:pPr>
      <w:r>
        <w:rPr>
          <w:rFonts w:eastAsia="Arial"/>
        </w:rPr>
        <w:t>the Australian Prudential Regulation Authority</w:t>
      </w:r>
    </w:p>
    <w:p w14:paraId="5A37D8A7" w14:textId="77777777" w:rsidR="00ED244E" w:rsidRDefault="00ED244E" w:rsidP="009C54CA">
      <w:pPr>
        <w:pStyle w:val="ListBullet"/>
        <w:numPr>
          <w:ilvl w:val="1"/>
          <w:numId w:val="40"/>
        </w:numPr>
        <w:rPr>
          <w:rFonts w:eastAsia="Arial"/>
        </w:rPr>
      </w:pPr>
      <w:r>
        <w:rPr>
          <w:rFonts w:eastAsia="Arial"/>
        </w:rPr>
        <w:t>the Australian Crime Commission</w:t>
      </w:r>
    </w:p>
    <w:p w14:paraId="2B7F74FB" w14:textId="77777777" w:rsidR="00ED244E" w:rsidRDefault="00ED244E" w:rsidP="009C54CA">
      <w:pPr>
        <w:pStyle w:val="ListBullet"/>
        <w:numPr>
          <w:ilvl w:val="1"/>
          <w:numId w:val="40"/>
        </w:numPr>
        <w:rPr>
          <w:rFonts w:eastAsia="Arial"/>
        </w:rPr>
      </w:pPr>
      <w:r>
        <w:rPr>
          <w:rFonts w:eastAsia="Arial"/>
        </w:rPr>
        <w:t>AUSTRAC</w:t>
      </w:r>
    </w:p>
    <w:p w14:paraId="53B793C1" w14:textId="77777777" w:rsidR="00ED244E" w:rsidRDefault="00ED244E" w:rsidP="009C54CA">
      <w:pPr>
        <w:pStyle w:val="ListBullet"/>
        <w:numPr>
          <w:ilvl w:val="1"/>
          <w:numId w:val="40"/>
        </w:numPr>
        <w:rPr>
          <w:rFonts w:eastAsia="Arial"/>
        </w:rPr>
      </w:pPr>
      <w:r>
        <w:rPr>
          <w:rFonts w:eastAsia="Arial"/>
        </w:rPr>
        <w:t>the Australian Health Practitioner Regulation Agency</w:t>
      </w:r>
    </w:p>
    <w:p w14:paraId="44AC3365" w14:textId="77777777" w:rsidR="00ED244E" w:rsidRDefault="00ED244E" w:rsidP="009C54CA">
      <w:pPr>
        <w:pStyle w:val="ListBullet"/>
        <w:numPr>
          <w:ilvl w:val="1"/>
          <w:numId w:val="40"/>
        </w:numPr>
        <w:rPr>
          <w:rFonts w:eastAsia="Arial"/>
        </w:rPr>
      </w:pPr>
      <w:r>
        <w:rPr>
          <w:rFonts w:eastAsia="Arial"/>
        </w:rPr>
        <w:t xml:space="preserve">another body established for a public purpose by or under a law of the Commonwealth, a State or Territory authority, a local government authority or a body responsible for maintaining standards of conduct in a profession that is involved in the delivery of funded aged care services </w:t>
      </w:r>
    </w:p>
    <w:p w14:paraId="1D3C9331" w14:textId="77777777" w:rsidR="00ED244E" w:rsidRDefault="00ED244E" w:rsidP="00D82385">
      <w:pPr>
        <w:pStyle w:val="ListBullet"/>
        <w:rPr>
          <w:rFonts w:eastAsia="Arial"/>
        </w:rPr>
      </w:pPr>
      <w:r>
        <w:rPr>
          <w:rFonts w:eastAsia="Arial"/>
        </w:rPr>
        <w:t>whether the individual is or has ever been the subject of any findings or judgment in relation to fraud, misrepresentation or dishonesty in any administrative, civil or criminal proceedings or is party to any proceedings that may result in such findings</w:t>
      </w:r>
    </w:p>
    <w:p w14:paraId="37E78F0D" w14:textId="77777777" w:rsidR="00ED244E" w:rsidRPr="00AA14AF" w:rsidRDefault="00ED244E" w:rsidP="00D82385">
      <w:pPr>
        <w:pStyle w:val="ListBullet"/>
        <w:rPr>
          <w:rFonts w:eastAsia="Arial"/>
        </w:rPr>
      </w:pPr>
      <w:r>
        <w:rPr>
          <w:rFonts w:eastAsia="Arial"/>
        </w:rPr>
        <w:t xml:space="preserve">whether the individual is or has ever been disqualified from managing corporations under Part 2D.6 of the </w:t>
      </w:r>
      <w:r w:rsidRPr="00A518F6">
        <w:rPr>
          <w:rFonts w:eastAsia="Arial"/>
          <w:i/>
          <w:iCs/>
        </w:rPr>
        <w:t>Corporations Act 2001</w:t>
      </w:r>
      <w:r>
        <w:rPr>
          <w:rFonts w:eastAsia="Arial"/>
          <w:i/>
          <w:iCs/>
        </w:rPr>
        <w:t xml:space="preserve">, </w:t>
      </w:r>
      <w:r>
        <w:rPr>
          <w:rFonts w:eastAsia="Arial"/>
        </w:rPr>
        <w:t>and</w:t>
      </w:r>
    </w:p>
    <w:p w14:paraId="4967ADCE" w14:textId="77777777" w:rsidR="00ED244E" w:rsidRDefault="00ED244E" w:rsidP="00D82385">
      <w:pPr>
        <w:pStyle w:val="ListBullet"/>
        <w:rPr>
          <w:rFonts w:eastAsia="Arial"/>
        </w:rPr>
      </w:pPr>
      <w:r>
        <w:rPr>
          <w:rFonts w:eastAsia="Arial"/>
        </w:rPr>
        <w:t xml:space="preserve">the worker screening requirements, if applicable, and any other matters prescribed by the rules. </w:t>
      </w:r>
    </w:p>
    <w:p w14:paraId="298387A3" w14:textId="77777777" w:rsidR="00ED244E" w:rsidRPr="002F3725" w:rsidRDefault="00ED244E" w:rsidP="00ED244E">
      <w:pPr>
        <w:rPr>
          <w:rFonts w:cs="Arial"/>
        </w:rPr>
      </w:pPr>
      <w:r w:rsidRPr="002F3725">
        <w:rPr>
          <w:rFonts w:eastAsia="Arial" w:cs="Arial"/>
          <w:color w:val="auto"/>
        </w:rPr>
        <w:t>Howev</w:t>
      </w:r>
      <w:r w:rsidRPr="002F3725">
        <w:rPr>
          <w:rFonts w:cs="Arial"/>
        </w:rPr>
        <w:t xml:space="preserve">er, Part VIIC of the Crimes Act 1914 applies including provisions that, in certain circumstances, relieve individuals from disclosing spent convictions. </w:t>
      </w:r>
    </w:p>
    <w:p w14:paraId="35F73CDA" w14:textId="77777777" w:rsidR="00ED244E" w:rsidRPr="002F3725" w:rsidRDefault="00ED244E" w:rsidP="00ED244E">
      <w:pPr>
        <w:rPr>
          <w:rFonts w:cs="Arial"/>
        </w:rPr>
      </w:pPr>
      <w:r w:rsidRPr="002F3725">
        <w:rPr>
          <w:rFonts w:cs="Arial"/>
        </w:rPr>
        <w:t>It is a criminal offence if NATSIFACP providers fail to consider the suitability of responsible persons at least once every 12 months. It is also a criminal offence if responsible persons do not inform the NATSIFACP provider within 14 days of any changes in circumstances concerning suitability matters. NATSIFACP providers are required to notify the Aged Care Quality and Safety Commission of changes in responsible persons as well as changes in their suitability to be responsible persons.</w:t>
      </w:r>
    </w:p>
    <w:p w14:paraId="68E6395B" w14:textId="77777777" w:rsidR="00ED244E" w:rsidRPr="00D06E46" w:rsidRDefault="00ED244E" w:rsidP="00D06E46">
      <w:pPr>
        <w:pStyle w:val="Heading4"/>
        <w:rPr>
          <w:rFonts w:eastAsia="Arial"/>
        </w:rPr>
      </w:pPr>
      <w:r w:rsidRPr="00D06E46">
        <w:rPr>
          <w:rFonts w:eastAsia="Arial"/>
        </w:rPr>
        <w:t>Responsible person screening</w:t>
      </w:r>
    </w:p>
    <w:p w14:paraId="633340CE" w14:textId="77777777" w:rsidR="00ED244E" w:rsidRDefault="00ED244E" w:rsidP="00ED244E">
      <w:pPr>
        <w:rPr>
          <w:rFonts w:cs="Arial"/>
        </w:rPr>
      </w:pPr>
      <w:r>
        <w:rPr>
          <w:rFonts w:cs="Arial"/>
        </w:rPr>
        <w:t>In addition to suitability matters, responsible persons are subject to screening decisions just like aged care workers. NATSIFACP providers must ensure that each responsible person of the provider meets one of the following:</w:t>
      </w:r>
    </w:p>
    <w:p w14:paraId="404A1C7E" w14:textId="77777777" w:rsidR="00ED244E" w:rsidRPr="002E5BEE" w:rsidRDefault="00ED244E" w:rsidP="00D82385">
      <w:pPr>
        <w:pStyle w:val="ListBullet"/>
        <w:rPr>
          <w:rFonts w:eastAsia="Arial"/>
        </w:rPr>
      </w:pPr>
      <w:r w:rsidRPr="002E5BEE">
        <w:rPr>
          <w:rFonts w:eastAsia="Arial"/>
        </w:rPr>
        <w:t xml:space="preserve">they have a </w:t>
      </w:r>
      <w:proofErr w:type="gramStart"/>
      <w:r w:rsidRPr="002E5BEE">
        <w:rPr>
          <w:rFonts w:eastAsia="Arial"/>
        </w:rPr>
        <w:t>police</w:t>
      </w:r>
      <w:proofErr w:type="gramEnd"/>
      <w:r w:rsidRPr="002E5BEE">
        <w:rPr>
          <w:rFonts w:eastAsia="Arial"/>
        </w:rPr>
        <w:t xml:space="preserve"> certificate not older than 3 years that does not show convictions for precluding offences (see police certificates below), or</w:t>
      </w:r>
    </w:p>
    <w:p w14:paraId="7633D8B3" w14:textId="77777777" w:rsidR="00ED244E" w:rsidRPr="004C2072" w:rsidRDefault="00ED244E" w:rsidP="00D82385">
      <w:pPr>
        <w:pStyle w:val="ListBullet"/>
        <w:rPr>
          <w:rFonts w:eastAsia="Arial"/>
        </w:rPr>
      </w:pPr>
      <w:r w:rsidRPr="002E5BEE">
        <w:rPr>
          <w:rFonts w:eastAsia="Arial"/>
        </w:rPr>
        <w:t xml:space="preserve">they have </w:t>
      </w:r>
      <w:proofErr w:type="gramStart"/>
      <w:r w:rsidRPr="002E5BEE">
        <w:rPr>
          <w:rFonts w:eastAsia="Arial"/>
        </w:rPr>
        <w:t>an</w:t>
      </w:r>
      <w:proofErr w:type="gramEnd"/>
      <w:r w:rsidRPr="002E5BEE">
        <w:rPr>
          <w:rFonts w:eastAsia="Arial"/>
        </w:rPr>
        <w:t xml:space="preserve"> NDIS worker screening clearance decision that is in force (not older than 5 years or suspended)</w:t>
      </w:r>
      <w:r>
        <w:rPr>
          <w:rFonts w:eastAsia="Arial"/>
        </w:rPr>
        <w:t>.</w:t>
      </w:r>
    </w:p>
    <w:p w14:paraId="3E0D3D71" w14:textId="77777777" w:rsidR="00ED244E" w:rsidRDefault="00ED244E" w:rsidP="00E75F70">
      <w:pPr>
        <w:rPr>
          <w:rFonts w:eastAsia="Arial"/>
        </w:rPr>
      </w:pPr>
      <w:r w:rsidRPr="4814A078">
        <w:rPr>
          <w:rFonts w:eastAsia="Arial"/>
        </w:rPr>
        <w:t xml:space="preserve">If the </w:t>
      </w:r>
      <w:r>
        <w:rPr>
          <w:rFonts w:eastAsia="Arial"/>
        </w:rPr>
        <w:t xml:space="preserve">responsible person </w:t>
      </w:r>
      <w:r w:rsidRPr="4814A078">
        <w:rPr>
          <w:rFonts w:eastAsia="Arial"/>
        </w:rPr>
        <w:t xml:space="preserve">has applied for a police certificate or </w:t>
      </w:r>
      <w:proofErr w:type="gramStart"/>
      <w:r w:rsidRPr="4814A078">
        <w:rPr>
          <w:rFonts w:eastAsia="Arial"/>
        </w:rPr>
        <w:t>an</w:t>
      </w:r>
      <w:proofErr w:type="gramEnd"/>
      <w:r w:rsidRPr="4814A078">
        <w:rPr>
          <w:rFonts w:eastAsia="Arial"/>
        </w:rPr>
        <w:t xml:space="preserve"> NDIS worker screening clearance and is waiting for it to be provided, they must be appropriate</w:t>
      </w:r>
      <w:r>
        <w:rPr>
          <w:rFonts w:eastAsia="Arial"/>
        </w:rPr>
        <w:t>ly</w:t>
      </w:r>
      <w:r w:rsidRPr="4814A078">
        <w:rPr>
          <w:rFonts w:eastAsia="Arial"/>
        </w:rPr>
        <w:t xml:space="preserve"> supervised and have signed a statutory declaration that states they have:</w:t>
      </w:r>
    </w:p>
    <w:p w14:paraId="1CFAFFFB" w14:textId="77777777" w:rsidR="00ED244E" w:rsidRDefault="00ED244E" w:rsidP="00D82385">
      <w:pPr>
        <w:pStyle w:val="ListBullet"/>
        <w:rPr>
          <w:rFonts w:eastAsia="Arial"/>
        </w:rPr>
      </w:pPr>
      <w:r w:rsidRPr="4814A078">
        <w:rPr>
          <w:rFonts w:eastAsia="Arial"/>
        </w:rPr>
        <w:t>never been convicted of an offence involving the death of a person, and</w:t>
      </w:r>
    </w:p>
    <w:p w14:paraId="643AF12F" w14:textId="77777777" w:rsidR="00ED244E" w:rsidRDefault="00ED244E" w:rsidP="00D82385">
      <w:pPr>
        <w:pStyle w:val="ListBullet"/>
        <w:rPr>
          <w:rFonts w:eastAsia="Arial"/>
        </w:rPr>
      </w:pPr>
      <w:r w:rsidRPr="4814A078">
        <w:rPr>
          <w:rFonts w:eastAsia="Arial"/>
        </w:rPr>
        <w:t>never been convicted of, and sentenced to imprisonment for at least one year, for:</w:t>
      </w:r>
    </w:p>
    <w:p w14:paraId="44439056" w14:textId="77777777" w:rsidR="00ED244E" w:rsidRDefault="00ED244E" w:rsidP="009C54CA">
      <w:pPr>
        <w:pStyle w:val="ListBullet"/>
        <w:numPr>
          <w:ilvl w:val="1"/>
          <w:numId w:val="40"/>
        </w:numPr>
        <w:rPr>
          <w:rFonts w:eastAsia="Arial"/>
        </w:rPr>
      </w:pPr>
      <w:r w:rsidRPr="4814A078">
        <w:rPr>
          <w:rFonts w:eastAsia="Arial"/>
        </w:rPr>
        <w:t>a sex related offence, including sexual assault (against an adult or a child), child abuse material offences, or an indecent act involving a child; or</w:t>
      </w:r>
    </w:p>
    <w:p w14:paraId="6F04FB2C" w14:textId="77777777" w:rsidR="00ED244E" w:rsidRPr="004C2072" w:rsidRDefault="00ED244E" w:rsidP="009C54CA">
      <w:pPr>
        <w:pStyle w:val="ListBullet"/>
        <w:numPr>
          <w:ilvl w:val="1"/>
          <w:numId w:val="40"/>
        </w:numPr>
        <w:rPr>
          <w:rFonts w:eastAsia="Arial"/>
        </w:rPr>
      </w:pPr>
      <w:r w:rsidRPr="4814A078">
        <w:rPr>
          <w:rFonts w:eastAsia="Arial"/>
        </w:rPr>
        <w:t>an offence involving dishonesty.</w:t>
      </w:r>
    </w:p>
    <w:p w14:paraId="2D24AF36" w14:textId="77777777" w:rsidR="00ED244E" w:rsidRPr="00124717" w:rsidRDefault="00ED244E" w:rsidP="00D06E46">
      <w:r>
        <w:rPr>
          <w:rFonts w:eastAsia="Arial"/>
        </w:rPr>
        <w:t xml:space="preserve">It is an offence to make a false statement in a </w:t>
      </w:r>
      <w:r w:rsidRPr="4814A078">
        <w:rPr>
          <w:rFonts w:eastAsia="Arial"/>
        </w:rPr>
        <w:t>statutory declaration</w:t>
      </w:r>
      <w:r>
        <w:rPr>
          <w:rFonts w:eastAsia="Arial"/>
        </w:rPr>
        <w:t>.</w:t>
      </w:r>
      <w:r w:rsidRPr="4814A078">
        <w:rPr>
          <w:rFonts w:eastAsia="Arial"/>
        </w:rPr>
        <w:t xml:space="preserve"> </w:t>
      </w:r>
    </w:p>
    <w:p w14:paraId="73627791" w14:textId="538B5401" w:rsidR="00ED244E" w:rsidRPr="00D06E46" w:rsidRDefault="00ED244E" w:rsidP="00D06E46">
      <w:pPr>
        <w:pStyle w:val="Heading4"/>
        <w:rPr>
          <w:rFonts w:eastAsia="Arial"/>
        </w:rPr>
      </w:pPr>
      <w:r w:rsidRPr="00D06E46">
        <w:rPr>
          <w:rFonts w:eastAsia="Arial"/>
        </w:rPr>
        <w:t>Ongoing requirements and record keeping</w:t>
      </w:r>
      <w:r w:rsidR="00C1508D">
        <w:rPr>
          <w:rFonts w:eastAsia="Arial"/>
        </w:rPr>
        <w:t xml:space="preserve"> relating to </w:t>
      </w:r>
      <w:r w:rsidR="00921CA0">
        <w:rPr>
          <w:rFonts w:eastAsia="Arial"/>
        </w:rPr>
        <w:t>responsible persons</w:t>
      </w:r>
    </w:p>
    <w:p w14:paraId="2391E46C" w14:textId="77777777" w:rsidR="00ED244E" w:rsidRPr="00D85C20" w:rsidRDefault="00ED244E" w:rsidP="00D06E46">
      <w:pPr>
        <w:rPr>
          <w:rFonts w:eastAsia="Arial"/>
        </w:rPr>
      </w:pPr>
      <w:r w:rsidRPr="00D85C20">
        <w:rPr>
          <w:rFonts w:eastAsia="Arial"/>
        </w:rPr>
        <w:t>NATSIFACP providers must take reasonable measures to require each responsible person of the provider to notify the provider if:</w:t>
      </w:r>
    </w:p>
    <w:p w14:paraId="2EF4C8B2" w14:textId="77777777" w:rsidR="00ED244E" w:rsidRPr="00D85C20" w:rsidRDefault="00ED244E" w:rsidP="00D82385">
      <w:pPr>
        <w:pStyle w:val="ListBullet"/>
        <w:rPr>
          <w:rFonts w:eastAsia="Arial"/>
        </w:rPr>
      </w:pPr>
      <w:proofErr w:type="gramStart"/>
      <w:r w:rsidRPr="00D85C20">
        <w:rPr>
          <w:rFonts w:eastAsia="Arial"/>
        </w:rPr>
        <w:t>an</w:t>
      </w:r>
      <w:proofErr w:type="gramEnd"/>
      <w:r w:rsidRPr="00D85C20">
        <w:rPr>
          <w:rFonts w:eastAsia="Arial"/>
        </w:rPr>
        <w:t xml:space="preserve"> NDIS exclusion decision is in force in respect of that individual, </w:t>
      </w:r>
    </w:p>
    <w:p w14:paraId="7FC416BF" w14:textId="77777777" w:rsidR="00ED244E" w:rsidRPr="00D85C20" w:rsidRDefault="00ED244E" w:rsidP="00D82385">
      <w:pPr>
        <w:pStyle w:val="ListBullet"/>
        <w:rPr>
          <w:rFonts w:eastAsia="Arial"/>
        </w:rPr>
      </w:pPr>
      <w:proofErr w:type="gramStart"/>
      <w:r w:rsidRPr="00D85C20">
        <w:rPr>
          <w:rFonts w:eastAsia="Arial"/>
        </w:rPr>
        <w:t>an</w:t>
      </w:r>
      <w:proofErr w:type="gramEnd"/>
      <w:r w:rsidRPr="00D85C20">
        <w:rPr>
          <w:rFonts w:eastAsia="Arial"/>
        </w:rPr>
        <w:t xml:space="preserve"> NDIS clearance decision in respect of the individual is suspended, or</w:t>
      </w:r>
    </w:p>
    <w:p w14:paraId="20A9A589" w14:textId="77777777" w:rsidR="00ED244E" w:rsidRPr="00D85C20" w:rsidRDefault="00ED244E" w:rsidP="00D82385">
      <w:pPr>
        <w:pStyle w:val="ListBullet"/>
        <w:rPr>
          <w:rFonts w:eastAsia="Arial"/>
        </w:rPr>
      </w:pPr>
      <w:r w:rsidRPr="00D85C20">
        <w:rPr>
          <w:rFonts w:eastAsia="Arial"/>
        </w:rPr>
        <w:t>the individual is:</w:t>
      </w:r>
    </w:p>
    <w:p w14:paraId="27402DE5" w14:textId="77777777" w:rsidR="00ED244E" w:rsidRPr="00D85C20" w:rsidRDefault="00ED244E" w:rsidP="00A51B4F">
      <w:pPr>
        <w:pStyle w:val="ListBullet2"/>
        <w:rPr>
          <w:rFonts w:eastAsia="Arial"/>
        </w:rPr>
      </w:pPr>
      <w:r w:rsidRPr="00D85C20">
        <w:rPr>
          <w:rFonts w:eastAsia="Arial"/>
        </w:rPr>
        <w:t>convicted of an offence involving the death of a person, or</w:t>
      </w:r>
    </w:p>
    <w:p w14:paraId="642D7BB6" w14:textId="77777777" w:rsidR="00ED244E" w:rsidRPr="00D85C20" w:rsidRDefault="00ED244E" w:rsidP="00A51B4F">
      <w:pPr>
        <w:pStyle w:val="ListBullet2"/>
        <w:rPr>
          <w:rFonts w:eastAsia="Arial"/>
        </w:rPr>
      </w:pPr>
      <w:r w:rsidRPr="00D85C20">
        <w:rPr>
          <w:rFonts w:eastAsia="Arial"/>
        </w:rPr>
        <w:t>convicted of, and sentenced to imprisonment for at least one year, for:</w:t>
      </w:r>
    </w:p>
    <w:p w14:paraId="3FEFE6EF" w14:textId="77777777" w:rsidR="00ED244E" w:rsidRPr="00F222DB" w:rsidRDefault="00ED244E" w:rsidP="00A51B4F">
      <w:pPr>
        <w:pStyle w:val="ListBullet2"/>
        <w:numPr>
          <w:ilvl w:val="1"/>
          <w:numId w:val="42"/>
        </w:numPr>
        <w:rPr>
          <w:rFonts w:eastAsia="Arial"/>
        </w:rPr>
      </w:pPr>
      <w:r w:rsidRPr="00F222DB">
        <w:rPr>
          <w:rFonts w:eastAsia="Arial"/>
        </w:rPr>
        <w:t>a sex related offence, including sexual assault (against an adult or a child), child abuse material offences, or an indecent act involving a child; or</w:t>
      </w:r>
    </w:p>
    <w:p w14:paraId="717B354A" w14:textId="77777777" w:rsidR="00ED244E" w:rsidRPr="004C2072" w:rsidRDefault="00ED244E" w:rsidP="00A51B4F">
      <w:pPr>
        <w:pStyle w:val="ListBullet2"/>
        <w:numPr>
          <w:ilvl w:val="1"/>
          <w:numId w:val="42"/>
        </w:numPr>
        <w:rPr>
          <w:rFonts w:eastAsia="Arial"/>
        </w:rPr>
      </w:pPr>
      <w:r w:rsidRPr="00F222DB">
        <w:rPr>
          <w:rFonts w:eastAsia="Arial"/>
        </w:rPr>
        <w:t>an offence involving dishonesty.</w:t>
      </w:r>
    </w:p>
    <w:p w14:paraId="1EB84940" w14:textId="77777777" w:rsidR="00ED244E" w:rsidRDefault="00ED244E" w:rsidP="008A0405">
      <w:pPr>
        <w:rPr>
          <w:rFonts w:eastAsia="Arial"/>
        </w:rPr>
      </w:pPr>
      <w:r w:rsidRPr="4814A078">
        <w:rPr>
          <w:rFonts w:eastAsia="Arial"/>
        </w:rPr>
        <w:t xml:space="preserve">NATSIFACP providers must keep records, and update records, for each </w:t>
      </w:r>
      <w:r>
        <w:rPr>
          <w:rFonts w:eastAsia="Arial"/>
        </w:rPr>
        <w:t>responsible person i</w:t>
      </w:r>
      <w:r w:rsidRPr="4814A078">
        <w:rPr>
          <w:rFonts w:eastAsia="Arial"/>
        </w:rPr>
        <w:t>ncluding:</w:t>
      </w:r>
    </w:p>
    <w:p w14:paraId="1EDEEF59" w14:textId="77777777" w:rsidR="00ED244E" w:rsidRDefault="00ED244E" w:rsidP="00D82385">
      <w:pPr>
        <w:pStyle w:val="ListBullet"/>
        <w:rPr>
          <w:rFonts w:eastAsia="Arial"/>
        </w:rPr>
      </w:pPr>
      <w:r w:rsidRPr="008C4400">
        <w:rPr>
          <w:rFonts w:eastAsia="Arial"/>
        </w:rPr>
        <w:t>the person’s name, date of birth and address</w:t>
      </w:r>
    </w:p>
    <w:p w14:paraId="6990EDAA" w14:textId="77777777" w:rsidR="00ED244E" w:rsidRPr="004C2072" w:rsidRDefault="00ED244E" w:rsidP="00D82385">
      <w:pPr>
        <w:pStyle w:val="ListBullet"/>
        <w:rPr>
          <w:rFonts w:eastAsia="Arial"/>
        </w:rPr>
      </w:pPr>
      <w:r w:rsidRPr="008C4400">
        <w:rPr>
          <w:rFonts w:eastAsia="Arial"/>
        </w:rPr>
        <w:t xml:space="preserve">as applicable, a record of the person’s police certificate, statutory declaration or NDIS worker clearance decision. </w:t>
      </w:r>
    </w:p>
    <w:p w14:paraId="77FA85C5" w14:textId="77777777" w:rsidR="00ED244E" w:rsidRDefault="00ED244E" w:rsidP="00231BC1">
      <w:pPr>
        <w:rPr>
          <w:rFonts w:eastAsia="Arial"/>
          <w:b/>
          <w:bCs/>
          <w:color w:val="1E1545"/>
          <w:highlight w:val="yellow"/>
        </w:rPr>
      </w:pPr>
      <w:r w:rsidRPr="65121B19">
        <w:rPr>
          <w:rFonts w:eastAsia="Arial"/>
        </w:rPr>
        <w:t xml:space="preserve">NATSIFACP providers must also keep records of the date and name of the person who ensured the responsible person has a police certificate, statutory declaration or NDIS worker screening clearance decision, as applicable. </w:t>
      </w:r>
    </w:p>
    <w:p w14:paraId="60EACFCC" w14:textId="77777777" w:rsidR="00ED244E" w:rsidRDefault="00ED244E" w:rsidP="00E463BE">
      <w:pPr>
        <w:pStyle w:val="Heading3"/>
        <w:rPr>
          <w:rFonts w:eastAsia="Arial"/>
        </w:rPr>
      </w:pPr>
      <w:r w:rsidRPr="65121B19">
        <w:rPr>
          <w:rFonts w:eastAsia="Arial"/>
        </w:rPr>
        <w:t xml:space="preserve">Future of aged care </w:t>
      </w:r>
      <w:r w:rsidRPr="00E463BE">
        <w:rPr>
          <w:rFonts w:eastAsia="Arial"/>
        </w:rPr>
        <w:t>screening</w:t>
      </w:r>
    </w:p>
    <w:p w14:paraId="1CC00660" w14:textId="337C3948" w:rsidR="00ED244E" w:rsidRDefault="00CA4CEB" w:rsidP="00E463BE">
      <w:pPr>
        <w:rPr>
          <w:rFonts w:eastAsia="Aptos" w:cs="Aptos"/>
        </w:rPr>
      </w:pPr>
      <w:r w:rsidRPr="00BC5FCF">
        <w:rPr>
          <w:rFonts w:eastAsia="Arial" w:cs="Arial"/>
        </w:rPr>
        <w:t>T</w:t>
      </w:r>
      <w:r w:rsidR="00126007" w:rsidRPr="00BC5FCF">
        <w:rPr>
          <w:rFonts w:eastAsia="Arial" w:cs="Arial"/>
        </w:rPr>
        <w:t>he Australian Government is working with states and territories on a national worker screening check for the care and support economy. This will strengthen protections for Australians who receive care and support and increase consistency across sectors and jurisdictions. A national worker screening check will also boost labour mobility and efficiency across the care and support economy. This work is being led by a taskforce within the Department of Finance.</w:t>
      </w:r>
      <w:r w:rsidR="00BC5FCF" w:rsidRPr="00BC5FCF">
        <w:rPr>
          <w:rFonts w:eastAsia="Arial" w:cs="Arial"/>
        </w:rPr>
        <w:t xml:space="preserve"> </w:t>
      </w:r>
      <w:r w:rsidR="00ED244E" w:rsidRPr="65121B19">
        <w:rPr>
          <w:rFonts w:eastAsia="Arial"/>
        </w:rPr>
        <w:t>NATSIFAC</w:t>
      </w:r>
      <w:r w:rsidR="00812A2F">
        <w:rPr>
          <w:rFonts w:eastAsia="Arial"/>
        </w:rPr>
        <w:t>P</w:t>
      </w:r>
      <w:r w:rsidR="00ED244E" w:rsidRPr="65121B19">
        <w:rPr>
          <w:rFonts w:eastAsia="Arial"/>
        </w:rPr>
        <w:t xml:space="preserve"> providers should visit the department’s website for additional guidance material and to stay up to date on the aged care worker screening requirements that </w:t>
      </w:r>
      <w:r w:rsidR="00C21CAE">
        <w:rPr>
          <w:rFonts w:eastAsia="Arial"/>
        </w:rPr>
        <w:t xml:space="preserve">applied </w:t>
      </w:r>
      <w:r w:rsidR="00ED244E" w:rsidRPr="65121B19">
        <w:rPr>
          <w:rFonts w:eastAsia="Arial"/>
        </w:rPr>
        <w:t>from 1 November 2025, as well as the future of aged care worker screening</w:t>
      </w:r>
      <w:r w:rsidR="00ED244E">
        <w:rPr>
          <w:rFonts w:eastAsia="Arial"/>
        </w:rPr>
        <w:t xml:space="preserve">: </w:t>
      </w:r>
      <w:hyperlink r:id="rId98" w:history="1">
        <w:r w:rsidR="00ED244E" w:rsidRPr="004020B0">
          <w:rPr>
            <w:rStyle w:val="Hyperlink"/>
            <w:rFonts w:eastAsia="Arial" w:cs="Arial"/>
          </w:rPr>
          <w:t>health.gov.au/topics/aged-care-workforce/screening-requirements</w:t>
        </w:r>
      </w:hyperlink>
      <w:r w:rsidR="00ED244E">
        <w:rPr>
          <w:rFonts w:eastAsia="Arial"/>
        </w:rPr>
        <w:t>.</w:t>
      </w:r>
    </w:p>
    <w:p w14:paraId="0DC14B9F" w14:textId="77777777" w:rsidR="00ED244E" w:rsidRDefault="00ED244E" w:rsidP="00E463BE">
      <w:pPr>
        <w:pStyle w:val="Heading3"/>
        <w:rPr>
          <w:rFonts w:eastAsia="Arial"/>
        </w:rPr>
      </w:pPr>
      <w:r w:rsidRPr="65121B19">
        <w:rPr>
          <w:rFonts w:eastAsia="Arial"/>
        </w:rPr>
        <w:t xml:space="preserve">NDIS worker </w:t>
      </w:r>
      <w:r w:rsidRPr="00E463BE">
        <w:rPr>
          <w:rFonts w:eastAsia="Arial"/>
        </w:rPr>
        <w:t>screening</w:t>
      </w:r>
      <w:r w:rsidRPr="65121B19">
        <w:rPr>
          <w:rFonts w:eastAsia="Arial"/>
        </w:rPr>
        <w:t xml:space="preserve"> clearance</w:t>
      </w:r>
    </w:p>
    <w:p w14:paraId="4B7ED5D2" w14:textId="77777777" w:rsidR="00ED244E" w:rsidRDefault="00ED244E" w:rsidP="00E463BE">
      <w:pPr>
        <w:rPr>
          <w:rFonts w:eastAsia="Arial"/>
        </w:rPr>
      </w:pPr>
      <w:r w:rsidRPr="65121B19">
        <w:rPr>
          <w:rFonts w:eastAsia="Arial"/>
        </w:rPr>
        <w:t xml:space="preserve">NDIS worker screening clearances (also known as </w:t>
      </w:r>
      <w:proofErr w:type="gramStart"/>
      <w:r w:rsidRPr="65121B19">
        <w:rPr>
          <w:rFonts w:eastAsia="Arial"/>
        </w:rPr>
        <w:t>an</w:t>
      </w:r>
      <w:proofErr w:type="gramEnd"/>
      <w:r w:rsidRPr="65121B19">
        <w:rPr>
          <w:rFonts w:eastAsia="Arial"/>
        </w:rPr>
        <w:t xml:space="preserve"> NDIS check or NDIS worker screening check) are recognised for the purpose of responsible persons and aged care worker screening. A person that works (or has previously worked) with </w:t>
      </w:r>
      <w:proofErr w:type="gramStart"/>
      <w:r w:rsidRPr="65121B19">
        <w:rPr>
          <w:rFonts w:eastAsia="Arial"/>
        </w:rPr>
        <w:t>an</w:t>
      </w:r>
      <w:proofErr w:type="gramEnd"/>
      <w:r w:rsidRPr="65121B19">
        <w:rPr>
          <w:rFonts w:eastAsia="Arial"/>
        </w:rPr>
        <w:t xml:space="preserve"> NDIS participant may have been issued with </w:t>
      </w:r>
      <w:proofErr w:type="gramStart"/>
      <w:r w:rsidRPr="65121B19">
        <w:rPr>
          <w:rFonts w:eastAsia="Arial"/>
        </w:rPr>
        <w:t>an</w:t>
      </w:r>
      <w:proofErr w:type="gramEnd"/>
      <w:r w:rsidRPr="65121B19">
        <w:rPr>
          <w:rFonts w:eastAsia="Arial"/>
        </w:rPr>
        <w:t xml:space="preserve"> NDIS worker screening clearance.</w:t>
      </w:r>
    </w:p>
    <w:p w14:paraId="5BDDC8EE" w14:textId="77777777" w:rsidR="00ED244E" w:rsidRDefault="00ED244E" w:rsidP="00E463BE">
      <w:pPr>
        <w:rPr>
          <w:rFonts w:eastAsia="Arial"/>
        </w:rPr>
      </w:pPr>
      <w:r w:rsidRPr="65121B19">
        <w:rPr>
          <w:rFonts w:eastAsia="Arial"/>
        </w:rPr>
        <w:t xml:space="preserve">NDIS Worker Screening Unit (WSU) in the state or territory in which the person lives or works undertake NDIS worker screening checks. The WSU determines whether a person is cleared or excluded from working in certain roles with people with disability. A person who is cleared to work with NDIS participants in a risk assessed role is issued with </w:t>
      </w:r>
      <w:proofErr w:type="gramStart"/>
      <w:r w:rsidRPr="65121B19">
        <w:rPr>
          <w:rFonts w:eastAsia="Arial"/>
        </w:rPr>
        <w:t>an</w:t>
      </w:r>
      <w:proofErr w:type="gramEnd"/>
      <w:r w:rsidRPr="65121B19">
        <w:rPr>
          <w:rFonts w:eastAsia="Arial"/>
        </w:rPr>
        <w:t xml:space="preserve"> NDIS worker screening clearance.</w:t>
      </w:r>
    </w:p>
    <w:p w14:paraId="66724506" w14:textId="77777777" w:rsidR="00ED244E" w:rsidRDefault="00ED244E" w:rsidP="00E463BE">
      <w:pPr>
        <w:rPr>
          <w:rFonts w:eastAsia="Arial"/>
        </w:rPr>
      </w:pPr>
      <w:proofErr w:type="gramStart"/>
      <w:r w:rsidRPr="65121B19">
        <w:rPr>
          <w:rFonts w:eastAsia="Arial"/>
        </w:rPr>
        <w:t>An</w:t>
      </w:r>
      <w:proofErr w:type="gramEnd"/>
      <w:r w:rsidRPr="65121B19">
        <w:rPr>
          <w:rFonts w:eastAsia="Arial"/>
        </w:rPr>
        <w:t xml:space="preserve"> NDIS worker screening clearance is valid for 5 years.</w:t>
      </w:r>
    </w:p>
    <w:p w14:paraId="48CEECF7" w14:textId="77777777" w:rsidR="00ED244E" w:rsidRDefault="00ED244E" w:rsidP="00ED244E">
      <w:pPr>
        <w:pStyle w:val="Heading3"/>
        <w:rPr>
          <w:rFonts w:eastAsia="Arial"/>
          <w:b w:val="0"/>
          <w:bCs w:val="0"/>
        </w:rPr>
      </w:pPr>
      <w:r w:rsidRPr="00E6248D">
        <w:rPr>
          <w:rFonts w:eastAsia="Arial"/>
        </w:rPr>
        <w:t xml:space="preserve">Police </w:t>
      </w:r>
      <w:r>
        <w:rPr>
          <w:rFonts w:eastAsia="Arial"/>
        </w:rPr>
        <w:t>c</w:t>
      </w:r>
      <w:r w:rsidRPr="00E6248D">
        <w:rPr>
          <w:rFonts w:eastAsia="Arial"/>
        </w:rPr>
        <w:t>ertificates</w:t>
      </w:r>
      <w:r w:rsidRPr="4814A078">
        <w:rPr>
          <w:rFonts w:eastAsia="Arial"/>
        </w:rPr>
        <w:t xml:space="preserve"> </w:t>
      </w:r>
    </w:p>
    <w:p w14:paraId="4565AE40" w14:textId="77777777" w:rsidR="00ED244E" w:rsidRDefault="00ED244E" w:rsidP="0056363F">
      <w:pPr>
        <w:rPr>
          <w:rFonts w:eastAsia="Arial"/>
        </w:rPr>
      </w:pPr>
      <w:r w:rsidRPr="4814A078">
        <w:rPr>
          <w:rFonts w:eastAsia="Arial"/>
        </w:rPr>
        <w:t>A police certificate is a report of a person’s national criminal history. A police check is the process of checking a person’s criminal history. The two terms are often used interchangeably in aged care.</w:t>
      </w:r>
    </w:p>
    <w:p w14:paraId="68DAA404" w14:textId="77777777" w:rsidR="00ED244E" w:rsidRDefault="00ED244E" w:rsidP="0056363F">
      <w:pPr>
        <w:rPr>
          <w:rFonts w:eastAsia="Arial"/>
        </w:rPr>
      </w:pPr>
      <w:r>
        <w:rPr>
          <w:rFonts w:eastAsia="Arial"/>
        </w:rPr>
        <w:t>Under the NATSIFACP program, t</w:t>
      </w:r>
      <w:r w:rsidRPr="00E6248D">
        <w:rPr>
          <w:rFonts w:eastAsia="Arial"/>
        </w:rPr>
        <w:t xml:space="preserve">he police certificates of </w:t>
      </w:r>
      <w:r w:rsidRPr="00404CFA">
        <w:rPr>
          <w:rFonts w:eastAsia="Arial"/>
        </w:rPr>
        <w:t>responsible persons</w:t>
      </w:r>
      <w:r w:rsidRPr="00E6248D">
        <w:rPr>
          <w:rFonts w:eastAsia="Arial"/>
        </w:rPr>
        <w:t xml:space="preserve"> and aged care workers must not be more than </w:t>
      </w:r>
      <w:r w:rsidRPr="4814A078">
        <w:rPr>
          <w:rFonts w:eastAsia="Arial"/>
        </w:rPr>
        <w:t>3</w:t>
      </w:r>
      <w:r w:rsidRPr="00E6248D">
        <w:rPr>
          <w:rFonts w:eastAsia="Arial"/>
        </w:rPr>
        <w:t xml:space="preserve"> years old and must </w:t>
      </w:r>
      <w:r w:rsidRPr="4814A078">
        <w:rPr>
          <w:rFonts w:eastAsia="Arial"/>
        </w:rPr>
        <w:t xml:space="preserve">not show the following </w:t>
      </w:r>
      <w:r w:rsidRPr="003C42A3">
        <w:rPr>
          <w:rFonts w:eastAsia="Arial"/>
          <w:b/>
          <w:bCs/>
        </w:rPr>
        <w:t>precluding offences</w:t>
      </w:r>
      <w:r w:rsidRPr="00E6248D">
        <w:rPr>
          <w:rFonts w:eastAsia="Arial"/>
        </w:rPr>
        <w:t>:</w:t>
      </w:r>
    </w:p>
    <w:p w14:paraId="26D31455" w14:textId="77777777" w:rsidR="00ED244E" w:rsidRPr="00E6248D" w:rsidRDefault="00ED244E" w:rsidP="00D82385">
      <w:pPr>
        <w:pStyle w:val="ListBullet"/>
        <w:rPr>
          <w:rFonts w:eastAsia="Arial"/>
        </w:rPr>
      </w:pPr>
      <w:r w:rsidRPr="00E6248D">
        <w:rPr>
          <w:rFonts w:eastAsia="Arial"/>
        </w:rPr>
        <w:t>convict</w:t>
      </w:r>
      <w:r w:rsidRPr="4814A078">
        <w:rPr>
          <w:rFonts w:eastAsia="Arial"/>
        </w:rPr>
        <w:t>ion</w:t>
      </w:r>
      <w:r w:rsidRPr="00E6248D">
        <w:rPr>
          <w:rFonts w:eastAsia="Arial"/>
        </w:rPr>
        <w:t xml:space="preserve"> </w:t>
      </w:r>
      <w:r w:rsidRPr="4814A078">
        <w:rPr>
          <w:rFonts w:eastAsia="Arial"/>
        </w:rPr>
        <w:t>for</w:t>
      </w:r>
      <w:r w:rsidRPr="00E6248D">
        <w:rPr>
          <w:rFonts w:eastAsia="Arial"/>
        </w:rPr>
        <w:t xml:space="preserve"> an offence involving the death of a person</w:t>
      </w:r>
    </w:p>
    <w:p w14:paraId="0ABFC36B" w14:textId="77777777" w:rsidR="00ED244E" w:rsidRPr="00E6248D" w:rsidRDefault="00ED244E" w:rsidP="00D82385">
      <w:pPr>
        <w:pStyle w:val="ListBullet"/>
        <w:rPr>
          <w:rFonts w:eastAsia="Arial"/>
        </w:rPr>
      </w:pPr>
      <w:r w:rsidRPr="00E6248D">
        <w:rPr>
          <w:rFonts w:eastAsia="Arial"/>
        </w:rPr>
        <w:t xml:space="preserve">in the five years before the date of the certificate, the person has </w:t>
      </w:r>
      <w:r w:rsidRPr="4814A078">
        <w:rPr>
          <w:rFonts w:eastAsia="Arial"/>
        </w:rPr>
        <w:t>been</w:t>
      </w:r>
      <w:r w:rsidRPr="00E6248D">
        <w:rPr>
          <w:rFonts w:eastAsia="Arial"/>
        </w:rPr>
        <w:t xml:space="preserve"> convicted of, and sentenced to imprisonment, for at least one year for:</w:t>
      </w:r>
    </w:p>
    <w:p w14:paraId="79B89EBC" w14:textId="77777777" w:rsidR="00ED244E" w:rsidRPr="0047640A" w:rsidRDefault="00ED244E" w:rsidP="00A51B4F">
      <w:pPr>
        <w:pStyle w:val="ListBullet2"/>
        <w:rPr>
          <w:rFonts w:eastAsia="Arial"/>
        </w:rPr>
      </w:pPr>
      <w:r w:rsidRPr="0047640A">
        <w:rPr>
          <w:rFonts w:eastAsia="Arial"/>
        </w:rPr>
        <w:t>a sex related offence, including sexual assault (whether against an adult or child), child abuse material offences, or an indecent act involving a child, or</w:t>
      </w:r>
    </w:p>
    <w:p w14:paraId="3AAE7B59" w14:textId="77777777" w:rsidR="00ED244E" w:rsidRPr="0047640A" w:rsidRDefault="00ED244E" w:rsidP="00A51B4F">
      <w:pPr>
        <w:pStyle w:val="ListBullet2"/>
        <w:rPr>
          <w:rFonts w:eastAsia="Arial"/>
        </w:rPr>
      </w:pPr>
      <w:r w:rsidRPr="0047640A">
        <w:rPr>
          <w:rFonts w:eastAsia="Arial"/>
        </w:rPr>
        <w:t>an offence involving dishonesty.</w:t>
      </w:r>
    </w:p>
    <w:p w14:paraId="52BED248" w14:textId="77777777" w:rsidR="00ED244E" w:rsidRDefault="00ED244E" w:rsidP="00ED244E">
      <w:pPr>
        <w:rPr>
          <w:rFonts w:eastAsia="Arial" w:cs="Arial"/>
        </w:rPr>
      </w:pPr>
      <w:r w:rsidRPr="00E6248D">
        <w:rPr>
          <w:rFonts w:eastAsia="Arial" w:cs="Arial"/>
        </w:rPr>
        <w:t>Additionally, if, since turning 16, the person has been a permanent resident or citizen of a country other than Australia, the person must make a statutory declaration stating that they have never been:</w:t>
      </w:r>
    </w:p>
    <w:p w14:paraId="7D9602E6" w14:textId="77777777" w:rsidR="00ED244E" w:rsidRPr="00E6248D" w:rsidRDefault="00ED244E" w:rsidP="00D82385">
      <w:pPr>
        <w:pStyle w:val="ListBullet"/>
        <w:rPr>
          <w:rFonts w:eastAsia="Arial"/>
        </w:rPr>
      </w:pPr>
      <w:r w:rsidRPr="00E6248D">
        <w:rPr>
          <w:rFonts w:eastAsia="Arial"/>
        </w:rPr>
        <w:t xml:space="preserve">convicted of an offence involving the death of a person </w:t>
      </w:r>
    </w:p>
    <w:p w14:paraId="7EFA1D39" w14:textId="77777777" w:rsidR="00ED244E" w:rsidRPr="00E6248D" w:rsidRDefault="00ED244E" w:rsidP="00D82385">
      <w:pPr>
        <w:pStyle w:val="ListBullet"/>
        <w:rPr>
          <w:rFonts w:eastAsia="Arial"/>
        </w:rPr>
      </w:pPr>
      <w:r w:rsidRPr="00E6248D">
        <w:rPr>
          <w:rFonts w:eastAsia="Arial"/>
        </w:rPr>
        <w:t>convicted of, and sentenced to imprisonment for at least one year, for:</w:t>
      </w:r>
    </w:p>
    <w:p w14:paraId="5C4014A8" w14:textId="77777777" w:rsidR="00ED244E" w:rsidRPr="00E6248D" w:rsidRDefault="00ED244E" w:rsidP="00A51B4F">
      <w:pPr>
        <w:pStyle w:val="ListBullet2"/>
        <w:rPr>
          <w:rFonts w:eastAsia="Arial"/>
        </w:rPr>
      </w:pPr>
      <w:r w:rsidRPr="00E6248D">
        <w:rPr>
          <w:rFonts w:eastAsia="Arial"/>
        </w:rPr>
        <w:t>a sex-related offence, including sexual assault (against an adult or child), child abuse material, or an indecent act involving a child, or</w:t>
      </w:r>
    </w:p>
    <w:p w14:paraId="2165621A" w14:textId="77777777" w:rsidR="00ED244E" w:rsidRPr="00E6248D" w:rsidRDefault="00ED244E" w:rsidP="00A51B4F">
      <w:pPr>
        <w:pStyle w:val="ListBullet2"/>
        <w:rPr>
          <w:rFonts w:eastAsia="Arial"/>
        </w:rPr>
      </w:pPr>
      <w:r w:rsidRPr="65121B19">
        <w:rPr>
          <w:rFonts w:eastAsia="Arial"/>
        </w:rPr>
        <w:t xml:space="preserve">an offence involving dishonesty. </w:t>
      </w:r>
    </w:p>
    <w:p w14:paraId="49713698" w14:textId="77777777" w:rsidR="00ED244E" w:rsidRDefault="00ED244E" w:rsidP="00ED244E">
      <w:pPr>
        <w:pStyle w:val="Heading4"/>
        <w:rPr>
          <w:rFonts w:eastAsia="Arial"/>
        </w:rPr>
      </w:pPr>
      <w:r w:rsidRPr="4814A078">
        <w:rPr>
          <w:rFonts w:eastAsia="Arial"/>
        </w:rPr>
        <w:t>Police certificate format</w:t>
      </w:r>
    </w:p>
    <w:p w14:paraId="17483312" w14:textId="77777777" w:rsidR="00ED244E" w:rsidRDefault="00ED244E" w:rsidP="00ED244E">
      <w:pPr>
        <w:rPr>
          <w:rFonts w:eastAsia="Arial" w:cs="Arial"/>
          <w:color w:val="1E1545"/>
        </w:rPr>
      </w:pPr>
      <w:r w:rsidRPr="4814A078">
        <w:rPr>
          <w:rFonts w:eastAsia="Arial" w:cs="Arial"/>
          <w:color w:val="1E1545"/>
        </w:rPr>
        <w:t>Police certificates may have different formats, including printed certificates or electronic reports. Every police certificate or report must record:</w:t>
      </w:r>
    </w:p>
    <w:p w14:paraId="47DC08D0" w14:textId="77777777" w:rsidR="00ED244E" w:rsidRDefault="00ED244E" w:rsidP="00D82385">
      <w:pPr>
        <w:pStyle w:val="ListBullet"/>
        <w:rPr>
          <w:rFonts w:eastAsia="Arial"/>
        </w:rPr>
      </w:pPr>
      <w:r w:rsidRPr="4814A078">
        <w:rPr>
          <w:rFonts w:eastAsia="Arial"/>
        </w:rPr>
        <w:t>the person’s full name and date of birth</w:t>
      </w:r>
    </w:p>
    <w:p w14:paraId="5F4AF425" w14:textId="77777777" w:rsidR="00ED244E" w:rsidRDefault="00ED244E" w:rsidP="00D82385">
      <w:pPr>
        <w:pStyle w:val="ListBullet"/>
        <w:rPr>
          <w:rFonts w:eastAsia="Arial"/>
        </w:rPr>
      </w:pPr>
      <w:r w:rsidRPr="4814A078">
        <w:rPr>
          <w:rFonts w:eastAsia="Arial"/>
        </w:rPr>
        <w:t>the date of issue</w:t>
      </w:r>
    </w:p>
    <w:p w14:paraId="59850E73" w14:textId="77777777" w:rsidR="00ED244E" w:rsidRDefault="00ED244E" w:rsidP="00D82385">
      <w:pPr>
        <w:pStyle w:val="ListBullet"/>
        <w:rPr>
          <w:rFonts w:eastAsia="Arial"/>
        </w:rPr>
      </w:pPr>
      <w:r w:rsidRPr="4814A078">
        <w:rPr>
          <w:rFonts w:eastAsia="Arial"/>
        </w:rPr>
        <w:t>a reference number or similar.</w:t>
      </w:r>
    </w:p>
    <w:p w14:paraId="608837E7" w14:textId="77777777" w:rsidR="00ED244E" w:rsidRDefault="00ED244E" w:rsidP="0056363F">
      <w:pPr>
        <w:rPr>
          <w:rFonts w:eastAsia="Arial"/>
          <w:color w:val="1E1545"/>
        </w:rPr>
      </w:pPr>
      <w:r w:rsidRPr="65121B19">
        <w:rPr>
          <w:rFonts w:eastAsia="Arial"/>
        </w:rPr>
        <w:t>A service provider must be satisfied that a certificate is genuine and has been prepared by a police service or an ACIC accredited agency. An original police certificate or a certified copy should be provided rather than an uncertified photocopy.</w:t>
      </w:r>
    </w:p>
    <w:p w14:paraId="64D588DC" w14:textId="77777777" w:rsidR="00ED244E" w:rsidRDefault="00ED244E" w:rsidP="0056363F">
      <w:pPr>
        <w:rPr>
          <w:rFonts w:eastAsia="Arial"/>
          <w:color w:val="1E1545"/>
        </w:rPr>
      </w:pPr>
      <w:r w:rsidRPr="4814A078">
        <w:rPr>
          <w:rFonts w:eastAsia="Arial"/>
          <w:color w:val="1E1545"/>
        </w:rPr>
        <w:t>It is up to the service provider to be satisfied that a certificate meets the requirements and enables them to assess a person’s criminal history. Any police certificate decision must be documented by the service provider.</w:t>
      </w:r>
    </w:p>
    <w:p w14:paraId="6EF047FF" w14:textId="77777777" w:rsidR="00ED244E" w:rsidRDefault="00ED244E" w:rsidP="00ED244E">
      <w:pPr>
        <w:pStyle w:val="Heading4"/>
        <w:rPr>
          <w:rFonts w:eastAsia="Arial"/>
        </w:rPr>
      </w:pPr>
      <w:r w:rsidRPr="65121B19">
        <w:rPr>
          <w:rFonts w:eastAsia="Arial"/>
        </w:rPr>
        <w:t>Assessing non-precluding offences</w:t>
      </w:r>
    </w:p>
    <w:p w14:paraId="082B09DD" w14:textId="77777777" w:rsidR="00466C82" w:rsidRDefault="00ED244E" w:rsidP="0056363F">
      <w:pPr>
        <w:rPr>
          <w:rFonts w:eastAsia="Arial"/>
          <w:lang w:val="en-GB"/>
        </w:rPr>
      </w:pPr>
      <w:r w:rsidRPr="65121B19">
        <w:rPr>
          <w:rFonts w:eastAsia="Arial"/>
          <w:lang w:val="en-GB"/>
        </w:rPr>
        <w:t xml:space="preserve">It is up to registered providers to develop their own policy and procedure on assessing non-precluding offences. Decisions made under these policies and procedures must be rigorous, defensible, and transparent. Guidance on this can be found at </w:t>
      </w:r>
    </w:p>
    <w:p w14:paraId="1306E6F1" w14:textId="3CEC84DE" w:rsidR="00ED244E" w:rsidRDefault="00466C82" w:rsidP="0056363F">
      <w:pPr>
        <w:rPr>
          <w:rFonts w:eastAsia="Arial"/>
        </w:rPr>
      </w:pPr>
      <w:r w:rsidRPr="00301AE6">
        <w:rPr>
          <w:rStyle w:val="Hyperlink"/>
          <w:rFonts w:eastAsia="Arial"/>
        </w:rPr>
        <w:t>health.gov.au/resources/publications/aged-care-worker-screening-guidance-material</w:t>
      </w:r>
      <w:r>
        <w:rPr>
          <w:rStyle w:val="Hyperlink"/>
          <w:rFonts w:eastAsia="Arial"/>
        </w:rPr>
        <w:t xml:space="preserve">. </w:t>
      </w:r>
    </w:p>
    <w:p w14:paraId="0AD67535" w14:textId="77777777" w:rsidR="00ED244E" w:rsidRPr="00D15F3A" w:rsidRDefault="00ED244E" w:rsidP="00D15F3A">
      <w:pPr>
        <w:pStyle w:val="Heading4"/>
        <w:rPr>
          <w:rFonts w:eastAsia="Arial"/>
        </w:rPr>
      </w:pPr>
      <w:r w:rsidRPr="00D15F3A">
        <w:rPr>
          <w:rFonts w:eastAsia="Arial"/>
        </w:rPr>
        <w:t>Cost of police certificates</w:t>
      </w:r>
    </w:p>
    <w:p w14:paraId="605B3AEF" w14:textId="77777777" w:rsidR="00ED244E" w:rsidRDefault="00ED244E" w:rsidP="00A17C91">
      <w:pPr>
        <w:rPr>
          <w:rFonts w:eastAsia="Arial"/>
        </w:rPr>
      </w:pPr>
      <w:r w:rsidRPr="4814A078">
        <w:rPr>
          <w:rFonts w:eastAsia="Arial"/>
        </w:rPr>
        <w:t>Service providers have a responsibility to ensure all aged care workers and responsible persons undergo police checks. However, the payment of the cost of obtaining a police certificate is a matter for negotiation between the service providers and the individual.</w:t>
      </w:r>
    </w:p>
    <w:p w14:paraId="26F0C402" w14:textId="77777777" w:rsidR="00ED244E" w:rsidRDefault="00ED244E" w:rsidP="00A17C91">
      <w:pPr>
        <w:rPr>
          <w:rFonts w:eastAsia="Arial"/>
        </w:rPr>
      </w:pPr>
      <w:r w:rsidRPr="4814A078">
        <w:rPr>
          <w:rFonts w:eastAsia="Arial"/>
        </w:rPr>
        <w:t>Volunteers may be eligible to obtain a police certificate at a reduced cost. This must be confirmed with the agency issuing the police certificate.</w:t>
      </w:r>
    </w:p>
    <w:p w14:paraId="7D9C4AC1" w14:textId="77777777" w:rsidR="00ED244E" w:rsidRDefault="00ED244E" w:rsidP="00ED244E">
      <w:pPr>
        <w:pStyle w:val="Heading2"/>
        <w:rPr>
          <w:rFonts w:eastAsia="Arial"/>
        </w:rPr>
      </w:pPr>
      <w:bookmarkStart w:id="100" w:name="_Toc212713655"/>
      <w:bookmarkStart w:id="101" w:name="_Toc225416228"/>
      <w:r w:rsidRPr="4814A078">
        <w:rPr>
          <w:rFonts w:eastAsia="Arial"/>
        </w:rPr>
        <w:t>Associated providers</w:t>
      </w:r>
      <w:bookmarkEnd w:id="100"/>
      <w:bookmarkEnd w:id="101"/>
    </w:p>
    <w:p w14:paraId="6FECB9A2" w14:textId="77777777" w:rsidR="00ED244E" w:rsidRDefault="00ED244E" w:rsidP="00F75F20">
      <w:pPr>
        <w:rPr>
          <w:rFonts w:eastAsia="Arial"/>
        </w:rPr>
      </w:pPr>
      <w:r w:rsidRPr="4814A078">
        <w:rPr>
          <w:rFonts w:eastAsia="Arial"/>
        </w:rPr>
        <w:t>Associated</w:t>
      </w:r>
      <w:r w:rsidRPr="4814A078">
        <w:rPr>
          <w:rFonts w:eastAsia="Arial"/>
          <w:b/>
          <w:bCs/>
        </w:rPr>
        <w:t xml:space="preserve"> </w:t>
      </w:r>
      <w:r w:rsidRPr="4814A078">
        <w:rPr>
          <w:rFonts w:eastAsia="Arial"/>
        </w:rPr>
        <w:t>providers (formerly known as subcontractors) may be engaged to deliver certain aged care services. These arrangements must be carefully managed as the registered provider remains responsible for maintaining compliance with the Act, upholding the rights of older people, and maintaining accountability for care quality when services are delivered by the associated provider.</w:t>
      </w:r>
    </w:p>
    <w:p w14:paraId="679A6EDD" w14:textId="77777777" w:rsidR="00ED244E" w:rsidRDefault="00ED244E" w:rsidP="00F75F20">
      <w:pPr>
        <w:rPr>
          <w:rFonts w:eastAsia="Arial"/>
        </w:rPr>
      </w:pPr>
      <w:r w:rsidRPr="4814A078">
        <w:rPr>
          <w:rFonts w:eastAsia="Arial"/>
        </w:rPr>
        <w:t>Registered providers can subcontract to an associated provider (worker or organisations) on an ad-hoc or ongoing basis to deliver services on their behalf, including:</w:t>
      </w:r>
    </w:p>
    <w:p w14:paraId="2A9C0D98" w14:textId="77777777" w:rsidR="00ED244E" w:rsidRDefault="00ED244E" w:rsidP="00D82385">
      <w:pPr>
        <w:pStyle w:val="ListBullet"/>
        <w:rPr>
          <w:rFonts w:eastAsia="Arial"/>
        </w:rPr>
      </w:pPr>
      <w:r w:rsidRPr="4814A078">
        <w:rPr>
          <w:rFonts w:eastAsia="Arial"/>
        </w:rPr>
        <w:t>sourcing services or supports through another party (including individual subcontractors, labour hire or brokered services), or</w:t>
      </w:r>
    </w:p>
    <w:p w14:paraId="3FC25CFB" w14:textId="77777777" w:rsidR="00ED244E" w:rsidRDefault="00ED244E" w:rsidP="00D82385">
      <w:pPr>
        <w:pStyle w:val="ListBullet"/>
        <w:rPr>
          <w:rFonts w:eastAsia="Arial"/>
        </w:rPr>
      </w:pPr>
      <w:r w:rsidRPr="4814A078">
        <w:rPr>
          <w:rFonts w:eastAsia="Arial"/>
        </w:rPr>
        <w:t>purchase goods, equipment or assistive technology from a third-party.</w:t>
      </w:r>
    </w:p>
    <w:p w14:paraId="1E75DE14" w14:textId="77777777" w:rsidR="00ED244E" w:rsidRDefault="00ED244E" w:rsidP="008B3F6E">
      <w:pPr>
        <w:rPr>
          <w:rFonts w:eastAsia="Arial"/>
        </w:rPr>
      </w:pPr>
      <w:r w:rsidRPr="4814A078">
        <w:rPr>
          <w:rFonts w:eastAsia="Arial"/>
        </w:rPr>
        <w:t xml:space="preserve">Providers must be able to demonstrate that they have specific agreements in place with an associated provider delivering funded aged care services on their behalf.  </w:t>
      </w:r>
    </w:p>
    <w:p w14:paraId="2AD57763" w14:textId="77777777" w:rsidR="00ED244E" w:rsidRDefault="00ED244E" w:rsidP="008B3F6E">
      <w:pPr>
        <w:rPr>
          <w:rFonts w:eastAsia="Arial"/>
        </w:rPr>
      </w:pPr>
      <w:r w:rsidRPr="4814A078">
        <w:rPr>
          <w:rFonts w:eastAsia="Arial"/>
        </w:rPr>
        <w:t>Registered providers cannot transfer legal responsibility to associated providers. The registered provider will remain legally responsible for:</w:t>
      </w:r>
    </w:p>
    <w:p w14:paraId="5A51EDCD" w14:textId="77777777" w:rsidR="00ED244E" w:rsidRDefault="00ED244E" w:rsidP="00D82385">
      <w:pPr>
        <w:pStyle w:val="ListBullet"/>
        <w:rPr>
          <w:rFonts w:eastAsia="Arial"/>
        </w:rPr>
      </w:pPr>
      <w:r w:rsidRPr="4814A078">
        <w:rPr>
          <w:rFonts w:eastAsia="Arial"/>
        </w:rPr>
        <w:t>quality and safety of care delivered</w:t>
      </w:r>
    </w:p>
    <w:p w14:paraId="141CAD56" w14:textId="77777777" w:rsidR="00ED244E" w:rsidRDefault="00ED244E" w:rsidP="00D82385">
      <w:pPr>
        <w:pStyle w:val="ListBullet"/>
        <w:rPr>
          <w:rFonts w:eastAsia="Arial"/>
        </w:rPr>
      </w:pPr>
      <w:r>
        <w:rPr>
          <w:rFonts w:eastAsia="Arial"/>
        </w:rPr>
        <w:t>c</w:t>
      </w:r>
      <w:r w:rsidRPr="4814A078">
        <w:rPr>
          <w:rFonts w:eastAsia="Arial"/>
        </w:rPr>
        <w:t>ompliance with the Aged Care Quality Standards (where relevant)</w:t>
      </w:r>
    </w:p>
    <w:p w14:paraId="2B328A3E" w14:textId="77777777" w:rsidR="00ED244E" w:rsidRDefault="00ED244E" w:rsidP="00D82385">
      <w:pPr>
        <w:pStyle w:val="ListBullet"/>
        <w:rPr>
          <w:rFonts w:eastAsia="Arial"/>
        </w:rPr>
      </w:pPr>
      <w:r>
        <w:rPr>
          <w:rFonts w:eastAsia="Arial"/>
        </w:rPr>
        <w:t>e</w:t>
      </w:r>
      <w:r w:rsidRPr="4814A078">
        <w:rPr>
          <w:rFonts w:eastAsia="Arial"/>
        </w:rPr>
        <w:t>nsuring subcontractors act in accordance with the Statement of Rights</w:t>
      </w:r>
    </w:p>
    <w:p w14:paraId="4CEE49BC" w14:textId="77777777" w:rsidR="00ED244E" w:rsidRDefault="00ED244E" w:rsidP="00D82385">
      <w:pPr>
        <w:pStyle w:val="ListBullet"/>
        <w:rPr>
          <w:rFonts w:eastAsia="Arial"/>
        </w:rPr>
      </w:pPr>
      <w:r>
        <w:rPr>
          <w:rFonts w:eastAsia="Arial"/>
        </w:rPr>
        <w:t>m</w:t>
      </w:r>
      <w:r w:rsidRPr="4814A078">
        <w:rPr>
          <w:rFonts w:eastAsia="Arial"/>
        </w:rPr>
        <w:t>onitoring and managing risks associated with third party delivery.</w:t>
      </w:r>
    </w:p>
    <w:p w14:paraId="6C8F89A3" w14:textId="77777777" w:rsidR="00ED244E" w:rsidRDefault="00ED244E" w:rsidP="008B3F6E">
      <w:pPr>
        <w:rPr>
          <w:rFonts w:eastAsia="Arial"/>
        </w:rPr>
      </w:pPr>
      <w:r w:rsidRPr="4814A078">
        <w:rPr>
          <w:rFonts w:eastAsia="Arial"/>
        </w:rPr>
        <w:t xml:space="preserve">Care and services plans should be reviewed regularly to ensure that services delivered by subcontractors continue to meet the assessed needs of </w:t>
      </w:r>
      <w:r>
        <w:rPr>
          <w:rFonts w:eastAsia="Arial"/>
        </w:rPr>
        <w:t>individual</w:t>
      </w:r>
      <w:r w:rsidRPr="4814A078">
        <w:rPr>
          <w:rFonts w:eastAsia="Arial"/>
        </w:rPr>
        <w:t>s.</w:t>
      </w:r>
    </w:p>
    <w:p w14:paraId="59A011F9" w14:textId="77777777" w:rsidR="00ED244E" w:rsidRPr="008B3F6E" w:rsidRDefault="00ED244E" w:rsidP="00A51B4F">
      <w:pPr>
        <w:pStyle w:val="Heading3"/>
        <w:rPr>
          <w:rFonts w:eastAsia="Arial"/>
        </w:rPr>
      </w:pPr>
      <w:r w:rsidRPr="008B3F6E">
        <w:rPr>
          <w:rFonts w:eastAsia="Arial"/>
        </w:rPr>
        <w:t>Oversight of associated providers</w:t>
      </w:r>
    </w:p>
    <w:p w14:paraId="6CDE5CB0" w14:textId="77777777" w:rsidR="00ED244E" w:rsidRDefault="00ED244E" w:rsidP="008B3F6E">
      <w:pPr>
        <w:rPr>
          <w:rFonts w:eastAsia="Arial"/>
        </w:rPr>
      </w:pPr>
      <w:r w:rsidRPr="4814A078">
        <w:rPr>
          <w:rFonts w:eastAsia="Arial"/>
        </w:rPr>
        <w:t>Providers should:</w:t>
      </w:r>
    </w:p>
    <w:p w14:paraId="2996C6F9" w14:textId="77777777" w:rsidR="00ED244E" w:rsidRDefault="00ED244E" w:rsidP="00D82385">
      <w:pPr>
        <w:pStyle w:val="ListBullet"/>
        <w:rPr>
          <w:rFonts w:eastAsia="Arial"/>
        </w:rPr>
      </w:pPr>
      <w:r>
        <w:rPr>
          <w:rFonts w:eastAsia="Arial"/>
        </w:rPr>
        <w:t>h</w:t>
      </w:r>
      <w:r w:rsidRPr="4814A078">
        <w:rPr>
          <w:rFonts w:eastAsia="Arial"/>
        </w:rPr>
        <w:t>ave systems in place to:</w:t>
      </w:r>
    </w:p>
    <w:p w14:paraId="185BFBD3" w14:textId="77777777" w:rsidR="00ED244E" w:rsidRDefault="00ED244E" w:rsidP="00A51B4F">
      <w:pPr>
        <w:pStyle w:val="ListBullet2"/>
        <w:rPr>
          <w:rFonts w:eastAsia="Arial"/>
        </w:rPr>
      </w:pPr>
      <w:r>
        <w:rPr>
          <w:rFonts w:eastAsia="Arial"/>
        </w:rPr>
        <w:t>m</w:t>
      </w:r>
      <w:r w:rsidRPr="4814A078">
        <w:rPr>
          <w:rFonts w:eastAsia="Arial"/>
        </w:rPr>
        <w:t>onitor subcontractor performance</w:t>
      </w:r>
    </w:p>
    <w:p w14:paraId="1BD89E6D" w14:textId="77777777" w:rsidR="00ED244E" w:rsidRDefault="00ED244E" w:rsidP="00A51B4F">
      <w:pPr>
        <w:pStyle w:val="ListBullet2"/>
        <w:rPr>
          <w:rFonts w:eastAsia="Arial"/>
        </w:rPr>
      </w:pPr>
      <w:r>
        <w:rPr>
          <w:rFonts w:eastAsia="Arial"/>
        </w:rPr>
        <w:t>e</w:t>
      </w:r>
      <w:r w:rsidRPr="4814A078">
        <w:rPr>
          <w:rFonts w:eastAsia="Arial"/>
        </w:rPr>
        <w:t>nsure subcontractors meet all relevant standards and codes</w:t>
      </w:r>
    </w:p>
    <w:p w14:paraId="60428E18" w14:textId="77777777" w:rsidR="00ED244E" w:rsidRDefault="00ED244E" w:rsidP="00D82385">
      <w:pPr>
        <w:pStyle w:val="ListBullet"/>
        <w:rPr>
          <w:rFonts w:eastAsia="Arial"/>
        </w:rPr>
      </w:pPr>
      <w:r>
        <w:rPr>
          <w:rFonts w:eastAsia="Arial"/>
        </w:rPr>
        <w:t>c</w:t>
      </w:r>
      <w:r w:rsidRPr="4814A078">
        <w:rPr>
          <w:rFonts w:eastAsia="Arial"/>
        </w:rPr>
        <w:t>onduct regular reviews and audits of subcontracted services</w:t>
      </w:r>
    </w:p>
    <w:p w14:paraId="74520808" w14:textId="77777777" w:rsidR="00ED244E" w:rsidRDefault="00ED244E" w:rsidP="00D82385">
      <w:pPr>
        <w:pStyle w:val="ListBullet"/>
        <w:rPr>
          <w:rFonts w:eastAsia="Arial"/>
        </w:rPr>
      </w:pPr>
      <w:r>
        <w:rPr>
          <w:rFonts w:eastAsia="Arial"/>
        </w:rPr>
        <w:t>m</w:t>
      </w:r>
      <w:r w:rsidRPr="4814A078">
        <w:rPr>
          <w:rFonts w:eastAsia="Arial"/>
        </w:rPr>
        <w:t xml:space="preserve">aintain up-to-date records of all third-party arrangements </w:t>
      </w:r>
    </w:p>
    <w:p w14:paraId="0A0B0888" w14:textId="77777777" w:rsidR="00ED244E" w:rsidRDefault="00ED244E" w:rsidP="00D82385">
      <w:pPr>
        <w:pStyle w:val="ListBullet"/>
        <w:rPr>
          <w:rFonts w:eastAsia="Arial"/>
        </w:rPr>
      </w:pPr>
      <w:r>
        <w:rPr>
          <w:rFonts w:eastAsia="Arial"/>
        </w:rPr>
        <w:t>u</w:t>
      </w:r>
      <w:r w:rsidRPr="4814A078">
        <w:rPr>
          <w:rFonts w:eastAsia="Arial"/>
        </w:rPr>
        <w:t>se formal contracts that clearly define roles, responsibilities, and reporting requirements</w:t>
      </w:r>
    </w:p>
    <w:p w14:paraId="6452F2FD" w14:textId="77777777" w:rsidR="00ED244E" w:rsidRDefault="00ED244E" w:rsidP="00D82385">
      <w:pPr>
        <w:pStyle w:val="ListBullet"/>
        <w:rPr>
          <w:rFonts w:eastAsia="Arial"/>
        </w:rPr>
      </w:pPr>
      <w:r>
        <w:rPr>
          <w:rFonts w:eastAsia="Arial"/>
        </w:rPr>
        <w:t>i</w:t>
      </w:r>
      <w:r w:rsidRPr="4814A078">
        <w:rPr>
          <w:rFonts w:eastAsia="Arial"/>
        </w:rPr>
        <w:t>nclude subcontractors in quality improvement and feedback processes</w:t>
      </w:r>
    </w:p>
    <w:p w14:paraId="5D40CCD8" w14:textId="77777777" w:rsidR="00ED244E" w:rsidRDefault="00ED244E" w:rsidP="00D82385">
      <w:pPr>
        <w:pStyle w:val="ListBullet"/>
        <w:rPr>
          <w:rFonts w:eastAsia="Arial"/>
        </w:rPr>
      </w:pPr>
      <w:r>
        <w:rPr>
          <w:rFonts w:eastAsia="Arial"/>
        </w:rPr>
        <w:t>e</w:t>
      </w:r>
      <w:r w:rsidRPr="4814A078">
        <w:rPr>
          <w:rFonts w:eastAsia="Arial"/>
        </w:rPr>
        <w:t xml:space="preserve">nsure subcontractors provide culturally safe services. </w:t>
      </w:r>
    </w:p>
    <w:p w14:paraId="19FF5AC1" w14:textId="77777777" w:rsidR="00ED244E" w:rsidRPr="00F76219" w:rsidRDefault="00ED244E" w:rsidP="002F753A">
      <w:r w:rsidRPr="4814A078">
        <w:rPr>
          <w:rFonts w:eastAsia="Arial"/>
        </w:rPr>
        <w:t>They will also be required to provide the ACQSC with a full list of the associated providers delivering aged care services on their behalf, both at registration and renewal.</w:t>
      </w:r>
    </w:p>
    <w:p w14:paraId="31E69393" w14:textId="7F673C74" w:rsidR="0076259B" w:rsidRDefault="0076259B" w:rsidP="009C1336">
      <w:pPr>
        <w:pStyle w:val="SectionNumber"/>
      </w:pPr>
      <w:bookmarkStart w:id="102" w:name="_Toc212713656"/>
      <w:r w:rsidRPr="00084B1B">
        <w:br w:type="page"/>
      </w:r>
      <w:r w:rsidRPr="00D7030B">
        <w:drawing>
          <wp:anchor distT="0" distB="0" distL="114300" distR="114300" simplePos="0" relativeHeight="251658255" behindDoc="0" locked="0" layoutInCell="1" allowOverlap="1" wp14:anchorId="4BBD78B8" wp14:editId="01901590">
            <wp:simplePos x="0" y="0"/>
            <wp:positionH relativeFrom="column">
              <wp:posOffset>-2061845</wp:posOffset>
            </wp:positionH>
            <wp:positionV relativeFrom="paragraph">
              <wp:posOffset>297815</wp:posOffset>
            </wp:positionV>
            <wp:extent cx="1842770" cy="1892300"/>
            <wp:effectExtent l="0" t="0" r="0" b="0"/>
            <wp:wrapNone/>
            <wp:docPr id="14421743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54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892300"/>
                    </a:xfrm>
                    <a:prstGeom prst="rect">
                      <a:avLst/>
                    </a:prstGeom>
                  </pic:spPr>
                </pic:pic>
              </a:graphicData>
            </a:graphic>
            <wp14:sizeRelH relativeFrom="page">
              <wp14:pctWidth>0</wp14:pctWidth>
            </wp14:sizeRelH>
            <wp14:sizeRelV relativeFrom="page">
              <wp14:pctHeight>0</wp14:pctHeight>
            </wp14:sizeRelV>
          </wp:anchor>
        </w:drawing>
      </w:r>
      <w:r w:rsidRPr="00444D55">
        <w:drawing>
          <wp:anchor distT="0" distB="0" distL="114300" distR="114300" simplePos="0" relativeHeight="251658256" behindDoc="0" locked="0" layoutInCell="1" allowOverlap="1" wp14:anchorId="59E35A21" wp14:editId="02057CDB">
            <wp:simplePos x="0" y="0"/>
            <wp:positionH relativeFrom="column">
              <wp:posOffset>-347345</wp:posOffset>
            </wp:positionH>
            <wp:positionV relativeFrom="paragraph">
              <wp:posOffset>7574915</wp:posOffset>
            </wp:positionV>
            <wp:extent cx="1460500" cy="1496695"/>
            <wp:effectExtent l="0" t="0" r="0" b="1905"/>
            <wp:wrapNone/>
            <wp:docPr id="1784755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701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Pr="00CC09BC">
        <mc:AlternateContent>
          <mc:Choice Requires="wps">
            <w:drawing>
              <wp:anchor distT="0" distB="0" distL="114300" distR="114300" simplePos="0" relativeHeight="251658253" behindDoc="1" locked="0" layoutInCell="1" allowOverlap="1" wp14:anchorId="2793A15F" wp14:editId="65A27BC0">
                <wp:simplePos x="171450" y="400050"/>
                <wp:positionH relativeFrom="page">
                  <wp:align>left</wp:align>
                </wp:positionH>
                <wp:positionV relativeFrom="page">
                  <wp:align>top</wp:align>
                </wp:positionV>
                <wp:extent cx="7560000" cy="10692000"/>
                <wp:effectExtent l="0" t="0" r="0" b="1905"/>
                <wp:wrapNone/>
                <wp:docPr id="2081204391" name="Rectangle 2081204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D47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129AAB1">
              <v:rect id="Rectangle 2081204391" style="position:absolute;margin-left:0;margin-top:0;width:595.3pt;height:841.9pt;z-index:-25165822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d4794" stroked="f" strokeweight="2pt" w14:anchorId="74407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">
                <w10:wrap anchorx="page" anchory="page"/>
              </v:rect>
            </w:pict>
          </mc:Fallback>
        </mc:AlternateContent>
      </w:r>
      <w:r>
        <w:t>Chapter 4</w:t>
      </w:r>
    </w:p>
    <w:p w14:paraId="75B843D1" w14:textId="4D098715" w:rsidR="0076259B" w:rsidRPr="00CA5C9D" w:rsidRDefault="00F32387" w:rsidP="00CA5C9D">
      <w:pPr>
        <w:pStyle w:val="SectionTitle"/>
      </w:pPr>
      <w:r w:rsidRPr="00CA5C9D">
        <w:rPr>
          <w:noProof/>
        </w:rPr>
        <w:drawing>
          <wp:anchor distT="0" distB="0" distL="114300" distR="114300" simplePos="0" relativeHeight="251658254" behindDoc="0" locked="0" layoutInCell="1" allowOverlap="1" wp14:anchorId="390EABD4" wp14:editId="4C63E245">
            <wp:simplePos x="0" y="0"/>
            <wp:positionH relativeFrom="page">
              <wp:posOffset>2915285</wp:posOffset>
            </wp:positionH>
            <wp:positionV relativeFrom="page">
              <wp:posOffset>8769350</wp:posOffset>
            </wp:positionV>
            <wp:extent cx="4642485" cy="1925955"/>
            <wp:effectExtent l="0" t="0" r="5715" b="0"/>
            <wp:wrapNone/>
            <wp:docPr id="17674919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8185" name="Picture 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59B" w:rsidRPr="00CA5C9D">
        <w:t>Funding, fees and payment</w:t>
      </w:r>
      <w:r w:rsidR="00331A89" w:rsidRPr="00CA5C9D">
        <w:t>s</w:t>
      </w:r>
      <w:r w:rsidR="0076259B" w:rsidRPr="00CA5C9D">
        <w:br w:type="page"/>
      </w:r>
    </w:p>
    <w:p w14:paraId="0DF9E9FD" w14:textId="4CBBA1A8" w:rsidR="00ED244E" w:rsidRPr="00D15F3A" w:rsidRDefault="00ED244E" w:rsidP="00D15F3A">
      <w:pPr>
        <w:pStyle w:val="Heading1"/>
        <w:rPr>
          <w:rStyle w:val="Emphasis"/>
          <w:i w:val="0"/>
          <w:iCs w:val="0"/>
        </w:rPr>
      </w:pPr>
      <w:bookmarkStart w:id="103" w:name="_Toc225416229"/>
      <w:r w:rsidRPr="00D15F3A">
        <w:t xml:space="preserve">Chapter 4 </w:t>
      </w:r>
      <w:r w:rsidR="00515F64" w:rsidRPr="00D15F3A">
        <w:t xml:space="preserve">– </w:t>
      </w:r>
      <w:r w:rsidRPr="00D15F3A">
        <w:t>Funding, fees and payments</w:t>
      </w:r>
      <w:bookmarkStart w:id="104" w:name="_Toc208837981"/>
      <w:bookmarkEnd w:id="102"/>
      <w:bookmarkEnd w:id="103"/>
    </w:p>
    <w:p w14:paraId="47925172" w14:textId="77777777" w:rsidR="00ED244E" w:rsidRDefault="00ED244E" w:rsidP="00ED244E">
      <w:pPr>
        <w:pStyle w:val="Heading2"/>
      </w:pPr>
      <w:bookmarkStart w:id="105" w:name="_Toc212713657"/>
      <w:bookmarkStart w:id="106" w:name="_Toc225416230"/>
      <w:r>
        <w:t>NATSIFACP funding</w:t>
      </w:r>
      <w:bookmarkEnd w:id="105"/>
      <w:bookmarkEnd w:id="106"/>
    </w:p>
    <w:p w14:paraId="534B67A4" w14:textId="77777777" w:rsidR="00ED244E" w:rsidRPr="00084B1B" w:rsidRDefault="00ED244E" w:rsidP="00ED244E">
      <w:pPr>
        <w:pStyle w:val="Heading3"/>
      </w:pPr>
      <w:r w:rsidRPr="00084B1B">
        <w:t>Recurrent funding and payments</w:t>
      </w:r>
      <w:bookmarkEnd w:id="104"/>
    </w:p>
    <w:p w14:paraId="0ED3E7A2" w14:textId="77777777" w:rsidR="00ED244E" w:rsidRPr="00084B1B" w:rsidRDefault="00ED244E" w:rsidP="00ED244E">
      <w:r w:rsidRPr="00084B1B">
        <w:t>NATSIFACP operational funding is based on the delivered service type (or types) and an agreed allocation of places, not the occupancy of those places. This recurrent funding is calculated on a base daily rate for the following types of places:</w:t>
      </w:r>
    </w:p>
    <w:p w14:paraId="7269D849" w14:textId="77777777" w:rsidR="00ED244E" w:rsidRPr="00084B1B" w:rsidRDefault="00ED244E" w:rsidP="00D82385">
      <w:pPr>
        <w:pStyle w:val="ListBullet"/>
      </w:pPr>
      <w:r>
        <w:t>r</w:t>
      </w:r>
      <w:r w:rsidRPr="00084B1B">
        <w:t>esidential care</w:t>
      </w:r>
    </w:p>
    <w:p w14:paraId="619B6FB0" w14:textId="77777777" w:rsidR="00ED244E" w:rsidRPr="00084B1B" w:rsidRDefault="00ED244E" w:rsidP="00D82385">
      <w:pPr>
        <w:pStyle w:val="ListBullet"/>
      </w:pPr>
      <w:r>
        <w:t>h</w:t>
      </w:r>
      <w:r w:rsidRPr="00084B1B">
        <w:t>ome care.</w:t>
      </w:r>
    </w:p>
    <w:p w14:paraId="2318A6DB" w14:textId="77777777" w:rsidR="00ED244E" w:rsidRPr="00084B1B" w:rsidRDefault="00ED244E" w:rsidP="00ED244E">
      <w:r w:rsidRPr="00084B1B">
        <w:t xml:space="preserve">Payments are provided under a “block funded” model which means payments are made at the beginning of each quarter, in advance of service delivery. </w:t>
      </w:r>
    </w:p>
    <w:p w14:paraId="03C5D2F7" w14:textId="77777777" w:rsidR="00ED244E" w:rsidRPr="00084B1B" w:rsidRDefault="00ED244E" w:rsidP="00ED244E">
      <w:r w:rsidRPr="00084B1B">
        <w:t>This provides a constant income stream so that the service provider has both the stability of income from the funding and the flexibility to manage the delivery of aged care services to meet the changing needs of the community. Funding is based on daily rates for the type of allocated place.</w:t>
      </w:r>
    </w:p>
    <w:p w14:paraId="573AF212" w14:textId="77777777" w:rsidR="00ED244E" w:rsidRPr="00084B1B" w:rsidRDefault="00ED244E" w:rsidP="00ED244E">
      <w:r w:rsidRPr="00084B1B">
        <w:t xml:space="preserve">NATSIFACP funding is provided by the department through a grant agreement with the service provider. The service provider </w:t>
      </w:r>
      <w:r>
        <w:t xml:space="preserve">is </w:t>
      </w:r>
      <w:r w:rsidRPr="002B07DD">
        <w:t xml:space="preserve">required to spend funds </w:t>
      </w:r>
      <w:r>
        <w:t xml:space="preserve">only </w:t>
      </w:r>
      <w:r w:rsidRPr="002B07DD">
        <w:t>for approved purposes under the Act</w:t>
      </w:r>
      <w:r>
        <w:t xml:space="preserve"> and </w:t>
      </w:r>
      <w:r w:rsidRPr="00084B1B">
        <w:t xml:space="preserve">per the conditions of the grant agreement. </w:t>
      </w:r>
    </w:p>
    <w:p w14:paraId="0B657A0E" w14:textId="77777777" w:rsidR="00ED244E" w:rsidRPr="00084B1B" w:rsidRDefault="00ED244E" w:rsidP="00ED244E">
      <w:r w:rsidRPr="00084B1B">
        <w:t xml:space="preserve">The amount of funding </w:t>
      </w:r>
      <w:proofErr w:type="gramStart"/>
      <w:r w:rsidRPr="00084B1B">
        <w:t>paid</w:t>
      </w:r>
      <w:proofErr w:type="gramEnd"/>
      <w:r w:rsidRPr="00084B1B">
        <w:t xml:space="preserve"> and the frequency of payments are set out in the Schedule to the grant agreement.</w:t>
      </w:r>
    </w:p>
    <w:p w14:paraId="4F081293" w14:textId="77777777" w:rsidR="00ED244E" w:rsidRPr="00B05B9F" w:rsidRDefault="00ED244E" w:rsidP="00ED244E">
      <w:pPr>
        <w:pStyle w:val="Heading3"/>
      </w:pPr>
      <w:r w:rsidRPr="00B05B9F">
        <w:t>Residential funding</w:t>
      </w:r>
    </w:p>
    <w:p w14:paraId="03BD60AE" w14:textId="77777777" w:rsidR="00ED244E" w:rsidRPr="00084B1B" w:rsidRDefault="00ED244E" w:rsidP="00ED244E">
      <w:r w:rsidRPr="00084B1B">
        <w:t>In addition to the residential care daily rate, depending on the size and geographic location of the home, services will also receive the following:</w:t>
      </w:r>
    </w:p>
    <w:p w14:paraId="1332AD6F" w14:textId="77777777" w:rsidR="00ED244E" w:rsidRPr="00084B1B" w:rsidRDefault="00ED244E" w:rsidP="00D82385">
      <w:pPr>
        <w:pStyle w:val="ListBullet"/>
      </w:pPr>
      <w:r w:rsidRPr="00084B1B">
        <w:t>Veterans’ supplement</w:t>
      </w:r>
    </w:p>
    <w:p w14:paraId="1A3433F9" w14:textId="77777777" w:rsidR="00ED244E" w:rsidRPr="00084B1B" w:rsidRDefault="00ED244E" w:rsidP="00D82385">
      <w:pPr>
        <w:pStyle w:val="ListBullet"/>
      </w:pPr>
      <w:r w:rsidRPr="00084B1B">
        <w:t>Concessional resident supplement</w:t>
      </w:r>
    </w:p>
    <w:p w14:paraId="5FBA9738" w14:textId="77777777" w:rsidR="00ED244E" w:rsidRPr="00084B1B" w:rsidRDefault="00ED244E" w:rsidP="00D82385">
      <w:pPr>
        <w:pStyle w:val="ListBullet"/>
      </w:pPr>
      <w:r w:rsidRPr="00084B1B">
        <w:t xml:space="preserve">Respite </w:t>
      </w:r>
      <w:r>
        <w:t>s</w:t>
      </w:r>
      <w:r w:rsidRPr="00084B1B">
        <w:t>upplement</w:t>
      </w:r>
    </w:p>
    <w:p w14:paraId="14482F4A" w14:textId="77777777" w:rsidR="00ED244E" w:rsidRPr="00084B1B" w:rsidRDefault="00ED244E" w:rsidP="00D82385">
      <w:pPr>
        <w:pStyle w:val="ListBullet"/>
      </w:pPr>
      <w:r w:rsidRPr="00084B1B">
        <w:t>Residential viability supplement</w:t>
      </w:r>
    </w:p>
    <w:p w14:paraId="304AEB99" w14:textId="77777777" w:rsidR="00ED244E" w:rsidRPr="00084B1B" w:rsidRDefault="00ED244E" w:rsidP="00D82385">
      <w:pPr>
        <w:pStyle w:val="ListBullet"/>
      </w:pPr>
      <w:r w:rsidRPr="00084B1B">
        <w:t>Care minute funding supplement.</w:t>
      </w:r>
    </w:p>
    <w:p w14:paraId="453D0B86" w14:textId="77777777" w:rsidR="00ED244E" w:rsidRPr="00084B1B" w:rsidRDefault="00ED244E" w:rsidP="00ED244E">
      <w:r w:rsidRPr="00084B1B">
        <w:t>Residential aged care places also receive ‘frailty indexation’, which is a financial supplement provided to address the disparity in funding per residential aged care place funded under the NATSIFACP as compared with mainstream residential aged care services. This helps to ensure the frailty of Aboriginal and</w:t>
      </w:r>
      <w:r>
        <w:t>/or</w:t>
      </w:r>
      <w:r w:rsidRPr="00084B1B">
        <w:t xml:space="preserve"> Torres Strait Islander residents </w:t>
      </w:r>
      <w:r>
        <w:t>is supported.</w:t>
      </w:r>
    </w:p>
    <w:p w14:paraId="51EFDD55" w14:textId="77777777" w:rsidR="00ED244E" w:rsidRPr="00084B1B" w:rsidRDefault="00ED244E" w:rsidP="00ED244E">
      <w:pPr>
        <w:pStyle w:val="Heading3"/>
      </w:pPr>
      <w:r w:rsidRPr="00084B1B">
        <w:t>Home care funding</w:t>
      </w:r>
    </w:p>
    <w:p w14:paraId="7A0AF4EB" w14:textId="77777777" w:rsidR="00ED244E" w:rsidRPr="00084B1B" w:rsidRDefault="00ED244E" w:rsidP="00ED244E">
      <w:r w:rsidRPr="00084B1B">
        <w:t>In addition to the daily funding rate, eligible services with an allocation of home care places will also receive the following supplements:</w:t>
      </w:r>
    </w:p>
    <w:p w14:paraId="1162E2EB" w14:textId="77777777" w:rsidR="00ED244E" w:rsidRPr="00084B1B" w:rsidRDefault="00ED244E" w:rsidP="00D82385">
      <w:pPr>
        <w:pStyle w:val="ListBullet"/>
      </w:pPr>
      <w:r w:rsidRPr="00084B1B">
        <w:t>Dementia and cognition supplement</w:t>
      </w:r>
    </w:p>
    <w:p w14:paraId="19A81B7A" w14:textId="77777777" w:rsidR="00ED244E" w:rsidRPr="00084B1B" w:rsidRDefault="00ED244E" w:rsidP="00D82385">
      <w:pPr>
        <w:pStyle w:val="ListBullet"/>
      </w:pPr>
      <w:r w:rsidRPr="00084B1B">
        <w:t>Veterans’ supplement</w:t>
      </w:r>
    </w:p>
    <w:p w14:paraId="6132E372" w14:textId="77777777" w:rsidR="00ED244E" w:rsidRPr="00084B1B" w:rsidRDefault="00ED244E" w:rsidP="00D82385">
      <w:pPr>
        <w:pStyle w:val="ListBullet"/>
      </w:pPr>
      <w:r w:rsidRPr="00084B1B">
        <w:t>Home care viability supplement.</w:t>
      </w:r>
    </w:p>
    <w:p w14:paraId="784C7B3B" w14:textId="2D5892ED" w:rsidR="00ED244E" w:rsidRPr="00084B1B" w:rsidRDefault="00ED244E" w:rsidP="00ED244E">
      <w:pPr>
        <w:pStyle w:val="Heading3"/>
      </w:pPr>
      <w:bookmarkStart w:id="107" w:name="Useoffunds"/>
      <w:bookmarkEnd w:id="107"/>
      <w:r w:rsidRPr="00084B1B">
        <w:t>Use of NATSIFAC</w:t>
      </w:r>
      <w:r w:rsidR="00CD5193">
        <w:t>P</w:t>
      </w:r>
      <w:r w:rsidRPr="00084B1B">
        <w:t xml:space="preserve"> Funding</w:t>
      </w:r>
    </w:p>
    <w:p w14:paraId="29207913" w14:textId="77777777" w:rsidR="00ED244E" w:rsidRDefault="00ED244E" w:rsidP="00ED244E">
      <w:r w:rsidRPr="00084B1B">
        <w:t xml:space="preserve">Eligible and prohibited uses of NATSIFACP operational funds are outlined in the Grant Opportunity Guidelines for the NATSIFACP 2025-2027 Grant Funding Agreements (GO7569) available on the </w:t>
      </w:r>
      <w:r w:rsidRPr="006920AA">
        <w:t>Grant Connect website</w:t>
      </w:r>
      <w:r>
        <w:t xml:space="preserve">: </w:t>
      </w:r>
      <w:hyperlink r:id="rId99" w:history="1">
        <w:r w:rsidRPr="004020B0">
          <w:rPr>
            <w:rStyle w:val="Hyperlink"/>
          </w:rPr>
          <w:t>grants.gov.au/Go/Show?GoUuid=0ae87c32-6c4d-4394-b3e7-012f57234e4e</w:t>
        </w:r>
      </w:hyperlink>
      <w:r w:rsidRPr="00084B1B">
        <w:t xml:space="preserve">. You will need to log in to view or save copies of the documents. </w:t>
      </w:r>
    </w:p>
    <w:p w14:paraId="5DD1A471" w14:textId="77777777" w:rsidR="00ED244E" w:rsidRDefault="00ED244E" w:rsidP="00ED244E">
      <w:pPr>
        <w:pStyle w:val="Heading3"/>
      </w:pPr>
      <w:bookmarkStart w:id="108" w:name="statutoryfundingconditions"/>
      <w:bookmarkStart w:id="109" w:name="_Statutory_Funding_Conditions"/>
      <w:bookmarkEnd w:id="108"/>
      <w:bookmarkEnd w:id="109"/>
      <w:r>
        <w:t>Statutory Funding Conditions</w:t>
      </w:r>
    </w:p>
    <w:p w14:paraId="4E9E7B63" w14:textId="77777777" w:rsidR="00ED244E" w:rsidRDefault="00ED244E" w:rsidP="00ED244E">
      <w:r>
        <w:t>Under the Act there are statutory funding conditions that apply to the use of NATSIFACP grant funds.</w:t>
      </w:r>
      <w:r>
        <w:rPr>
          <w:rStyle w:val="FootnoteReference"/>
        </w:rPr>
        <w:footnoteReference w:id="24"/>
      </w:r>
      <w:r>
        <w:t xml:space="preserve"> </w:t>
      </w:r>
    </w:p>
    <w:p w14:paraId="30F053DE" w14:textId="77777777" w:rsidR="00ED244E" w:rsidRDefault="00ED244E" w:rsidP="00ED244E">
      <w:r w:rsidRPr="00ED2430">
        <w:t>Statutory funding conditions</w:t>
      </w:r>
      <w:r>
        <w:rPr>
          <w:b/>
          <w:bCs/>
        </w:rPr>
        <w:t xml:space="preserve"> </w:t>
      </w:r>
      <w:r w:rsidRPr="00ED2430">
        <w:t xml:space="preserve">are legal rules that ensure that funding </w:t>
      </w:r>
      <w:r>
        <w:t xml:space="preserve">provided to aged care providers </w:t>
      </w:r>
      <w:r w:rsidRPr="00ED2430">
        <w:t>is used </w:t>
      </w:r>
      <w:r w:rsidRPr="00ED2430">
        <w:rPr>
          <w:b/>
          <w:bCs/>
        </w:rPr>
        <w:t>only</w:t>
      </w:r>
      <w:r w:rsidRPr="00ED2430">
        <w:t xml:space="preserve"> for delivering approved aged care services to eligible individuals. </w:t>
      </w:r>
      <w:r>
        <w:t>This, in effect, means that</w:t>
      </w:r>
      <w:r w:rsidRPr="00ED2430">
        <w:t xml:space="preserve"> a provider must be properly register</w:t>
      </w:r>
      <w:r>
        <w:t>ed to deliver the required services</w:t>
      </w:r>
      <w:r w:rsidRPr="00ED2430">
        <w:t xml:space="preserve">, the person receiving care must have </w:t>
      </w:r>
      <w:r>
        <w:t xml:space="preserve">an access </w:t>
      </w:r>
      <w:r w:rsidRPr="00ED2430">
        <w:t>approval, and the services</w:t>
      </w:r>
      <w:r>
        <w:t xml:space="preserve"> provided to the individual</w:t>
      </w:r>
      <w:r w:rsidRPr="00ED2430">
        <w:t xml:space="preserve"> must match the classification and rules </w:t>
      </w:r>
      <w:r>
        <w:t>outlined in the access approval</w:t>
      </w:r>
      <w:r w:rsidRPr="00ED2430">
        <w:t>. </w:t>
      </w:r>
      <w:r>
        <w:rPr>
          <w:rStyle w:val="FootnoteReference"/>
        </w:rPr>
        <w:footnoteReference w:id="25"/>
      </w:r>
    </w:p>
    <w:p w14:paraId="0ECE2965" w14:textId="77777777" w:rsidR="00ED244E" w:rsidRDefault="00ED244E" w:rsidP="00ED244E">
      <w:r>
        <w:t xml:space="preserve">If the alternative entry pathway is used, the department recognises that access approvals will not be in effect before services commence. When this occurs, the provider will commence services and an application for assessment must be made within 30 days of starting services. It is acknowledged that the actual aged care needs assessment and resulting access approval may not occur for weeks or months. </w:t>
      </w:r>
    </w:p>
    <w:p w14:paraId="1616AE95" w14:textId="77777777" w:rsidR="00ED244E" w:rsidRDefault="00ED244E" w:rsidP="00ED244E">
      <w:r>
        <w:t>In these cases, providers are expected to use grant funds only to deliver aged care services to an individual that is reasonably likely to be approved following that individual’s aged care assessment.</w:t>
      </w:r>
    </w:p>
    <w:p w14:paraId="7F344804" w14:textId="0A2BFFF4" w:rsidR="00ED244E" w:rsidRDefault="00ED244E" w:rsidP="00ED244E">
      <w:r>
        <w:t>To avoid doubt, the statutory funding condition does not prevent providers from using NATSIFACP grant funds on matters listed in the Grant Opportunity Guidelines under ‘</w:t>
      </w:r>
      <w:hyperlink w:anchor="_Statutory_Funding_Conditions" w:history="1">
        <w:r w:rsidRPr="00C07C4E">
          <w:rPr>
            <w:rStyle w:val="Hyperlink"/>
          </w:rPr>
          <w:t>Eligible Use of Operational Funds</w:t>
        </w:r>
      </w:hyperlink>
      <w:r>
        <w:t>’ where those expenses are incidental to the delivery of aged care services to individuals.</w:t>
      </w:r>
    </w:p>
    <w:p w14:paraId="13BBC302" w14:textId="77777777" w:rsidR="00ED244E" w:rsidRDefault="00ED244E" w:rsidP="00ED244E">
      <w:pPr>
        <w:pStyle w:val="Heading2"/>
      </w:pPr>
      <w:bookmarkStart w:id="110" w:name="_Toc208838004"/>
      <w:bookmarkStart w:id="111" w:name="_Toc212713658"/>
      <w:bookmarkStart w:id="112" w:name="_Toc225416231"/>
      <w:bookmarkStart w:id="113" w:name="_Toc208837984"/>
      <w:r>
        <w:t>Individual fees</w:t>
      </w:r>
      <w:bookmarkEnd w:id="110"/>
      <w:bookmarkEnd w:id="111"/>
      <w:bookmarkEnd w:id="112"/>
    </w:p>
    <w:p w14:paraId="2534D974" w14:textId="77777777" w:rsidR="00ED244E" w:rsidRDefault="00ED244E" w:rsidP="00ED244E">
      <w:pPr>
        <w:pStyle w:val="Heading3"/>
      </w:pPr>
      <w:bookmarkStart w:id="114" w:name="_Toc208838005"/>
      <w:r>
        <w:t>Charging fees</w:t>
      </w:r>
      <w:bookmarkEnd w:id="114"/>
    </w:p>
    <w:p w14:paraId="7786F3AE" w14:textId="77777777" w:rsidR="00ED244E" w:rsidRDefault="00ED244E" w:rsidP="00ED244E">
      <w:r w:rsidRPr="00977AAF">
        <w:t>As a specialist aged care program, NATSIFACP providers may charge</w:t>
      </w:r>
      <w:r>
        <w:t xml:space="preserve"> an</w:t>
      </w:r>
      <w:r w:rsidRPr="00977AAF">
        <w:t xml:space="preserve"> individual a</w:t>
      </w:r>
      <w:r>
        <w:t>n</w:t>
      </w:r>
      <w:r w:rsidRPr="00977AAF">
        <w:t xml:space="preserve"> amount for or in connection with the </w:t>
      </w:r>
      <w:r>
        <w:t xml:space="preserve">aged care </w:t>
      </w:r>
      <w:r w:rsidRPr="00977AAF">
        <w:t>services</w:t>
      </w:r>
      <w:r>
        <w:t xml:space="preserve"> they are providing to the individual</w:t>
      </w:r>
      <w:r w:rsidRPr="00977AAF">
        <w:t>.</w:t>
      </w:r>
      <w:r>
        <w:t xml:space="preserve"> This fee is </w:t>
      </w:r>
      <w:r w:rsidRPr="00977AAF">
        <w:t>known as the </w:t>
      </w:r>
      <w:r w:rsidRPr="009F2B30">
        <w:rPr>
          <w:i/>
          <w:iCs/>
        </w:rPr>
        <w:t>specialist aged care program fee</w:t>
      </w:r>
      <w:r>
        <w:rPr>
          <w:i/>
          <w:iCs/>
        </w:rPr>
        <w:t xml:space="preserve"> </w:t>
      </w:r>
      <w:r>
        <w:t>and is charged on a per day basis.</w:t>
      </w:r>
      <w:r>
        <w:rPr>
          <w:rStyle w:val="FootnoteReference"/>
        </w:rPr>
        <w:footnoteReference w:id="26"/>
      </w:r>
    </w:p>
    <w:p w14:paraId="4838B4AB" w14:textId="77777777" w:rsidR="007D3740" w:rsidRDefault="007D3740" w:rsidP="007D3740">
      <w:r>
        <w:t>I</w:t>
      </w:r>
      <w:r w:rsidRPr="004E2B18">
        <w:t>t is important that individuals who can afford to pay all or some of the costs are required to do so</w:t>
      </w:r>
      <w:r>
        <w:t>, but n</w:t>
      </w:r>
      <w:r w:rsidRPr="004E2B18">
        <w:t xml:space="preserve">o person should be refused services due to an inability to contribute to the costs of services. </w:t>
      </w:r>
    </w:p>
    <w:p w14:paraId="08A38717" w14:textId="77777777" w:rsidR="00950730" w:rsidRDefault="00950730" w:rsidP="00950730">
      <w:r>
        <w:t>An individual’s access to a service should not be affected by their ability to pay fees but should be decided based on need for care and the capacity of the service provider to meet that need.</w:t>
      </w:r>
    </w:p>
    <w:p w14:paraId="06D9F3B4" w14:textId="66859628" w:rsidR="007D3740" w:rsidRDefault="007D3740" w:rsidP="00296A1E">
      <w:pPr>
        <w:pStyle w:val="Heading4"/>
      </w:pPr>
      <w:r>
        <w:t>Setting fees</w:t>
      </w:r>
    </w:p>
    <w:p w14:paraId="166DA5F0" w14:textId="7681324E" w:rsidR="00577D3A" w:rsidRDefault="00653575" w:rsidP="00577D3A">
      <w:r>
        <w:t>The process of setting individual fees should be simple</w:t>
      </w:r>
      <w:r w:rsidR="007A0BE6">
        <w:t>,</w:t>
      </w:r>
      <w:r>
        <w:t xml:space="preserve"> as unobtrusive as possible</w:t>
      </w:r>
      <w:r w:rsidR="007A0BE6">
        <w:t xml:space="preserve">, and </w:t>
      </w:r>
      <w:r>
        <w:t xml:space="preserve">respect the individual’s right to privacy and confidentiality. </w:t>
      </w:r>
    </w:p>
    <w:p w14:paraId="0F88512A" w14:textId="4F3202FF" w:rsidR="00577D3A" w:rsidRDefault="006A4EEC" w:rsidP="00653575">
      <w:r w:rsidRPr="004E2B18">
        <w:t>The amount a</w:t>
      </w:r>
      <w:r>
        <w:t>n</w:t>
      </w:r>
      <w:r w:rsidRPr="004E2B18">
        <w:t xml:space="preserve"> individual pays will depend on their financial situation</w:t>
      </w:r>
      <w:r>
        <w:t>.</w:t>
      </w:r>
      <w:r w:rsidRPr="004E2B18">
        <w:t xml:space="preserve"> </w:t>
      </w:r>
      <w:r w:rsidR="00653575">
        <w:t>In determining an individual’s capacity to pay fees, the service provider must consider any exceptional and unavoidable expenses incurred by the individual, such as high pharmaceutical bills, rent, utilities and other living expenses.</w:t>
      </w:r>
      <w:r w:rsidR="00577D3A" w:rsidRPr="00577D3A">
        <w:t xml:space="preserve"> </w:t>
      </w:r>
    </w:p>
    <w:p w14:paraId="1991AF99" w14:textId="5A7B784D" w:rsidR="00481FB4" w:rsidRDefault="00481FB4" w:rsidP="00481FB4">
      <w:r>
        <w:t>Any fees must be fully explained to the individual, agreed between the provider and the individual</w:t>
      </w:r>
      <w:r w:rsidR="006A4EEC">
        <w:t xml:space="preserve"> (or their supporters)</w:t>
      </w:r>
      <w:r>
        <w:t xml:space="preserve"> and the amount charged must form part of the </w:t>
      </w:r>
      <w:r w:rsidR="006A4EEC">
        <w:t xml:space="preserve">written </w:t>
      </w:r>
      <w:r>
        <w:t>service agreement between the individual and the service provider. Fees cannot be charged more than a month in advance.</w:t>
      </w:r>
      <w:r>
        <w:rPr>
          <w:rStyle w:val="FootnoteReference"/>
        </w:rPr>
        <w:footnoteReference w:id="27"/>
      </w:r>
    </w:p>
    <w:p w14:paraId="73CE4AD8" w14:textId="77777777" w:rsidR="00000AA0" w:rsidRPr="00A51B4F" w:rsidRDefault="00000AA0" w:rsidP="00A51B4F">
      <w:r w:rsidRPr="00A51B4F">
        <w:br w:type="page"/>
      </w:r>
    </w:p>
    <w:p w14:paraId="2079DF72" w14:textId="4F0AFE65" w:rsidR="00653575" w:rsidRDefault="00E94784" w:rsidP="00296A1E">
      <w:pPr>
        <w:pStyle w:val="Heading4"/>
      </w:pPr>
      <w:r>
        <w:t>Maximum fee</w:t>
      </w:r>
    </w:p>
    <w:p w14:paraId="70D31D26" w14:textId="507B2CFE" w:rsidR="00204F73" w:rsidRDefault="00204F73" w:rsidP="00204F73">
      <w:r>
        <w:t>The maximum fee charged to individuals must not exceed:</w:t>
      </w:r>
    </w:p>
    <w:p w14:paraId="6E121FA8" w14:textId="77777777" w:rsidR="00204F73" w:rsidRDefault="00204F73" w:rsidP="00D82385">
      <w:pPr>
        <w:pStyle w:val="ListBullet"/>
      </w:pPr>
      <w:r>
        <w:t>17.5% of the basic age pension (worked out on a per day basis) for home support, assistive technology or home modification services</w:t>
      </w:r>
    </w:p>
    <w:p w14:paraId="48555CC1" w14:textId="77777777" w:rsidR="00204F73" w:rsidRDefault="00204F73" w:rsidP="00D82385">
      <w:pPr>
        <w:pStyle w:val="ListBullet"/>
      </w:pPr>
      <w:r>
        <w:t>85% of the basic age pension (worked out on a per day basis) for residential care.</w:t>
      </w:r>
      <w:r>
        <w:rPr>
          <w:rStyle w:val="FootnoteReference"/>
        </w:rPr>
        <w:footnoteReference w:id="28"/>
      </w:r>
    </w:p>
    <w:p w14:paraId="0F3F516D" w14:textId="3052D354" w:rsidR="00ED244E" w:rsidRPr="00E931FA" w:rsidRDefault="00ED244E" w:rsidP="00ED244E">
      <w:pPr>
        <w:rPr>
          <w:highlight w:val="yellow"/>
        </w:rPr>
      </w:pPr>
      <w:r>
        <w:t xml:space="preserve">The Government sets the </w:t>
      </w:r>
      <w:r w:rsidR="00204F73" w:rsidRPr="00296A1E">
        <w:t>maximum fees</w:t>
      </w:r>
      <w:r>
        <w:t xml:space="preserve"> for care and has established strong protections to make sure that care is affordable for everyone. </w:t>
      </w:r>
    </w:p>
    <w:p w14:paraId="05A22F6B" w14:textId="77777777" w:rsidR="00ED244E" w:rsidRDefault="00ED244E" w:rsidP="00ED244E">
      <w:pPr>
        <w:pStyle w:val="Heading3"/>
      </w:pPr>
      <w:r>
        <w:t>Consumer contribution policy</w:t>
      </w:r>
    </w:p>
    <w:p w14:paraId="3A01D019" w14:textId="77777777" w:rsidR="00ED244E" w:rsidRDefault="00ED244E" w:rsidP="00ED244E">
      <w:r w:rsidRPr="007233EC">
        <w:t>NATSIFAC</w:t>
      </w:r>
      <w:r>
        <w:t>P</w:t>
      </w:r>
      <w:r w:rsidRPr="007233EC">
        <w:t xml:space="preserve"> service providers must have a consumer contribution policy that </w:t>
      </w:r>
      <w:proofErr w:type="gramStart"/>
      <w:r w:rsidRPr="007233EC">
        <w:t>takes into account</w:t>
      </w:r>
      <w:proofErr w:type="gramEnd"/>
      <w:r w:rsidRPr="007233EC">
        <w:t xml:space="preserve"> the capacity of </w:t>
      </w:r>
      <w:r>
        <w:t>individual</w:t>
      </w:r>
      <w:r w:rsidRPr="007233EC">
        <w:t>s to contribute to the cost of the NATSIFAC</w:t>
      </w:r>
      <w:r>
        <w:t>P</w:t>
      </w:r>
      <w:r w:rsidRPr="007233EC">
        <w:t xml:space="preserve"> services delivered to them and sets fees in accordance with this policy. Providers are required to make their consumer contribution policy publicly available.</w:t>
      </w:r>
      <w:r>
        <w:rPr>
          <w:rStyle w:val="FootnoteReference"/>
        </w:rPr>
        <w:footnoteReference w:id="29"/>
      </w:r>
    </w:p>
    <w:p w14:paraId="729919B5" w14:textId="77777777" w:rsidR="00ED244E" w:rsidRDefault="00ED244E" w:rsidP="00ED244E">
      <w:pPr>
        <w:pStyle w:val="Heading3"/>
      </w:pPr>
      <w:r>
        <w:t>Financial Hardship Policy</w:t>
      </w:r>
    </w:p>
    <w:p w14:paraId="767C31A8" w14:textId="77777777" w:rsidR="00ED244E" w:rsidRDefault="00ED244E" w:rsidP="00ED244E">
      <w:r>
        <w:t>NATSIFACP service providers must also have a financial hardship policy that covers:</w:t>
      </w:r>
    </w:p>
    <w:p w14:paraId="1589F272" w14:textId="77777777" w:rsidR="00ED244E" w:rsidRDefault="00ED244E" w:rsidP="00D82385">
      <w:pPr>
        <w:pStyle w:val="ListBullet"/>
      </w:pPr>
      <w:r>
        <w:t>how an individual can apply for a waiver or a reduction of fees due to financial hardship</w:t>
      </w:r>
    </w:p>
    <w:p w14:paraId="6826AEFE" w14:textId="77777777" w:rsidR="00ED244E" w:rsidRDefault="00ED244E" w:rsidP="00D82385">
      <w:pPr>
        <w:pStyle w:val="ListBullet"/>
      </w:pPr>
      <w:r>
        <w:t>what evidence of financial hardship the individual must submit to the provider, and how that evidence must be submitted</w:t>
      </w:r>
    </w:p>
    <w:p w14:paraId="2F142D3A" w14:textId="77777777" w:rsidR="00ED244E" w:rsidRDefault="00ED244E" w:rsidP="00D82385">
      <w:pPr>
        <w:pStyle w:val="ListBullet"/>
      </w:pPr>
      <w:r>
        <w:t>the principles or calculations the provider will use to determine the amount and duration of the waiver or the reduction of the fee if the individual’s application is successful.</w:t>
      </w:r>
      <w:r>
        <w:rPr>
          <w:rStyle w:val="FootnoteReference"/>
        </w:rPr>
        <w:footnoteReference w:id="30"/>
      </w:r>
    </w:p>
    <w:p w14:paraId="3417D393" w14:textId="3EB844DE" w:rsidR="00ED244E" w:rsidRDefault="00ED244E" w:rsidP="00ED244E">
      <w:r>
        <w:t xml:space="preserve">Providers are also required to make their financial hardship policy publicly available. Service providers should be able to obtain information from individuals required to assess their capacity to pay. The information obtained must not be shared for any other </w:t>
      </w:r>
      <w:r w:rsidRPr="00E23927">
        <w:t>purpose (</w:t>
      </w:r>
      <w:r w:rsidR="00A11CB8">
        <w:t>r</w:t>
      </w:r>
      <w:r w:rsidRPr="00E23927">
        <w:t xml:space="preserve">efer to </w:t>
      </w:r>
      <w:hyperlink w:anchor="privacy" w:history="1">
        <w:r w:rsidR="00877A8C">
          <w:rPr>
            <w:rStyle w:val="Hyperlink"/>
          </w:rPr>
          <w:t>privacy</w:t>
        </w:r>
      </w:hyperlink>
      <w:r w:rsidRPr="00E23927">
        <w:t xml:space="preserve"> section of this manual for further information).</w:t>
      </w:r>
    </w:p>
    <w:p w14:paraId="111C8F83" w14:textId="77777777" w:rsidR="00ED244E" w:rsidRDefault="00ED244E" w:rsidP="00ED244E">
      <w:pPr>
        <w:pStyle w:val="Heading3"/>
      </w:pPr>
      <w:r>
        <w:t>Use of collected fees</w:t>
      </w:r>
    </w:p>
    <w:p w14:paraId="4723D0F5" w14:textId="77777777" w:rsidR="00023176" w:rsidRPr="00023176" w:rsidRDefault="00023176" w:rsidP="00023176">
      <w:r w:rsidRPr="00023176">
        <w:t>Fees collected from individuals must be used to contribute to the direct cost of providing aged care services.</w:t>
      </w:r>
    </w:p>
    <w:p w14:paraId="44141887" w14:textId="77777777" w:rsidR="00023176" w:rsidRPr="00023176" w:rsidRDefault="00023176" w:rsidP="00023176">
      <w:r w:rsidRPr="00023176">
        <w:t xml:space="preserve">Personal expenditure requested by the individual is not considered to be fees and should not be included in any reports relating to the NATSIFACP. This includes items that are excluded items on the </w:t>
      </w:r>
      <w:hyperlink r:id="rId100" w:tgtFrame="_blank" w:tooltip="https://www.health.gov.au/resources/publications/residential-care-service-list?language=en" w:history="1">
        <w:r w:rsidRPr="00023176">
          <w:rPr>
            <w:rStyle w:val="Hyperlink"/>
          </w:rPr>
          <w:t>Residential Care Service List</w:t>
        </w:r>
      </w:hyperlink>
      <w:r w:rsidRPr="00023176">
        <w:t xml:space="preserve"> and the  </w:t>
      </w:r>
      <w:hyperlink r:id="rId101" w:tgtFrame="_blank" w:tooltip="https://www.health.gov.au/resources/publications/support-at-home-service-list" w:history="1">
        <w:r w:rsidRPr="00023176">
          <w:rPr>
            <w:rStyle w:val="Hyperlink"/>
          </w:rPr>
          <w:t>Home Care Service List</w:t>
        </w:r>
      </w:hyperlink>
      <w:r w:rsidRPr="00023176">
        <w:t>, including but not limited to:</w:t>
      </w:r>
    </w:p>
    <w:p w14:paraId="51FDBE7F" w14:textId="77777777" w:rsidR="00023176" w:rsidRPr="00023176" w:rsidRDefault="00023176" w:rsidP="00D82385">
      <w:pPr>
        <w:pStyle w:val="ListBullet"/>
      </w:pPr>
      <w:r w:rsidRPr="00023176">
        <w:t>Professional services that would usually be paid for such as waxing, hairdressing, massage</w:t>
      </w:r>
    </w:p>
    <w:p w14:paraId="0E81E49B" w14:textId="77777777" w:rsidR="00023176" w:rsidRPr="00023176" w:rsidRDefault="00023176" w:rsidP="00D82385">
      <w:pPr>
        <w:pStyle w:val="ListBullet"/>
      </w:pPr>
      <w:r w:rsidRPr="00023176">
        <w:t>Costs to participate in an activity such as tickets, accommodation or membership fees</w:t>
      </w:r>
    </w:p>
    <w:p w14:paraId="282BD950" w14:textId="77777777" w:rsidR="00023176" w:rsidRPr="00023176" w:rsidRDefault="00023176" w:rsidP="00D82385">
      <w:pPr>
        <w:pStyle w:val="ListBullet"/>
      </w:pPr>
      <w:r w:rsidRPr="00023176">
        <w:t>Products that are not prescribed for age related needs such as weight loss products</w:t>
      </w:r>
    </w:p>
    <w:p w14:paraId="353CA516" w14:textId="77777777" w:rsidR="00023176" w:rsidRPr="00023176" w:rsidRDefault="00023176" w:rsidP="00D82385">
      <w:pPr>
        <w:pStyle w:val="ListBullet"/>
      </w:pPr>
      <w:r w:rsidRPr="00023176">
        <w:t>Items of personal preference such as specific toiletries, meals or snacks. </w:t>
      </w:r>
    </w:p>
    <w:p w14:paraId="6930B87A" w14:textId="77777777" w:rsidR="00ED244E" w:rsidRDefault="00ED244E" w:rsidP="00ED244E">
      <w:pPr>
        <w:pStyle w:val="Heading3"/>
      </w:pPr>
      <w:r>
        <w:t>Refund of collected fees</w:t>
      </w:r>
    </w:p>
    <w:p w14:paraId="0D221630" w14:textId="77777777" w:rsidR="00ED244E" w:rsidRDefault="00ED244E" w:rsidP="00ED244E">
      <w:r>
        <w:t>Service providers are required to refund any fees that were paid in advance if an individual stops accessing services or dies. This includes for any day that has been paid for that occurs after an individual stops accessing services or dies.</w:t>
      </w:r>
      <w:r>
        <w:rPr>
          <w:rStyle w:val="FootnoteReference"/>
        </w:rPr>
        <w:footnoteReference w:id="31"/>
      </w:r>
      <w:r>
        <w:t xml:space="preserve"> </w:t>
      </w:r>
    </w:p>
    <w:p w14:paraId="6FB9D832" w14:textId="77777777" w:rsidR="00ED244E" w:rsidRDefault="00ED244E" w:rsidP="00ED244E">
      <w:r>
        <w:t xml:space="preserve">If an individual stops accessing services, refunds should be paid within 14 days after they stop accessing services. </w:t>
      </w:r>
    </w:p>
    <w:p w14:paraId="47A7EF2C" w14:textId="77777777" w:rsidR="00ED244E" w:rsidRDefault="00ED244E" w:rsidP="00ED244E">
      <w:r>
        <w:t>If an individual has died, providers may be shown the probate of the will of the individual or letters of administration of the estate of the individual within 14 days. In this situation, refunds should be paid to the individual’s estate within 14 days of being shown this information. Otherwise, refunds should be paid to an appropriate person within 28 days of the provider becoming aware of the individual’s death.</w:t>
      </w:r>
    </w:p>
    <w:bookmarkEnd w:id="113"/>
    <w:p w14:paraId="25674309" w14:textId="77777777" w:rsidR="007A7267" w:rsidRDefault="00ED244E" w:rsidP="00ED244E">
      <w:pPr>
        <w:sectPr w:rsidR="007A7267" w:rsidSect="00E33A42">
          <w:headerReference w:type="even" r:id="rId102"/>
          <w:footerReference w:type="even" r:id="rId103"/>
          <w:footerReference w:type="default" r:id="rId104"/>
          <w:pgSz w:w="11906" w:h="16838"/>
          <w:pgMar w:top="1701" w:right="1418" w:bottom="1418" w:left="1418" w:header="709" w:footer="709" w:gutter="0"/>
          <w:cols w:space="708"/>
          <w:docGrid w:linePitch="360"/>
        </w:sectPr>
      </w:pPr>
      <w:r w:rsidRPr="00084B1B">
        <w:br w:type="page"/>
      </w:r>
    </w:p>
    <w:p w14:paraId="07DEEC07" w14:textId="34BDD398" w:rsidR="00F817EC" w:rsidRDefault="00F817EC" w:rsidP="00F817EC">
      <w:pPr>
        <w:pStyle w:val="SectionNumber"/>
      </w:pPr>
      <w:bookmarkStart w:id="115" w:name="Chapter5"/>
      <w:bookmarkStart w:id="116" w:name="_Toc212713660"/>
      <w:bookmarkEnd w:id="115"/>
      <w:r w:rsidRPr="00D7030B">
        <w:drawing>
          <wp:anchor distT="0" distB="0" distL="114300" distR="114300" simplePos="0" relativeHeight="251658259" behindDoc="0" locked="0" layoutInCell="1" allowOverlap="1" wp14:anchorId="6E215A47" wp14:editId="23494271">
            <wp:simplePos x="0" y="0"/>
            <wp:positionH relativeFrom="column">
              <wp:posOffset>-2061845</wp:posOffset>
            </wp:positionH>
            <wp:positionV relativeFrom="paragraph">
              <wp:posOffset>297815</wp:posOffset>
            </wp:positionV>
            <wp:extent cx="1842770" cy="1892300"/>
            <wp:effectExtent l="0" t="0" r="0" b="0"/>
            <wp:wrapNone/>
            <wp:docPr id="18955742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54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892300"/>
                    </a:xfrm>
                    <a:prstGeom prst="rect">
                      <a:avLst/>
                    </a:prstGeom>
                  </pic:spPr>
                </pic:pic>
              </a:graphicData>
            </a:graphic>
            <wp14:sizeRelH relativeFrom="page">
              <wp14:pctWidth>0</wp14:pctWidth>
            </wp14:sizeRelH>
            <wp14:sizeRelV relativeFrom="page">
              <wp14:pctHeight>0</wp14:pctHeight>
            </wp14:sizeRelV>
          </wp:anchor>
        </w:drawing>
      </w:r>
      <w:r w:rsidRPr="00444D55">
        <w:drawing>
          <wp:anchor distT="0" distB="0" distL="114300" distR="114300" simplePos="0" relativeHeight="251658260" behindDoc="0" locked="0" layoutInCell="1" allowOverlap="1" wp14:anchorId="2EE85410" wp14:editId="21EDB50B">
            <wp:simplePos x="0" y="0"/>
            <wp:positionH relativeFrom="column">
              <wp:posOffset>-347345</wp:posOffset>
            </wp:positionH>
            <wp:positionV relativeFrom="paragraph">
              <wp:posOffset>7574915</wp:posOffset>
            </wp:positionV>
            <wp:extent cx="1460500" cy="1496695"/>
            <wp:effectExtent l="0" t="0" r="0" b="1905"/>
            <wp:wrapNone/>
            <wp:docPr id="6269007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701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Pr="00CC09BC">
        <mc:AlternateContent>
          <mc:Choice Requires="wps">
            <w:drawing>
              <wp:anchor distT="0" distB="0" distL="114300" distR="114300" simplePos="0" relativeHeight="251658257" behindDoc="1" locked="0" layoutInCell="1" allowOverlap="1" wp14:anchorId="3747288F" wp14:editId="3FEBCD51">
                <wp:simplePos x="171450" y="400050"/>
                <wp:positionH relativeFrom="page">
                  <wp:align>left</wp:align>
                </wp:positionH>
                <wp:positionV relativeFrom="page">
                  <wp:align>top</wp:align>
                </wp:positionV>
                <wp:extent cx="7560000" cy="10692000"/>
                <wp:effectExtent l="0" t="0" r="0" b="1905"/>
                <wp:wrapNone/>
                <wp:docPr id="2031934067" name="Rectangle 2031934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D47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3B5D05C">
              <v:rect id="Rectangle 2031934067" style="position:absolute;margin-left:0;margin-top:0;width:595.3pt;height:841.9pt;z-index:-25165822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d4794" stroked="f" strokeweight="2pt" w14:anchorId="04954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">
                <w10:wrap anchorx="page" anchory="page"/>
              </v:rect>
            </w:pict>
          </mc:Fallback>
        </mc:AlternateContent>
      </w:r>
      <w:r>
        <w:t xml:space="preserve">Chapter </w:t>
      </w:r>
      <w:r w:rsidR="00537B66">
        <w:t>5</w:t>
      </w:r>
    </w:p>
    <w:p w14:paraId="0E118BC2" w14:textId="716B4475" w:rsidR="00F817EC" w:rsidRPr="00CA5C9D" w:rsidRDefault="00647DDA" w:rsidP="00CA5C9D">
      <w:pPr>
        <w:pStyle w:val="SectionTitle"/>
      </w:pPr>
      <w:r w:rsidRPr="00CA5C9D">
        <w:rPr>
          <w:noProof/>
        </w:rPr>
        <w:drawing>
          <wp:anchor distT="0" distB="0" distL="114300" distR="114300" simplePos="0" relativeHeight="251658258" behindDoc="0" locked="0" layoutInCell="1" allowOverlap="1" wp14:anchorId="522B4254" wp14:editId="1AB40B29">
            <wp:simplePos x="0" y="0"/>
            <wp:positionH relativeFrom="page">
              <wp:posOffset>2908935</wp:posOffset>
            </wp:positionH>
            <wp:positionV relativeFrom="page">
              <wp:posOffset>8750300</wp:posOffset>
            </wp:positionV>
            <wp:extent cx="4642485" cy="1925955"/>
            <wp:effectExtent l="0" t="0" r="5715" b="4445"/>
            <wp:wrapNone/>
            <wp:docPr id="14953421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8185" name="Picture 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B66" w:rsidRPr="00CA5C9D">
        <w:t>Governance</w:t>
      </w:r>
      <w:r w:rsidR="00F817EC" w:rsidRPr="00CA5C9D">
        <w:br w:type="page"/>
      </w:r>
    </w:p>
    <w:p w14:paraId="4A7E6BF4" w14:textId="0221E767" w:rsidR="00ED244E" w:rsidRPr="00D15F3A" w:rsidRDefault="00ED244E" w:rsidP="00D15F3A">
      <w:pPr>
        <w:pStyle w:val="Heading1"/>
      </w:pPr>
      <w:bookmarkStart w:id="117" w:name="_Chapter_5_–"/>
      <w:bookmarkStart w:id="118" w:name="_Toc225416232"/>
      <w:bookmarkEnd w:id="117"/>
      <w:r w:rsidRPr="00D15F3A">
        <w:t xml:space="preserve">Chapter 5 </w:t>
      </w:r>
      <w:r w:rsidR="00515F64" w:rsidRPr="00D15F3A">
        <w:t xml:space="preserve">– </w:t>
      </w:r>
      <w:r w:rsidRPr="00D15F3A">
        <w:t>Governance</w:t>
      </w:r>
      <w:bookmarkEnd w:id="116"/>
      <w:bookmarkEnd w:id="118"/>
    </w:p>
    <w:p w14:paraId="6F005CA9" w14:textId="2AD150EE" w:rsidR="00ED244E" w:rsidRPr="00A51B4F" w:rsidRDefault="00ED244E" w:rsidP="00A51B4F">
      <w:r w:rsidRPr="00A51B4F">
        <w:t>The Act</w:t>
      </w:r>
      <w:r w:rsidR="001F1F68" w:rsidRPr="00A51B4F">
        <w:t xml:space="preserve"> </w:t>
      </w:r>
      <w:r w:rsidRPr="00A51B4F">
        <w:t>represents a fundamental shift towards accountability, transparency, and consumer-centred care in Australia's aged care system. This chapter outlines the governance framework established in the Act, including the legislative framework and the responsibilities of the key parties involved in the governance of the aged care system.</w:t>
      </w:r>
    </w:p>
    <w:p w14:paraId="7BEFA43F" w14:textId="77777777" w:rsidR="00ED244E" w:rsidRPr="00213D02" w:rsidRDefault="00ED244E" w:rsidP="00ED244E">
      <w:pPr>
        <w:pStyle w:val="Heading2"/>
      </w:pPr>
      <w:bookmarkStart w:id="119" w:name="_Toc212713661"/>
      <w:bookmarkStart w:id="120" w:name="_Toc225416233"/>
      <w:r>
        <w:t>Legislative framework</w:t>
      </w:r>
      <w:bookmarkEnd w:id="119"/>
      <w:bookmarkEnd w:id="120"/>
    </w:p>
    <w:p w14:paraId="337CF19C" w14:textId="77777777" w:rsidR="00ED244E" w:rsidRDefault="00ED244E" w:rsidP="00ED244E">
      <w:r>
        <w:t>The NATSIFACP is now governed by the following laws:</w:t>
      </w:r>
    </w:p>
    <w:p w14:paraId="5B4DB6BA" w14:textId="584307DC" w:rsidR="00ED244E" w:rsidRDefault="00ED244E" w:rsidP="00D82385">
      <w:pPr>
        <w:pStyle w:val="ListBullet"/>
      </w:pPr>
      <w:r w:rsidRPr="005A6445">
        <w:rPr>
          <w:i/>
          <w:iCs/>
        </w:rPr>
        <w:t>Aged Care Act 2024</w:t>
      </w:r>
      <w:r>
        <w:t>– this is the overarching principal legislation that governs the NATSIFACP Program, effective from 1 November 2025</w:t>
      </w:r>
    </w:p>
    <w:p w14:paraId="4F67DB3B" w14:textId="386B517E" w:rsidR="00ED244E" w:rsidRDefault="00ED244E" w:rsidP="00D82385">
      <w:pPr>
        <w:pStyle w:val="ListBullet"/>
      </w:pPr>
      <w:r w:rsidRPr="003F4268">
        <w:t>Aged Care Rules 202</w:t>
      </w:r>
      <w:r>
        <w:t>5 (the Rules) – this is the subordinate legislation made with powers provided by the Act. The Rules provide more detail on how the NATSIFACP Program operates</w:t>
      </w:r>
    </w:p>
    <w:p w14:paraId="5E524238" w14:textId="5C53CFCE" w:rsidR="00ED244E" w:rsidRDefault="00ED244E" w:rsidP="00D82385">
      <w:pPr>
        <w:pStyle w:val="ListBullet"/>
      </w:pPr>
      <w:r>
        <w:t xml:space="preserve"> </w:t>
      </w:r>
      <w:r w:rsidRPr="005A6445">
        <w:rPr>
          <w:i/>
          <w:iCs/>
        </w:rPr>
        <w:t>Aged Care (Consequential and Transitional Provisions) Act 2024</w:t>
      </w:r>
      <w:r>
        <w:t xml:space="preserve"> – this provides transitional arrangements related to the Act, ensuring a smooth transition to the new aged care system</w:t>
      </w:r>
    </w:p>
    <w:p w14:paraId="14C34BBE" w14:textId="159D226D" w:rsidR="00ED244E" w:rsidRDefault="00ED244E" w:rsidP="00D82385">
      <w:pPr>
        <w:pStyle w:val="ListBullet"/>
      </w:pPr>
      <w:bookmarkStart w:id="121" w:name="_Hlk209622538"/>
      <w:r w:rsidRPr="00B43A61">
        <w:rPr>
          <w:i/>
          <w:iCs/>
        </w:rPr>
        <w:t>Commonwealth Grants Rules and Principles 2024</w:t>
      </w:r>
      <w:r>
        <w:rPr>
          <w:i/>
          <w:iCs/>
        </w:rPr>
        <w:t xml:space="preserve"> </w:t>
      </w:r>
      <w:bookmarkEnd w:id="121"/>
      <w:r>
        <w:rPr>
          <w:i/>
          <w:iCs/>
        </w:rPr>
        <w:t xml:space="preserve">– </w:t>
      </w:r>
      <w:r>
        <w:t xml:space="preserve">these rules govern the administration of Commonwealth grants in Australia. </w:t>
      </w:r>
    </w:p>
    <w:p w14:paraId="233D72FE" w14:textId="77777777" w:rsidR="00ED244E" w:rsidRPr="00F66B57" w:rsidRDefault="00ED244E" w:rsidP="00ED244E">
      <w:pPr>
        <w:pStyle w:val="Heading3"/>
      </w:pPr>
      <w:r w:rsidRPr="00F66B57">
        <w:t>Why is the NATSIFACP now under the Act?</w:t>
      </w:r>
    </w:p>
    <w:p w14:paraId="0771523E" w14:textId="77777777" w:rsidR="00ED244E" w:rsidRDefault="00ED244E" w:rsidP="00ED244E">
      <w:r>
        <w:t xml:space="preserve">The NATSIFACP was administered outside of the </w:t>
      </w:r>
      <w:r w:rsidRPr="002D56E6">
        <w:rPr>
          <w:i/>
          <w:iCs/>
        </w:rPr>
        <w:t>Aged Care Act 1997</w:t>
      </w:r>
      <w:r>
        <w:rPr>
          <w:i/>
          <w:iCs/>
        </w:rPr>
        <w:t xml:space="preserve"> </w:t>
      </w:r>
      <w:r>
        <w:t>until 31 October 2025. The Royal Commission into Aged Care Quality and Safety (Royal Commission) recommended that the NATSIFACP be incorporated into aged care legislation as a specialist aged care program to:</w:t>
      </w:r>
    </w:p>
    <w:p w14:paraId="216CD171" w14:textId="77777777" w:rsidR="00ED244E" w:rsidRDefault="00ED244E" w:rsidP="00D82385">
      <w:pPr>
        <w:pStyle w:val="ListBullet"/>
      </w:pPr>
      <w:r>
        <w:t>ensure greater flexibility and cultural safety in the care provided to Aboriginal and/or Torres Strait Islander people</w:t>
      </w:r>
    </w:p>
    <w:p w14:paraId="66ABA960" w14:textId="77777777" w:rsidR="00ED244E" w:rsidRDefault="00ED244E" w:rsidP="00D82385">
      <w:pPr>
        <w:pStyle w:val="ListBullet"/>
      </w:pPr>
      <w:r>
        <w:t>ensure all Aboriginal and/or Torres Strait Islander people will benefit from aged care based upon, and informed by, assessments that determine need and connect people with appropriate levels of care</w:t>
      </w:r>
    </w:p>
    <w:p w14:paraId="628DB318" w14:textId="77777777" w:rsidR="00ED244E" w:rsidRDefault="00ED244E" w:rsidP="00D82385">
      <w:pPr>
        <w:pStyle w:val="ListBullet"/>
      </w:pPr>
      <w:r>
        <w:t>ensure all Aboriginal and/or Torres Strait Islander people in residential aged care will benefit from providers being subject to the same clinical requirements and triggers for care reviews as providers of mainstream aged care</w:t>
      </w:r>
    </w:p>
    <w:p w14:paraId="711C9D25" w14:textId="77777777" w:rsidR="00ED244E" w:rsidRDefault="00ED244E" w:rsidP="00D82385">
      <w:pPr>
        <w:pStyle w:val="ListBullet"/>
      </w:pPr>
      <w:r>
        <w:t>have NATSIFACP providers comply with the same approval and regulatory requirements as other aged care services, resulting in greater consistency in the quality of services.</w:t>
      </w:r>
    </w:p>
    <w:p w14:paraId="71C59730" w14:textId="77777777" w:rsidR="00ED244E" w:rsidRPr="00DD35A4" w:rsidRDefault="00ED244E" w:rsidP="00ED244E">
      <w:pPr>
        <w:pStyle w:val="Heading2"/>
      </w:pPr>
      <w:bookmarkStart w:id="122" w:name="_Toc212713662"/>
      <w:bookmarkStart w:id="123" w:name="_Toc225416234"/>
      <w:r w:rsidRPr="00DD35A4">
        <w:t>Aged care system governance</w:t>
      </w:r>
      <w:bookmarkEnd w:id="122"/>
      <w:bookmarkEnd w:id="123"/>
    </w:p>
    <w:p w14:paraId="44460B4B" w14:textId="77777777" w:rsidR="00ED244E" w:rsidRPr="00084B1B" w:rsidRDefault="00ED244E" w:rsidP="00ED244E">
      <w:r w:rsidRPr="00084B1B">
        <w:t>The aged care system is governed by the three key parties:</w:t>
      </w:r>
    </w:p>
    <w:p w14:paraId="4E2C03A7" w14:textId="77777777" w:rsidR="00ED244E" w:rsidRPr="00084B1B" w:rsidRDefault="00ED244E" w:rsidP="00D82385">
      <w:pPr>
        <w:pStyle w:val="ListBullet"/>
      </w:pPr>
      <w:r w:rsidRPr="00084B1B">
        <w:t>System Governor (this is the Secretary of the department)</w:t>
      </w:r>
    </w:p>
    <w:p w14:paraId="0994FB7B" w14:textId="77777777" w:rsidR="00ED244E" w:rsidRPr="00084B1B" w:rsidRDefault="00ED244E" w:rsidP="00D82385">
      <w:pPr>
        <w:pStyle w:val="ListBullet"/>
      </w:pPr>
      <w:r w:rsidRPr="00084B1B">
        <w:t xml:space="preserve">Aged Care Quality and Safety Commissioner, and </w:t>
      </w:r>
    </w:p>
    <w:p w14:paraId="3380610C" w14:textId="77777777" w:rsidR="00ED244E" w:rsidRPr="00084B1B" w:rsidRDefault="00ED244E" w:rsidP="00D82385">
      <w:pPr>
        <w:pStyle w:val="ListBullet"/>
      </w:pPr>
      <w:r w:rsidRPr="00084B1B">
        <w:t>Complaints Commissioner.</w:t>
      </w:r>
    </w:p>
    <w:p w14:paraId="5F17C826" w14:textId="77777777" w:rsidR="00ED244E" w:rsidRPr="00084B1B" w:rsidRDefault="00ED244E" w:rsidP="00ED244E">
      <w:r w:rsidRPr="00084B1B">
        <w:t>Aged care governance is also supported by the:</w:t>
      </w:r>
    </w:p>
    <w:p w14:paraId="2E663BE3" w14:textId="77777777" w:rsidR="00ED244E" w:rsidRPr="00084B1B" w:rsidRDefault="00ED244E" w:rsidP="00D82385">
      <w:pPr>
        <w:pStyle w:val="ListBullet"/>
      </w:pPr>
      <w:r w:rsidRPr="00084B1B">
        <w:t>Inspector-General of Aged Care</w:t>
      </w:r>
    </w:p>
    <w:p w14:paraId="23144464" w14:textId="77777777" w:rsidR="00ED244E" w:rsidRPr="00084B1B" w:rsidRDefault="00ED244E" w:rsidP="00D82385">
      <w:pPr>
        <w:pStyle w:val="ListBullet"/>
      </w:pPr>
      <w:r w:rsidRPr="00084B1B">
        <w:t>Aged Care Quality and Safety Advisory Council</w:t>
      </w:r>
    </w:p>
    <w:p w14:paraId="5B906A65" w14:textId="77777777" w:rsidR="00ED244E" w:rsidRPr="00084B1B" w:rsidRDefault="00ED244E" w:rsidP="00D82385">
      <w:pPr>
        <w:pStyle w:val="ListBullet"/>
      </w:pPr>
      <w:r w:rsidRPr="00084B1B">
        <w:t>Interim First Nations Aged Care Commissioner</w:t>
      </w:r>
    </w:p>
    <w:p w14:paraId="4E4E9C20" w14:textId="77777777" w:rsidR="00ED244E" w:rsidRPr="00084B1B" w:rsidRDefault="00ED244E" w:rsidP="00D82385">
      <w:pPr>
        <w:pStyle w:val="ListBullet"/>
      </w:pPr>
      <w:r w:rsidRPr="00084B1B">
        <w:t>Independent Health and Aged Care Pricing Authority.</w:t>
      </w:r>
    </w:p>
    <w:p w14:paraId="38C865FF" w14:textId="77777777" w:rsidR="00ED244E" w:rsidRPr="00084B1B" w:rsidRDefault="00ED244E" w:rsidP="00ED244E">
      <w:r w:rsidRPr="00084B1B">
        <w:t>Each of these parties plays a discrete role in ensuring that the aged care system achieves its purpose of providing high levels of care and safety, whilst protecting older people and their right to safe and consistent care.</w:t>
      </w:r>
    </w:p>
    <w:p w14:paraId="7AFDB077" w14:textId="77777777" w:rsidR="00ED244E" w:rsidRPr="00084B1B" w:rsidRDefault="00ED244E" w:rsidP="00ED244E">
      <w:r w:rsidRPr="00084B1B">
        <w:t>Collectively, the administration of the aged care system (including facilitating equitable access to funded aged care services, provider registration, investigation of systemic issues within the system, and the handling of complaints) is critical in ensuring that a person-centred aged care system is maintained.</w:t>
      </w:r>
    </w:p>
    <w:p w14:paraId="7167B459" w14:textId="77777777" w:rsidR="00ED244E" w:rsidRPr="00084B1B" w:rsidRDefault="00ED244E" w:rsidP="00ED244E">
      <w:pPr>
        <w:pStyle w:val="Heading3"/>
      </w:pPr>
      <w:r w:rsidRPr="00084B1B">
        <w:t>Department of Health, Disability and Ageing</w:t>
      </w:r>
    </w:p>
    <w:p w14:paraId="327EA28F" w14:textId="77777777" w:rsidR="00ED244E" w:rsidRPr="00084B1B" w:rsidRDefault="00ED244E" w:rsidP="00ED244E">
      <w:r w:rsidRPr="00084B1B">
        <w:t>The System Governor and the department are responsible for the operation and management of the aged care system.</w:t>
      </w:r>
    </w:p>
    <w:p w14:paraId="3F2F14E7" w14:textId="77777777" w:rsidR="00ED244E" w:rsidRPr="00084B1B" w:rsidRDefault="00ED244E" w:rsidP="00ED244E">
      <w:r w:rsidRPr="00084B1B">
        <w:t>Under the Act, the System Governor is responsible for:</w:t>
      </w:r>
    </w:p>
    <w:p w14:paraId="0C41AA4D" w14:textId="77777777" w:rsidR="00ED244E" w:rsidRPr="00084B1B" w:rsidRDefault="00ED244E" w:rsidP="00D82385">
      <w:pPr>
        <w:pStyle w:val="ListBullet"/>
      </w:pPr>
      <w:r w:rsidRPr="00084B1B">
        <w:t>facilitating equitable access to funded aged care services for older people</w:t>
      </w:r>
    </w:p>
    <w:p w14:paraId="4E2F1148" w14:textId="77777777" w:rsidR="00ED244E" w:rsidRPr="00084B1B" w:rsidRDefault="00ED244E" w:rsidP="00D82385">
      <w:pPr>
        <w:pStyle w:val="ListBullet"/>
      </w:pPr>
      <w:r w:rsidRPr="00084B1B">
        <w:t>supporting the continuity of funded aged care services</w:t>
      </w:r>
    </w:p>
    <w:p w14:paraId="7EB6D1AB" w14:textId="77777777" w:rsidR="00ED244E" w:rsidRPr="00084B1B" w:rsidRDefault="00ED244E" w:rsidP="00D82385">
      <w:pPr>
        <w:pStyle w:val="ListBullet"/>
      </w:pPr>
      <w:r w:rsidRPr="00084B1B">
        <w:t>providing stewardship of the aged care system</w:t>
      </w:r>
    </w:p>
    <w:p w14:paraId="46967725" w14:textId="77777777" w:rsidR="00ED244E" w:rsidRPr="00084B1B" w:rsidRDefault="00ED244E" w:rsidP="00D82385">
      <w:pPr>
        <w:pStyle w:val="ListBullet"/>
      </w:pPr>
      <w:r w:rsidRPr="00084B1B">
        <w:t>protecting and upholding the integrity of the aged care system</w:t>
      </w:r>
    </w:p>
    <w:p w14:paraId="1565A12F" w14:textId="77777777" w:rsidR="00ED244E" w:rsidRPr="00084B1B" w:rsidRDefault="00ED244E" w:rsidP="00D82385">
      <w:pPr>
        <w:pStyle w:val="ListBullet"/>
      </w:pPr>
      <w:r w:rsidRPr="00084B1B">
        <w:t>monitoring and encouraging the training and development of aged care workers</w:t>
      </w:r>
    </w:p>
    <w:p w14:paraId="76E53A46" w14:textId="77777777" w:rsidR="00ED244E" w:rsidRPr="00084B1B" w:rsidRDefault="00ED244E" w:rsidP="00D82385">
      <w:pPr>
        <w:pStyle w:val="ListBullet"/>
      </w:pPr>
      <w:r w:rsidRPr="00084B1B">
        <w:t>reviewing the Australian Government’s administration of the aged care system.</w:t>
      </w:r>
    </w:p>
    <w:p w14:paraId="52F98418" w14:textId="77777777" w:rsidR="00ED244E" w:rsidRPr="00084B1B" w:rsidRDefault="00ED244E" w:rsidP="00ED244E">
      <w:r w:rsidRPr="00084B1B">
        <w:t>The department is responsible for managing the aged care system to ensure the component parts work together effectively.</w:t>
      </w:r>
    </w:p>
    <w:p w14:paraId="494D5F84" w14:textId="77777777" w:rsidR="00ED244E" w:rsidRPr="00084B1B" w:rsidRDefault="00ED244E" w:rsidP="00ED244E">
      <w:r w:rsidRPr="00084B1B">
        <w:t>For the NATSIFACP, this includes responsibility for:</w:t>
      </w:r>
    </w:p>
    <w:p w14:paraId="385619C7" w14:textId="77777777" w:rsidR="00ED244E" w:rsidRPr="00084B1B" w:rsidRDefault="00ED244E" w:rsidP="00D82385">
      <w:pPr>
        <w:pStyle w:val="ListBullet"/>
      </w:pPr>
      <w:r w:rsidRPr="00084B1B">
        <w:t>ensuring that services provided under the NATSIFACP are accountable to the Australian Government under the terms and conditions of the grant agreement</w:t>
      </w:r>
    </w:p>
    <w:p w14:paraId="5A27C46D" w14:textId="77777777" w:rsidR="00ED244E" w:rsidRPr="00084B1B" w:rsidRDefault="00ED244E" w:rsidP="00D82385">
      <w:pPr>
        <w:pStyle w:val="ListBullet"/>
      </w:pPr>
      <w:r w:rsidRPr="00084B1B">
        <w:t>administering funding for the operation of NATSIFACP services in a timely manner</w:t>
      </w:r>
    </w:p>
    <w:p w14:paraId="42A78155" w14:textId="77777777" w:rsidR="00ED244E" w:rsidRPr="00084B1B" w:rsidRDefault="00ED244E" w:rsidP="00D82385">
      <w:pPr>
        <w:pStyle w:val="ListBullet"/>
      </w:pPr>
      <w:r w:rsidRPr="00084B1B">
        <w:t>identifying suitable providers to deliver NATSIFACP services</w:t>
      </w:r>
    </w:p>
    <w:p w14:paraId="2F197DC2" w14:textId="77777777" w:rsidR="00ED244E" w:rsidRPr="00084B1B" w:rsidRDefault="00ED244E" w:rsidP="00D82385">
      <w:pPr>
        <w:pStyle w:val="ListBullet"/>
      </w:pPr>
      <w:r w:rsidRPr="00084B1B">
        <w:t>working in partnership with service providers to ensure services are delivered, and providing service providers with constructive feedback</w:t>
      </w:r>
    </w:p>
    <w:p w14:paraId="7FFA5A2F" w14:textId="77777777" w:rsidR="00ED244E" w:rsidRPr="00084B1B" w:rsidRDefault="00ED244E" w:rsidP="00D82385">
      <w:pPr>
        <w:pStyle w:val="ListBullet"/>
      </w:pPr>
      <w:r w:rsidRPr="00084B1B">
        <w:t>ensuring that the outcomes outlined in the Grant Opportunity Guidelines are being met and evaluating provider performance against these outcomes.</w:t>
      </w:r>
    </w:p>
    <w:p w14:paraId="4262ADB1" w14:textId="77777777" w:rsidR="00ED244E" w:rsidRPr="00084B1B" w:rsidRDefault="00ED244E" w:rsidP="00ED244E">
      <w:r>
        <w:t>The department delegate is responsible for making final decisions in relation to invited applications for grants or ad hoc funding proposals. This includes service delivery areas, sites, proposals for service delivery, capital works or requirements to address a specific need.</w:t>
      </w:r>
    </w:p>
    <w:p w14:paraId="5EAE3970" w14:textId="77777777" w:rsidR="00ED244E" w:rsidRPr="00CE13F4" w:rsidRDefault="00ED244E" w:rsidP="005844FB">
      <w:pPr>
        <w:pStyle w:val="Heading4"/>
        <w:rPr>
          <w:i/>
        </w:rPr>
      </w:pPr>
      <w:r w:rsidRPr="00DD0710">
        <w:t>Program assurance</w:t>
      </w:r>
    </w:p>
    <w:p w14:paraId="5CDE6B3B" w14:textId="77777777" w:rsidR="00ED244E" w:rsidRPr="00084B1B" w:rsidRDefault="00ED244E" w:rsidP="00ED244E">
      <w:r w:rsidRPr="00084B1B">
        <w:t>As part of its System Governor functions to protect and uphold the integrity of the aged care system, the System Governor may conduct assurance activities (refer to Section 508). Assurance activities could relate to how providers under the Act:</w:t>
      </w:r>
    </w:p>
    <w:p w14:paraId="5BC4A5B3" w14:textId="77777777" w:rsidR="00ED244E" w:rsidRPr="00084B1B" w:rsidRDefault="00ED244E" w:rsidP="00D82385">
      <w:pPr>
        <w:pStyle w:val="ListBullet"/>
      </w:pPr>
      <w:r>
        <w:t>use subsidy or grant and charge for services, including justification for costs charged</w:t>
      </w:r>
    </w:p>
    <w:p w14:paraId="2215BA1E" w14:textId="77777777" w:rsidR="00ED244E" w:rsidRPr="00084B1B" w:rsidRDefault="00ED244E" w:rsidP="00D82385">
      <w:pPr>
        <w:pStyle w:val="ListBullet"/>
      </w:pPr>
      <w:r w:rsidRPr="00084B1B">
        <w:t>structure their financial accounting for delivery of service</w:t>
      </w:r>
    </w:p>
    <w:p w14:paraId="3691CE91" w14:textId="77777777" w:rsidR="00ED244E" w:rsidRPr="00084B1B" w:rsidRDefault="00ED244E" w:rsidP="00D82385">
      <w:pPr>
        <w:pStyle w:val="ListBullet"/>
      </w:pPr>
      <w:r w:rsidRPr="00084B1B">
        <w:t>deliver funded aged care service</w:t>
      </w:r>
    </w:p>
    <w:p w14:paraId="12AE56F6" w14:textId="77777777" w:rsidR="00ED244E" w:rsidRPr="00084B1B" w:rsidRDefault="00ED244E" w:rsidP="00D82385">
      <w:pPr>
        <w:pStyle w:val="ListBullet"/>
      </w:pPr>
      <w:r w:rsidRPr="00084B1B">
        <w:t>work with participants</w:t>
      </w:r>
    </w:p>
    <w:p w14:paraId="454ADD61" w14:textId="77777777" w:rsidR="00ED244E" w:rsidRPr="00084B1B" w:rsidRDefault="00ED244E" w:rsidP="00D82385">
      <w:pPr>
        <w:pStyle w:val="ListBullet"/>
      </w:pPr>
      <w:r w:rsidRPr="00084B1B">
        <w:t>keep records and information</w:t>
      </w:r>
    </w:p>
    <w:p w14:paraId="641BAD0D" w14:textId="77777777" w:rsidR="00ED244E" w:rsidRPr="00084B1B" w:rsidRDefault="00ED244E" w:rsidP="00D82385">
      <w:pPr>
        <w:pStyle w:val="ListBullet"/>
      </w:pPr>
      <w:r w:rsidRPr="00084B1B">
        <w:t>apply and document procedures.</w:t>
      </w:r>
    </w:p>
    <w:p w14:paraId="14CAAB42" w14:textId="77777777" w:rsidR="00ED244E" w:rsidRPr="00084B1B" w:rsidRDefault="00ED244E" w:rsidP="00ED244E">
      <w:r w:rsidRPr="00084B1B">
        <w:t>What this means for NATSIFACP providers is that the System Governor (or person assisting the System governor, such as a department officer) may request that a NATSIFAC</w:t>
      </w:r>
      <w:r>
        <w:t>P</w:t>
      </w:r>
      <w:r w:rsidRPr="00084B1B">
        <w:t xml:space="preserve"> provider give information and documents for a relevant assurance activity conducted by the department</w:t>
      </w:r>
      <w:r w:rsidRPr="00084B1B">
        <w:rPr>
          <w:rStyle w:val="FootnoteReference"/>
        </w:rPr>
        <w:footnoteReference w:id="32"/>
      </w:r>
      <w:r w:rsidRPr="00084B1B">
        <w:t>. The System Governor may publish reports on program assurance activities in relation to a NATSIFAC</w:t>
      </w:r>
      <w:r>
        <w:t>P</w:t>
      </w:r>
      <w:r w:rsidRPr="00084B1B">
        <w:t xml:space="preserve"> provider. A NATSIFAC</w:t>
      </w:r>
      <w:r>
        <w:t>P</w:t>
      </w:r>
      <w:r w:rsidRPr="00084B1B">
        <w:t xml:space="preserve"> provider must cooperate with the review process, including relevant findings. </w:t>
      </w:r>
    </w:p>
    <w:p w14:paraId="3E18CD28" w14:textId="77777777" w:rsidR="00ED244E" w:rsidRPr="00084B1B" w:rsidRDefault="00ED244E" w:rsidP="00ED244E">
      <w:r w:rsidRPr="00084B1B">
        <w:t xml:space="preserve">The department will engage with NATSIFACP providers in a culturally sensitive way to support continuous improvement and learning from program assurance activities. The department will not commence provider-related assurance activities until it has engaged with NATSIFACP providers to develop and fine-tune the assurance approach. Further information will be shared over coming months. </w:t>
      </w:r>
    </w:p>
    <w:p w14:paraId="58834AA0" w14:textId="77777777" w:rsidR="00ED244E" w:rsidRPr="00084B1B" w:rsidRDefault="00ED244E" w:rsidP="00ED244E">
      <w:pPr>
        <w:pStyle w:val="Heading3"/>
      </w:pPr>
      <w:r w:rsidRPr="00084B1B">
        <w:t>Local Network</w:t>
      </w:r>
    </w:p>
    <w:p w14:paraId="3FD2C6D3" w14:textId="77777777" w:rsidR="00ED244E" w:rsidRPr="00084B1B" w:rsidRDefault="00ED244E" w:rsidP="00ED244E">
      <w:r w:rsidRPr="00084B1B">
        <w:t>Officers from the department’s Local Network collaborate with a range of service providers, including those funded under the NATSIFACP, to ensure a localised, regional approach to health and aged care system planning, regulation and management.</w:t>
      </w:r>
    </w:p>
    <w:p w14:paraId="1422594F" w14:textId="77777777" w:rsidR="00ED244E" w:rsidRPr="00084B1B" w:rsidRDefault="00ED244E" w:rsidP="00ED244E">
      <w:r w:rsidRPr="00084B1B">
        <w:t>The Local Network are responsible for a range of tasks including:</w:t>
      </w:r>
    </w:p>
    <w:p w14:paraId="04C8D836" w14:textId="77777777" w:rsidR="00ED244E" w:rsidRPr="00084B1B" w:rsidRDefault="00ED244E" w:rsidP="00D82385">
      <w:pPr>
        <w:pStyle w:val="ListBullet"/>
      </w:pPr>
      <w:r w:rsidRPr="00084B1B">
        <w:t>maintaining regular contact with all providers, including NATSIFACP providers</w:t>
      </w:r>
    </w:p>
    <w:p w14:paraId="281B3F0C" w14:textId="77777777" w:rsidR="00ED244E" w:rsidRPr="00084B1B" w:rsidRDefault="00ED244E" w:rsidP="00D82385">
      <w:pPr>
        <w:pStyle w:val="ListBullet"/>
      </w:pPr>
      <w:r w:rsidRPr="00084B1B">
        <w:t>undertaking local engagement activities with NATSIFACP service providers</w:t>
      </w:r>
    </w:p>
    <w:p w14:paraId="384E8860" w14:textId="77777777" w:rsidR="00ED244E" w:rsidRPr="00084B1B" w:rsidRDefault="00ED244E" w:rsidP="00D82385">
      <w:pPr>
        <w:pStyle w:val="ListBullet"/>
      </w:pPr>
      <w:r w:rsidRPr="00084B1B">
        <w:t>engaging and communicating with stakeholders at a local level</w:t>
      </w:r>
    </w:p>
    <w:p w14:paraId="37D29C9F" w14:textId="77777777" w:rsidR="00ED244E" w:rsidRPr="00084B1B" w:rsidRDefault="00ED244E" w:rsidP="00D82385">
      <w:pPr>
        <w:pStyle w:val="ListBullet"/>
      </w:pPr>
      <w:r w:rsidRPr="00084B1B">
        <w:t>supporting service providers that are transitioning into or away from NATSIFACP service delivery, including sharing notifications of intent to transition, coordination between different areas of the department and transition supports</w:t>
      </w:r>
    </w:p>
    <w:p w14:paraId="25CF601F" w14:textId="77777777" w:rsidR="00ED244E" w:rsidRPr="00084B1B" w:rsidRDefault="00ED244E" w:rsidP="00D82385">
      <w:pPr>
        <w:pStyle w:val="ListBullet"/>
      </w:pPr>
      <w:r w:rsidRPr="00084B1B">
        <w:t>collaborating with the department’s national office in response to any emergency situations.</w:t>
      </w:r>
    </w:p>
    <w:p w14:paraId="1FA74F5E" w14:textId="77777777" w:rsidR="00ED244E" w:rsidRPr="00084B1B" w:rsidRDefault="00ED244E" w:rsidP="00ED244E">
      <w:pPr>
        <w:pStyle w:val="Heading3"/>
      </w:pPr>
      <w:r w:rsidRPr="00084B1B">
        <w:t>Department of Social Services Community Grants Hub</w:t>
      </w:r>
    </w:p>
    <w:p w14:paraId="709C9546" w14:textId="77777777" w:rsidR="00ED244E" w:rsidRPr="00084B1B" w:rsidRDefault="00ED244E" w:rsidP="00ED244E">
      <w:r w:rsidRPr="00084B1B">
        <w:t xml:space="preserve">The Department of Social Services Community Grants Hub (Community Grants Hub) manages the NATSIFACP funding agreement on behalf of the Department of Health, Disability and Ageing’s NATSIFACP team. </w:t>
      </w:r>
    </w:p>
    <w:p w14:paraId="42178D40" w14:textId="77777777" w:rsidR="00ED244E" w:rsidRPr="00084B1B" w:rsidRDefault="00ED244E" w:rsidP="00ED244E">
      <w:r w:rsidRPr="00084B1B">
        <w:t>The Community Grants Hub, via the Funding Agreement Managers (FAMs), are responsible for a range of tasks including:</w:t>
      </w:r>
    </w:p>
    <w:p w14:paraId="1C929C9B" w14:textId="77777777" w:rsidR="00ED244E" w:rsidRPr="00084B1B" w:rsidRDefault="00ED244E" w:rsidP="00D82385">
      <w:pPr>
        <w:pStyle w:val="ListBullet"/>
      </w:pPr>
      <w:r w:rsidRPr="00084B1B">
        <w:t>ongoing management of grant funding agreements including performance against the agreement requirements, coordinating submission of milestone reports, payments, funding underspends, rollovers and acquittals, and</w:t>
      </w:r>
    </w:p>
    <w:p w14:paraId="3F8E9D4E" w14:textId="77777777" w:rsidR="00ED244E" w:rsidRPr="00084B1B" w:rsidRDefault="00ED244E" w:rsidP="00D82385">
      <w:pPr>
        <w:pStyle w:val="ListBullet"/>
      </w:pPr>
      <w:r w:rsidRPr="00084B1B">
        <w:t>supporting productive partnerships with NATSIFACP providers.</w:t>
      </w:r>
    </w:p>
    <w:p w14:paraId="5D359F9D" w14:textId="77777777" w:rsidR="00ED244E" w:rsidRPr="00084B1B" w:rsidRDefault="00ED244E" w:rsidP="00ED244E">
      <w:pPr>
        <w:pStyle w:val="Heading3"/>
      </w:pPr>
      <w:r w:rsidRPr="00084B1B">
        <w:t>Aged Care Quality and Safety Commission</w:t>
      </w:r>
    </w:p>
    <w:p w14:paraId="6D39218D" w14:textId="77777777" w:rsidR="00ED244E" w:rsidRPr="00084B1B" w:rsidRDefault="00ED244E" w:rsidP="00ED244E">
      <w:r w:rsidRPr="00084B1B">
        <w:t xml:space="preserve">The </w:t>
      </w:r>
      <w:r w:rsidRPr="006920AA">
        <w:t>Commission</w:t>
      </w:r>
      <w:r w:rsidRPr="00084B1B">
        <w:t xml:space="preserve"> is the national regulator of aged care services, including services delivered under the NATSIFACP. The Commission regulates aged care providers and workers to make sure that they meet their obligations to:</w:t>
      </w:r>
    </w:p>
    <w:p w14:paraId="43C8FE0E" w14:textId="77777777" w:rsidR="00ED244E" w:rsidRPr="00084B1B" w:rsidRDefault="00ED244E" w:rsidP="00D82385">
      <w:pPr>
        <w:pStyle w:val="ListBullet"/>
      </w:pPr>
      <w:r w:rsidRPr="00084B1B">
        <w:t>provide safe and quality care</w:t>
      </w:r>
    </w:p>
    <w:p w14:paraId="10C74537" w14:textId="77777777" w:rsidR="00ED244E" w:rsidRPr="00084B1B" w:rsidRDefault="00ED244E" w:rsidP="00D82385">
      <w:pPr>
        <w:pStyle w:val="ListBullet"/>
      </w:pPr>
      <w:r w:rsidRPr="00084B1B">
        <w:t>treat the older people receiving their services with dignity and respect.</w:t>
      </w:r>
    </w:p>
    <w:p w14:paraId="47B7188F" w14:textId="77777777" w:rsidR="00ED244E" w:rsidRPr="00084B1B" w:rsidRDefault="00ED244E" w:rsidP="00ED244E">
      <w:r w:rsidRPr="00084B1B">
        <w:t>Registered providers are responsible for their delivery of care and services at all times. The Commission expects providers to not only deliver high-quality, culturally safe care that meets the needs of older people, but to also actively monitor opportunities, and make efforts, to improve.</w:t>
      </w:r>
    </w:p>
    <w:p w14:paraId="56360E06" w14:textId="77777777" w:rsidR="00ED244E" w:rsidRPr="00084B1B" w:rsidRDefault="00ED244E" w:rsidP="00ED244E">
      <w:r w:rsidRPr="00084B1B">
        <w:t>The Commission was established on 1 January 2019. It oversees all aged care providers (including NATSIFACP providers) and operates independently of other regulatory bodies to:</w:t>
      </w:r>
    </w:p>
    <w:p w14:paraId="72C4E17B" w14:textId="77777777" w:rsidR="00ED244E" w:rsidRPr="00084B1B" w:rsidRDefault="00ED244E" w:rsidP="00D82385">
      <w:pPr>
        <w:pStyle w:val="ListBullet"/>
      </w:pPr>
      <w:r w:rsidRPr="00084B1B">
        <w:t xml:space="preserve">register aged care providers  </w:t>
      </w:r>
    </w:p>
    <w:p w14:paraId="060B1BB5" w14:textId="77777777" w:rsidR="00ED244E" w:rsidRPr="00084B1B" w:rsidRDefault="00ED244E" w:rsidP="00D82385">
      <w:pPr>
        <w:pStyle w:val="ListBullet"/>
      </w:pPr>
      <w:r w:rsidRPr="00084B1B">
        <w:t>conduct quality reviews and monitoring of aged care services in accordance with the Aged Care Code of Conduct and the strengthened Aged Care Quality Standards</w:t>
      </w:r>
    </w:p>
    <w:p w14:paraId="73329125" w14:textId="77777777" w:rsidR="00ED244E" w:rsidRPr="00084B1B" w:rsidRDefault="00ED244E" w:rsidP="00D82385">
      <w:pPr>
        <w:pStyle w:val="ListBullet"/>
      </w:pPr>
      <w:r w:rsidRPr="00084B1B">
        <w:t xml:space="preserve">resolve complaints about aged care services </w:t>
      </w:r>
    </w:p>
    <w:p w14:paraId="75F72097" w14:textId="2056EB37" w:rsidR="00ED244E" w:rsidRDefault="00ED244E" w:rsidP="00D82385">
      <w:pPr>
        <w:pStyle w:val="ListBullet"/>
      </w:pPr>
      <w:r w:rsidRPr="00084B1B">
        <w:t xml:space="preserve">administer the </w:t>
      </w:r>
      <w:hyperlink w:anchor="SIRS" w:history="1">
        <w:r w:rsidRPr="00D206B6">
          <w:rPr>
            <w:rStyle w:val="Hyperlink"/>
          </w:rPr>
          <w:t>Serious Incident Response Scheme</w:t>
        </w:r>
      </w:hyperlink>
      <w:r>
        <w:t>, and</w:t>
      </w:r>
    </w:p>
    <w:p w14:paraId="24AA2D47" w14:textId="77777777" w:rsidR="00ED244E" w:rsidRPr="00084B1B" w:rsidRDefault="00ED244E" w:rsidP="00D82385">
      <w:pPr>
        <w:pStyle w:val="ListBullet"/>
      </w:pPr>
      <w:r>
        <w:t xml:space="preserve">monitoring the </w:t>
      </w:r>
      <w:hyperlink r:id="rId105">
        <w:r w:rsidRPr="3C75464A">
          <w:rPr>
            <w:rStyle w:val="Hyperlink"/>
          </w:rPr>
          <w:t>financial viability of registered providers</w:t>
        </w:r>
      </w:hyperlink>
      <w:r>
        <w:t>.</w:t>
      </w:r>
    </w:p>
    <w:p w14:paraId="23BDC834" w14:textId="52323191" w:rsidR="00F527D3" w:rsidRDefault="00F527D3" w:rsidP="00ED244E">
      <w:pPr>
        <w:sectPr w:rsidR="00F527D3" w:rsidSect="00E33A42">
          <w:footerReference w:type="even" r:id="rId106"/>
          <w:footerReference w:type="default" r:id="rId107"/>
          <w:pgSz w:w="11906" w:h="16838"/>
          <w:pgMar w:top="1701" w:right="1418" w:bottom="1418" w:left="1418" w:header="709" w:footer="709" w:gutter="0"/>
          <w:cols w:space="708"/>
          <w:docGrid w:linePitch="360"/>
        </w:sectPr>
      </w:pPr>
    </w:p>
    <w:p w14:paraId="61052E15" w14:textId="604278CF" w:rsidR="00F817EC" w:rsidRDefault="00F817EC" w:rsidP="00F817EC">
      <w:pPr>
        <w:pStyle w:val="SectionNumber"/>
      </w:pPr>
      <w:bookmarkStart w:id="124" w:name="Chapter6"/>
      <w:bookmarkStart w:id="125" w:name="_Toc212713663"/>
      <w:bookmarkEnd w:id="124"/>
      <w:r w:rsidRPr="00D7030B">
        <w:drawing>
          <wp:anchor distT="0" distB="0" distL="114300" distR="114300" simplePos="0" relativeHeight="251658263" behindDoc="0" locked="0" layoutInCell="1" allowOverlap="1" wp14:anchorId="10F3ADE1" wp14:editId="277DD61D">
            <wp:simplePos x="0" y="0"/>
            <wp:positionH relativeFrom="column">
              <wp:posOffset>-2061845</wp:posOffset>
            </wp:positionH>
            <wp:positionV relativeFrom="paragraph">
              <wp:posOffset>297815</wp:posOffset>
            </wp:positionV>
            <wp:extent cx="1842770" cy="1892300"/>
            <wp:effectExtent l="0" t="0" r="0" b="0"/>
            <wp:wrapNone/>
            <wp:docPr id="1904181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54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892300"/>
                    </a:xfrm>
                    <a:prstGeom prst="rect">
                      <a:avLst/>
                    </a:prstGeom>
                  </pic:spPr>
                </pic:pic>
              </a:graphicData>
            </a:graphic>
            <wp14:sizeRelH relativeFrom="page">
              <wp14:pctWidth>0</wp14:pctWidth>
            </wp14:sizeRelH>
            <wp14:sizeRelV relativeFrom="page">
              <wp14:pctHeight>0</wp14:pctHeight>
            </wp14:sizeRelV>
          </wp:anchor>
        </w:drawing>
      </w:r>
      <w:r w:rsidRPr="00444D55">
        <w:drawing>
          <wp:anchor distT="0" distB="0" distL="114300" distR="114300" simplePos="0" relativeHeight="251658264" behindDoc="0" locked="0" layoutInCell="1" allowOverlap="1" wp14:anchorId="27EB4323" wp14:editId="077B5EC6">
            <wp:simplePos x="0" y="0"/>
            <wp:positionH relativeFrom="column">
              <wp:posOffset>-347345</wp:posOffset>
            </wp:positionH>
            <wp:positionV relativeFrom="paragraph">
              <wp:posOffset>7574915</wp:posOffset>
            </wp:positionV>
            <wp:extent cx="1460500" cy="1496695"/>
            <wp:effectExtent l="0" t="0" r="0" b="1905"/>
            <wp:wrapNone/>
            <wp:docPr id="4845223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701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Pr="00CC09BC">
        <mc:AlternateContent>
          <mc:Choice Requires="wps">
            <w:drawing>
              <wp:anchor distT="0" distB="0" distL="114300" distR="114300" simplePos="0" relativeHeight="251658261" behindDoc="1" locked="0" layoutInCell="1" allowOverlap="1" wp14:anchorId="22EF893B" wp14:editId="5A7051DB">
                <wp:simplePos x="171450" y="400050"/>
                <wp:positionH relativeFrom="page">
                  <wp:align>left</wp:align>
                </wp:positionH>
                <wp:positionV relativeFrom="page">
                  <wp:align>top</wp:align>
                </wp:positionV>
                <wp:extent cx="7560000" cy="10692000"/>
                <wp:effectExtent l="0" t="0" r="0" b="1905"/>
                <wp:wrapNone/>
                <wp:docPr id="382770358" name="Rectangle 382770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D47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AD0B444">
              <v:rect id="Rectangle 382770358" style="position:absolute;margin-left:0;margin-top:0;width:595.3pt;height:841.9pt;z-index:-25165821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d4794" stroked="f" strokeweight="2pt" w14:anchorId="578D4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">
                <w10:wrap anchorx="page" anchory="page"/>
              </v:rect>
            </w:pict>
          </mc:Fallback>
        </mc:AlternateContent>
      </w:r>
      <w:r>
        <w:t xml:space="preserve">Chapter </w:t>
      </w:r>
      <w:r w:rsidR="009C1336">
        <w:t>6</w:t>
      </w:r>
    </w:p>
    <w:p w14:paraId="1EC5C3DB" w14:textId="13F71EB5" w:rsidR="00F817EC" w:rsidRPr="00CA5C9D" w:rsidRDefault="00B143DB" w:rsidP="00CA5C9D">
      <w:pPr>
        <w:pStyle w:val="SectionTitle"/>
      </w:pPr>
      <w:r w:rsidRPr="00CA5C9D">
        <w:rPr>
          <w:noProof/>
        </w:rPr>
        <w:drawing>
          <wp:anchor distT="0" distB="0" distL="114300" distR="114300" simplePos="0" relativeHeight="251658262" behindDoc="0" locked="0" layoutInCell="1" allowOverlap="1" wp14:anchorId="23F77570" wp14:editId="5422AF6A">
            <wp:simplePos x="0" y="0"/>
            <wp:positionH relativeFrom="page">
              <wp:posOffset>2908935</wp:posOffset>
            </wp:positionH>
            <wp:positionV relativeFrom="page">
              <wp:posOffset>8750300</wp:posOffset>
            </wp:positionV>
            <wp:extent cx="4642485" cy="1925955"/>
            <wp:effectExtent l="0" t="0" r="5715" b="4445"/>
            <wp:wrapNone/>
            <wp:docPr id="7762854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8185" name="Picture 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472" w:rsidRPr="00CA5C9D">
        <w:t>Regulatory mechanisms</w:t>
      </w:r>
      <w:r w:rsidR="00F817EC" w:rsidRPr="00CA5C9D">
        <w:br w:type="page"/>
      </w:r>
    </w:p>
    <w:p w14:paraId="4E4EABCE" w14:textId="77777777" w:rsidR="00ED244E" w:rsidRPr="00D15F3A" w:rsidRDefault="00ED244E" w:rsidP="00D15F3A">
      <w:pPr>
        <w:pStyle w:val="Heading1"/>
      </w:pPr>
      <w:bookmarkStart w:id="126" w:name="_Chapter_6_–"/>
      <w:bookmarkStart w:id="127" w:name="_Toc225416235"/>
      <w:bookmarkEnd w:id="126"/>
      <w:r w:rsidRPr="00D15F3A">
        <w:t>Chapter 6 – Regulatory mechanisms</w:t>
      </w:r>
      <w:bookmarkEnd w:id="125"/>
      <w:bookmarkEnd w:id="127"/>
    </w:p>
    <w:p w14:paraId="3B21EBE8" w14:textId="77777777" w:rsidR="00ED244E" w:rsidRPr="00084B1B" w:rsidRDefault="00ED244E" w:rsidP="00ED244E">
      <w:pPr>
        <w:pStyle w:val="Heading2"/>
      </w:pPr>
      <w:bookmarkStart w:id="128" w:name="_Toc212713664"/>
      <w:bookmarkStart w:id="129" w:name="_Toc225416236"/>
      <w:r w:rsidRPr="00084B1B">
        <w:t xml:space="preserve">New </w:t>
      </w:r>
      <w:r>
        <w:t>r</w:t>
      </w:r>
      <w:r w:rsidRPr="00084B1B">
        <w:t xml:space="preserve">egulatory </w:t>
      </w:r>
      <w:r>
        <w:t>m</w:t>
      </w:r>
      <w:r w:rsidRPr="00084B1B">
        <w:t>odel</w:t>
      </w:r>
      <w:bookmarkEnd w:id="128"/>
      <w:bookmarkEnd w:id="129"/>
    </w:p>
    <w:p w14:paraId="1F63F69B" w14:textId="77777777" w:rsidR="00ED244E" w:rsidRPr="00084B1B" w:rsidRDefault="00ED244E" w:rsidP="00ED244E">
      <w:r w:rsidRPr="00084B1B">
        <w:t>The Act introduces a new regulatory model that sets out how all aged care providers are required to operate under the Act. It includes provider registration and obligations, monitoring and enforcement, and complaints and whistle-blower protections.</w:t>
      </w:r>
    </w:p>
    <w:p w14:paraId="58F84B2F" w14:textId="492DEE14" w:rsidR="00ED244E" w:rsidRPr="00084B1B" w:rsidRDefault="00ED244E" w:rsidP="00ED244E">
      <w:r w:rsidRPr="00084B1B">
        <w:t xml:space="preserve">The new model </w:t>
      </w:r>
      <w:r w:rsidR="00006556">
        <w:t>introduces</w:t>
      </w:r>
      <w:r w:rsidRPr="00084B1B">
        <w:t>:</w:t>
      </w:r>
    </w:p>
    <w:p w14:paraId="486930BA" w14:textId="6CFF14D1" w:rsidR="00ED244E" w:rsidRPr="00084B1B" w:rsidRDefault="00ED244E" w:rsidP="00D82385">
      <w:pPr>
        <w:pStyle w:val="ListBullet"/>
      </w:pPr>
      <w:r w:rsidRPr="00084B1B">
        <w:rPr>
          <w:b/>
          <w:bCs/>
        </w:rPr>
        <w:t>universal registration</w:t>
      </w:r>
      <w:r w:rsidRPr="00084B1B">
        <w:t xml:space="preserve"> – a single registration for each provider across all aged care programs they deliver</w:t>
      </w:r>
    </w:p>
    <w:p w14:paraId="067F2392" w14:textId="77777777" w:rsidR="00ED244E" w:rsidRPr="00084B1B" w:rsidRDefault="00ED244E" w:rsidP="00D82385">
      <w:pPr>
        <w:pStyle w:val="ListBullet"/>
      </w:pPr>
      <w:r w:rsidRPr="00084B1B">
        <w:rPr>
          <w:b/>
          <w:bCs/>
        </w:rPr>
        <w:t>obligations</w:t>
      </w:r>
      <w:r w:rsidRPr="00084B1B">
        <w:t xml:space="preserve"> that reflect the types of services delivered</w:t>
      </w:r>
    </w:p>
    <w:p w14:paraId="56843CE7" w14:textId="77777777" w:rsidR="00ED244E" w:rsidRPr="00084B1B" w:rsidRDefault="00ED244E" w:rsidP="00D82385">
      <w:pPr>
        <w:pStyle w:val="ListBullet"/>
      </w:pPr>
      <w:r w:rsidRPr="00084B1B">
        <w:rPr>
          <w:b/>
          <w:bCs/>
        </w:rPr>
        <w:t>more protections</w:t>
      </w:r>
      <w:r w:rsidRPr="00084B1B">
        <w:t xml:space="preserve"> that place the rights and needs of older people at the centre of aged care to help them feel confident about their care</w:t>
      </w:r>
    </w:p>
    <w:p w14:paraId="2A2151D8" w14:textId="77777777" w:rsidR="00ED244E" w:rsidRPr="00084B1B" w:rsidRDefault="00ED244E" w:rsidP="00D82385">
      <w:pPr>
        <w:pStyle w:val="ListBullet"/>
      </w:pPr>
      <w:r w:rsidRPr="00084B1B">
        <w:rPr>
          <w:b/>
          <w:bCs/>
        </w:rPr>
        <w:t>ways for providers demonstrating excellence to be recognised</w:t>
      </w:r>
      <w:r w:rsidRPr="00084B1B">
        <w:t>, such as longer registration periods and graded audits against the strengthened Aged Care Quality Standards.</w:t>
      </w:r>
    </w:p>
    <w:p w14:paraId="5B4DA2D5" w14:textId="77777777" w:rsidR="00ED244E" w:rsidRPr="00084B1B" w:rsidRDefault="00ED244E" w:rsidP="00ED244E">
      <w:r w:rsidRPr="00084B1B">
        <w:t xml:space="preserve">The new system makes it easier for providers to offer different types of aged care services by simplifying assessment arrangements for </w:t>
      </w:r>
      <w:r>
        <w:t>individual</w:t>
      </w:r>
      <w:r w:rsidRPr="00084B1B">
        <w:t xml:space="preserve">s and by clearly explaining what the provider responsibilities are for each type of service. </w:t>
      </w:r>
    </w:p>
    <w:p w14:paraId="069E0DDF" w14:textId="77777777" w:rsidR="00D95472" w:rsidRDefault="00ED244E" w:rsidP="00ED244E">
      <w:pPr>
        <w:sectPr w:rsidR="00D95472" w:rsidSect="00E33A42">
          <w:footerReference w:type="even" r:id="rId108"/>
          <w:pgSz w:w="11906" w:h="16838"/>
          <w:pgMar w:top="1701" w:right="1418" w:bottom="1418" w:left="1418" w:header="709" w:footer="709" w:gutter="0"/>
          <w:cols w:space="708"/>
          <w:docGrid w:linePitch="360"/>
        </w:sectPr>
      </w:pPr>
      <w:r w:rsidRPr="00084B1B">
        <w:t>Specific obligations and responsibilities for NATSIFACP providers under the new regulatory model are outlined throughout this program manual.</w:t>
      </w:r>
      <w:r w:rsidRPr="00084B1B">
        <w:br w:type="page"/>
      </w:r>
    </w:p>
    <w:p w14:paraId="220010FA" w14:textId="79125E82" w:rsidR="00F817EC" w:rsidRDefault="00F817EC" w:rsidP="00F817EC">
      <w:pPr>
        <w:pStyle w:val="SectionNumber"/>
      </w:pPr>
      <w:bookmarkStart w:id="130" w:name="_Toc212713665"/>
      <w:r w:rsidRPr="00D7030B">
        <w:drawing>
          <wp:anchor distT="0" distB="0" distL="114300" distR="114300" simplePos="0" relativeHeight="251658267" behindDoc="0" locked="0" layoutInCell="1" allowOverlap="1" wp14:anchorId="71E389E2" wp14:editId="05A53140">
            <wp:simplePos x="0" y="0"/>
            <wp:positionH relativeFrom="column">
              <wp:posOffset>-2061845</wp:posOffset>
            </wp:positionH>
            <wp:positionV relativeFrom="paragraph">
              <wp:posOffset>297815</wp:posOffset>
            </wp:positionV>
            <wp:extent cx="1842770" cy="1892300"/>
            <wp:effectExtent l="0" t="0" r="0" b="0"/>
            <wp:wrapNone/>
            <wp:docPr id="7650578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54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892300"/>
                    </a:xfrm>
                    <a:prstGeom prst="rect">
                      <a:avLst/>
                    </a:prstGeom>
                  </pic:spPr>
                </pic:pic>
              </a:graphicData>
            </a:graphic>
            <wp14:sizeRelH relativeFrom="page">
              <wp14:pctWidth>0</wp14:pctWidth>
            </wp14:sizeRelH>
            <wp14:sizeRelV relativeFrom="page">
              <wp14:pctHeight>0</wp14:pctHeight>
            </wp14:sizeRelV>
          </wp:anchor>
        </w:drawing>
      </w:r>
      <w:r w:rsidRPr="00444D55">
        <w:drawing>
          <wp:anchor distT="0" distB="0" distL="114300" distR="114300" simplePos="0" relativeHeight="251658268" behindDoc="0" locked="0" layoutInCell="1" allowOverlap="1" wp14:anchorId="0DD644FC" wp14:editId="70212D0B">
            <wp:simplePos x="0" y="0"/>
            <wp:positionH relativeFrom="column">
              <wp:posOffset>-347345</wp:posOffset>
            </wp:positionH>
            <wp:positionV relativeFrom="paragraph">
              <wp:posOffset>7574915</wp:posOffset>
            </wp:positionV>
            <wp:extent cx="1460500" cy="1496695"/>
            <wp:effectExtent l="0" t="0" r="0" b="1905"/>
            <wp:wrapNone/>
            <wp:docPr id="19594013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701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Pr="00CC09BC">
        <mc:AlternateContent>
          <mc:Choice Requires="wps">
            <w:drawing>
              <wp:anchor distT="0" distB="0" distL="114300" distR="114300" simplePos="0" relativeHeight="251658265" behindDoc="1" locked="0" layoutInCell="1" allowOverlap="1" wp14:anchorId="43C9F35C" wp14:editId="3589EDB5">
                <wp:simplePos x="171450" y="400050"/>
                <wp:positionH relativeFrom="page">
                  <wp:align>left</wp:align>
                </wp:positionH>
                <wp:positionV relativeFrom="page">
                  <wp:align>top</wp:align>
                </wp:positionV>
                <wp:extent cx="7560000" cy="10692000"/>
                <wp:effectExtent l="0" t="0" r="0" b="1905"/>
                <wp:wrapNone/>
                <wp:docPr id="1261855682" name="Rectangle 12618556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D47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122B289">
              <v:rect id="Rectangle 1261855682" style="position:absolute;margin-left:0;margin-top:0;width:595.3pt;height:841.9pt;z-index:-25165821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d4794" stroked="f" strokeweight="2pt" w14:anchorId="450B95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">
                <w10:wrap anchorx="page" anchory="page"/>
              </v:rect>
            </w:pict>
          </mc:Fallback>
        </mc:AlternateContent>
      </w:r>
      <w:r>
        <w:t xml:space="preserve">Chapter </w:t>
      </w:r>
      <w:r w:rsidR="00D95472">
        <w:t>7</w:t>
      </w:r>
    </w:p>
    <w:p w14:paraId="7797F86B" w14:textId="50C08B19" w:rsidR="00F817EC" w:rsidRPr="00CA5C9D" w:rsidRDefault="001C1128" w:rsidP="00CA5C9D">
      <w:pPr>
        <w:pStyle w:val="SectionTitle"/>
      </w:pPr>
      <w:r w:rsidRPr="00CA5C9D">
        <w:rPr>
          <w:noProof/>
        </w:rPr>
        <w:drawing>
          <wp:anchor distT="0" distB="0" distL="114300" distR="114300" simplePos="0" relativeHeight="251658266" behindDoc="0" locked="0" layoutInCell="1" allowOverlap="1" wp14:anchorId="1C222A84" wp14:editId="52471B99">
            <wp:simplePos x="0" y="0"/>
            <wp:positionH relativeFrom="page">
              <wp:posOffset>2906395</wp:posOffset>
            </wp:positionH>
            <wp:positionV relativeFrom="page">
              <wp:posOffset>8755910</wp:posOffset>
            </wp:positionV>
            <wp:extent cx="4642485" cy="1925955"/>
            <wp:effectExtent l="0" t="0" r="5715" b="0"/>
            <wp:wrapNone/>
            <wp:docPr id="6814277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8185" name="Picture 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472" w:rsidRPr="00CA5C9D">
        <w:t>Information management and reporting</w:t>
      </w:r>
      <w:r w:rsidR="00F817EC" w:rsidRPr="00CA5C9D">
        <w:br w:type="page"/>
      </w:r>
    </w:p>
    <w:p w14:paraId="7F277A3A" w14:textId="77777777" w:rsidR="00ED244E" w:rsidRPr="00D15F3A" w:rsidRDefault="00ED244E" w:rsidP="00D15F3A">
      <w:pPr>
        <w:pStyle w:val="Heading1"/>
      </w:pPr>
      <w:bookmarkStart w:id="131" w:name="_Toc225416237"/>
      <w:r w:rsidRPr="00D15F3A">
        <w:t>Chapter 7 – Information management and reporting</w:t>
      </w:r>
      <w:bookmarkEnd w:id="130"/>
      <w:bookmarkEnd w:id="131"/>
    </w:p>
    <w:p w14:paraId="28891029" w14:textId="77777777" w:rsidR="00ED244E" w:rsidRDefault="00ED244E" w:rsidP="00ED244E">
      <w:pPr>
        <w:pStyle w:val="Heading2"/>
      </w:pPr>
      <w:bookmarkStart w:id="132" w:name="_Toc208838012"/>
      <w:bookmarkStart w:id="133" w:name="_Toc212713666"/>
      <w:bookmarkStart w:id="134" w:name="_Toc225416238"/>
      <w:r>
        <w:t>Reporting</w:t>
      </w:r>
      <w:bookmarkEnd w:id="132"/>
      <w:bookmarkEnd w:id="133"/>
      <w:bookmarkEnd w:id="134"/>
    </w:p>
    <w:p w14:paraId="2D3DCFEF" w14:textId="77777777" w:rsidR="00ED244E" w:rsidRPr="00FE1BE5" w:rsidRDefault="00ED244E" w:rsidP="00ED244E">
      <w:pPr>
        <w:rPr>
          <w:rFonts w:cs="Arial"/>
        </w:rPr>
      </w:pPr>
      <w:r w:rsidRPr="00FE1BE5">
        <w:rPr>
          <w:rFonts w:cs="Arial"/>
        </w:rPr>
        <w:t>Reports are critical tools for informed decision-making, compliance, transparency and accountability, program improvements, resource allocation, and clear and accurate communication between program stakeholders.</w:t>
      </w:r>
    </w:p>
    <w:p w14:paraId="375ED1E6" w14:textId="77777777" w:rsidR="00ED244E" w:rsidRPr="00FE1BE5" w:rsidRDefault="00ED244E" w:rsidP="00ED244E">
      <w:pPr>
        <w:rPr>
          <w:rFonts w:cs="Arial"/>
        </w:rPr>
      </w:pPr>
      <w:r w:rsidRPr="00FE1BE5">
        <w:rPr>
          <w:rFonts w:cs="Arial"/>
        </w:rPr>
        <w:t>This section outlines the report</w:t>
      </w:r>
      <w:r>
        <w:rPr>
          <w:rFonts w:cs="Arial"/>
        </w:rPr>
        <w:t>ing</w:t>
      </w:r>
      <w:r w:rsidRPr="00FE1BE5">
        <w:rPr>
          <w:rFonts w:cs="Arial"/>
        </w:rPr>
        <w:t xml:space="preserve"> that </w:t>
      </w:r>
      <w:r>
        <w:rPr>
          <w:rFonts w:cs="Arial"/>
        </w:rPr>
        <w:t>is required for NATSIFACP providers under the Act,</w:t>
      </w:r>
      <w:r w:rsidRPr="00FE1BE5">
        <w:rPr>
          <w:rFonts w:cs="Arial"/>
        </w:rPr>
        <w:t xml:space="preserve"> </w:t>
      </w:r>
      <w:r>
        <w:rPr>
          <w:rFonts w:cs="Arial"/>
        </w:rPr>
        <w:t xml:space="preserve">the records that must be retained </w:t>
      </w:r>
      <w:r w:rsidRPr="00FE1BE5">
        <w:rPr>
          <w:rFonts w:cs="Arial"/>
        </w:rPr>
        <w:t xml:space="preserve">and the ways in which collected data is used. </w:t>
      </w:r>
    </w:p>
    <w:p w14:paraId="4BA748BC" w14:textId="77777777" w:rsidR="00ED244E" w:rsidRPr="00FE1BE5" w:rsidRDefault="00ED244E" w:rsidP="00ED244E">
      <w:pPr>
        <w:pStyle w:val="Heading3"/>
      </w:pPr>
      <w:r w:rsidRPr="00FE1BE5">
        <w:t>Service Activity Reports</w:t>
      </w:r>
    </w:p>
    <w:p w14:paraId="6B9E2884" w14:textId="77777777" w:rsidR="00ED244E" w:rsidRPr="00FE1BE5" w:rsidRDefault="00ED244E" w:rsidP="00ED244E">
      <w:pPr>
        <w:rPr>
          <w:rFonts w:cs="Arial"/>
        </w:rPr>
      </w:pPr>
      <w:r w:rsidRPr="00FE1BE5">
        <w:rPr>
          <w:rFonts w:cs="Arial"/>
        </w:rPr>
        <w:t>NATSIFAC</w:t>
      </w:r>
      <w:r>
        <w:rPr>
          <w:rFonts w:cs="Arial"/>
        </w:rPr>
        <w:t>P</w:t>
      </w:r>
      <w:r w:rsidRPr="00FE1BE5">
        <w:rPr>
          <w:rFonts w:cs="Arial"/>
        </w:rPr>
        <w:t xml:space="preserve"> Service Activity Reports (SARs) (also referred to as Performance Reports) are submitted twice a year on a template provided by the department. These reports are due each year on:</w:t>
      </w:r>
    </w:p>
    <w:p w14:paraId="2D853016" w14:textId="77777777" w:rsidR="00ED244E" w:rsidRPr="00FE1BE5" w:rsidRDefault="00ED244E" w:rsidP="00D82385">
      <w:pPr>
        <w:pStyle w:val="ListBullet"/>
      </w:pPr>
      <w:r w:rsidRPr="00FE1BE5">
        <w:t xml:space="preserve">27 January for the 6-month period </w:t>
      </w:r>
      <w:r>
        <w:t>1 July to</w:t>
      </w:r>
      <w:r w:rsidRPr="00FE1BE5">
        <w:t xml:space="preserve"> 31 December</w:t>
      </w:r>
      <w:r>
        <w:t>, and</w:t>
      </w:r>
    </w:p>
    <w:p w14:paraId="699297A1" w14:textId="77777777" w:rsidR="00ED244E" w:rsidRPr="00FE1BE5" w:rsidRDefault="00ED244E" w:rsidP="00D82385">
      <w:pPr>
        <w:pStyle w:val="ListBullet"/>
      </w:pPr>
      <w:r w:rsidRPr="00FE1BE5">
        <w:t xml:space="preserve">27 July for the 6-month period </w:t>
      </w:r>
      <w:r>
        <w:t>1 January to</w:t>
      </w:r>
      <w:r w:rsidRPr="00FE1BE5">
        <w:t xml:space="preserve"> 30 June.</w:t>
      </w:r>
      <w:r>
        <w:rPr>
          <w:rStyle w:val="FootnoteReference"/>
          <w:rFonts w:cs="Arial"/>
        </w:rPr>
        <w:footnoteReference w:id="33"/>
      </w:r>
    </w:p>
    <w:p w14:paraId="37CFDAF3" w14:textId="77777777" w:rsidR="00ED244E" w:rsidRPr="00FE1BE5" w:rsidRDefault="00ED244E" w:rsidP="00ED244E">
      <w:pPr>
        <w:rPr>
          <w:rFonts w:cs="Arial"/>
        </w:rPr>
      </w:pPr>
      <w:r w:rsidRPr="60F6E43B">
        <w:rPr>
          <w:rFonts w:cs="Arial"/>
        </w:rPr>
        <w:t xml:space="preserve">For the reporting period, SARs must </w:t>
      </w:r>
      <w:r>
        <w:rPr>
          <w:rFonts w:cs="Arial"/>
        </w:rPr>
        <w:t>be in a report form approved by the System Governor, and include</w:t>
      </w:r>
      <w:r>
        <w:rPr>
          <w:rStyle w:val="FootnoteReference"/>
          <w:rFonts w:cs="Arial"/>
        </w:rPr>
        <w:footnoteReference w:id="34"/>
      </w:r>
      <w:r w:rsidRPr="60F6E43B">
        <w:rPr>
          <w:rFonts w:cs="Arial"/>
        </w:rPr>
        <w:t>:</w:t>
      </w:r>
    </w:p>
    <w:p w14:paraId="3C0F5F7D" w14:textId="77777777" w:rsidR="00ED244E" w:rsidRDefault="00ED244E" w:rsidP="00D82385">
      <w:pPr>
        <w:pStyle w:val="ListBullet"/>
      </w:pPr>
      <w:r w:rsidRPr="00B34997">
        <w:t xml:space="preserve">information about labour worked hours data for registered nurses, enrolled nurses, personal care workers and allied health professionals </w:t>
      </w:r>
    </w:p>
    <w:p w14:paraId="34CF15A1" w14:textId="77777777" w:rsidR="00ED244E" w:rsidRDefault="00ED244E" w:rsidP="00D82385">
      <w:pPr>
        <w:pStyle w:val="ListBullet"/>
      </w:pPr>
      <w:r w:rsidRPr="009F4304">
        <w:t xml:space="preserve">information about labour cost for registered nurses, enrolled nurses, personal care workers and allied health professionals </w:t>
      </w:r>
    </w:p>
    <w:p w14:paraId="077D8574" w14:textId="77777777" w:rsidR="00ED244E" w:rsidRDefault="00ED244E" w:rsidP="00D82385">
      <w:pPr>
        <w:pStyle w:val="ListBullet"/>
      </w:pPr>
      <w:r w:rsidRPr="007C3FC4">
        <w:t>information about the number of occupied beds</w:t>
      </w:r>
    </w:p>
    <w:p w14:paraId="75755CF3" w14:textId="77777777" w:rsidR="00ED244E" w:rsidRDefault="00ED244E" w:rsidP="00D82385">
      <w:pPr>
        <w:pStyle w:val="ListBullet"/>
      </w:pPr>
      <w:r w:rsidRPr="00187102">
        <w:t>de-identified profiles of each aged care worker</w:t>
      </w:r>
    </w:p>
    <w:p w14:paraId="327BBDC1" w14:textId="77777777" w:rsidR="00ED244E" w:rsidRDefault="00ED244E" w:rsidP="00D82385">
      <w:pPr>
        <w:pStyle w:val="ListBullet"/>
      </w:pPr>
      <w:r w:rsidRPr="009A73CD">
        <w:t>the number of individuals accessing funded aged care services</w:t>
      </w:r>
    </w:p>
    <w:p w14:paraId="502B691B" w14:textId="77777777" w:rsidR="00ED244E" w:rsidRDefault="00ED244E" w:rsidP="00D82385">
      <w:pPr>
        <w:pStyle w:val="ListBullet"/>
      </w:pPr>
      <w:r w:rsidRPr="00A72801">
        <w:t>the number and type of health profession visits during the reporting period</w:t>
      </w:r>
    </w:p>
    <w:p w14:paraId="2C6C2267" w14:textId="77777777" w:rsidR="00ED244E" w:rsidRDefault="00ED244E" w:rsidP="00D82385">
      <w:pPr>
        <w:pStyle w:val="ListBullet"/>
      </w:pPr>
      <w:r w:rsidRPr="00A10971">
        <w:t>the number and type of traditional or cultural events individuals accessing funded aged care services were supported to engage in</w:t>
      </w:r>
      <w:r>
        <w:t>.</w:t>
      </w:r>
    </w:p>
    <w:p w14:paraId="4B708AFB" w14:textId="77777777" w:rsidR="00ED244E" w:rsidRPr="00FE1BE5" w:rsidRDefault="00ED244E" w:rsidP="00ED244E">
      <w:pPr>
        <w:rPr>
          <w:rFonts w:cs="Arial"/>
        </w:rPr>
      </w:pPr>
      <w:r w:rsidRPr="00FE1BE5">
        <w:rPr>
          <w:rFonts w:cs="Arial"/>
        </w:rPr>
        <w:t>NATSIFAC</w:t>
      </w:r>
      <w:r>
        <w:rPr>
          <w:rFonts w:cs="Arial"/>
        </w:rPr>
        <w:t>P</w:t>
      </w:r>
      <w:r w:rsidRPr="00FE1BE5">
        <w:rPr>
          <w:rFonts w:cs="Arial"/>
        </w:rPr>
        <w:t xml:space="preserve"> providers are responsible for using the current SAR template provided by the department. </w:t>
      </w:r>
      <w:r>
        <w:rPr>
          <w:rFonts w:cs="Arial"/>
        </w:rPr>
        <w:t>Incomplete r</w:t>
      </w:r>
      <w:r w:rsidRPr="00FE1BE5">
        <w:rPr>
          <w:rFonts w:cs="Arial"/>
        </w:rPr>
        <w:t xml:space="preserve">eports </w:t>
      </w:r>
      <w:r>
        <w:rPr>
          <w:rFonts w:cs="Arial"/>
        </w:rPr>
        <w:t xml:space="preserve">or reports </w:t>
      </w:r>
      <w:r w:rsidRPr="00FE1BE5">
        <w:rPr>
          <w:rFonts w:cs="Arial"/>
        </w:rPr>
        <w:t>submitted on</w:t>
      </w:r>
      <w:r>
        <w:rPr>
          <w:rFonts w:cs="Arial"/>
        </w:rPr>
        <w:t xml:space="preserve"> altered or</w:t>
      </w:r>
      <w:r w:rsidRPr="00FE1BE5">
        <w:rPr>
          <w:rFonts w:cs="Arial"/>
        </w:rPr>
        <w:t xml:space="preserve"> out-dated templates will be returned to the provider.</w:t>
      </w:r>
    </w:p>
    <w:p w14:paraId="3790968D" w14:textId="77777777" w:rsidR="00ED244E" w:rsidRPr="00FE1BE5" w:rsidRDefault="00ED244E" w:rsidP="00ED244E">
      <w:pPr>
        <w:rPr>
          <w:rFonts w:cs="Arial"/>
        </w:rPr>
      </w:pPr>
      <w:r w:rsidRPr="60F6E43B">
        <w:rPr>
          <w:rFonts w:cs="Arial"/>
        </w:rPr>
        <w:t xml:space="preserve">You can contact </w:t>
      </w:r>
      <w:hyperlink r:id="rId109">
        <w:r w:rsidRPr="60F6E43B">
          <w:rPr>
            <w:rStyle w:val="Hyperlink"/>
            <w:rFonts w:cs="Arial"/>
          </w:rPr>
          <w:t>natsifacp@health.gov.au</w:t>
        </w:r>
      </w:hyperlink>
      <w:r>
        <w:t xml:space="preserve"> for a</w:t>
      </w:r>
      <w:r w:rsidRPr="60F6E43B">
        <w:rPr>
          <w:rFonts w:cs="Arial"/>
        </w:rPr>
        <w:t xml:space="preserve"> sample Service Activity Report. </w:t>
      </w:r>
    </w:p>
    <w:p w14:paraId="40EC711F" w14:textId="77777777" w:rsidR="00ED244E" w:rsidRPr="00FE1BE5" w:rsidRDefault="00ED244E" w:rsidP="00ED244E">
      <w:pPr>
        <w:pStyle w:val="Heading3"/>
      </w:pPr>
      <w:r w:rsidRPr="00FE1BE5">
        <w:t>Annual Financial Declaration Statement</w:t>
      </w:r>
    </w:p>
    <w:p w14:paraId="49BC7A31" w14:textId="77777777" w:rsidR="00ED244E" w:rsidRPr="00FE1BE5" w:rsidRDefault="00ED244E" w:rsidP="00ED244E">
      <w:pPr>
        <w:rPr>
          <w:rFonts w:cs="Arial"/>
        </w:rPr>
      </w:pPr>
      <w:r w:rsidRPr="00FE1BE5">
        <w:rPr>
          <w:rFonts w:cs="Arial"/>
        </w:rPr>
        <w:t>NATSIFAC</w:t>
      </w:r>
      <w:r>
        <w:rPr>
          <w:rFonts w:cs="Arial"/>
        </w:rPr>
        <w:t>P</w:t>
      </w:r>
      <w:r w:rsidRPr="00FE1BE5">
        <w:rPr>
          <w:rFonts w:cs="Arial"/>
        </w:rPr>
        <w:t xml:space="preserve"> providers are required to submit an annual financial declaration statement to the department each financial year (or at another time as agreed with the department).</w:t>
      </w:r>
      <w:r>
        <w:rPr>
          <w:rFonts w:cs="Arial"/>
        </w:rPr>
        <w:t xml:space="preserve"> It must be signed by a member of the registered provider’s governing body.</w:t>
      </w:r>
      <w:r w:rsidRPr="00FE1BE5">
        <w:rPr>
          <w:rFonts w:cs="Arial"/>
        </w:rPr>
        <w:t xml:space="preserve"> </w:t>
      </w:r>
      <w:r>
        <w:rPr>
          <w:rStyle w:val="FootnoteReference"/>
          <w:rFonts w:cs="Arial"/>
        </w:rPr>
        <w:footnoteReference w:id="35"/>
      </w:r>
    </w:p>
    <w:p w14:paraId="5EA89206" w14:textId="77777777" w:rsidR="00ED244E" w:rsidRPr="00FE1BE5" w:rsidRDefault="00ED244E" w:rsidP="00ED244E">
      <w:pPr>
        <w:rPr>
          <w:rFonts w:cs="Arial"/>
        </w:rPr>
      </w:pPr>
      <w:r w:rsidRPr="00FE1BE5">
        <w:rPr>
          <w:rFonts w:cs="Arial"/>
        </w:rPr>
        <w:t xml:space="preserve">The annual financial declaration statement must include </w:t>
      </w:r>
      <w:r>
        <w:rPr>
          <w:rFonts w:cs="Arial"/>
        </w:rPr>
        <w:t>information about the following items</w:t>
      </w:r>
      <w:r w:rsidRPr="00FE1BE5">
        <w:rPr>
          <w:rFonts w:cs="Arial"/>
        </w:rPr>
        <w:t xml:space="preserve"> for the financial year:</w:t>
      </w:r>
    </w:p>
    <w:p w14:paraId="03F6E36C" w14:textId="77777777" w:rsidR="00ED244E" w:rsidRPr="00FE1BE5" w:rsidRDefault="00ED244E" w:rsidP="00D82385">
      <w:pPr>
        <w:pStyle w:val="ListBullet"/>
        <w:rPr>
          <w:szCs w:val="28"/>
        </w:rPr>
      </w:pPr>
      <w:r w:rsidRPr="00FE1BE5">
        <w:t>the funds provided through the grant agreement</w:t>
      </w:r>
    </w:p>
    <w:p w14:paraId="317F67A6" w14:textId="77777777" w:rsidR="00ED244E" w:rsidRPr="00FE1BE5" w:rsidRDefault="00ED244E" w:rsidP="00D82385">
      <w:pPr>
        <w:pStyle w:val="ListBullet"/>
      </w:pPr>
      <w:r w:rsidRPr="00FE1BE5">
        <w:t>expenditure by the NATSIFAC</w:t>
      </w:r>
      <w:r>
        <w:t>P</w:t>
      </w:r>
      <w:r w:rsidRPr="00FE1BE5">
        <w:t xml:space="preserve"> provider under the grant agreement</w:t>
      </w:r>
    </w:p>
    <w:p w14:paraId="7FB814BB" w14:textId="77777777" w:rsidR="00ED244E" w:rsidRPr="00FE1BE5" w:rsidRDefault="00ED244E" w:rsidP="00D82385">
      <w:pPr>
        <w:pStyle w:val="ListBullet"/>
      </w:pPr>
      <w:r w:rsidRPr="00FE1BE5">
        <w:t>any approved unspent funds from the previous financial year</w:t>
      </w:r>
    </w:p>
    <w:p w14:paraId="54004A6F" w14:textId="77777777" w:rsidR="00ED244E" w:rsidRPr="00FE1BE5" w:rsidRDefault="00ED244E" w:rsidP="00D82385">
      <w:pPr>
        <w:pStyle w:val="ListBullet"/>
      </w:pPr>
      <w:r w:rsidRPr="00FE1BE5">
        <w:t>any contributions collected by the registered provider over the financial year.</w:t>
      </w:r>
    </w:p>
    <w:p w14:paraId="2A3471F2" w14:textId="55B05EAF" w:rsidR="00ED244E" w:rsidRPr="00FE1BE5" w:rsidRDefault="00ED244E" w:rsidP="00ED244E">
      <w:pPr>
        <w:rPr>
          <w:rFonts w:cs="Arial"/>
        </w:rPr>
      </w:pPr>
      <w:r w:rsidRPr="00FE1BE5">
        <w:rPr>
          <w:rFonts w:cs="Arial"/>
        </w:rPr>
        <w:t xml:space="preserve">The annual financial declaration statement must </w:t>
      </w:r>
      <w:r>
        <w:rPr>
          <w:rFonts w:cs="Arial"/>
        </w:rPr>
        <w:t xml:space="preserve">include certification that </w:t>
      </w:r>
      <w:r w:rsidRPr="00FE1BE5">
        <w:rPr>
          <w:rFonts w:cs="Arial"/>
        </w:rPr>
        <w:t>the NATSIFAC</w:t>
      </w:r>
      <w:r>
        <w:rPr>
          <w:rFonts w:cs="Arial"/>
        </w:rPr>
        <w:t>P</w:t>
      </w:r>
      <w:r w:rsidRPr="00FE1BE5">
        <w:rPr>
          <w:rFonts w:cs="Arial"/>
        </w:rPr>
        <w:t xml:space="preserve"> provider </w:t>
      </w:r>
      <w:r>
        <w:rPr>
          <w:rFonts w:cs="Arial"/>
        </w:rPr>
        <w:t xml:space="preserve">complied with the </w:t>
      </w:r>
      <w:hyperlink w:anchor="statutoryfundingconditions" w:history="1">
        <w:r w:rsidRPr="00BD1600">
          <w:rPr>
            <w:rStyle w:val="Hyperlink"/>
            <w:rFonts w:cs="Arial"/>
          </w:rPr>
          <w:t>statutory funding condition</w:t>
        </w:r>
      </w:hyperlink>
      <w:r>
        <w:rPr>
          <w:rFonts w:cs="Arial"/>
        </w:rPr>
        <w:t xml:space="preserve"> under s 267(1) of the Act.</w:t>
      </w:r>
    </w:p>
    <w:p w14:paraId="390420CA" w14:textId="77777777" w:rsidR="00ED244E" w:rsidRPr="00FE1BE5" w:rsidRDefault="00ED244E" w:rsidP="00ED244E">
      <w:pPr>
        <w:rPr>
          <w:rFonts w:cs="Arial"/>
        </w:rPr>
      </w:pPr>
      <w:r w:rsidRPr="00FE1BE5">
        <w:rPr>
          <w:rFonts w:cs="Arial"/>
        </w:rPr>
        <w:t>For multi-year grant agreements, it is normal departmental practice to acquit funding annually.</w:t>
      </w:r>
    </w:p>
    <w:p w14:paraId="6E6AB0FC" w14:textId="77777777" w:rsidR="00ED244E" w:rsidRPr="00FE1BE5" w:rsidRDefault="00ED244E" w:rsidP="00ED244E">
      <w:pPr>
        <w:pStyle w:val="Heading3"/>
      </w:pPr>
      <w:r w:rsidRPr="00FE1BE5">
        <w:t xml:space="preserve">Audited Income and Expenditure </w:t>
      </w:r>
      <w:r>
        <w:t xml:space="preserve">Report and </w:t>
      </w:r>
      <w:r w:rsidRPr="00FE1BE5">
        <w:t>Statement</w:t>
      </w:r>
    </w:p>
    <w:p w14:paraId="0E1497F4" w14:textId="77777777" w:rsidR="00ED244E" w:rsidRPr="00D15F3A" w:rsidRDefault="00ED244E" w:rsidP="00D15F3A">
      <w:r w:rsidRPr="00D15F3A">
        <w:t>NATSIFACP providers are also required to submit an audited income and expenditure report to the department each financial year (or at another time as agreed with the department).</w:t>
      </w:r>
      <w:r w:rsidRPr="00AC78EF">
        <w:rPr>
          <w:rStyle w:val="FootnoteTextChar"/>
        </w:rPr>
        <w:footnoteReference w:id="36"/>
      </w:r>
      <w:r w:rsidRPr="00AC78EF">
        <w:rPr>
          <w:rStyle w:val="FootnoteTextChar"/>
        </w:rPr>
        <w:t xml:space="preserve"> </w:t>
      </w:r>
      <w:r w:rsidRPr="00D15F3A">
        <w:t>The audited income and expenditure report must be prepared by a:</w:t>
      </w:r>
    </w:p>
    <w:p w14:paraId="47162E67" w14:textId="77777777" w:rsidR="00ED244E" w:rsidRPr="00E56982" w:rsidRDefault="00ED244E" w:rsidP="00D82385">
      <w:pPr>
        <w:pStyle w:val="ListBullet"/>
      </w:pPr>
      <w:r w:rsidRPr="00E56982">
        <w:t xml:space="preserve">Registered Company Auditor under the </w:t>
      </w:r>
      <w:r w:rsidRPr="00E56982">
        <w:rPr>
          <w:i/>
          <w:iCs/>
        </w:rPr>
        <w:t>Corporations Act 2001 (</w:t>
      </w:r>
      <w:proofErr w:type="spellStart"/>
      <w:r w:rsidRPr="00E56982">
        <w:rPr>
          <w:i/>
          <w:iCs/>
        </w:rPr>
        <w:t>Cth</w:t>
      </w:r>
      <w:proofErr w:type="spellEnd"/>
      <w:r w:rsidRPr="00E56982">
        <w:rPr>
          <w:i/>
          <w:iCs/>
        </w:rPr>
        <w:t xml:space="preserve">), or </w:t>
      </w:r>
      <w:r w:rsidRPr="00E56982">
        <w:t>a member of the Institute of Public Accountants in Australia, or</w:t>
      </w:r>
    </w:p>
    <w:p w14:paraId="38FEF930" w14:textId="77777777" w:rsidR="00ED244E" w:rsidRPr="00E56982" w:rsidRDefault="00ED244E" w:rsidP="00D82385">
      <w:pPr>
        <w:pStyle w:val="ListBullet"/>
      </w:pPr>
      <w:r w:rsidRPr="00E56982">
        <w:t>member of the Institute of Chartered Accountants in Australia.</w:t>
      </w:r>
    </w:p>
    <w:p w14:paraId="28AA8320" w14:textId="77777777" w:rsidR="00ED244E" w:rsidRPr="00FE1BE5" w:rsidRDefault="00ED244E" w:rsidP="00ED244E">
      <w:pPr>
        <w:rPr>
          <w:rFonts w:cs="Arial"/>
        </w:rPr>
      </w:pPr>
      <w:r w:rsidRPr="60F6E43B">
        <w:rPr>
          <w:rFonts w:cs="Arial"/>
        </w:rPr>
        <w:t>The audited income and expenditure report must be accompanied by an audited income and expenditure statement. The statement must:</w:t>
      </w:r>
    </w:p>
    <w:p w14:paraId="3075308D" w14:textId="77777777" w:rsidR="00ED244E" w:rsidRDefault="00ED244E" w:rsidP="00D15F3A">
      <w:pPr>
        <w:pStyle w:val="ListBullet"/>
      </w:pPr>
      <w:r w:rsidRPr="00F276EF">
        <w:t>be prepared in accordance with the applicable Australian Accounting Standards in force at the time the statement is prepared</w:t>
      </w:r>
    </w:p>
    <w:p w14:paraId="1AD46778" w14:textId="77777777" w:rsidR="00ED244E" w:rsidRPr="00FE1BE5" w:rsidRDefault="00ED244E" w:rsidP="00CA5C9D">
      <w:pPr>
        <w:pStyle w:val="ListBullet"/>
      </w:pPr>
      <w:r w:rsidRPr="00FE1BE5">
        <w:t>be based on proper accounts and records of the NATSIFAC</w:t>
      </w:r>
      <w:r>
        <w:t>P</w:t>
      </w:r>
      <w:r w:rsidRPr="00FE1BE5">
        <w:t xml:space="preserve"> provider</w:t>
      </w:r>
    </w:p>
    <w:p w14:paraId="61921CB1" w14:textId="75627DBD" w:rsidR="00ED244E" w:rsidRPr="00FE1BE5" w:rsidRDefault="00ED244E" w:rsidP="00CA5C9D">
      <w:pPr>
        <w:pStyle w:val="ListBullet"/>
      </w:pPr>
      <w:r w:rsidRPr="00FE1BE5">
        <w:t xml:space="preserve">verify that grant funding was spent </w:t>
      </w:r>
      <w:r>
        <w:t xml:space="preserve">in accordance with the </w:t>
      </w:r>
      <w:hyperlink w:anchor="statutoryfundingconditions" w:history="1">
        <w:r w:rsidR="00117FED" w:rsidRPr="00BD1600">
          <w:rPr>
            <w:rStyle w:val="Hyperlink"/>
            <w:rFonts w:cs="Arial"/>
          </w:rPr>
          <w:t>statutory funding condition</w:t>
        </w:r>
      </w:hyperlink>
      <w:r>
        <w:t xml:space="preserve"> under s 267(1) of the Act </w:t>
      </w:r>
    </w:p>
    <w:p w14:paraId="3D6391AF" w14:textId="77777777" w:rsidR="00ED244E" w:rsidRPr="00FE1BE5" w:rsidRDefault="00ED244E" w:rsidP="00CA5C9D">
      <w:pPr>
        <w:pStyle w:val="ListBullet"/>
      </w:pPr>
      <w:r w:rsidRPr="00FE1BE5">
        <w:t>include other matters as specified in the grant agreement</w:t>
      </w:r>
    </w:p>
    <w:p w14:paraId="2FD8C92E" w14:textId="77777777" w:rsidR="00ED244E" w:rsidRDefault="00ED244E" w:rsidP="00CA5C9D">
      <w:pPr>
        <w:pStyle w:val="ListBullet"/>
      </w:pPr>
      <w:r w:rsidRPr="00FE1BE5">
        <w:t>include the audit opinion</w:t>
      </w:r>
    </w:p>
    <w:p w14:paraId="2AAAC50D" w14:textId="77777777" w:rsidR="00ED244E" w:rsidRDefault="00ED244E" w:rsidP="00CA5C9D">
      <w:pPr>
        <w:pStyle w:val="ListBullet"/>
      </w:pPr>
      <w:r>
        <w:t>include the amount of funds provided through the grant agreement</w:t>
      </w:r>
    </w:p>
    <w:p w14:paraId="7456474E" w14:textId="77777777" w:rsidR="00ED244E" w:rsidRDefault="00ED244E" w:rsidP="00CA5C9D">
      <w:pPr>
        <w:pStyle w:val="ListBullet"/>
      </w:pPr>
      <w:r>
        <w:t>include information about individual fees and contributions paid to the provider by individuals for the financial year</w:t>
      </w:r>
    </w:p>
    <w:p w14:paraId="2CFA7565" w14:textId="77777777" w:rsidR="00ED244E" w:rsidRDefault="00ED244E" w:rsidP="00CA5C9D">
      <w:pPr>
        <w:pStyle w:val="ListBullet"/>
      </w:pPr>
      <w:r>
        <w:t>include salary expenditure</w:t>
      </w:r>
    </w:p>
    <w:p w14:paraId="1F76797D" w14:textId="77777777" w:rsidR="00ED244E" w:rsidRDefault="00ED244E" w:rsidP="00CA5C9D">
      <w:pPr>
        <w:pStyle w:val="ListBullet"/>
      </w:pPr>
      <w:r>
        <w:t>include rent or lease expenditure</w:t>
      </w:r>
    </w:p>
    <w:p w14:paraId="1F1F6310" w14:textId="77777777" w:rsidR="00ED244E" w:rsidRDefault="00ED244E" w:rsidP="00CA5C9D">
      <w:pPr>
        <w:pStyle w:val="ListBullet"/>
        <w:rPr>
          <w:rFonts w:cs="Arial"/>
        </w:rPr>
      </w:pPr>
      <w:r>
        <w:rPr>
          <w:rFonts w:cs="Arial"/>
        </w:rPr>
        <w:t>include outbreak management expenditure</w:t>
      </w:r>
    </w:p>
    <w:p w14:paraId="12282E90" w14:textId="77777777" w:rsidR="00ED244E" w:rsidRDefault="00ED244E" w:rsidP="00CA5C9D">
      <w:pPr>
        <w:pStyle w:val="ListBullet"/>
        <w:rPr>
          <w:rFonts w:cs="Arial"/>
        </w:rPr>
      </w:pPr>
      <w:r>
        <w:rPr>
          <w:rFonts w:cs="Arial"/>
        </w:rPr>
        <w:t>include vehicle lease and maintenance costs</w:t>
      </w:r>
    </w:p>
    <w:p w14:paraId="2A8F044F" w14:textId="77777777" w:rsidR="00ED244E" w:rsidRDefault="00ED244E" w:rsidP="00CA5C9D">
      <w:pPr>
        <w:pStyle w:val="ListBullet"/>
        <w:rPr>
          <w:rFonts w:cs="Arial"/>
        </w:rPr>
      </w:pPr>
      <w:r>
        <w:rPr>
          <w:rFonts w:cs="Arial"/>
        </w:rPr>
        <w:t xml:space="preserve">include other expenditure </w:t>
      </w:r>
    </w:p>
    <w:p w14:paraId="4BA514CE" w14:textId="77777777" w:rsidR="00ED244E" w:rsidRPr="00FE1BE5" w:rsidRDefault="00ED244E" w:rsidP="00CA5C9D">
      <w:pPr>
        <w:pStyle w:val="ListBullet"/>
        <w:rPr>
          <w:rFonts w:cs="Arial"/>
        </w:rPr>
      </w:pPr>
      <w:r>
        <w:rPr>
          <w:rFonts w:cs="Arial"/>
        </w:rPr>
        <w:t>include total expenditure</w:t>
      </w:r>
      <w:r w:rsidRPr="00FE1BE5">
        <w:rPr>
          <w:rFonts w:cs="Arial"/>
        </w:rPr>
        <w:t>.</w:t>
      </w:r>
    </w:p>
    <w:p w14:paraId="171BEEF7" w14:textId="77777777" w:rsidR="00ED244E" w:rsidRPr="00FE1BE5" w:rsidDel="00454B6A" w:rsidRDefault="00ED244E" w:rsidP="00ED244E">
      <w:pPr>
        <w:rPr>
          <w:rFonts w:cs="Arial"/>
        </w:rPr>
      </w:pPr>
      <w:r w:rsidRPr="00FE1BE5" w:rsidDel="00454B6A">
        <w:rPr>
          <w:rFonts w:cs="Arial"/>
        </w:rPr>
        <w:t>For multi-year grant agreements, it is normal the department practice to acquit funding annually.</w:t>
      </w:r>
    </w:p>
    <w:p w14:paraId="25AB4230" w14:textId="77777777" w:rsidR="00ED244E" w:rsidRPr="00FE1BE5" w:rsidRDefault="00ED244E" w:rsidP="00ED244E">
      <w:pPr>
        <w:pStyle w:val="Heading3"/>
      </w:pPr>
      <w:r w:rsidRPr="00FE1BE5">
        <w:t>Food and nutrition payment for residential aged care providers</w:t>
      </w:r>
    </w:p>
    <w:p w14:paraId="3616F7B7" w14:textId="77777777" w:rsidR="00ED244E" w:rsidRPr="00FE1BE5" w:rsidRDefault="00ED244E" w:rsidP="00ED244E">
      <w:pPr>
        <w:rPr>
          <w:rFonts w:cs="Arial"/>
        </w:rPr>
      </w:pPr>
      <w:r w:rsidRPr="00FE1BE5">
        <w:rPr>
          <w:rFonts w:cs="Arial"/>
        </w:rPr>
        <w:t>NATSIFAC</w:t>
      </w:r>
      <w:r>
        <w:rPr>
          <w:rFonts w:cs="Arial"/>
        </w:rPr>
        <w:t>P</w:t>
      </w:r>
      <w:r w:rsidRPr="00FE1BE5">
        <w:rPr>
          <w:rFonts w:cs="Arial"/>
        </w:rPr>
        <w:t xml:space="preserve"> residential aged care providers receive a payment of $10 per day per ‘funded residential place’ to assist with delivery of better care and services to residents, with a focus on food and nutrition.</w:t>
      </w:r>
    </w:p>
    <w:p w14:paraId="2A29FDE0" w14:textId="77777777" w:rsidR="00ED244E" w:rsidRPr="00FE1BE5" w:rsidRDefault="00ED244E" w:rsidP="00ED244E">
      <w:pPr>
        <w:rPr>
          <w:rFonts w:cs="Arial"/>
        </w:rPr>
      </w:pPr>
      <w:r w:rsidRPr="00FE1BE5">
        <w:rPr>
          <w:rFonts w:cs="Arial"/>
        </w:rPr>
        <w:t xml:space="preserve">Reporting for this payment must be completed through the </w:t>
      </w:r>
      <w:r w:rsidRPr="006920AA">
        <w:rPr>
          <w:rFonts w:cs="Arial"/>
        </w:rPr>
        <w:t>Quarterly Financial Report</w:t>
      </w:r>
      <w:r w:rsidRPr="00FE1BE5">
        <w:rPr>
          <w:rFonts w:cs="Arial"/>
        </w:rPr>
        <w:t xml:space="preserve"> (QFR) Food and Nutrition Reporting tab</w:t>
      </w:r>
      <w:r>
        <w:rPr>
          <w:rFonts w:cs="Arial"/>
        </w:rPr>
        <w:t xml:space="preserve">: </w:t>
      </w:r>
      <w:hyperlink r:id="rId110" w:history="1">
        <w:r w:rsidRPr="004020B0">
          <w:rPr>
            <w:rStyle w:val="Hyperlink"/>
            <w:rFonts w:cs="Arial"/>
          </w:rPr>
          <w:t>health.gov.au/health-topics/aged-care/providing-aged-care-services/responsibilities/quarterly-financial-report</w:t>
        </w:r>
      </w:hyperlink>
      <w:r w:rsidRPr="00FE1BE5">
        <w:rPr>
          <w:rFonts w:cs="Arial"/>
        </w:rPr>
        <w:t>. One report is required for each service.</w:t>
      </w:r>
    </w:p>
    <w:p w14:paraId="27FD3E69" w14:textId="77777777" w:rsidR="00ED244E" w:rsidRPr="00FE1BE5" w:rsidRDefault="00ED244E" w:rsidP="00ED244E">
      <w:pPr>
        <w:rPr>
          <w:rFonts w:cs="Arial"/>
        </w:rPr>
      </w:pPr>
      <w:r w:rsidRPr="00FE1BE5">
        <w:rPr>
          <w:rFonts w:cs="Arial"/>
        </w:rPr>
        <w:t xml:space="preserve">The Forms Administration helpdesk is available to assist with the completion and submission of the QFR. Providers can call the helpdesk on (02) 4403 0640 or email enquiries to </w:t>
      </w:r>
      <w:hyperlink r:id="rId111" w:history="1">
        <w:r w:rsidRPr="00FE1BE5">
          <w:rPr>
            <w:rStyle w:val="Hyperlink"/>
            <w:rFonts w:cs="Arial"/>
          </w:rPr>
          <w:t>health@formsadministration.com.au</w:t>
        </w:r>
      </w:hyperlink>
      <w:r w:rsidRPr="00FE1BE5">
        <w:rPr>
          <w:rFonts w:cs="Arial"/>
        </w:rPr>
        <w:t>.</w:t>
      </w:r>
    </w:p>
    <w:p w14:paraId="39501949" w14:textId="77777777" w:rsidR="00ED244E" w:rsidRDefault="00ED244E" w:rsidP="00ED244E">
      <w:pPr>
        <w:rPr>
          <w:rFonts w:cs="Arial"/>
        </w:rPr>
      </w:pPr>
      <w:r w:rsidRPr="00FE1BE5">
        <w:rPr>
          <w:rFonts w:cs="Arial"/>
        </w:rPr>
        <w:t>Service providers who do not submit their quarterly reports will be referred to the Aged Care Quality and Safety Commission</w:t>
      </w:r>
      <w:r>
        <w:rPr>
          <w:rFonts w:cs="Arial"/>
        </w:rPr>
        <w:t>.</w:t>
      </w:r>
      <w:r w:rsidRPr="00FE1BE5">
        <w:rPr>
          <w:rFonts w:cs="Arial"/>
        </w:rPr>
        <w:t xml:space="preserve"> </w:t>
      </w:r>
    </w:p>
    <w:p w14:paraId="396038DD" w14:textId="53BEA92D" w:rsidR="00C866E2" w:rsidRPr="00FE1BE5" w:rsidRDefault="00C866E2" w:rsidP="00296A1E">
      <w:pPr>
        <w:pStyle w:val="Heading2"/>
      </w:pPr>
      <w:bookmarkStart w:id="135" w:name="_Toc225416239"/>
      <w:r>
        <w:t>Record Keeping</w:t>
      </w:r>
      <w:bookmarkEnd w:id="135"/>
    </w:p>
    <w:p w14:paraId="7CFC3F1D" w14:textId="4594E2F9" w:rsidR="00B1271A" w:rsidRPr="00B1271A" w:rsidRDefault="00B1271A" w:rsidP="00296A1E">
      <w:r>
        <w:rPr>
          <w:rFonts w:cs="Arial"/>
        </w:rPr>
        <w:t>R</w:t>
      </w:r>
      <w:r w:rsidRPr="00B1271A">
        <w:rPr>
          <w:rFonts w:cs="Arial"/>
        </w:rPr>
        <w:t>egistered provider</w:t>
      </w:r>
      <w:r>
        <w:rPr>
          <w:rFonts w:cs="Arial"/>
        </w:rPr>
        <w:t>s</w:t>
      </w:r>
      <w:r w:rsidRPr="00B1271A">
        <w:rPr>
          <w:rFonts w:cs="Arial"/>
        </w:rPr>
        <w:t xml:space="preserve"> must keep and retain</w:t>
      </w:r>
      <w:r>
        <w:rPr>
          <w:rFonts w:cs="Arial"/>
        </w:rPr>
        <w:t xml:space="preserve"> the following records</w:t>
      </w:r>
      <w:r w:rsidR="00C21913">
        <w:rPr>
          <w:rStyle w:val="FootnoteReference"/>
          <w:rFonts w:cs="Arial"/>
        </w:rPr>
        <w:footnoteReference w:id="37"/>
      </w:r>
      <w:r w:rsidR="00C21913">
        <w:rPr>
          <w:rFonts w:cs="Arial"/>
        </w:rPr>
        <w:t xml:space="preserve"> </w:t>
      </w:r>
      <w:r w:rsidR="00C21913" w:rsidRPr="00B1271A">
        <w:rPr>
          <w:rFonts w:cs="Arial"/>
        </w:rPr>
        <w:t xml:space="preserve">in written or electronic form for </w:t>
      </w:r>
      <w:r w:rsidR="00C21913">
        <w:rPr>
          <w:rFonts w:cs="Arial"/>
        </w:rPr>
        <w:t xml:space="preserve">a period of </w:t>
      </w:r>
      <w:r w:rsidR="00C21913" w:rsidRPr="00B1271A">
        <w:rPr>
          <w:rFonts w:cs="Arial"/>
        </w:rPr>
        <w:t>7 years starting on the day the record is made or received</w:t>
      </w:r>
      <w:r w:rsidR="00D80792">
        <w:rPr>
          <w:rStyle w:val="FootnoteReference"/>
          <w:rFonts w:cs="Arial"/>
        </w:rPr>
        <w:footnoteReference w:id="38"/>
      </w:r>
      <w:r w:rsidRPr="00B1271A">
        <w:rPr>
          <w:rFonts w:cs="Arial"/>
        </w:rPr>
        <w:t>:</w:t>
      </w:r>
    </w:p>
    <w:p w14:paraId="740E324B" w14:textId="0C8CDBFF" w:rsidR="00B1271A" w:rsidRPr="00C21913" w:rsidRDefault="00B1271A" w:rsidP="00D82385">
      <w:pPr>
        <w:pStyle w:val="ListBullet"/>
      </w:pPr>
      <w:r w:rsidRPr="00C21913">
        <w:t>the amount of financial assistance the System Governor, on behalf of the Commonwealth, has granted the registered provider under subsection 264(2) of the Act within a particular financial year</w:t>
      </w:r>
    </w:p>
    <w:p w14:paraId="5FAC63B3" w14:textId="1AD9604A" w:rsidR="00B1271A" w:rsidRPr="00C21913" w:rsidRDefault="00B1271A" w:rsidP="00D82385">
      <w:pPr>
        <w:pStyle w:val="ListBullet"/>
      </w:pPr>
      <w:r w:rsidRPr="00C21913">
        <w:t>any individual fees and contributions collected over the financial year</w:t>
      </w:r>
    </w:p>
    <w:p w14:paraId="7379BEFD" w14:textId="06FCDD1A" w:rsidR="00B1271A" w:rsidRPr="00C21913" w:rsidRDefault="00B1271A" w:rsidP="00D82385">
      <w:pPr>
        <w:pStyle w:val="ListBullet"/>
      </w:pPr>
      <w:r w:rsidRPr="00C21913">
        <w:t>expenditure for the delivery of funded aged care services by the provider under the funding agreement</w:t>
      </w:r>
    </w:p>
    <w:p w14:paraId="20A0DE82" w14:textId="7835DEC5" w:rsidR="00B1271A" w:rsidRPr="00C21913" w:rsidRDefault="00B1271A" w:rsidP="00D82385">
      <w:pPr>
        <w:pStyle w:val="ListBullet"/>
      </w:pPr>
      <w:r w:rsidRPr="00C21913">
        <w:t>any surplus and uncommitted funds from the previous financial year</w:t>
      </w:r>
    </w:p>
    <w:p w14:paraId="5684D899" w14:textId="1F2E2958" w:rsidR="00B1271A" w:rsidRPr="00C21913" w:rsidRDefault="00B1271A" w:rsidP="00D82385">
      <w:pPr>
        <w:pStyle w:val="ListBullet"/>
      </w:pPr>
      <w:r w:rsidRPr="00C21913">
        <w:t xml:space="preserve">service types, and the duration of services, delivered to </w:t>
      </w:r>
      <w:proofErr w:type="gramStart"/>
      <w:r w:rsidRPr="00C21913">
        <w:t>each individual</w:t>
      </w:r>
      <w:proofErr w:type="gramEnd"/>
    </w:p>
    <w:p w14:paraId="41764856" w14:textId="3BA04C62" w:rsidR="00B1271A" w:rsidRPr="00C21913" w:rsidRDefault="00B1271A" w:rsidP="00D82385">
      <w:pPr>
        <w:pStyle w:val="ListBullet"/>
      </w:pPr>
      <w:r w:rsidRPr="00C21913">
        <w:t>individual care and services plans</w:t>
      </w:r>
    </w:p>
    <w:p w14:paraId="71C1F484" w14:textId="0BBCF252" w:rsidR="00B1271A" w:rsidRPr="00C21913" w:rsidRDefault="00B1271A" w:rsidP="00D82385">
      <w:pPr>
        <w:pStyle w:val="ListBullet"/>
      </w:pPr>
      <w:r w:rsidRPr="00C21913">
        <w:t>progress in embedding a wellness and reablement approach to service deliver</w:t>
      </w:r>
      <w:r w:rsidR="00346564">
        <w:t>y</w:t>
      </w:r>
    </w:p>
    <w:p w14:paraId="38CE4DA9" w14:textId="2A6AAB64" w:rsidR="00B1271A" w:rsidRPr="00C21913" w:rsidRDefault="00B1271A" w:rsidP="00D82385">
      <w:pPr>
        <w:pStyle w:val="ListBullet"/>
      </w:pPr>
      <w:r w:rsidRPr="00C21913">
        <w:t>individual service agreements</w:t>
      </w:r>
    </w:p>
    <w:p w14:paraId="5D8620D6" w14:textId="10A63BDF" w:rsidR="00B1271A" w:rsidRPr="00C21913" w:rsidRDefault="00B1271A" w:rsidP="00D82385">
      <w:pPr>
        <w:pStyle w:val="ListBullet"/>
      </w:pPr>
      <w:r w:rsidRPr="00C21913">
        <w:t>a summary of the activities undertaken to prevent disease outbreaks</w:t>
      </w:r>
      <w:r w:rsidR="00346564">
        <w:t>, and</w:t>
      </w:r>
    </w:p>
    <w:p w14:paraId="7DA6A6C7" w14:textId="1FDDACFA" w:rsidR="00B1271A" w:rsidRPr="00C21913" w:rsidRDefault="00B1271A" w:rsidP="00D82385">
      <w:pPr>
        <w:pStyle w:val="ListBullet"/>
      </w:pPr>
      <w:r w:rsidRPr="00C21913">
        <w:t>the number of individuals who are waiting to access funded aged care services for the financial year and the reason for the waitlist.</w:t>
      </w:r>
    </w:p>
    <w:p w14:paraId="50E6E8E0" w14:textId="4A75944C" w:rsidR="00ED244E" w:rsidRPr="00FE1BE5" w:rsidRDefault="00ED244E" w:rsidP="00ED244E">
      <w:pPr>
        <w:pStyle w:val="Heading3"/>
      </w:pPr>
      <w:r w:rsidRPr="00FE1BE5">
        <w:t>Vaccination</w:t>
      </w:r>
      <w:r>
        <w:t xml:space="preserve"> records</w:t>
      </w:r>
    </w:p>
    <w:p w14:paraId="4580ADAB" w14:textId="77777777" w:rsidR="00ED244E" w:rsidRPr="00FE1BE5" w:rsidRDefault="00ED244E" w:rsidP="00ED244E">
      <w:pPr>
        <w:rPr>
          <w:rFonts w:cs="Arial"/>
        </w:rPr>
      </w:pPr>
      <w:r w:rsidRPr="00FE1BE5">
        <w:rPr>
          <w:rFonts w:cs="Arial"/>
        </w:rPr>
        <w:t xml:space="preserve">Registered providers registered in the provider registration category </w:t>
      </w:r>
      <w:r w:rsidRPr="00F276EF">
        <w:rPr>
          <w:rFonts w:cs="Arial"/>
        </w:rPr>
        <w:t>residential care</w:t>
      </w:r>
      <w:r w:rsidRPr="00FE1BE5">
        <w:rPr>
          <w:rFonts w:cs="Arial"/>
        </w:rPr>
        <w:t xml:space="preserve"> must retain records regarding influenza and COVID-19 vaccinations for staff and individuals receiving residential care for each approved residential care home. These records must be kept and retained for 7 years in written or electronic form.</w:t>
      </w:r>
    </w:p>
    <w:p w14:paraId="74936038" w14:textId="77777777" w:rsidR="00ED244E" w:rsidRPr="00FE1BE5" w:rsidRDefault="00ED244E" w:rsidP="00ED244E">
      <w:pPr>
        <w:rPr>
          <w:rFonts w:cs="Arial"/>
        </w:rPr>
      </w:pPr>
      <w:r w:rsidRPr="00FE1BE5">
        <w:rPr>
          <w:rFonts w:cs="Arial"/>
        </w:rPr>
        <w:t xml:space="preserve">The registered provider must keep records, for each calendar year, on </w:t>
      </w:r>
      <w:r>
        <w:rPr>
          <w:rFonts w:cs="Arial"/>
        </w:rPr>
        <w:t>the total number of</w:t>
      </w:r>
      <w:r w:rsidRPr="00FE1BE5">
        <w:rPr>
          <w:rFonts w:cs="Arial"/>
        </w:rPr>
        <w:t>:</w:t>
      </w:r>
    </w:p>
    <w:p w14:paraId="54DF4226" w14:textId="77777777" w:rsidR="00ED244E" w:rsidRPr="00FE1BE5" w:rsidRDefault="00ED244E" w:rsidP="00D82385">
      <w:pPr>
        <w:pStyle w:val="ListBullet"/>
      </w:pPr>
      <w:r w:rsidRPr="00FE1BE5">
        <w:t>service staff at an approved residential care home</w:t>
      </w:r>
    </w:p>
    <w:p w14:paraId="13F984BF" w14:textId="77777777" w:rsidR="00ED244E" w:rsidRPr="00FE1BE5" w:rsidRDefault="00ED244E" w:rsidP="00D82385">
      <w:pPr>
        <w:pStyle w:val="ListBullet"/>
      </w:pPr>
      <w:r w:rsidRPr="00FE1BE5">
        <w:t>individuals receiving government-funded aged care services at an approved residential care home</w:t>
      </w:r>
    </w:p>
    <w:p w14:paraId="66665E2A" w14:textId="77777777" w:rsidR="00ED244E" w:rsidRPr="00FE1BE5" w:rsidRDefault="00ED244E" w:rsidP="00D82385">
      <w:pPr>
        <w:pStyle w:val="ListBullet"/>
      </w:pPr>
      <w:r w:rsidRPr="00FE1BE5">
        <w:t>service staff who have informed the registered provider, whether voluntarily or as required under State or Territory law, that they received the annual seasonal influenza vaccination for that year</w:t>
      </w:r>
    </w:p>
    <w:p w14:paraId="003755BE" w14:textId="77777777" w:rsidR="00ED244E" w:rsidRPr="00FE1BE5" w:rsidRDefault="00ED244E" w:rsidP="00D82385">
      <w:pPr>
        <w:pStyle w:val="ListBullet"/>
      </w:pPr>
      <w:r w:rsidRPr="00FE1BE5">
        <w:t>those service staff who have informed the registered provider that they received a COVID-19 vaccination in that year</w:t>
      </w:r>
    </w:p>
    <w:p w14:paraId="65E0FD63" w14:textId="77777777" w:rsidR="00ED244E" w:rsidRPr="00FE1BE5" w:rsidRDefault="00ED244E" w:rsidP="00D82385">
      <w:pPr>
        <w:pStyle w:val="ListBullet"/>
      </w:pPr>
      <w:r w:rsidRPr="00FE1BE5">
        <w:t>individuals receiving care who received the annual seasonal influenza vaccination for that year</w:t>
      </w:r>
    </w:p>
    <w:p w14:paraId="0365B4FB" w14:textId="77777777" w:rsidR="00ED244E" w:rsidRPr="00FE1BE5" w:rsidRDefault="00ED244E" w:rsidP="00D82385">
      <w:pPr>
        <w:pStyle w:val="ListBullet"/>
        <w:rPr>
          <w:sz w:val="28"/>
        </w:rPr>
      </w:pPr>
      <w:r w:rsidRPr="00FE1BE5">
        <w:t>individuals receiving care who received one or more COVID-19 vaccinations for that year (including how many received one and how many received two vaccinations).</w:t>
      </w:r>
    </w:p>
    <w:p w14:paraId="6FDCC644" w14:textId="77777777" w:rsidR="00ED244E" w:rsidRDefault="00ED244E" w:rsidP="00ED244E">
      <w:pPr>
        <w:rPr>
          <w:rFonts w:eastAsiaTheme="minorHAnsi" w:cs="Arial"/>
        </w:rPr>
      </w:pPr>
      <w:r w:rsidRPr="00FE1BE5">
        <w:rPr>
          <w:rFonts w:eastAsiaTheme="minorHAnsi" w:cs="Arial"/>
        </w:rPr>
        <w:t>The System Governor or the Commissioner may request a report on the above information at any time.</w:t>
      </w:r>
    </w:p>
    <w:p w14:paraId="04227801" w14:textId="175C517F" w:rsidR="00040DCC" w:rsidRDefault="00C04030" w:rsidP="00C04030">
      <w:pPr>
        <w:pStyle w:val="Heading2"/>
      </w:pPr>
      <w:bookmarkStart w:id="136" w:name="_Toc225416240"/>
      <w:r w:rsidRPr="00C04030">
        <w:t>Policies</w:t>
      </w:r>
      <w:r>
        <w:t xml:space="preserve"> required under the Act</w:t>
      </w:r>
      <w:bookmarkEnd w:id="136"/>
    </w:p>
    <w:p w14:paraId="3ECD17DA" w14:textId="5D4D03AC" w:rsidR="00C04030" w:rsidRDefault="00F253D5" w:rsidP="00C04030">
      <w:r w:rsidRPr="00F253D5">
        <w:t>A registered provider delivering funded aged care services through the NATSIFACP must</w:t>
      </w:r>
      <w:r>
        <w:t xml:space="preserve"> have </w:t>
      </w:r>
      <w:r w:rsidR="00F056AA">
        <w:t>the following policies publicly available:</w:t>
      </w:r>
    </w:p>
    <w:p w14:paraId="7FD0E9C2" w14:textId="1FA4404D" w:rsidR="009D6804" w:rsidRPr="009D6804" w:rsidRDefault="00F056AA" w:rsidP="00D82385">
      <w:pPr>
        <w:pStyle w:val="ListBullet"/>
      </w:pPr>
      <w:r>
        <w:t xml:space="preserve">A </w:t>
      </w:r>
      <w:r w:rsidR="009D6804" w:rsidRPr="00103270">
        <w:rPr>
          <w:b/>
          <w:bCs/>
        </w:rPr>
        <w:t>financial hardship policy</w:t>
      </w:r>
      <w:r w:rsidR="003D0FA3">
        <w:rPr>
          <w:rStyle w:val="FootnoteReference"/>
        </w:rPr>
        <w:footnoteReference w:id="39"/>
      </w:r>
      <w:r w:rsidR="009D6804" w:rsidRPr="009D6804">
        <w:t xml:space="preserve"> that covers the following:</w:t>
      </w:r>
    </w:p>
    <w:p w14:paraId="0CA4AB78" w14:textId="0E78887E" w:rsidR="009D6804" w:rsidRPr="009D6804" w:rsidRDefault="009D6804" w:rsidP="00A51B4F">
      <w:pPr>
        <w:pStyle w:val="ListBullet2"/>
      </w:pPr>
      <w:r w:rsidRPr="009D6804">
        <w:t xml:space="preserve">how an individual can apply for a waiver or reduction of </w:t>
      </w:r>
      <w:r>
        <w:t xml:space="preserve">the NATSIFACP fee (if charged) </w:t>
      </w:r>
      <w:r w:rsidRPr="009D6804">
        <w:t>for the individual due to financial hardship</w:t>
      </w:r>
    </w:p>
    <w:p w14:paraId="328D88B8" w14:textId="77777777" w:rsidR="003D0FA3" w:rsidRDefault="009D6804" w:rsidP="00A51B4F">
      <w:pPr>
        <w:pStyle w:val="ListBullet2"/>
      </w:pPr>
      <w:r w:rsidRPr="009D6804">
        <w:t>what evidence of financial hardship the individual must submit to the provider, and how that evidence must be submitted</w:t>
      </w:r>
      <w:r>
        <w:t>, and</w:t>
      </w:r>
    </w:p>
    <w:p w14:paraId="18203E9C" w14:textId="7F4E1176" w:rsidR="003D0FA3" w:rsidRDefault="009D6804" w:rsidP="00A51B4F">
      <w:pPr>
        <w:pStyle w:val="ListBullet2"/>
      </w:pPr>
      <w:r w:rsidRPr="009D6804">
        <w:t>the principles or calculations the provider will use to determine the amount and duration of the waiver or reduction of the fee or contribution if the individual’s application is successful.</w:t>
      </w:r>
    </w:p>
    <w:p w14:paraId="4AA05E02" w14:textId="104A3F5C" w:rsidR="003D0FA3" w:rsidRPr="00C04030" w:rsidRDefault="00216990" w:rsidP="00D82385">
      <w:pPr>
        <w:pStyle w:val="ListBullet"/>
      </w:pPr>
      <w:r w:rsidRPr="003E1926">
        <w:t xml:space="preserve">a </w:t>
      </w:r>
      <w:r w:rsidRPr="00103270">
        <w:rPr>
          <w:b/>
          <w:bCs/>
        </w:rPr>
        <w:t>consumer contribution policy</w:t>
      </w:r>
      <w:r w:rsidR="00981D43">
        <w:rPr>
          <w:rStyle w:val="FootnoteReference"/>
        </w:rPr>
        <w:footnoteReference w:id="40"/>
      </w:r>
      <w:r w:rsidRPr="003E1926">
        <w:t xml:space="preserve"> that </w:t>
      </w:r>
      <w:proofErr w:type="gramStart"/>
      <w:r w:rsidRPr="003E1926">
        <w:t>takes into account</w:t>
      </w:r>
      <w:proofErr w:type="gramEnd"/>
      <w:r w:rsidRPr="003E1926">
        <w:t xml:space="preserve"> the capacity of individuals to contribute toward the cost of the services delivered to them</w:t>
      </w:r>
      <w:r w:rsidR="00981D43">
        <w:t xml:space="preserve">. The provider must </w:t>
      </w:r>
      <w:r w:rsidR="007763FC" w:rsidRPr="003E1926">
        <w:t>set</w:t>
      </w:r>
      <w:r w:rsidR="005E1F08">
        <w:t xml:space="preserve"> </w:t>
      </w:r>
      <w:r w:rsidRPr="003E1926">
        <w:t>fees in accordance with th</w:t>
      </w:r>
      <w:r w:rsidR="00981D43">
        <w:t xml:space="preserve">is </w:t>
      </w:r>
      <w:r w:rsidRPr="003E1926">
        <w:t>policy.</w:t>
      </w:r>
    </w:p>
    <w:p w14:paraId="03AF0AAE" w14:textId="15F510E9" w:rsidR="00ED244E" w:rsidRDefault="00ED244E" w:rsidP="00ED244E">
      <w:pPr>
        <w:pStyle w:val="Heading2"/>
      </w:pPr>
      <w:bookmarkStart w:id="137" w:name="_Toc208838028"/>
      <w:bookmarkStart w:id="138" w:name="_Toc212713667"/>
      <w:bookmarkStart w:id="139" w:name="_Toc225416241"/>
      <w:r>
        <w:t xml:space="preserve">Complaints, feedback and </w:t>
      </w:r>
      <w:r w:rsidR="002B0448">
        <w:t>w</w:t>
      </w:r>
      <w:r>
        <w:t>histleblowers</w:t>
      </w:r>
      <w:bookmarkEnd w:id="137"/>
      <w:bookmarkEnd w:id="138"/>
      <w:bookmarkEnd w:id="139"/>
    </w:p>
    <w:p w14:paraId="6D395EF2" w14:textId="77777777" w:rsidR="00ED244E" w:rsidRPr="00653025" w:rsidRDefault="00ED244E" w:rsidP="00ED244E">
      <w:r w:rsidRPr="00653025">
        <w:t xml:space="preserve">If </w:t>
      </w:r>
      <w:r>
        <w:t>individual</w:t>
      </w:r>
      <w:r w:rsidRPr="00653025">
        <w:t xml:space="preserve">s are concerned about any aspect of service delivery, they should, in the first place, approach the service provider. In most cases, the service provider is best placed to resolve complaints and alleviate the </w:t>
      </w:r>
      <w:r>
        <w:t>individual</w:t>
      </w:r>
      <w:r w:rsidRPr="00653025">
        <w:t>s concerns.</w:t>
      </w:r>
    </w:p>
    <w:p w14:paraId="4CFC4A6C" w14:textId="77777777" w:rsidR="00ED244E" w:rsidRPr="00653025" w:rsidRDefault="00ED244E" w:rsidP="00ED244E">
      <w:r w:rsidRPr="00653025">
        <w:t xml:space="preserve">If the </w:t>
      </w:r>
      <w:r>
        <w:t>individual</w:t>
      </w:r>
      <w:r w:rsidRPr="00653025">
        <w:t xml:space="preserve"> is unsatisfied with the service provider’s response to a concern or a complaint</w:t>
      </w:r>
      <w:r>
        <w:t>,</w:t>
      </w:r>
      <w:r w:rsidRPr="00653025">
        <w:t xml:space="preserve"> the Commission is also available to assist </w:t>
      </w:r>
      <w:r>
        <w:t>individual</w:t>
      </w:r>
      <w:r w:rsidRPr="00653025">
        <w:t>s.</w:t>
      </w:r>
    </w:p>
    <w:p w14:paraId="05BFE947" w14:textId="77777777" w:rsidR="00ED244E" w:rsidRPr="00315CC3" w:rsidRDefault="00ED244E" w:rsidP="00ED244E">
      <w:pPr>
        <w:pStyle w:val="Heading3"/>
      </w:pPr>
      <w:bookmarkStart w:id="140" w:name="_Toc208838029"/>
      <w:r w:rsidRPr="00315CC3">
        <w:t xml:space="preserve">New </w:t>
      </w:r>
      <w:r>
        <w:t>r</w:t>
      </w:r>
      <w:r w:rsidRPr="00315CC3">
        <w:t>equirements</w:t>
      </w:r>
      <w:bookmarkEnd w:id="140"/>
    </w:p>
    <w:p w14:paraId="2E650CAE" w14:textId="77777777" w:rsidR="00ED244E" w:rsidRPr="00562F48" w:rsidRDefault="00ED244E" w:rsidP="00ED244E">
      <w:pPr>
        <w:rPr>
          <w:rFonts w:cstheme="minorHAnsi"/>
          <w:szCs w:val="22"/>
        </w:rPr>
      </w:pPr>
      <w:r w:rsidRPr="00BA2323">
        <w:t>Under the </w:t>
      </w:r>
      <w:r w:rsidRPr="00301DA9">
        <w:t>Act</w:t>
      </w:r>
      <w:r w:rsidRPr="00BA2323">
        <w:t>, registered providers are required to maintain transparent, accessible, and responsive handling systems</w:t>
      </w:r>
      <w:r>
        <w:t xml:space="preserve"> for </w:t>
      </w:r>
      <w:r w:rsidRPr="00BA2323">
        <w:t>complaint</w:t>
      </w:r>
      <w:r>
        <w:t>s, feedback and whistleblower disclosures</w:t>
      </w:r>
      <w:r w:rsidRPr="00BA2323">
        <w:t xml:space="preserve">. These obligations are designed to uphold the Statement of Rights, promote continuous </w:t>
      </w:r>
      <w:r w:rsidRPr="00562F48">
        <w:rPr>
          <w:rFonts w:cstheme="minorHAnsi"/>
          <w:szCs w:val="22"/>
        </w:rPr>
        <w:t>improvement, and ensure older people feel safe and respected when raising concerns.</w:t>
      </w:r>
    </w:p>
    <w:p w14:paraId="75A4386A" w14:textId="77777777" w:rsidR="00ED244E" w:rsidRPr="005078EB" w:rsidRDefault="00ED244E" w:rsidP="00ED244E">
      <w:pPr>
        <w:rPr>
          <w:rFonts w:cs="Arial"/>
        </w:rPr>
      </w:pPr>
      <w:r w:rsidRPr="00562F48">
        <w:rPr>
          <w:rFonts w:cstheme="minorHAnsi"/>
          <w:szCs w:val="22"/>
        </w:rPr>
        <w:t xml:space="preserve">Policies and procedures around complaints and feedback, should enable the </w:t>
      </w:r>
      <w:r>
        <w:rPr>
          <w:rFonts w:cstheme="minorHAnsi"/>
          <w:szCs w:val="22"/>
        </w:rPr>
        <w:t>individual</w:t>
      </w:r>
      <w:r w:rsidRPr="005078EB">
        <w:rPr>
          <w:rFonts w:cs="Arial"/>
        </w:rPr>
        <w:t xml:space="preserve"> to:</w:t>
      </w:r>
    </w:p>
    <w:p w14:paraId="3815261B" w14:textId="77777777" w:rsidR="00ED244E" w:rsidRPr="005078EB" w:rsidRDefault="00ED244E" w:rsidP="00D82385">
      <w:pPr>
        <w:pStyle w:val="ListBullet"/>
      </w:pPr>
      <w:r>
        <w:t>f</w:t>
      </w:r>
      <w:r w:rsidRPr="005078EB">
        <w:t>eel safe and supported when providing feedback and making complaints</w:t>
      </w:r>
    </w:p>
    <w:p w14:paraId="1E63AD5B" w14:textId="77777777" w:rsidR="00ED244E" w:rsidRPr="005078EB" w:rsidRDefault="00ED244E" w:rsidP="00D82385">
      <w:pPr>
        <w:pStyle w:val="ListBullet"/>
      </w:pPr>
      <w:r>
        <w:t>u</w:t>
      </w:r>
      <w:r w:rsidRPr="005078EB">
        <w:t>nderstand and engage with the processes required to provide feedback and making complaints</w:t>
      </w:r>
    </w:p>
    <w:p w14:paraId="70FE43D6" w14:textId="77777777" w:rsidR="00ED244E" w:rsidRPr="005078EB" w:rsidRDefault="00ED244E" w:rsidP="00D82385">
      <w:pPr>
        <w:pStyle w:val="ListBullet"/>
      </w:pPr>
      <w:r>
        <w:t>b</w:t>
      </w:r>
      <w:r w:rsidRPr="005078EB">
        <w:t xml:space="preserve">e satisfied that their feedback or complaint was addressed in an appropriate manner. </w:t>
      </w:r>
    </w:p>
    <w:p w14:paraId="657D6964" w14:textId="77777777" w:rsidR="00ED244E" w:rsidRPr="005078EB" w:rsidRDefault="00ED244E" w:rsidP="00ED244E">
      <w:pPr>
        <w:rPr>
          <w:rFonts w:cs="Arial"/>
        </w:rPr>
      </w:pPr>
      <w:proofErr w:type="gramStart"/>
      <w:r w:rsidRPr="005078EB">
        <w:rPr>
          <w:rFonts w:cs="Arial"/>
        </w:rPr>
        <w:t>In order to</w:t>
      </w:r>
      <w:proofErr w:type="gramEnd"/>
      <w:r w:rsidRPr="005078EB">
        <w:rPr>
          <w:rFonts w:cs="Arial"/>
        </w:rPr>
        <w:t xml:space="preserve"> achieve this, providers should:</w:t>
      </w:r>
    </w:p>
    <w:p w14:paraId="17411CE3" w14:textId="77777777" w:rsidR="00ED244E" w:rsidRPr="005078EB" w:rsidRDefault="00ED244E" w:rsidP="00D82385">
      <w:pPr>
        <w:pStyle w:val="ListBullet"/>
      </w:pPr>
      <w:r>
        <w:t>r</w:t>
      </w:r>
      <w:r w:rsidRPr="005078EB">
        <w:t xml:space="preserve">outinely seek input and feedback from those who engage with their service, including </w:t>
      </w:r>
      <w:r>
        <w:t>individual</w:t>
      </w:r>
      <w:r w:rsidRPr="005078EB">
        <w:t>s, family, supporters, carers, staff and other stakeholders</w:t>
      </w:r>
    </w:p>
    <w:p w14:paraId="37FDF819" w14:textId="1B056DD1" w:rsidR="00ED244E" w:rsidRPr="005078EB" w:rsidRDefault="00ED244E" w:rsidP="00D82385">
      <w:pPr>
        <w:pStyle w:val="ListBullet"/>
      </w:pPr>
      <w:r>
        <w:t>u</w:t>
      </w:r>
      <w:r w:rsidRPr="005078EB">
        <w:t>se the input and feedback to improve transparency, accountability, and continuous improvement in aged care services</w:t>
      </w:r>
    </w:p>
    <w:p w14:paraId="2523A370" w14:textId="77777777" w:rsidR="00ED244E" w:rsidRPr="005078EB" w:rsidRDefault="00ED244E" w:rsidP="00D82385">
      <w:pPr>
        <w:pStyle w:val="ListBullet"/>
      </w:pPr>
      <w:r>
        <w:t>t</w:t>
      </w:r>
      <w:r w:rsidRPr="005078EB">
        <w:t>rain staff to distinguish between complaints, feedback, and whistleblowing disclosures.</w:t>
      </w:r>
    </w:p>
    <w:p w14:paraId="6341B6AF" w14:textId="77777777" w:rsidR="00ED244E" w:rsidRDefault="00ED244E" w:rsidP="00ED244E">
      <w:r w:rsidRPr="00E9226C">
        <w:t>Providers must not victimise or discriminate against anyone for making a complaint or giving feedback.</w:t>
      </w:r>
    </w:p>
    <w:p w14:paraId="6B0A3DD9" w14:textId="77777777" w:rsidR="00ED244E" w:rsidRDefault="00ED244E" w:rsidP="00ED244E">
      <w:r>
        <w:t>The table below provides more information about complaints, feedback and whistleblowers.</w:t>
      </w:r>
    </w:p>
    <w:tbl>
      <w:tblPr>
        <w:tblStyle w:val="DepartmentofHealthtable"/>
        <w:tblW w:w="9356" w:type="dxa"/>
        <w:tblLook w:val="0420" w:firstRow="1" w:lastRow="0" w:firstColumn="0" w:lastColumn="0" w:noHBand="0" w:noVBand="1"/>
        <w:tblCaption w:val="Complaints, feedback and whistleblowers"/>
        <w:tblDescription w:val="The table provides more information about complaints, feedback and whistleblowers. This include definitions and key characteristics."/>
      </w:tblPr>
      <w:tblGrid>
        <w:gridCol w:w="1816"/>
        <w:gridCol w:w="139"/>
        <w:gridCol w:w="3159"/>
        <w:gridCol w:w="4242"/>
      </w:tblGrid>
      <w:tr w:rsidR="00ED244E" w:rsidRPr="00570061" w14:paraId="67E366E7" w14:textId="77777777" w:rsidTr="006C0441">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1D4794"/>
          </w:tcPr>
          <w:p w14:paraId="590F44F3" w14:textId="77777777" w:rsidR="00ED244E" w:rsidRPr="006C0441" w:rsidRDefault="00ED244E" w:rsidP="00A971FF">
            <w:pPr>
              <w:rPr>
                <w:color w:val="FFFFFF" w:themeColor="background1"/>
                <w:sz w:val="20"/>
                <w:szCs w:val="20"/>
              </w:rPr>
            </w:pPr>
            <w:r w:rsidRPr="006C0441">
              <w:rPr>
                <w:color w:val="FFFFFF" w:themeColor="background1"/>
                <w:sz w:val="20"/>
                <w:szCs w:val="20"/>
              </w:rPr>
              <w:t>Term</w:t>
            </w:r>
          </w:p>
        </w:tc>
        <w:tc>
          <w:tcPr>
            <w:tcW w:w="3402" w:type="dxa"/>
            <w:gridSpan w:val="2"/>
            <w:shd w:val="clear" w:color="auto" w:fill="1D4794"/>
          </w:tcPr>
          <w:p w14:paraId="39D50455" w14:textId="77777777" w:rsidR="00ED244E" w:rsidRPr="006C0441" w:rsidRDefault="00ED244E" w:rsidP="00A971FF">
            <w:pPr>
              <w:rPr>
                <w:color w:val="FFFFFF" w:themeColor="background1"/>
                <w:sz w:val="20"/>
                <w:szCs w:val="20"/>
              </w:rPr>
            </w:pPr>
            <w:r w:rsidRPr="006C0441">
              <w:rPr>
                <w:color w:val="FFFFFF" w:themeColor="background1"/>
                <w:sz w:val="20"/>
                <w:szCs w:val="20"/>
              </w:rPr>
              <w:t>Definition</w:t>
            </w:r>
          </w:p>
        </w:tc>
        <w:tc>
          <w:tcPr>
            <w:tcW w:w="4394" w:type="dxa"/>
            <w:shd w:val="clear" w:color="auto" w:fill="1D4794"/>
          </w:tcPr>
          <w:p w14:paraId="3C140A7E" w14:textId="77777777" w:rsidR="00ED244E" w:rsidRPr="006C0441" w:rsidRDefault="00ED244E" w:rsidP="00A971FF">
            <w:pPr>
              <w:rPr>
                <w:color w:val="FFFFFF" w:themeColor="background1"/>
                <w:sz w:val="20"/>
                <w:szCs w:val="20"/>
              </w:rPr>
            </w:pPr>
            <w:r w:rsidRPr="006C0441">
              <w:rPr>
                <w:color w:val="FFFFFF" w:themeColor="background1"/>
                <w:sz w:val="20"/>
                <w:szCs w:val="20"/>
              </w:rPr>
              <w:t>Key characteristics</w:t>
            </w:r>
          </w:p>
        </w:tc>
      </w:tr>
      <w:tr w:rsidR="00ED244E" w:rsidRPr="00570061" w14:paraId="5BA638A1" w14:textId="77777777" w:rsidTr="006C0441">
        <w:tc>
          <w:tcPr>
            <w:tcW w:w="1701" w:type="dxa"/>
            <w:gridSpan w:val="2"/>
            <w:shd w:val="clear" w:color="auto" w:fill="FFFFFF" w:themeFill="background1"/>
          </w:tcPr>
          <w:p w14:paraId="19EF91AC" w14:textId="77777777" w:rsidR="00ED244E" w:rsidRPr="00E212A3" w:rsidRDefault="00ED244E" w:rsidP="00296A1E">
            <w:pPr>
              <w:pStyle w:val="Tablelistnumber"/>
              <w:rPr>
                <w:b/>
                <w:bCs w:val="0"/>
              </w:rPr>
            </w:pPr>
            <w:r w:rsidRPr="00E212A3">
              <w:t>Complaint</w:t>
            </w:r>
          </w:p>
        </w:tc>
        <w:tc>
          <w:tcPr>
            <w:tcW w:w="3261" w:type="dxa"/>
            <w:shd w:val="clear" w:color="auto" w:fill="FFFFFF" w:themeFill="background1"/>
          </w:tcPr>
          <w:p w14:paraId="16B44097" w14:textId="77777777" w:rsidR="00ED244E" w:rsidRPr="00A51B4F" w:rsidRDefault="00ED244E" w:rsidP="00A51B4F">
            <w:pPr>
              <w:pStyle w:val="Tabletext"/>
            </w:pPr>
            <w:r w:rsidRPr="00A51B4F">
              <w:t>An expression of dissatisfaction about a service, care, or conduct.</w:t>
            </w:r>
          </w:p>
        </w:tc>
        <w:tc>
          <w:tcPr>
            <w:tcW w:w="4394" w:type="dxa"/>
            <w:shd w:val="clear" w:color="auto" w:fill="FFFFFF" w:themeFill="background1"/>
          </w:tcPr>
          <w:p w14:paraId="1CB893AE" w14:textId="77777777" w:rsidR="00765E36" w:rsidRPr="00947010" w:rsidRDefault="00ED244E" w:rsidP="000E5973">
            <w:pPr>
              <w:pStyle w:val="ListBullet"/>
              <w:numPr>
                <w:ilvl w:val="0"/>
                <w:numId w:val="28"/>
              </w:numPr>
              <w:rPr>
                <w:sz w:val="20"/>
                <w:szCs w:val="20"/>
              </w:rPr>
            </w:pPr>
            <w:r w:rsidRPr="00947010">
              <w:rPr>
                <w:sz w:val="20"/>
                <w:szCs w:val="20"/>
              </w:rPr>
              <w:t xml:space="preserve">Requires a response or resolution. </w:t>
            </w:r>
          </w:p>
          <w:p w14:paraId="3CEA72DF" w14:textId="77777777" w:rsidR="00765E36" w:rsidRPr="00947010" w:rsidRDefault="00ED244E" w:rsidP="000E5973">
            <w:pPr>
              <w:pStyle w:val="ListBullet"/>
              <w:numPr>
                <w:ilvl w:val="0"/>
                <w:numId w:val="28"/>
              </w:numPr>
              <w:rPr>
                <w:sz w:val="20"/>
                <w:szCs w:val="20"/>
              </w:rPr>
            </w:pPr>
            <w:r w:rsidRPr="00947010">
              <w:rPr>
                <w:sz w:val="20"/>
                <w:szCs w:val="20"/>
              </w:rPr>
              <w:t xml:space="preserve">May be verbal or written. </w:t>
            </w:r>
          </w:p>
          <w:p w14:paraId="1C1E90D0" w14:textId="70064DFA" w:rsidR="00ED244E" w:rsidRPr="00947010" w:rsidRDefault="00ED244E" w:rsidP="000E5973">
            <w:pPr>
              <w:pStyle w:val="ListBullet"/>
              <w:numPr>
                <w:ilvl w:val="0"/>
                <w:numId w:val="28"/>
              </w:numPr>
              <w:rPr>
                <w:b/>
                <w:bCs/>
                <w:sz w:val="20"/>
                <w:szCs w:val="20"/>
              </w:rPr>
            </w:pPr>
            <w:r w:rsidRPr="00947010">
              <w:rPr>
                <w:sz w:val="20"/>
                <w:szCs w:val="20"/>
              </w:rPr>
              <w:t>Can be made by anyone.</w:t>
            </w:r>
          </w:p>
        </w:tc>
      </w:tr>
      <w:tr w:rsidR="00ED244E" w:rsidRPr="00570061" w14:paraId="76996B17" w14:textId="77777777" w:rsidTr="00A971FF">
        <w:tc>
          <w:tcPr>
            <w:tcW w:w="1701" w:type="dxa"/>
            <w:gridSpan w:val="2"/>
          </w:tcPr>
          <w:p w14:paraId="12D753C1" w14:textId="77777777" w:rsidR="00ED244E" w:rsidRPr="00570061" w:rsidRDefault="00ED244E" w:rsidP="00296A1E">
            <w:pPr>
              <w:pStyle w:val="Tablelistnumber"/>
            </w:pPr>
            <w:r w:rsidRPr="00570061">
              <w:t>Feedback</w:t>
            </w:r>
          </w:p>
        </w:tc>
        <w:tc>
          <w:tcPr>
            <w:tcW w:w="3261" w:type="dxa"/>
          </w:tcPr>
          <w:p w14:paraId="69B4CFBA" w14:textId="77777777" w:rsidR="00ED244E" w:rsidRPr="00A51B4F" w:rsidRDefault="00ED244E" w:rsidP="00A51B4F">
            <w:pPr>
              <w:pStyle w:val="Tabletext"/>
            </w:pPr>
            <w:r w:rsidRPr="00A51B4F">
              <w:t>A general comment, suggestion, or observation about a service or experience.</w:t>
            </w:r>
          </w:p>
        </w:tc>
        <w:tc>
          <w:tcPr>
            <w:tcW w:w="4394" w:type="dxa"/>
          </w:tcPr>
          <w:p w14:paraId="1203120B" w14:textId="77777777" w:rsidR="00765E36" w:rsidRPr="00947010" w:rsidRDefault="00ED244E" w:rsidP="000E5973">
            <w:pPr>
              <w:pStyle w:val="ListBullet"/>
              <w:numPr>
                <w:ilvl w:val="0"/>
                <w:numId w:val="28"/>
              </w:numPr>
              <w:rPr>
                <w:sz w:val="20"/>
                <w:szCs w:val="20"/>
              </w:rPr>
            </w:pPr>
            <w:r w:rsidRPr="00947010">
              <w:rPr>
                <w:sz w:val="20"/>
                <w:szCs w:val="20"/>
              </w:rPr>
              <w:t>May be positive, neutral, or negative.</w:t>
            </w:r>
          </w:p>
          <w:p w14:paraId="589210C0" w14:textId="58B0CF07" w:rsidR="00ED244E" w:rsidRPr="006C0441" w:rsidRDefault="00ED244E" w:rsidP="000E5973">
            <w:pPr>
              <w:pStyle w:val="ListBullet"/>
              <w:numPr>
                <w:ilvl w:val="0"/>
                <w:numId w:val="28"/>
              </w:numPr>
            </w:pPr>
            <w:r w:rsidRPr="00947010">
              <w:rPr>
                <w:sz w:val="20"/>
                <w:szCs w:val="20"/>
              </w:rPr>
              <w:t>Does not always require a formal response.</w:t>
            </w:r>
          </w:p>
        </w:tc>
      </w:tr>
      <w:tr w:rsidR="00ED244E" w:rsidRPr="00570061" w14:paraId="64BB637C" w14:textId="77777777" w:rsidTr="00A971FF">
        <w:tc>
          <w:tcPr>
            <w:tcW w:w="1701" w:type="dxa"/>
            <w:gridSpan w:val="2"/>
          </w:tcPr>
          <w:p w14:paraId="76AE4D49" w14:textId="77777777" w:rsidR="00ED244E" w:rsidRPr="00570061" w:rsidRDefault="00ED244E" w:rsidP="00296A1E">
            <w:pPr>
              <w:pStyle w:val="Tablelistnumber"/>
            </w:pPr>
            <w:r w:rsidRPr="00570061">
              <w:t>Whistleblowers</w:t>
            </w:r>
          </w:p>
        </w:tc>
        <w:tc>
          <w:tcPr>
            <w:tcW w:w="3261" w:type="dxa"/>
          </w:tcPr>
          <w:p w14:paraId="17D7D425" w14:textId="77777777" w:rsidR="00ED244E" w:rsidRPr="00A51B4F" w:rsidRDefault="00ED244E" w:rsidP="00A51B4F">
            <w:pPr>
              <w:pStyle w:val="Tabletext"/>
            </w:pPr>
            <w:r w:rsidRPr="00A51B4F">
              <w:t>A person who reports serious misconduct, breaches of law, or unethical behaviour.</w:t>
            </w:r>
          </w:p>
        </w:tc>
        <w:tc>
          <w:tcPr>
            <w:tcW w:w="4394" w:type="dxa"/>
          </w:tcPr>
          <w:p w14:paraId="672A4B88" w14:textId="77777777" w:rsidR="00765E36" w:rsidRPr="00947010" w:rsidRDefault="00ED244E" w:rsidP="000E5973">
            <w:pPr>
              <w:pStyle w:val="ListBullet"/>
              <w:numPr>
                <w:ilvl w:val="0"/>
                <w:numId w:val="28"/>
              </w:numPr>
              <w:rPr>
                <w:sz w:val="20"/>
                <w:szCs w:val="20"/>
              </w:rPr>
            </w:pPr>
            <w:r w:rsidRPr="00947010">
              <w:rPr>
                <w:sz w:val="20"/>
                <w:szCs w:val="20"/>
              </w:rPr>
              <w:t xml:space="preserve">Protected under law. </w:t>
            </w:r>
          </w:p>
          <w:p w14:paraId="17C0038C" w14:textId="77777777" w:rsidR="00765E36" w:rsidRPr="00947010" w:rsidRDefault="00ED244E" w:rsidP="000E5973">
            <w:pPr>
              <w:pStyle w:val="ListBullet"/>
              <w:numPr>
                <w:ilvl w:val="0"/>
                <w:numId w:val="28"/>
              </w:numPr>
              <w:rPr>
                <w:sz w:val="20"/>
                <w:szCs w:val="20"/>
              </w:rPr>
            </w:pPr>
            <w:r w:rsidRPr="00947010">
              <w:rPr>
                <w:sz w:val="20"/>
                <w:szCs w:val="20"/>
              </w:rPr>
              <w:t xml:space="preserve">Can be anonymous. </w:t>
            </w:r>
          </w:p>
          <w:p w14:paraId="4DF25533" w14:textId="5CA096A4" w:rsidR="00ED244E" w:rsidRPr="006C0441" w:rsidRDefault="00ED244E" w:rsidP="000E5973">
            <w:pPr>
              <w:pStyle w:val="ListBullet"/>
              <w:numPr>
                <w:ilvl w:val="0"/>
                <w:numId w:val="28"/>
              </w:numPr>
            </w:pPr>
            <w:r w:rsidRPr="00947010">
              <w:rPr>
                <w:sz w:val="20"/>
                <w:szCs w:val="20"/>
              </w:rPr>
              <w:t>Must be handled confidentially and sensitively.</w:t>
            </w:r>
          </w:p>
        </w:tc>
      </w:tr>
    </w:tbl>
    <w:p w14:paraId="03E483B6" w14:textId="77777777" w:rsidR="00ED244E" w:rsidRPr="00D40DAC" w:rsidRDefault="00ED244E" w:rsidP="00ED244E">
      <w:pPr>
        <w:pStyle w:val="Heading2"/>
      </w:pPr>
      <w:bookmarkStart w:id="141" w:name="_Toc208838030"/>
      <w:bookmarkStart w:id="142" w:name="_Toc212713668"/>
      <w:bookmarkStart w:id="143" w:name="_Toc225416242"/>
      <w:r w:rsidRPr="00D40DAC">
        <w:t xml:space="preserve">Complaints and </w:t>
      </w:r>
      <w:bookmarkEnd w:id="141"/>
      <w:r>
        <w:t>f</w:t>
      </w:r>
      <w:r w:rsidRPr="00D40DAC">
        <w:t>eedback</w:t>
      </w:r>
      <w:bookmarkEnd w:id="142"/>
      <w:bookmarkEnd w:id="143"/>
    </w:p>
    <w:p w14:paraId="709D93AA" w14:textId="77777777" w:rsidR="00ED244E" w:rsidRDefault="00ED244E" w:rsidP="00ED244E">
      <w:pPr>
        <w:tabs>
          <w:tab w:val="num" w:pos="720"/>
        </w:tabs>
      </w:pPr>
      <w:r>
        <w:t>Under the Act</w:t>
      </w:r>
      <w:r w:rsidRPr="00CE13F4">
        <w:rPr>
          <w:i/>
          <w:iCs/>
        </w:rPr>
        <w:t>,</w:t>
      </w:r>
      <w:r>
        <w:t xml:space="preserve"> it is a condition of registration for r</w:t>
      </w:r>
      <w:r w:rsidRPr="00BA2323">
        <w:t xml:space="preserve">egistered providers </w:t>
      </w:r>
      <w:r>
        <w:t>to have and maintai</w:t>
      </w:r>
      <w:r w:rsidRPr="00BA2323">
        <w:t>n a </w:t>
      </w:r>
      <w:proofErr w:type="gramStart"/>
      <w:r w:rsidRPr="00BA2323">
        <w:t>complaints</w:t>
      </w:r>
      <w:proofErr w:type="gramEnd"/>
      <w:r>
        <w:t xml:space="preserve"> and feedback management</w:t>
      </w:r>
      <w:r w:rsidRPr="00BA2323">
        <w:t xml:space="preserve"> system</w:t>
      </w:r>
      <w:r w:rsidRPr="001A0AFD">
        <w:t>.</w:t>
      </w:r>
      <w:r>
        <w:t xml:space="preserve"> </w:t>
      </w:r>
    </w:p>
    <w:p w14:paraId="6836C396" w14:textId="77777777" w:rsidR="00ED244E" w:rsidRDefault="00ED244E" w:rsidP="00ED244E">
      <w:pPr>
        <w:tabs>
          <w:tab w:val="num" w:pos="720"/>
        </w:tabs>
      </w:pPr>
      <w:r>
        <w:t>Individuals should feel safe, encouraged and supported to give feedback and complaints. The Statement of Rights provides that people have the right to make complaints using accessible mechanisms without fear of reprisal, with the assistance of an advocate or another person and</w:t>
      </w:r>
      <w:r w:rsidDel="00570061">
        <w:t xml:space="preserve"> </w:t>
      </w:r>
      <w:r>
        <w:t>to have the complaints dealt with fairly and promptly.</w:t>
      </w:r>
    </w:p>
    <w:p w14:paraId="17FA41D0" w14:textId="77777777" w:rsidR="00ED244E" w:rsidRPr="001A0AFD" w:rsidRDefault="00ED244E" w:rsidP="00ED244E">
      <w:pPr>
        <w:pStyle w:val="Heading3"/>
      </w:pPr>
      <w:r w:rsidRPr="001A0AFD">
        <w:t>Complaints</w:t>
      </w:r>
      <w:r>
        <w:t xml:space="preserve"> handling policy</w:t>
      </w:r>
    </w:p>
    <w:p w14:paraId="76BB86C0" w14:textId="77777777" w:rsidR="00ED244E" w:rsidRDefault="00ED244E" w:rsidP="00ED244E">
      <w:r>
        <w:t>The requirement for s</w:t>
      </w:r>
      <w:r w:rsidRPr="00653025">
        <w:t xml:space="preserve">ervice providers </w:t>
      </w:r>
      <w:r>
        <w:t>to</w:t>
      </w:r>
      <w:r w:rsidRPr="00653025">
        <w:t xml:space="preserve"> have a transparent and accessible complaints handling policy</w:t>
      </w:r>
      <w:r>
        <w:t xml:space="preserve"> remains</w:t>
      </w:r>
      <w:r w:rsidRPr="00653025">
        <w:t xml:space="preserve">. </w:t>
      </w:r>
    </w:p>
    <w:p w14:paraId="132D6AD0" w14:textId="77777777" w:rsidR="00ED244E" w:rsidRPr="00653025" w:rsidRDefault="00ED244E" w:rsidP="00ED244E">
      <w:r w:rsidRPr="00653025">
        <w:t>This policy should acknowledge the complainant’s right to complain directly to the service provider, outline the process for both dealing with the complaint and provide options for escalation both within the service provider’s organisation and to the department, if necessary.</w:t>
      </w:r>
      <w:r>
        <w:t xml:space="preserve">  </w:t>
      </w:r>
      <w:r w:rsidRPr="001A0AFD">
        <w:t>Inform older people of their right to complain and how to do so.</w:t>
      </w:r>
    </w:p>
    <w:p w14:paraId="5067792A" w14:textId="77777777" w:rsidR="00ED244E" w:rsidRPr="00653025" w:rsidRDefault="00ED244E" w:rsidP="00ED244E">
      <w:r w:rsidRPr="00653025">
        <w:t xml:space="preserve">Service providers need to ensure that all </w:t>
      </w:r>
      <w:r>
        <w:t>individual</w:t>
      </w:r>
      <w:r w:rsidRPr="00653025">
        <w:t>s and their families are informed of the arrangements in place to make complaints about matters related to the care provided and to have their complaints dealt with fairly, promptly, confidentially and without retribution.</w:t>
      </w:r>
    </w:p>
    <w:p w14:paraId="2CA024AA" w14:textId="77777777" w:rsidR="00ED244E" w:rsidRPr="00653025" w:rsidRDefault="00ED244E" w:rsidP="00ED244E">
      <w:r w:rsidRPr="00653025">
        <w:t xml:space="preserve">Service providers must ensure that they provide information about their complaints handling policy and processes in all correspondence to </w:t>
      </w:r>
      <w:r>
        <w:t>individual</w:t>
      </w:r>
      <w:r w:rsidRPr="00653025">
        <w:t xml:space="preserve">s and potential </w:t>
      </w:r>
      <w:r>
        <w:t>individual</w:t>
      </w:r>
      <w:r w:rsidRPr="00653025">
        <w:t>s.</w:t>
      </w:r>
    </w:p>
    <w:p w14:paraId="16AB5086" w14:textId="77777777" w:rsidR="00ED244E" w:rsidRDefault="00ED244E" w:rsidP="00ED244E">
      <w:r w:rsidRPr="00653025">
        <w:t>Service providers must accept a complaint regardless of whether it is made orally, in writing or anonymously.</w:t>
      </w:r>
    </w:p>
    <w:p w14:paraId="453CD216" w14:textId="77777777" w:rsidR="00ED244E" w:rsidRPr="00BA2323" w:rsidRDefault="00ED244E" w:rsidP="00ED244E">
      <w:pPr>
        <w:keepLines/>
        <w:tabs>
          <w:tab w:val="num" w:pos="720"/>
        </w:tabs>
      </w:pPr>
      <w:r>
        <w:t>NATSIFACP providers must ensure that compliant and feedback processes and systems are</w:t>
      </w:r>
      <w:r w:rsidRPr="00BA2323">
        <w:t xml:space="preserve"> accessible, culturally safe, and responsive.</w:t>
      </w:r>
    </w:p>
    <w:p w14:paraId="495472AE" w14:textId="77777777" w:rsidR="00ED244E" w:rsidRPr="001A0AFD" w:rsidRDefault="00ED244E" w:rsidP="00ED244E">
      <w:pPr>
        <w:pStyle w:val="Heading3"/>
      </w:pPr>
      <w:r w:rsidRPr="001A0AFD">
        <w:t xml:space="preserve">Complaints </w:t>
      </w:r>
      <w:r>
        <w:t>and feedback management</w:t>
      </w:r>
      <w:r w:rsidRPr="001A0AFD">
        <w:t xml:space="preserve"> system</w:t>
      </w:r>
    </w:p>
    <w:p w14:paraId="47C04B23" w14:textId="77777777" w:rsidR="00ED244E" w:rsidRDefault="00ED244E" w:rsidP="00ED244E">
      <w:pPr>
        <w:tabs>
          <w:tab w:val="num" w:pos="720"/>
        </w:tabs>
      </w:pPr>
      <w:r>
        <w:t xml:space="preserve">NATSIFACP providers must have and maintain a </w:t>
      </w:r>
      <w:r w:rsidRPr="00BA2323">
        <w:t>complaint</w:t>
      </w:r>
      <w:r>
        <w:t xml:space="preserve"> and feedback</w:t>
      </w:r>
      <w:r w:rsidRPr="00BA2323">
        <w:t xml:space="preserve"> </w:t>
      </w:r>
      <w:r>
        <w:t>management</w:t>
      </w:r>
      <w:r w:rsidRPr="00BA2323">
        <w:t xml:space="preserve"> system</w:t>
      </w:r>
      <w:r>
        <w:t>. They should u</w:t>
      </w:r>
      <w:r w:rsidRPr="00562F48">
        <w:t>se the system to record, investigate and resolve complaints in a timely and fair manner</w:t>
      </w:r>
      <w:r>
        <w:t>, ensure no retaliation occurs against complainants, and u</w:t>
      </w:r>
      <w:r w:rsidRPr="00BA2323">
        <w:t>se complaint data to identify risks and improve services.</w:t>
      </w:r>
    </w:p>
    <w:p w14:paraId="370F53F5" w14:textId="77777777" w:rsidR="00ED244E" w:rsidRDefault="00ED244E" w:rsidP="00ED244E">
      <w:r>
        <w:t xml:space="preserve">Individuals should also be advised of other mechanisms that are available to them for the purpose of reporting and addressing complaints, including the Commission: </w:t>
      </w:r>
      <w:hyperlink r:id="rId112" w:history="1">
        <w:r>
          <w:rPr>
            <w:rStyle w:val="Hyperlink"/>
          </w:rPr>
          <w:t>A</w:t>
        </w:r>
        <w:r w:rsidRPr="004020B0">
          <w:rPr>
            <w:rStyle w:val="Hyperlink"/>
          </w:rPr>
          <w:t>ged</w:t>
        </w:r>
        <w:r>
          <w:rPr>
            <w:rStyle w:val="Hyperlink"/>
          </w:rPr>
          <w:t>C</w:t>
        </w:r>
        <w:r w:rsidRPr="004020B0">
          <w:rPr>
            <w:rStyle w:val="Hyperlink"/>
          </w:rPr>
          <w:t>are</w:t>
        </w:r>
        <w:r>
          <w:rPr>
            <w:rStyle w:val="Hyperlink"/>
          </w:rPr>
          <w:t>Q</w:t>
        </w:r>
        <w:r w:rsidRPr="004020B0">
          <w:rPr>
            <w:rStyle w:val="Hyperlink"/>
          </w:rPr>
          <w:t>uality.gov.au</w:t>
        </w:r>
      </w:hyperlink>
      <w:r>
        <w:t>.</w:t>
      </w:r>
    </w:p>
    <w:p w14:paraId="6214BA77" w14:textId="5E140AA8" w:rsidR="00ED244E" w:rsidRPr="00BA2323" w:rsidRDefault="00ED244E" w:rsidP="00ED244E">
      <w:pPr>
        <w:keepLines/>
      </w:pPr>
      <w:r>
        <w:t xml:space="preserve">Serious reports must still be reported under the </w:t>
      </w:r>
      <w:hyperlink w:anchor="SIRS" w:history="1">
        <w:r w:rsidRPr="00275C08">
          <w:rPr>
            <w:rStyle w:val="Hyperlink"/>
          </w:rPr>
          <w:t>Serious Incident Response Scheme (SIRS) </w:t>
        </w:r>
      </w:hyperlink>
      <w:r w:rsidRPr="00BA2323">
        <w:t>where applicable.</w:t>
      </w:r>
    </w:p>
    <w:p w14:paraId="5042469D" w14:textId="77777777" w:rsidR="00ED244E" w:rsidRDefault="00ED244E" w:rsidP="00ED244E">
      <w:pPr>
        <w:pStyle w:val="Heading3"/>
      </w:pPr>
      <w:r>
        <w:t>Feedback</w:t>
      </w:r>
    </w:p>
    <w:p w14:paraId="199BD7A5" w14:textId="77777777" w:rsidR="00ED244E" w:rsidRDefault="00ED244E" w:rsidP="00ED244E">
      <w:r w:rsidRPr="00E70A11">
        <w:t>Feedback is an important way to understand what is working well in your service and to identify areas that can be improved.</w:t>
      </w:r>
      <w:r>
        <w:t xml:space="preserve"> </w:t>
      </w:r>
      <w:r w:rsidRPr="005B4190">
        <w:t xml:space="preserve">Providers must actively encourage </w:t>
      </w:r>
      <w:r>
        <w:t xml:space="preserve">individuals, families, </w:t>
      </w:r>
      <w:r w:rsidRPr="005B4190" w:rsidDel="003B64A9">
        <w:t>carers</w:t>
      </w:r>
      <w:r>
        <w:t xml:space="preserve">, registered supporters, advocates, authorised decision makers, workers, volunteers and associated providers </w:t>
      </w:r>
      <w:r w:rsidRPr="005B4190">
        <w:t xml:space="preserve">to provide feedback </w:t>
      </w:r>
      <w:r>
        <w:t xml:space="preserve">and complaints </w:t>
      </w:r>
      <w:r w:rsidRPr="005B4190">
        <w:t xml:space="preserve">about the services </w:t>
      </w:r>
      <w:r>
        <w:t>provided by the registered provider. Feedback can be made to the provider or the Commission</w:t>
      </w:r>
      <w:r w:rsidRPr="005B4190">
        <w:t xml:space="preserve">. </w:t>
      </w:r>
    </w:p>
    <w:p w14:paraId="0AAC89EB" w14:textId="77777777" w:rsidR="00ED244E" w:rsidRDefault="00ED244E" w:rsidP="00ED244E">
      <w:r w:rsidRPr="005B4190">
        <w:t>A</w:t>
      </w:r>
      <w:r>
        <w:t xml:space="preserve">n individual </w:t>
      </w:r>
      <w:r w:rsidRPr="005B4190">
        <w:t xml:space="preserve">has the right to call an advocate </w:t>
      </w:r>
      <w:r>
        <w:t xml:space="preserve">or another person </w:t>
      </w:r>
      <w:r w:rsidRPr="005B4190">
        <w:t xml:space="preserve">of their </w:t>
      </w:r>
      <w:r>
        <w:t xml:space="preserve">choosing, </w:t>
      </w:r>
      <w:r w:rsidRPr="005B4190">
        <w:t xml:space="preserve">to present any complaints and to help them through the complaints management process. </w:t>
      </w:r>
      <w:r>
        <w:t xml:space="preserve">Providers must facilitate access to registered supporters or other independent aged care advocates to support the complaints resolution processes. </w:t>
      </w:r>
    </w:p>
    <w:p w14:paraId="1833BFF6" w14:textId="77777777" w:rsidR="00ED244E" w:rsidRPr="00E70A11" w:rsidRDefault="00ED244E" w:rsidP="00ED244E">
      <w:pPr>
        <w:keepLines/>
        <w:tabs>
          <w:tab w:val="num" w:pos="720"/>
        </w:tabs>
      </w:pPr>
      <w:r w:rsidRPr="00E70A11">
        <w:t>While feedback may not require formal resolution, providers should</w:t>
      </w:r>
      <w:r>
        <w:t xml:space="preserve"> e</w:t>
      </w:r>
      <w:r w:rsidRPr="00E70A11">
        <w:t>ncourage feedback as part of routine care interactions.</w:t>
      </w:r>
      <w:r>
        <w:t xml:space="preserve"> Where feedback is received, it should also be </w:t>
      </w:r>
      <w:proofErr w:type="gramStart"/>
      <w:r>
        <w:t>acknowledged</w:t>
      </w:r>
      <w:proofErr w:type="gramEnd"/>
      <w:r>
        <w:t xml:space="preserve"> and any resulting changes should be communicated. </w:t>
      </w:r>
    </w:p>
    <w:p w14:paraId="1457EDB4" w14:textId="77777777" w:rsidR="00ED244E" w:rsidRDefault="00ED244E" w:rsidP="00ED244E">
      <w:r>
        <w:t>Feedback should be r</w:t>
      </w:r>
      <w:r w:rsidRPr="00E70A11">
        <w:t>ecord</w:t>
      </w:r>
      <w:r>
        <w:t>ed</w:t>
      </w:r>
      <w:r w:rsidRPr="00E70A11">
        <w:t xml:space="preserve"> and analyse</w:t>
      </w:r>
      <w:r>
        <w:t>d</w:t>
      </w:r>
      <w:r w:rsidRPr="00E70A11">
        <w:t xml:space="preserve"> to identify trends</w:t>
      </w:r>
      <w:r>
        <w:t xml:space="preserve"> and used to</w:t>
      </w:r>
      <w:r w:rsidRPr="00E70A11">
        <w:t xml:space="preserve"> inform service planning and quality improvement.</w:t>
      </w:r>
      <w:r>
        <w:t xml:space="preserve">  </w:t>
      </w:r>
    </w:p>
    <w:p w14:paraId="0C46C1C0" w14:textId="77777777" w:rsidR="00ED244E" w:rsidRPr="005B4190" w:rsidRDefault="00ED244E" w:rsidP="00ED244E">
      <w:r w:rsidRPr="005B4190">
        <w:rPr>
          <w:b/>
          <w:bCs/>
        </w:rPr>
        <w:t>Note:</w:t>
      </w:r>
      <w:r w:rsidRPr="005B4190">
        <w:t xml:space="preserve"> </w:t>
      </w:r>
      <w:r>
        <w:t>w</w:t>
      </w:r>
      <w:r w:rsidRPr="005B4190">
        <w:t>here a provider is unable to resolve a client’s concerns, they should continue to work with the client including, where appropriate, assist in transitioning to an alternative provider.</w:t>
      </w:r>
    </w:p>
    <w:p w14:paraId="11838E70" w14:textId="77777777" w:rsidR="00ED244E" w:rsidRPr="005B4190" w:rsidRDefault="00ED244E" w:rsidP="00ED244E">
      <w:pPr>
        <w:pStyle w:val="Heading3"/>
      </w:pPr>
      <w:bookmarkStart w:id="144" w:name="_Toc206138596"/>
      <w:bookmarkStart w:id="145" w:name="_Toc208838032"/>
      <w:r>
        <w:t>Alternative</w:t>
      </w:r>
      <w:r w:rsidRPr="005B4190">
        <w:t xml:space="preserve"> </w:t>
      </w:r>
      <w:r>
        <w:t>feedback and c</w:t>
      </w:r>
      <w:r w:rsidRPr="005B4190">
        <w:t>omplaints mechanisms</w:t>
      </w:r>
      <w:bookmarkEnd w:id="144"/>
      <w:bookmarkEnd w:id="145"/>
      <w:r w:rsidRPr="005B4190">
        <w:t xml:space="preserve"> </w:t>
      </w:r>
    </w:p>
    <w:p w14:paraId="7EFC0E30" w14:textId="77777777" w:rsidR="00ED244E" w:rsidRPr="005B4190" w:rsidRDefault="00ED244E" w:rsidP="00ED244E">
      <w:r>
        <w:t>Individuals</w:t>
      </w:r>
      <w:r w:rsidRPr="005B4190">
        <w:t xml:space="preserve"> (or their </w:t>
      </w:r>
      <w:r>
        <w:t xml:space="preserve">advocates, </w:t>
      </w:r>
      <w:r w:rsidRPr="005B4190">
        <w:t>registered supporter</w:t>
      </w:r>
      <w:r>
        <w:t>s or anyone else supporting the client</w:t>
      </w:r>
      <w:r w:rsidRPr="005B4190">
        <w:t xml:space="preserve">) can raise a complaint </w:t>
      </w:r>
      <w:r>
        <w:t>or provide feedback</w:t>
      </w:r>
      <w:r w:rsidRPr="005B4190">
        <w:t xml:space="preserve"> </w:t>
      </w:r>
      <w:r>
        <w:t>by contacting</w:t>
      </w:r>
      <w:r w:rsidRPr="005B4190">
        <w:t>:</w:t>
      </w:r>
    </w:p>
    <w:p w14:paraId="26B94DC9" w14:textId="77777777" w:rsidR="00ED244E" w:rsidRPr="00DB0649" w:rsidRDefault="00ED244E" w:rsidP="00D82385">
      <w:pPr>
        <w:pStyle w:val="ListBullet"/>
        <w:rPr>
          <w:i/>
        </w:rPr>
      </w:pPr>
      <w:r w:rsidRPr="00E17BD7">
        <w:t xml:space="preserve">My Aged Care on 1800 200 422 or </w:t>
      </w:r>
      <w:r>
        <w:t xml:space="preserve">by visiting </w:t>
      </w:r>
      <w:hyperlink r:id="rId113" w:history="1">
        <w:r w:rsidRPr="004020B0">
          <w:rPr>
            <w:rStyle w:val="Hyperlink"/>
            <w:rFonts w:cs="Arial"/>
          </w:rPr>
          <w:t>MyAgedCare.gov.au</w:t>
        </w:r>
      </w:hyperlink>
    </w:p>
    <w:p w14:paraId="2DE9E5B9" w14:textId="77777777" w:rsidR="00ED244E" w:rsidRPr="00E17BD7" w:rsidRDefault="00ED244E" w:rsidP="00D82385">
      <w:pPr>
        <w:pStyle w:val="ListBullet"/>
      </w:pPr>
      <w:r w:rsidRPr="00E17BD7">
        <w:t xml:space="preserve">Older Persons Advocacy Network (OPAN) Aged Care Advocacy Line on 1800 700 600 or by visiting </w:t>
      </w:r>
      <w:hyperlink r:id="rId114" w:history="1">
        <w:r>
          <w:rPr>
            <w:rStyle w:val="Hyperlink"/>
            <w:rFonts w:cs="Arial"/>
          </w:rPr>
          <w:t>opan.org.au</w:t>
        </w:r>
      </w:hyperlink>
    </w:p>
    <w:p w14:paraId="011EAB8C" w14:textId="77777777" w:rsidR="00ED244E" w:rsidRPr="00570061" w:rsidRDefault="00ED244E" w:rsidP="00D82385">
      <w:pPr>
        <w:pStyle w:val="ListBullet"/>
      </w:pPr>
      <w:r>
        <w:t>Aged Care Quality and Safety Commission on</w:t>
      </w:r>
      <w:r w:rsidRPr="00570061">
        <w:t xml:space="preserve"> 1800 951 822 or visiting </w:t>
      </w:r>
      <w:hyperlink r:id="rId115">
        <w:r>
          <w:rPr>
            <w:rStyle w:val="Hyperlink"/>
            <w:rFonts w:cs="Arial"/>
          </w:rPr>
          <w:t>AgedCareQuality.gov.au/contact-us/complaints-concerns/what-do-if-you-have-complaint</w:t>
        </w:r>
      </w:hyperlink>
      <w:r w:rsidRPr="00570061">
        <w:t>.</w:t>
      </w:r>
    </w:p>
    <w:p w14:paraId="10A7DC53" w14:textId="77777777" w:rsidR="00ED244E" w:rsidRPr="005B4190" w:rsidRDefault="00ED244E" w:rsidP="00ED244E">
      <w:r w:rsidRPr="005B4190">
        <w:t xml:space="preserve">Further information on </w:t>
      </w:r>
      <w:r w:rsidRPr="006920AA">
        <w:t>making complaints</w:t>
      </w:r>
      <w:r w:rsidRPr="005B4190">
        <w:t xml:space="preserve"> is available on the My Aged Care website</w:t>
      </w:r>
      <w:r>
        <w:t xml:space="preserve">: </w:t>
      </w:r>
      <w:hyperlink r:id="rId116" w:history="1">
        <w:r>
          <w:rPr>
            <w:rStyle w:val="Hyperlink"/>
          </w:rPr>
          <w:t>M</w:t>
        </w:r>
        <w:r w:rsidRPr="004020B0">
          <w:rPr>
            <w:rStyle w:val="Hyperlink"/>
          </w:rPr>
          <w:t>y</w:t>
        </w:r>
        <w:r>
          <w:rPr>
            <w:rStyle w:val="Hyperlink"/>
          </w:rPr>
          <w:t>Ag</w:t>
        </w:r>
        <w:r w:rsidRPr="004020B0">
          <w:rPr>
            <w:rStyle w:val="Hyperlink"/>
          </w:rPr>
          <w:t>ed</w:t>
        </w:r>
        <w:r>
          <w:rPr>
            <w:rStyle w:val="Hyperlink"/>
          </w:rPr>
          <w:t>C</w:t>
        </w:r>
        <w:r w:rsidRPr="004020B0">
          <w:rPr>
            <w:rStyle w:val="Hyperlink"/>
          </w:rPr>
          <w:t>are.gov.au/contact-us/complaints</w:t>
        </w:r>
      </w:hyperlink>
      <w:r w:rsidRPr="005B4190">
        <w:t xml:space="preserve">. </w:t>
      </w:r>
    </w:p>
    <w:p w14:paraId="12BC140E" w14:textId="77777777" w:rsidR="00ED244E" w:rsidRPr="00D40DAC" w:rsidRDefault="00ED244E" w:rsidP="00ED244E">
      <w:pPr>
        <w:pStyle w:val="Heading2"/>
      </w:pPr>
      <w:bookmarkStart w:id="146" w:name="_Whistleblower_protections"/>
      <w:bookmarkStart w:id="147" w:name="_Toc208838031"/>
      <w:bookmarkStart w:id="148" w:name="_Toc212713669"/>
      <w:bookmarkStart w:id="149" w:name="_Toc225416243"/>
      <w:bookmarkEnd w:id="146"/>
      <w:r w:rsidRPr="00D40DAC">
        <w:t xml:space="preserve">Whistleblower </w:t>
      </w:r>
      <w:bookmarkEnd w:id="147"/>
      <w:r>
        <w:t>p</w:t>
      </w:r>
      <w:r w:rsidRPr="00D40DAC">
        <w:t>rotections</w:t>
      </w:r>
      <w:bookmarkEnd w:id="148"/>
      <w:bookmarkEnd w:id="149"/>
    </w:p>
    <w:p w14:paraId="545A0908" w14:textId="50B2A495" w:rsidR="00ED244E" w:rsidRPr="0004492C" w:rsidRDefault="00ED244E" w:rsidP="00ED244E">
      <w:pPr>
        <w:tabs>
          <w:tab w:val="num" w:pos="720"/>
        </w:tabs>
      </w:pPr>
      <w:r w:rsidRPr="0004492C">
        <w:t>Under the </w:t>
      </w:r>
      <w:r>
        <w:t>Act</w:t>
      </w:r>
      <w:r w:rsidRPr="0004492C">
        <w:t xml:space="preserve"> and related legislation, people who call out or report issues or concerns receive increased protection from retaliation, dismissal and discrimination. These changes were made to ensure that people can feel safe to </w:t>
      </w:r>
      <w:r>
        <w:t>make a whistleblower disclosure</w:t>
      </w:r>
      <w:r w:rsidRPr="0004492C">
        <w:t xml:space="preserve"> </w:t>
      </w:r>
      <w:r>
        <w:t xml:space="preserve">(that is, to </w:t>
      </w:r>
      <w:r w:rsidRPr="0004492C">
        <w:t>raise concerns</w:t>
      </w:r>
      <w:r>
        <w:t>, call out misconduct or</w:t>
      </w:r>
      <w:r w:rsidRPr="0004492C">
        <w:t xml:space="preserve"> report information</w:t>
      </w:r>
      <w:r>
        <w:t>)</w:t>
      </w:r>
      <w:r w:rsidRPr="0004492C">
        <w:t xml:space="preserve"> without fear of unfair treatment or reprisal</w:t>
      </w:r>
      <w:r>
        <w:t>.</w:t>
      </w:r>
    </w:p>
    <w:p w14:paraId="1D1952FC" w14:textId="77777777" w:rsidR="00ED244E" w:rsidRPr="0004492C" w:rsidRDefault="00ED244E" w:rsidP="00ED244E">
      <w:pPr>
        <w:keepLines/>
        <w:tabs>
          <w:tab w:val="num" w:pos="720"/>
        </w:tabs>
      </w:pPr>
      <w:r w:rsidRPr="0004492C">
        <w:t>Providers must have an internal whistleblower system and policy in place to ensure disclosures are effectively handled.</w:t>
      </w:r>
      <w:r>
        <w:t xml:space="preserve"> </w:t>
      </w:r>
      <w:r w:rsidRPr="0004492C">
        <w:t>Reports must be investigated independently and fairly.</w:t>
      </w:r>
    </w:p>
    <w:p w14:paraId="6F914BE2" w14:textId="77777777" w:rsidR="00ED244E" w:rsidRDefault="00ED244E" w:rsidP="00ED244E">
      <w:r w:rsidRPr="0004492C">
        <w:t xml:space="preserve">Providers must </w:t>
      </w:r>
      <w:r>
        <w:t xml:space="preserve">also </w:t>
      </w:r>
      <w:r w:rsidRPr="0004492C">
        <w:t>ensure whistleblowers</w:t>
      </w:r>
      <w:r>
        <w:t xml:space="preserve"> </w:t>
      </w:r>
      <w:r w:rsidRPr="0004492C">
        <w:t>are supported and protected throughout the process.</w:t>
      </w:r>
      <w:r>
        <w:t xml:space="preserve"> Further information on whistleblower protections can be found at:</w:t>
      </w:r>
    </w:p>
    <w:p w14:paraId="3419221A" w14:textId="77777777" w:rsidR="00ED244E" w:rsidRPr="00C547DA" w:rsidRDefault="00ED244E" w:rsidP="00D82385">
      <w:pPr>
        <w:pStyle w:val="ListBullet"/>
        <w:rPr>
          <w:rStyle w:val="Hyperlink"/>
        </w:rPr>
      </w:pPr>
      <w:hyperlink r:id="rId117" w:anchor="protection-for-whistleblowers" w:history="1">
        <w:r w:rsidRPr="00C547DA">
          <w:rPr>
            <w:rStyle w:val="Hyperlink"/>
          </w:rPr>
          <w:t>health.gov.au/our-work/aged-care-act/about#protection-for-whistleblowers</w:t>
        </w:r>
      </w:hyperlink>
    </w:p>
    <w:p w14:paraId="3A7FE627" w14:textId="77777777" w:rsidR="0062731C" w:rsidRDefault="00ED244E" w:rsidP="00D82385">
      <w:pPr>
        <w:pStyle w:val="ListBullet"/>
        <w:sectPr w:rsidR="0062731C" w:rsidSect="00E33A42">
          <w:footerReference w:type="even" r:id="rId118"/>
          <w:footerReference w:type="default" r:id="rId119"/>
          <w:pgSz w:w="11906" w:h="16838"/>
          <w:pgMar w:top="1701" w:right="1418" w:bottom="1418" w:left="1418" w:header="709" w:footer="709" w:gutter="0"/>
          <w:cols w:space="708"/>
          <w:docGrid w:linePitch="360"/>
        </w:sectPr>
      </w:pPr>
      <w:hyperlink r:id="rId120" w:anchor="whistleblower-protections" w:history="1">
        <w:r w:rsidRPr="00C547DA">
          <w:rPr>
            <w:rStyle w:val="Hyperlink"/>
          </w:rPr>
          <w:t>health.gov.au/topics/aged-care-workforce/new-ways-of-working-in-aged-care#whistleblower-protections</w:t>
        </w:r>
      </w:hyperlink>
      <w:r>
        <w:t>.</w:t>
      </w:r>
      <w:r w:rsidRPr="00084B1B">
        <w:br w:type="page"/>
      </w:r>
    </w:p>
    <w:bookmarkStart w:id="150" w:name="_Toc212713670"/>
    <w:p w14:paraId="18B4F974" w14:textId="45298303" w:rsidR="00F817EC" w:rsidRDefault="00ED244E" w:rsidP="0062731C">
      <w:pPr>
        <w:pStyle w:val="SectionNumber"/>
      </w:pPr>
      <w:r w:rsidRPr="00900F08">
        <mc:AlternateContent>
          <mc:Choice Requires="wps">
            <w:drawing>
              <wp:anchor distT="0" distB="0" distL="114300" distR="114300" simplePos="0" relativeHeight="251658252" behindDoc="1" locked="0" layoutInCell="1" allowOverlap="1" wp14:anchorId="706D0394" wp14:editId="212F3C6E">
                <wp:simplePos x="0" y="0"/>
                <wp:positionH relativeFrom="page">
                  <wp:posOffset>34157</wp:posOffset>
                </wp:positionH>
                <wp:positionV relativeFrom="page">
                  <wp:posOffset>21356</wp:posOffset>
                </wp:positionV>
                <wp:extent cx="7560000" cy="10995660"/>
                <wp:effectExtent l="0" t="0" r="3175" b="0"/>
                <wp:wrapNone/>
                <wp:docPr id="706971524" name="Rectangle 706971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9956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0773B" w14:textId="77777777" w:rsidR="00ED244E" w:rsidRDefault="00ED244E" w:rsidP="00ED2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D0394" id="Rectangle 706971524" o:spid="_x0000_s1026" alt="&quot;&quot;" style="position:absolute;margin-left:2.7pt;margin-top:1.7pt;width:595.3pt;height:865.8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" fillcolor="#000101 [3213]" stroked="f" strokeweight="2pt">
                <v:textbox>
                  <w:txbxContent>
                    <w:p w14:paraId="6D10773B" w14:textId="77777777" w:rsidR="00ED244E" w:rsidRDefault="00ED244E" w:rsidP="00ED244E">
                      <w:pPr>
                        <w:jc w:val="center"/>
                      </w:pPr>
                    </w:p>
                  </w:txbxContent>
                </v:textbox>
                <w10:wrap anchorx="page" anchory="page"/>
              </v:rect>
            </w:pict>
          </mc:Fallback>
        </mc:AlternateContent>
      </w:r>
      <w:bookmarkStart w:id="151" w:name="_Toc208838035"/>
      <w:r w:rsidR="00F817EC" w:rsidRPr="00D7030B">
        <w:drawing>
          <wp:anchor distT="0" distB="0" distL="114300" distR="114300" simplePos="0" relativeHeight="251658271" behindDoc="0" locked="0" layoutInCell="1" allowOverlap="1" wp14:anchorId="15228E42" wp14:editId="38B1BDAE">
            <wp:simplePos x="0" y="0"/>
            <wp:positionH relativeFrom="column">
              <wp:posOffset>-2061845</wp:posOffset>
            </wp:positionH>
            <wp:positionV relativeFrom="paragraph">
              <wp:posOffset>297815</wp:posOffset>
            </wp:positionV>
            <wp:extent cx="1842770" cy="1892300"/>
            <wp:effectExtent l="0" t="0" r="0" b="0"/>
            <wp:wrapNone/>
            <wp:docPr id="13267053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54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892300"/>
                    </a:xfrm>
                    <a:prstGeom prst="rect">
                      <a:avLst/>
                    </a:prstGeom>
                  </pic:spPr>
                </pic:pic>
              </a:graphicData>
            </a:graphic>
            <wp14:sizeRelH relativeFrom="page">
              <wp14:pctWidth>0</wp14:pctWidth>
            </wp14:sizeRelH>
            <wp14:sizeRelV relativeFrom="page">
              <wp14:pctHeight>0</wp14:pctHeight>
            </wp14:sizeRelV>
          </wp:anchor>
        </w:drawing>
      </w:r>
      <w:r w:rsidR="00F817EC" w:rsidRPr="00444D55">
        <w:drawing>
          <wp:anchor distT="0" distB="0" distL="114300" distR="114300" simplePos="0" relativeHeight="251658272" behindDoc="0" locked="0" layoutInCell="1" allowOverlap="1" wp14:anchorId="5BCE14A1" wp14:editId="0BFA3A82">
            <wp:simplePos x="0" y="0"/>
            <wp:positionH relativeFrom="column">
              <wp:posOffset>-347345</wp:posOffset>
            </wp:positionH>
            <wp:positionV relativeFrom="paragraph">
              <wp:posOffset>7574915</wp:posOffset>
            </wp:positionV>
            <wp:extent cx="1460500" cy="1496695"/>
            <wp:effectExtent l="0" t="0" r="0" b="1905"/>
            <wp:wrapNone/>
            <wp:docPr id="15295573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701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00F817EC" w:rsidRPr="00CC09BC">
        <mc:AlternateContent>
          <mc:Choice Requires="wps">
            <w:drawing>
              <wp:anchor distT="0" distB="0" distL="114300" distR="114300" simplePos="0" relativeHeight="251658269" behindDoc="1" locked="0" layoutInCell="1" allowOverlap="1" wp14:anchorId="19A354C9" wp14:editId="29F86868">
                <wp:simplePos x="171450" y="400050"/>
                <wp:positionH relativeFrom="page">
                  <wp:align>left</wp:align>
                </wp:positionH>
                <wp:positionV relativeFrom="page">
                  <wp:align>top</wp:align>
                </wp:positionV>
                <wp:extent cx="7560000" cy="10692000"/>
                <wp:effectExtent l="0" t="0" r="0" b="1905"/>
                <wp:wrapNone/>
                <wp:docPr id="1179825198" name="Rectangle 1179825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D47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EEE1929">
              <v:rect id="Rectangle 1179825198" style="position:absolute;margin-left:0;margin-top:0;width:595.3pt;height:841.9pt;z-index:-25165821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d4794" stroked="f" strokeweight="2pt" w14:anchorId="77349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">
                <w10:wrap anchorx="page" anchory="page"/>
              </v:rect>
            </w:pict>
          </mc:Fallback>
        </mc:AlternateContent>
      </w:r>
      <w:r w:rsidR="00F817EC">
        <w:t xml:space="preserve">Chapter </w:t>
      </w:r>
      <w:r w:rsidR="00512FF4">
        <w:t>8</w:t>
      </w:r>
    </w:p>
    <w:p w14:paraId="71D2903C" w14:textId="28BBFF8C" w:rsidR="00F817EC" w:rsidRPr="00CA5C9D" w:rsidRDefault="006E5E20" w:rsidP="00CA5C9D">
      <w:pPr>
        <w:pStyle w:val="SectionTitle"/>
      </w:pPr>
      <w:r w:rsidRPr="00CA5C9D">
        <w:rPr>
          <w:noProof/>
        </w:rPr>
        <w:drawing>
          <wp:anchor distT="0" distB="0" distL="114300" distR="114300" simplePos="0" relativeHeight="251658270" behindDoc="0" locked="0" layoutInCell="1" allowOverlap="1" wp14:anchorId="74FD0ECD" wp14:editId="0A0889C5">
            <wp:simplePos x="0" y="0"/>
            <wp:positionH relativeFrom="page">
              <wp:posOffset>2908935</wp:posOffset>
            </wp:positionH>
            <wp:positionV relativeFrom="page">
              <wp:posOffset>8750300</wp:posOffset>
            </wp:positionV>
            <wp:extent cx="4642485" cy="1925955"/>
            <wp:effectExtent l="0" t="0" r="5715" b="4445"/>
            <wp:wrapNone/>
            <wp:docPr id="3464941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8185" name="Picture 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31C" w:rsidRPr="00CA5C9D">
        <w:t>Glossary and acronyms</w:t>
      </w:r>
      <w:r w:rsidR="00F817EC" w:rsidRPr="00CA5C9D">
        <w:br w:type="page"/>
      </w:r>
    </w:p>
    <w:p w14:paraId="754656DB" w14:textId="3F39526A" w:rsidR="0073021C" w:rsidRDefault="00ED244E" w:rsidP="00AF256E">
      <w:pPr>
        <w:pStyle w:val="Heading1"/>
        <w:keepNext w:val="0"/>
      </w:pPr>
      <w:bookmarkStart w:id="152" w:name="_Toc225416244"/>
      <w:r>
        <w:t xml:space="preserve">Glossary and </w:t>
      </w:r>
      <w:bookmarkEnd w:id="151"/>
      <w:r>
        <w:t>acronyms</w:t>
      </w:r>
      <w:bookmarkEnd w:id="150"/>
      <w:bookmarkEnd w:id="152"/>
    </w:p>
    <w:tbl>
      <w:tblPr>
        <w:tblStyle w:val="DepartmentofHealthtable"/>
        <w:tblW w:w="5000" w:type="pct"/>
        <w:tblLook w:val="0420" w:firstRow="1" w:lastRow="0" w:firstColumn="0" w:lastColumn="0" w:noHBand="0" w:noVBand="1"/>
      </w:tblPr>
      <w:tblGrid>
        <w:gridCol w:w="2128"/>
        <w:gridCol w:w="6942"/>
      </w:tblGrid>
      <w:tr w:rsidR="000C0943" w:rsidRPr="00006676" w14:paraId="04EC559B" w14:textId="77777777" w:rsidTr="00DA440A">
        <w:trPr>
          <w:cnfStyle w:val="100000000000" w:firstRow="1" w:lastRow="0" w:firstColumn="0" w:lastColumn="0" w:oddVBand="0" w:evenVBand="0" w:oddHBand="0" w:evenHBand="0" w:firstRowFirstColumn="0" w:firstRowLastColumn="0" w:lastRowFirstColumn="0" w:lastRowLastColumn="0"/>
          <w:tblHeader/>
        </w:trPr>
        <w:tc>
          <w:tcPr>
            <w:tcW w:w="1173" w:type="pct"/>
            <w:shd w:val="clear" w:color="auto" w:fill="1D4794"/>
          </w:tcPr>
          <w:p w14:paraId="3D880C0B" w14:textId="787C3CA7" w:rsidR="000C0943" w:rsidRPr="00A35762" w:rsidRDefault="000C0943" w:rsidP="00DB099C">
            <w:pPr>
              <w:rPr>
                <w:color w:val="FFFFFF" w:themeColor="background1"/>
                <w:sz w:val="20"/>
                <w:szCs w:val="20"/>
              </w:rPr>
            </w:pPr>
            <w:bookmarkStart w:id="153" w:name="_Toc212713671"/>
            <w:r>
              <w:rPr>
                <w:color w:val="FFFFFF" w:themeColor="background1"/>
                <w:sz w:val="20"/>
                <w:szCs w:val="20"/>
              </w:rPr>
              <w:t>Term</w:t>
            </w:r>
          </w:p>
        </w:tc>
        <w:tc>
          <w:tcPr>
            <w:tcW w:w="3827" w:type="pct"/>
            <w:shd w:val="clear" w:color="auto" w:fill="1D4794"/>
          </w:tcPr>
          <w:p w14:paraId="2742E73A" w14:textId="4ACAF996" w:rsidR="000C0943" w:rsidRPr="00A35762" w:rsidRDefault="000C0943" w:rsidP="00DB099C">
            <w:pPr>
              <w:rPr>
                <w:sz w:val="20"/>
                <w:szCs w:val="20"/>
              </w:rPr>
            </w:pPr>
            <w:r>
              <w:rPr>
                <w:color w:val="FFFFFF" w:themeColor="background1"/>
                <w:sz w:val="20"/>
                <w:szCs w:val="20"/>
              </w:rPr>
              <w:t>Description</w:t>
            </w:r>
          </w:p>
        </w:tc>
      </w:tr>
      <w:tr w:rsidR="00A65F24" w:rsidRPr="00006676" w14:paraId="287A7625" w14:textId="77777777" w:rsidTr="00996077">
        <w:tc>
          <w:tcPr>
            <w:tcW w:w="1173" w:type="pct"/>
            <w:vAlign w:val="top"/>
          </w:tcPr>
          <w:p w14:paraId="74B1D2F3" w14:textId="75318080" w:rsidR="00A65F24" w:rsidRPr="003A165A" w:rsidRDefault="00A65F24" w:rsidP="003A165A">
            <w:pPr>
              <w:pStyle w:val="Tabletext"/>
            </w:pPr>
            <w:r w:rsidRPr="003A165A">
              <w:t>Accountability</w:t>
            </w:r>
          </w:p>
        </w:tc>
        <w:tc>
          <w:tcPr>
            <w:tcW w:w="3827" w:type="pct"/>
            <w:vAlign w:val="top"/>
          </w:tcPr>
          <w:p w14:paraId="64F6BB39" w14:textId="071BB11B" w:rsidR="00A65F24" w:rsidRPr="003A165A" w:rsidRDefault="00A65F24" w:rsidP="003A165A">
            <w:pPr>
              <w:pStyle w:val="Tabletext"/>
            </w:pPr>
            <w:r w:rsidRPr="003A165A">
              <w:t>The state of being answerable and responsible for one's actions.</w:t>
            </w:r>
          </w:p>
        </w:tc>
      </w:tr>
      <w:tr w:rsidR="00A65F24" w:rsidRPr="00006676" w14:paraId="47737F52" w14:textId="77777777" w:rsidTr="00996077">
        <w:tc>
          <w:tcPr>
            <w:tcW w:w="1173" w:type="pct"/>
            <w:vAlign w:val="top"/>
          </w:tcPr>
          <w:p w14:paraId="033BEE67" w14:textId="4C65FD00" w:rsidR="00A65F24" w:rsidRPr="003A165A" w:rsidRDefault="00A65F24" w:rsidP="003A165A">
            <w:pPr>
              <w:pStyle w:val="Tabletext"/>
            </w:pPr>
            <w:r w:rsidRPr="003A165A">
              <w:t>Aged Care Outbreak Management Supplement (ACOMS)</w:t>
            </w:r>
          </w:p>
        </w:tc>
        <w:tc>
          <w:tcPr>
            <w:tcW w:w="3827" w:type="pct"/>
            <w:vAlign w:val="top"/>
          </w:tcPr>
          <w:p w14:paraId="2D359586" w14:textId="7FA7B892" w:rsidR="00A65F24" w:rsidRPr="003A165A" w:rsidRDefault="00A65F24" w:rsidP="003A165A">
            <w:pPr>
              <w:pStyle w:val="Tabletext"/>
            </w:pPr>
            <w:r w:rsidRPr="003A165A">
              <w:t>This supplement contributes to the cost of planning for and managing outbreaks, including COVID-19 and other infectious diseases.</w:t>
            </w:r>
          </w:p>
        </w:tc>
      </w:tr>
      <w:tr w:rsidR="00A65F24" w:rsidRPr="00006676" w14:paraId="1E84C51E" w14:textId="77777777" w:rsidTr="00996077">
        <w:tc>
          <w:tcPr>
            <w:tcW w:w="1173" w:type="pct"/>
            <w:vAlign w:val="top"/>
          </w:tcPr>
          <w:p w14:paraId="125271DF" w14:textId="3E391EEB" w:rsidR="00A65F24" w:rsidRPr="003A165A" w:rsidRDefault="00512FF4" w:rsidP="003A165A">
            <w:pPr>
              <w:pStyle w:val="Tabletext"/>
            </w:pPr>
            <w:r w:rsidRPr="003A165A">
              <w:t xml:space="preserve">The </w:t>
            </w:r>
            <w:r w:rsidR="00A65F24" w:rsidRPr="003A165A">
              <w:t>Act</w:t>
            </w:r>
          </w:p>
        </w:tc>
        <w:tc>
          <w:tcPr>
            <w:tcW w:w="3827" w:type="pct"/>
            <w:vAlign w:val="top"/>
          </w:tcPr>
          <w:p w14:paraId="7FE722A4" w14:textId="791F97BC" w:rsidR="00A65F24" w:rsidRPr="003A165A" w:rsidRDefault="00A65F24" w:rsidP="003A165A">
            <w:pPr>
              <w:pStyle w:val="Tabletext"/>
            </w:pPr>
            <w:r w:rsidRPr="003A165A">
              <w:t>The Aged Care Act 2024.</w:t>
            </w:r>
          </w:p>
        </w:tc>
      </w:tr>
      <w:tr w:rsidR="00A65F24" w14:paraId="0C2E527A" w14:textId="77777777" w:rsidTr="00996077">
        <w:tc>
          <w:tcPr>
            <w:tcW w:w="1173" w:type="pct"/>
            <w:vAlign w:val="top"/>
          </w:tcPr>
          <w:p w14:paraId="36255336" w14:textId="28420991" w:rsidR="00A65F24" w:rsidRPr="003A165A" w:rsidRDefault="00A65F24" w:rsidP="003A165A">
            <w:pPr>
              <w:pStyle w:val="Tabletext"/>
            </w:pPr>
            <w:r w:rsidRPr="003A165A">
              <w:t>Advocacy</w:t>
            </w:r>
          </w:p>
        </w:tc>
        <w:tc>
          <w:tcPr>
            <w:tcW w:w="3827" w:type="pct"/>
            <w:vAlign w:val="top"/>
          </w:tcPr>
          <w:p w14:paraId="50F60280" w14:textId="27BCC174" w:rsidR="00A65F24" w:rsidRPr="003A165A" w:rsidRDefault="00A65F24" w:rsidP="003A165A">
            <w:pPr>
              <w:pStyle w:val="Tabletext"/>
            </w:pPr>
            <w:r w:rsidRPr="003A165A">
              <w:t>The process of speaking out on behalf of an individual or group to protect and promote their rights and interests.</w:t>
            </w:r>
          </w:p>
        </w:tc>
      </w:tr>
      <w:tr w:rsidR="00A65F24" w14:paraId="7ECF492C" w14:textId="77777777" w:rsidTr="00996077">
        <w:tc>
          <w:tcPr>
            <w:tcW w:w="1173" w:type="pct"/>
            <w:vAlign w:val="top"/>
          </w:tcPr>
          <w:p w14:paraId="18A45F73" w14:textId="71371E62" w:rsidR="00A65F24" w:rsidRPr="003A165A" w:rsidRDefault="00A65F24" w:rsidP="003A165A">
            <w:pPr>
              <w:pStyle w:val="Tabletext"/>
            </w:pPr>
            <w:r w:rsidRPr="003A165A">
              <w:t>Aged Care Act 1997</w:t>
            </w:r>
          </w:p>
        </w:tc>
        <w:tc>
          <w:tcPr>
            <w:tcW w:w="3827" w:type="pct"/>
            <w:vAlign w:val="top"/>
          </w:tcPr>
          <w:p w14:paraId="6A958A1D" w14:textId="77777777" w:rsidR="00A65F24" w:rsidRPr="003A165A" w:rsidRDefault="00A65F24" w:rsidP="003A165A">
            <w:pPr>
              <w:pStyle w:val="Tabletext"/>
            </w:pPr>
            <w:r w:rsidRPr="003A165A">
              <w:t>The principal legislation that regulates the Residential Aged Care, Flexible Care, and Home Care Programs from 1 October 1997.</w:t>
            </w:r>
          </w:p>
          <w:p w14:paraId="74EE8E20" w14:textId="014077E9" w:rsidR="00A65F24" w:rsidRPr="003A165A" w:rsidRDefault="00A65F24" w:rsidP="003A165A">
            <w:pPr>
              <w:pStyle w:val="Tabletext"/>
            </w:pPr>
            <w:r w:rsidRPr="003A165A">
              <w:t>The flexible aged care services funded under NATSIFACP Program operate outside the regulatory framework of the Aged Care Act 1997.</w:t>
            </w:r>
            <w:r w:rsidR="00377506" w:rsidRPr="003A165A">
              <w:t>i</w:t>
            </w:r>
          </w:p>
        </w:tc>
      </w:tr>
      <w:tr w:rsidR="00A65F24" w14:paraId="61ED342C" w14:textId="77777777" w:rsidTr="00996077">
        <w:tc>
          <w:tcPr>
            <w:tcW w:w="1173" w:type="pct"/>
            <w:vAlign w:val="top"/>
          </w:tcPr>
          <w:p w14:paraId="3DC29084" w14:textId="63F7699A" w:rsidR="00A65F24" w:rsidRPr="003A165A" w:rsidRDefault="00A65F24" w:rsidP="003A165A">
            <w:pPr>
              <w:pStyle w:val="Tabletext"/>
            </w:pPr>
            <w:r w:rsidRPr="003A165A">
              <w:t>Aged Care Quality and Safety Commission (ACQSC)</w:t>
            </w:r>
          </w:p>
        </w:tc>
        <w:tc>
          <w:tcPr>
            <w:tcW w:w="3827" w:type="pct"/>
            <w:vAlign w:val="top"/>
          </w:tcPr>
          <w:p w14:paraId="6C2EFEAD" w14:textId="259B2F2F" w:rsidR="00A65F24" w:rsidRPr="003A165A" w:rsidRDefault="00A65F24" w:rsidP="003A165A">
            <w:pPr>
              <w:pStyle w:val="Tabletext"/>
            </w:pPr>
            <w:r w:rsidRPr="003A165A">
              <w:t>The ACQSC or ‘the Commission’ independently accredits, assesses and monitors aged care services that are subsidised by the Australian Government. The Commission also seeks to resolve complaints about these services, provides education and information about Commission functions and engages with individuals to develop and promote best practice models to engage individuals in the provision of their care.</w:t>
            </w:r>
          </w:p>
        </w:tc>
      </w:tr>
      <w:tr w:rsidR="00A65F24" w14:paraId="0CBB02A2" w14:textId="77777777" w:rsidTr="00996077">
        <w:tc>
          <w:tcPr>
            <w:tcW w:w="1173" w:type="pct"/>
            <w:vAlign w:val="top"/>
          </w:tcPr>
          <w:p w14:paraId="02875E61" w14:textId="7D60BF6A" w:rsidR="00A65F24" w:rsidRPr="003A165A" w:rsidRDefault="00A65F24" w:rsidP="003A165A">
            <w:pPr>
              <w:pStyle w:val="Tabletext"/>
            </w:pPr>
            <w:r w:rsidRPr="003A165A">
              <w:t>Allied Health</w:t>
            </w:r>
          </w:p>
        </w:tc>
        <w:tc>
          <w:tcPr>
            <w:tcW w:w="3827" w:type="pct"/>
            <w:vAlign w:val="top"/>
          </w:tcPr>
          <w:p w14:paraId="1E3C5CA6" w14:textId="039C390D" w:rsidR="00A65F24" w:rsidRPr="003A165A" w:rsidRDefault="00A65F24" w:rsidP="003A165A">
            <w:pPr>
              <w:pStyle w:val="Tabletext"/>
            </w:pPr>
            <w:r w:rsidRPr="003A165A">
              <w:t>The term used to describe health professionals providing a range of therapies other than medicine and nursing; for example, physiotherapists, occupational therapists, speech pathologists, social workers, dieticians, psychologists and podiatrists.</w:t>
            </w:r>
          </w:p>
        </w:tc>
      </w:tr>
      <w:tr w:rsidR="00A65F24" w14:paraId="51ADAA0C" w14:textId="77777777" w:rsidTr="00996077">
        <w:tc>
          <w:tcPr>
            <w:tcW w:w="1173" w:type="pct"/>
            <w:vAlign w:val="top"/>
          </w:tcPr>
          <w:p w14:paraId="2ADEA9AC" w14:textId="0E6162BB" w:rsidR="00A65F24" w:rsidRPr="003A165A" w:rsidRDefault="00A65F24" w:rsidP="003A165A">
            <w:pPr>
              <w:pStyle w:val="Tabletext"/>
            </w:pPr>
            <w:r w:rsidRPr="003A165A">
              <w:t xml:space="preserve">Alternative entry pathway </w:t>
            </w:r>
          </w:p>
        </w:tc>
        <w:tc>
          <w:tcPr>
            <w:tcW w:w="3827" w:type="pct"/>
            <w:vAlign w:val="top"/>
          </w:tcPr>
          <w:p w14:paraId="3B1FE554" w14:textId="02CF867F" w:rsidR="00A65F24" w:rsidRPr="003A165A" w:rsidRDefault="00A65F24" w:rsidP="003A165A">
            <w:pPr>
              <w:pStyle w:val="Tabletext"/>
            </w:pPr>
            <w:r w:rsidRPr="003A165A">
              <w:t>A mechanism under the</w:t>
            </w:r>
            <w:r w:rsidR="00D15154" w:rsidRPr="003A165A">
              <w:t xml:space="preserve"> </w:t>
            </w:r>
            <w:r w:rsidRPr="003A165A">
              <w:t>Aged Care Act 2024 that allows older individuals to</w:t>
            </w:r>
            <w:r w:rsidR="00D15154" w:rsidRPr="003A165A">
              <w:t xml:space="preserve"> </w:t>
            </w:r>
            <w:r w:rsidRPr="003A165A">
              <w:t>access government-funded aged care services</w:t>
            </w:r>
            <w:r w:rsidR="00D15154" w:rsidRPr="003A165A">
              <w:t xml:space="preserve"> </w:t>
            </w:r>
            <w:r w:rsidRPr="003A165A">
              <w:t>outside the standard assessment and referral process. It enables</w:t>
            </w:r>
            <w:r w:rsidR="00D15154" w:rsidRPr="003A165A">
              <w:t xml:space="preserve"> </w:t>
            </w:r>
            <w:r w:rsidRPr="003A165A">
              <w:t xml:space="preserve">rapid or flexible response for individuals in need of urgent care or if there is a lack of culturally safe assessments or services. </w:t>
            </w:r>
          </w:p>
        </w:tc>
      </w:tr>
      <w:tr w:rsidR="00A65F24" w14:paraId="6593D9F3" w14:textId="77777777" w:rsidTr="00996077">
        <w:tc>
          <w:tcPr>
            <w:tcW w:w="1173" w:type="pct"/>
            <w:vAlign w:val="top"/>
          </w:tcPr>
          <w:p w14:paraId="12C97B67" w14:textId="741D2733" w:rsidR="00A65F24" w:rsidRPr="003A165A" w:rsidRDefault="00A65F24" w:rsidP="003A165A">
            <w:pPr>
              <w:pStyle w:val="Tabletext"/>
            </w:pPr>
            <w:r w:rsidRPr="003A165A">
              <w:t>Assessment organisation</w:t>
            </w:r>
          </w:p>
        </w:tc>
        <w:tc>
          <w:tcPr>
            <w:tcW w:w="3827" w:type="pct"/>
            <w:vAlign w:val="top"/>
          </w:tcPr>
          <w:p w14:paraId="1D75CD42" w14:textId="77777777" w:rsidR="00A65F24" w:rsidRPr="003A165A" w:rsidRDefault="00A65F24" w:rsidP="003A165A">
            <w:pPr>
              <w:pStyle w:val="Tabletext"/>
            </w:pPr>
            <w:r w:rsidRPr="003A165A">
              <w:t xml:space="preserve">Assessment organisations conduct aged care needs assessments and residential aged care funding assessments. Aged care needs assessments include comprehensive assessments and home support assessments. </w:t>
            </w:r>
          </w:p>
          <w:p w14:paraId="568FCC0C" w14:textId="4B502F06" w:rsidR="00A65F24" w:rsidRPr="003A165A" w:rsidRDefault="00A65F24" w:rsidP="003A165A">
            <w:pPr>
              <w:pStyle w:val="Tabletext"/>
            </w:pPr>
            <w:r w:rsidRPr="003A165A">
              <w:t xml:space="preserve">This includes Aboriginal and Torres Strait Islander assessment organisations. </w:t>
            </w:r>
          </w:p>
        </w:tc>
      </w:tr>
      <w:tr w:rsidR="00A65F24" w14:paraId="68630239" w14:textId="77777777" w:rsidTr="00996077">
        <w:tc>
          <w:tcPr>
            <w:tcW w:w="1173" w:type="pct"/>
            <w:vAlign w:val="top"/>
          </w:tcPr>
          <w:p w14:paraId="1CD40099" w14:textId="39592298" w:rsidR="00A65F24" w:rsidRPr="003A165A" w:rsidRDefault="00A65F24" w:rsidP="003A165A">
            <w:pPr>
              <w:pStyle w:val="Tabletext"/>
            </w:pPr>
            <w:r w:rsidRPr="003A165A">
              <w:t>Associated provider</w:t>
            </w:r>
          </w:p>
        </w:tc>
        <w:tc>
          <w:tcPr>
            <w:tcW w:w="3827" w:type="pct"/>
            <w:vAlign w:val="top"/>
          </w:tcPr>
          <w:p w14:paraId="0C27A7F4" w14:textId="2B90EB8D" w:rsidR="00A65F24" w:rsidRPr="003A165A" w:rsidRDefault="00A65F24" w:rsidP="003A165A">
            <w:pPr>
              <w:pStyle w:val="Tabletext"/>
            </w:pPr>
            <w:r w:rsidRPr="003A165A">
              <w:t xml:space="preserve">A provider that delivers services for a registered provider under a subcontracting arrangement. </w:t>
            </w:r>
          </w:p>
        </w:tc>
      </w:tr>
      <w:tr w:rsidR="00A65F24" w14:paraId="70022030" w14:textId="77777777" w:rsidTr="00996077">
        <w:tc>
          <w:tcPr>
            <w:tcW w:w="1173" w:type="pct"/>
            <w:vAlign w:val="top"/>
          </w:tcPr>
          <w:p w14:paraId="6ACE0111" w14:textId="760A8351" w:rsidR="00A65F24" w:rsidRPr="003A165A" w:rsidRDefault="00A65F24" w:rsidP="003A165A">
            <w:pPr>
              <w:pStyle w:val="Tabletext"/>
            </w:pPr>
            <w:r w:rsidRPr="003A165A">
              <w:t xml:space="preserve">Assistive </w:t>
            </w:r>
            <w:r w:rsidR="00D90D83" w:rsidRPr="003A165A">
              <w:t>t</w:t>
            </w:r>
            <w:r w:rsidRPr="003A165A">
              <w:t>echnology</w:t>
            </w:r>
          </w:p>
        </w:tc>
        <w:tc>
          <w:tcPr>
            <w:tcW w:w="3827" w:type="pct"/>
            <w:vAlign w:val="top"/>
          </w:tcPr>
          <w:p w14:paraId="7C0BE94D" w14:textId="50F2F605" w:rsidR="00A65F24" w:rsidRPr="003A165A" w:rsidRDefault="00A65F24" w:rsidP="003A165A">
            <w:pPr>
              <w:pStyle w:val="Tabletext"/>
            </w:pPr>
            <w:r w:rsidRPr="003A165A">
              <w:t>Products, equipment, and systems that support older people to perform daily activities, enhance independence, and improve safety in their home or care environment.</w:t>
            </w:r>
          </w:p>
        </w:tc>
      </w:tr>
      <w:tr w:rsidR="00A65F24" w14:paraId="2168D98A" w14:textId="77777777" w:rsidTr="00996077">
        <w:tc>
          <w:tcPr>
            <w:tcW w:w="1173" w:type="pct"/>
            <w:vAlign w:val="top"/>
          </w:tcPr>
          <w:p w14:paraId="21A58FF3" w14:textId="4E6E4D3D" w:rsidR="00A65F24" w:rsidRPr="003A165A" w:rsidRDefault="00A65F24" w:rsidP="003A165A">
            <w:pPr>
              <w:pStyle w:val="Tabletext"/>
            </w:pPr>
            <w:r w:rsidRPr="003A165A">
              <w:t>Assistive Technology and Home Modifications</w:t>
            </w:r>
          </w:p>
        </w:tc>
        <w:tc>
          <w:tcPr>
            <w:tcW w:w="3827" w:type="pct"/>
            <w:vAlign w:val="top"/>
          </w:tcPr>
          <w:p w14:paraId="67902F06" w14:textId="7895E949" w:rsidR="00A65F24" w:rsidRPr="003A165A" w:rsidRDefault="00A65F24" w:rsidP="003A165A">
            <w:pPr>
              <w:pStyle w:val="Tabletext"/>
            </w:pPr>
            <w:r w:rsidRPr="003A165A">
              <w:t>Assistive Technology and Home Modifications (AT-HM) </w:t>
            </w:r>
            <w:proofErr w:type="gramStart"/>
            <w:r w:rsidRPr="003A165A">
              <w:t>refers</w:t>
            </w:r>
            <w:proofErr w:type="gramEnd"/>
            <w:r w:rsidRPr="003A165A">
              <w:t xml:space="preserve"> to one of the four funded service groups under the Aged Care Act 2024. </w:t>
            </w:r>
          </w:p>
        </w:tc>
      </w:tr>
      <w:tr w:rsidR="00A65F24" w14:paraId="45C81C54" w14:textId="77777777" w:rsidTr="00996077">
        <w:tc>
          <w:tcPr>
            <w:tcW w:w="1173" w:type="pct"/>
            <w:vAlign w:val="top"/>
          </w:tcPr>
          <w:p w14:paraId="1388995E" w14:textId="28F3A25A" w:rsidR="00A65F24" w:rsidRPr="003A165A" w:rsidRDefault="00A65F24" w:rsidP="003A165A">
            <w:pPr>
              <w:pStyle w:val="Tabletext"/>
            </w:pPr>
            <w:r w:rsidRPr="003A165A">
              <w:t xml:space="preserve">Care and services plan </w:t>
            </w:r>
          </w:p>
        </w:tc>
        <w:tc>
          <w:tcPr>
            <w:tcW w:w="3827" w:type="pct"/>
            <w:vAlign w:val="top"/>
          </w:tcPr>
          <w:p w14:paraId="7A706B0F" w14:textId="25A81663" w:rsidR="00A65F24" w:rsidRPr="003A165A" w:rsidRDefault="00A65F24" w:rsidP="003A165A">
            <w:pPr>
              <w:pStyle w:val="Tabletext"/>
            </w:pPr>
            <w:r w:rsidRPr="003A165A">
              <w:t>A plan developed in consultation with the individual which describes the type of services to be provided, the frequency and hours of actual service provision, the location at which the service will be provided and the respective responsibilities of the service provider, its staff and the individual.</w:t>
            </w:r>
          </w:p>
        </w:tc>
      </w:tr>
      <w:tr w:rsidR="00A65F24" w14:paraId="506A497D" w14:textId="77777777" w:rsidTr="00996077">
        <w:tc>
          <w:tcPr>
            <w:tcW w:w="1173" w:type="pct"/>
            <w:vAlign w:val="top"/>
          </w:tcPr>
          <w:p w14:paraId="6642DF82" w14:textId="18921FB9" w:rsidR="00A65F24" w:rsidRPr="003A165A" w:rsidRDefault="00A65F24" w:rsidP="003A165A">
            <w:pPr>
              <w:pStyle w:val="Tabletext"/>
            </w:pPr>
            <w:r w:rsidRPr="003A165A">
              <w:t>Carer</w:t>
            </w:r>
          </w:p>
        </w:tc>
        <w:tc>
          <w:tcPr>
            <w:tcW w:w="3827" w:type="pct"/>
            <w:vAlign w:val="top"/>
          </w:tcPr>
          <w:p w14:paraId="2E8571C4" w14:textId="38D7B17B" w:rsidR="00A65F24" w:rsidRPr="003A165A" w:rsidRDefault="00A65F24" w:rsidP="003A165A">
            <w:pPr>
              <w:pStyle w:val="Tabletext"/>
            </w:pPr>
            <w:r w:rsidRPr="003A165A">
              <w:t>Carers can include family members, friends or neighbours who are identified as providing regular and sustained care and assistance to the individual. Carers frequently live with the person they care for.</w:t>
            </w:r>
          </w:p>
        </w:tc>
      </w:tr>
      <w:tr w:rsidR="00A65F24" w14:paraId="039663C6" w14:textId="77777777" w:rsidTr="00996077">
        <w:tc>
          <w:tcPr>
            <w:tcW w:w="1173" w:type="pct"/>
            <w:vAlign w:val="top"/>
          </w:tcPr>
          <w:p w14:paraId="4408E6E2" w14:textId="3B7E640B" w:rsidR="00A65F24" w:rsidRPr="003A165A" w:rsidRDefault="00A65F24" w:rsidP="003A165A">
            <w:pPr>
              <w:pStyle w:val="Tabletext"/>
            </w:pPr>
            <w:r w:rsidRPr="003A165A">
              <w:t>Clinical Care</w:t>
            </w:r>
          </w:p>
        </w:tc>
        <w:tc>
          <w:tcPr>
            <w:tcW w:w="3827" w:type="pct"/>
            <w:vAlign w:val="top"/>
          </w:tcPr>
          <w:p w14:paraId="248E566D" w14:textId="7AD0CDEA" w:rsidR="00A65F24" w:rsidRPr="003A165A" w:rsidRDefault="00A65F24" w:rsidP="003A165A">
            <w:pPr>
              <w:pStyle w:val="Tabletext"/>
            </w:pPr>
            <w:r w:rsidRPr="003A165A">
              <w:t>Care supervised or provided by a registered practitioner (i.e. Doctor, Registered nurse or Enrolled nurse).</w:t>
            </w:r>
          </w:p>
        </w:tc>
      </w:tr>
      <w:tr w:rsidR="00A65F24" w14:paraId="6972E4CA" w14:textId="77777777" w:rsidTr="00996077">
        <w:tc>
          <w:tcPr>
            <w:tcW w:w="1173" w:type="pct"/>
            <w:vAlign w:val="top"/>
          </w:tcPr>
          <w:p w14:paraId="7E98AEA1" w14:textId="77C0032E" w:rsidR="00A65F24" w:rsidRPr="003A165A" w:rsidRDefault="00A65F24" w:rsidP="003A165A">
            <w:pPr>
              <w:pStyle w:val="Tabletext"/>
            </w:pPr>
            <w:r w:rsidRPr="003A165A">
              <w:t>Continuous Improvement</w:t>
            </w:r>
          </w:p>
        </w:tc>
        <w:tc>
          <w:tcPr>
            <w:tcW w:w="3827" w:type="pct"/>
            <w:vAlign w:val="top"/>
          </w:tcPr>
          <w:p w14:paraId="42704E26" w14:textId="1C46E7D6" w:rsidR="00A65F24" w:rsidRPr="003A165A" w:rsidRDefault="00A65F24" w:rsidP="003A165A">
            <w:pPr>
              <w:pStyle w:val="Tabletext"/>
            </w:pPr>
            <w:r w:rsidRPr="003A165A">
              <w:t>Ongoing pursuit of better practices with demonstrated outcomes.</w:t>
            </w:r>
          </w:p>
        </w:tc>
      </w:tr>
      <w:tr w:rsidR="00A65F24" w14:paraId="0AB1D115" w14:textId="77777777" w:rsidTr="00996077">
        <w:tc>
          <w:tcPr>
            <w:tcW w:w="1173" w:type="pct"/>
            <w:vAlign w:val="top"/>
          </w:tcPr>
          <w:p w14:paraId="6C9F6AB8" w14:textId="62AEDB9B" w:rsidR="00A65F24" w:rsidRPr="003A165A" w:rsidRDefault="00A65F24" w:rsidP="003A165A">
            <w:pPr>
              <w:pStyle w:val="Tabletext"/>
            </w:pPr>
            <w:r w:rsidRPr="003A165A">
              <w:t>Cultural Safety</w:t>
            </w:r>
          </w:p>
        </w:tc>
        <w:tc>
          <w:tcPr>
            <w:tcW w:w="3827" w:type="pct"/>
            <w:vAlign w:val="top"/>
          </w:tcPr>
          <w:p w14:paraId="3ACDF80D" w14:textId="692BC65D" w:rsidR="00A65F24" w:rsidRPr="003A165A" w:rsidRDefault="00A65F24" w:rsidP="003A165A">
            <w:pPr>
              <w:pStyle w:val="Tabletext"/>
            </w:pPr>
            <w:r w:rsidRPr="003A165A">
              <w:t xml:space="preserve">The recognition, respect and nurturing of unique cultural identities of Aboriginal and/or Torres Strait Islander people and meeting their needs, expectations and rights. Cultural safety is defined in the </w:t>
            </w:r>
            <w:hyperlink r:id="rId121" w:history="1">
              <w:r w:rsidRPr="003A165A">
                <w:t>Explanatory Memorandum</w:t>
              </w:r>
            </w:hyperlink>
            <w:r w:rsidRPr="003A165A">
              <w:t xml:space="preserve"> of the Aged Care Act 2024.  </w:t>
            </w:r>
          </w:p>
        </w:tc>
      </w:tr>
      <w:tr w:rsidR="00A65F24" w14:paraId="3C24BD36" w14:textId="77777777" w:rsidTr="00996077">
        <w:tc>
          <w:tcPr>
            <w:tcW w:w="1173" w:type="pct"/>
            <w:vAlign w:val="top"/>
          </w:tcPr>
          <w:p w14:paraId="49EA5AA4" w14:textId="687B9F8D" w:rsidR="00A65F24" w:rsidRPr="003A165A" w:rsidRDefault="00A65F24" w:rsidP="003A165A">
            <w:pPr>
              <w:pStyle w:val="Tabletext"/>
            </w:pPr>
            <w:r w:rsidRPr="003A165A">
              <w:t>Culturally Safe Care</w:t>
            </w:r>
          </w:p>
        </w:tc>
        <w:tc>
          <w:tcPr>
            <w:tcW w:w="3827" w:type="pct"/>
            <w:vAlign w:val="top"/>
          </w:tcPr>
          <w:p w14:paraId="3EA43226" w14:textId="69A4C361" w:rsidR="00A65F24" w:rsidRPr="003A165A" w:rsidRDefault="00A65F24" w:rsidP="003A165A">
            <w:pPr>
              <w:pStyle w:val="Tabletext"/>
            </w:pPr>
            <w:r w:rsidRPr="003A165A">
              <w:t xml:space="preserve">Care that respects and supports the cultural identities, values, and lived experiences of older individuals, ensuring optimal safety, autonomy, dignity, and absolute wellbeing of Aboriginal and/or Torres Strait Islander Elders and individuals accessing funded aged care services. Culturally safe care is a foundational principle for aged care providers and is embedded in the Statement of Rights. </w:t>
            </w:r>
          </w:p>
        </w:tc>
      </w:tr>
      <w:tr w:rsidR="00A65F24" w14:paraId="79B03852" w14:textId="77777777" w:rsidTr="00996077">
        <w:tc>
          <w:tcPr>
            <w:tcW w:w="1173" w:type="pct"/>
            <w:vAlign w:val="top"/>
          </w:tcPr>
          <w:p w14:paraId="6C3BB04F" w14:textId="786DA283" w:rsidR="00A65F24" w:rsidRPr="003A165A" w:rsidRDefault="00A65F24" w:rsidP="003A165A">
            <w:pPr>
              <w:pStyle w:val="Tabletext"/>
            </w:pPr>
            <w:r w:rsidRPr="003A165A">
              <w:t>Dementia and Cognition Supplement</w:t>
            </w:r>
          </w:p>
        </w:tc>
        <w:tc>
          <w:tcPr>
            <w:tcW w:w="3827" w:type="pct"/>
            <w:vAlign w:val="top"/>
          </w:tcPr>
          <w:p w14:paraId="48E7A4F5" w14:textId="21007E31" w:rsidR="00A65F24" w:rsidRPr="003A165A" w:rsidRDefault="00A65F24" w:rsidP="003A165A">
            <w:pPr>
              <w:pStyle w:val="Tabletext"/>
            </w:pPr>
            <w:r w:rsidRPr="003A165A">
              <w:t>Specific funding provided for dementia care in home care.</w:t>
            </w:r>
          </w:p>
        </w:tc>
      </w:tr>
      <w:tr w:rsidR="00A65F24" w14:paraId="081AD851" w14:textId="77777777" w:rsidTr="00996077">
        <w:tc>
          <w:tcPr>
            <w:tcW w:w="1173" w:type="pct"/>
            <w:vAlign w:val="top"/>
          </w:tcPr>
          <w:p w14:paraId="4007AEF2" w14:textId="08E956ED" w:rsidR="00A65F24" w:rsidRPr="003A165A" w:rsidRDefault="00A65F24" w:rsidP="003A165A">
            <w:pPr>
              <w:pStyle w:val="Tabletext"/>
            </w:pPr>
            <w:r w:rsidRPr="003A165A">
              <w:br w:type="page"/>
              <w:t>The department</w:t>
            </w:r>
          </w:p>
        </w:tc>
        <w:tc>
          <w:tcPr>
            <w:tcW w:w="3827" w:type="pct"/>
            <w:vAlign w:val="top"/>
          </w:tcPr>
          <w:p w14:paraId="01CF4871" w14:textId="7AB86EBE" w:rsidR="00A65F24" w:rsidRPr="003A165A" w:rsidRDefault="00A65F24" w:rsidP="003A165A">
            <w:pPr>
              <w:pStyle w:val="Tabletext"/>
            </w:pPr>
            <w:r w:rsidRPr="003A165A">
              <w:t>Australian Government Department of Health, Disability and Ageing.</w:t>
            </w:r>
          </w:p>
        </w:tc>
      </w:tr>
      <w:tr w:rsidR="00A65F24" w14:paraId="1865BB46" w14:textId="77777777" w:rsidTr="00996077">
        <w:tc>
          <w:tcPr>
            <w:tcW w:w="1173" w:type="pct"/>
            <w:vAlign w:val="top"/>
          </w:tcPr>
          <w:p w14:paraId="2741AEFB" w14:textId="11CE2873" w:rsidR="00A65F24" w:rsidRPr="003A165A" w:rsidRDefault="00A65F24" w:rsidP="003A165A">
            <w:pPr>
              <w:pStyle w:val="Tabletext"/>
            </w:pPr>
            <w:r w:rsidRPr="003A165A">
              <w:t>Frailty Indexation</w:t>
            </w:r>
          </w:p>
        </w:tc>
        <w:tc>
          <w:tcPr>
            <w:tcW w:w="3827" w:type="pct"/>
            <w:vAlign w:val="top"/>
          </w:tcPr>
          <w:p w14:paraId="1DE29473" w14:textId="2CF28A36" w:rsidR="00A65F24" w:rsidRPr="003A165A" w:rsidRDefault="00A65F24" w:rsidP="003A165A">
            <w:pPr>
              <w:pStyle w:val="Tabletext"/>
            </w:pPr>
            <w:r w:rsidRPr="003A165A">
              <w:t>A financial supplement provided to address the disparity in funding per residential aged care place funded under the Program as compared with mainstream residential aged care services operating under the Aged Care Act 1997.</w:t>
            </w:r>
          </w:p>
        </w:tc>
      </w:tr>
      <w:tr w:rsidR="00A65F24" w14:paraId="02330B4C" w14:textId="77777777" w:rsidTr="00996077">
        <w:tc>
          <w:tcPr>
            <w:tcW w:w="1173" w:type="pct"/>
            <w:vAlign w:val="top"/>
          </w:tcPr>
          <w:p w14:paraId="3D129B52" w14:textId="7B450513" w:rsidR="00A65F24" w:rsidRPr="003A165A" w:rsidRDefault="00A65F24" w:rsidP="003A165A">
            <w:pPr>
              <w:pStyle w:val="Tabletext"/>
            </w:pPr>
            <w:r w:rsidRPr="003A165A">
              <w:t>Grant Agreement</w:t>
            </w:r>
          </w:p>
        </w:tc>
        <w:tc>
          <w:tcPr>
            <w:tcW w:w="3827" w:type="pct"/>
            <w:vAlign w:val="top"/>
          </w:tcPr>
          <w:p w14:paraId="0DDD69DD" w14:textId="21E09907" w:rsidR="00A65F24" w:rsidRPr="003A165A" w:rsidRDefault="00A65F24" w:rsidP="003A165A">
            <w:pPr>
              <w:pStyle w:val="Tabletext"/>
            </w:pPr>
            <w:r w:rsidRPr="003A165A">
              <w:t xml:space="preserve">The Agreement between the Australian Government and the service provider. Grant Agreements are performance based and legally enforceable agreements between the parties which set out the terms and conditions governing the business relationship.  Sometime referred to as a Standard Grant Agreement. </w:t>
            </w:r>
          </w:p>
        </w:tc>
      </w:tr>
      <w:tr w:rsidR="00A65F24" w14:paraId="286DF39E" w14:textId="77777777" w:rsidTr="00996077">
        <w:tc>
          <w:tcPr>
            <w:tcW w:w="1173" w:type="pct"/>
            <w:vAlign w:val="top"/>
          </w:tcPr>
          <w:p w14:paraId="4B303454" w14:textId="1D27ADF2" w:rsidR="00A65F24" w:rsidRPr="003A165A" w:rsidRDefault="00A65F24" w:rsidP="003A165A">
            <w:pPr>
              <w:pStyle w:val="Tabletext"/>
            </w:pPr>
            <w:r w:rsidRPr="003A165A">
              <w:t>Grant Recipient</w:t>
            </w:r>
          </w:p>
        </w:tc>
        <w:tc>
          <w:tcPr>
            <w:tcW w:w="3827" w:type="pct"/>
            <w:vAlign w:val="top"/>
          </w:tcPr>
          <w:p w14:paraId="135469DD" w14:textId="1648E393" w:rsidR="00A65F24" w:rsidRPr="003A165A" w:rsidRDefault="00A65F24" w:rsidP="003A165A">
            <w:pPr>
              <w:pStyle w:val="Tabletext"/>
            </w:pPr>
            <w:r w:rsidRPr="003A165A">
              <w:t>The grant recipient is the legal entity or Organisation that enters into a grant agreement with the department to provide Aboriginal and Torres Strait Islander Flexible Aged Care Services. In this Program Manual, the grant recipient is referred to as a registered provider and in the grant agreement a ‘Provider’.</w:t>
            </w:r>
          </w:p>
        </w:tc>
      </w:tr>
      <w:tr w:rsidR="00A65F24" w14:paraId="660939A1" w14:textId="77777777" w:rsidTr="00996077">
        <w:tc>
          <w:tcPr>
            <w:tcW w:w="1173" w:type="pct"/>
            <w:vAlign w:val="top"/>
          </w:tcPr>
          <w:p w14:paraId="6723A176" w14:textId="0AF4C98E" w:rsidR="00A65F24" w:rsidRPr="003A165A" w:rsidRDefault="00A65F24" w:rsidP="003A165A">
            <w:pPr>
              <w:pStyle w:val="Tabletext"/>
            </w:pPr>
            <w:r w:rsidRPr="003A165A">
              <w:t>Governance</w:t>
            </w:r>
          </w:p>
        </w:tc>
        <w:tc>
          <w:tcPr>
            <w:tcW w:w="3827" w:type="pct"/>
            <w:vAlign w:val="top"/>
          </w:tcPr>
          <w:p w14:paraId="5CF60ACD" w14:textId="6BE50DEC" w:rsidR="00A65F24" w:rsidRPr="003A165A" w:rsidRDefault="00A65F24" w:rsidP="003A165A">
            <w:pPr>
              <w:pStyle w:val="Tabletext"/>
            </w:pPr>
            <w:r w:rsidRPr="003A165A">
              <w:t>A method or system of government or management.</w:t>
            </w:r>
          </w:p>
        </w:tc>
      </w:tr>
      <w:tr w:rsidR="00A65F24" w14:paraId="5C7B6DB6" w14:textId="77777777" w:rsidTr="00996077">
        <w:tc>
          <w:tcPr>
            <w:tcW w:w="1173" w:type="pct"/>
            <w:vAlign w:val="top"/>
          </w:tcPr>
          <w:p w14:paraId="090B914C" w14:textId="062CBDC1" w:rsidR="00A65F24" w:rsidRPr="003A165A" w:rsidRDefault="00A65F24" w:rsidP="003A165A">
            <w:pPr>
              <w:pStyle w:val="Tabletext"/>
            </w:pPr>
            <w:r w:rsidRPr="003A165A">
              <w:t>Home Care</w:t>
            </w:r>
          </w:p>
        </w:tc>
        <w:tc>
          <w:tcPr>
            <w:tcW w:w="3827" w:type="pct"/>
            <w:vAlign w:val="top"/>
          </w:tcPr>
          <w:p w14:paraId="1BD1D8EB" w14:textId="7D785865" w:rsidR="00A65F24" w:rsidRPr="003A165A" w:rsidRDefault="00A65F24" w:rsidP="003A165A">
            <w:pPr>
              <w:pStyle w:val="Tabletext"/>
            </w:pPr>
            <w:r w:rsidRPr="003A165A">
              <w:t>A coordinated package of care services aimed at supporting people to remain living at home.</w:t>
            </w:r>
          </w:p>
        </w:tc>
      </w:tr>
      <w:tr w:rsidR="00A65F24" w14:paraId="383D8243" w14:textId="77777777" w:rsidTr="00996077">
        <w:tc>
          <w:tcPr>
            <w:tcW w:w="1173" w:type="pct"/>
            <w:vAlign w:val="top"/>
          </w:tcPr>
          <w:p w14:paraId="629A9934" w14:textId="2ABB06F4" w:rsidR="00A65F24" w:rsidRPr="003A165A" w:rsidRDefault="00A65F24" w:rsidP="003A165A">
            <w:pPr>
              <w:pStyle w:val="Tabletext"/>
            </w:pPr>
            <w:r w:rsidRPr="003A165A">
              <w:t>Home Care Subsidy</w:t>
            </w:r>
          </w:p>
        </w:tc>
        <w:tc>
          <w:tcPr>
            <w:tcW w:w="3827" w:type="pct"/>
            <w:vAlign w:val="top"/>
          </w:tcPr>
          <w:p w14:paraId="5FF43FB9" w14:textId="64068479" w:rsidR="00A65F24" w:rsidRPr="003A165A" w:rsidRDefault="00A65F24" w:rsidP="003A165A">
            <w:pPr>
              <w:pStyle w:val="Tabletext"/>
            </w:pPr>
            <w:r w:rsidRPr="003A165A">
              <w:t>The subsidy payable by the Australian Government for providing home care.</w:t>
            </w:r>
          </w:p>
        </w:tc>
      </w:tr>
      <w:tr w:rsidR="00A65F24" w14:paraId="2B63AADC" w14:textId="77777777" w:rsidTr="00996077">
        <w:tc>
          <w:tcPr>
            <w:tcW w:w="1173" w:type="pct"/>
            <w:vAlign w:val="top"/>
          </w:tcPr>
          <w:p w14:paraId="7237A7DC" w14:textId="299E7305" w:rsidR="00A65F24" w:rsidRPr="003A165A" w:rsidRDefault="00A65F24" w:rsidP="003A165A">
            <w:pPr>
              <w:pStyle w:val="Tabletext"/>
            </w:pPr>
            <w:r w:rsidRPr="003A165A">
              <w:t>Home Modifications</w:t>
            </w:r>
          </w:p>
        </w:tc>
        <w:tc>
          <w:tcPr>
            <w:tcW w:w="3827" w:type="pct"/>
            <w:vAlign w:val="top"/>
          </w:tcPr>
          <w:p w14:paraId="5C2FA898" w14:textId="3EAF4A07" w:rsidR="00A65F24" w:rsidRPr="003A165A" w:rsidRDefault="00A65F24" w:rsidP="003A165A">
            <w:pPr>
              <w:pStyle w:val="Tabletext"/>
            </w:pPr>
            <w:r w:rsidRPr="003A165A">
              <w:t>Physical changes to a person's home environment to improve safety, accessibility, and independence. They are designed to help older people remain living safely in their own homes for longer.</w:t>
            </w:r>
          </w:p>
        </w:tc>
      </w:tr>
      <w:tr w:rsidR="00A65F24" w14:paraId="2240E2CB" w14:textId="77777777" w:rsidTr="00996077">
        <w:tc>
          <w:tcPr>
            <w:tcW w:w="1173" w:type="pct"/>
            <w:vAlign w:val="top"/>
          </w:tcPr>
          <w:p w14:paraId="398EC1A6" w14:textId="2E494A02" w:rsidR="00A65F24" w:rsidRPr="003A165A" w:rsidRDefault="00A65F24" w:rsidP="003A165A">
            <w:pPr>
              <w:pStyle w:val="Tabletext"/>
            </w:pPr>
            <w:r w:rsidRPr="003A165A">
              <w:t>Individual</w:t>
            </w:r>
          </w:p>
        </w:tc>
        <w:tc>
          <w:tcPr>
            <w:tcW w:w="3827" w:type="pct"/>
            <w:vAlign w:val="top"/>
          </w:tcPr>
          <w:p w14:paraId="34A7BE6B" w14:textId="4CA8F469" w:rsidR="00A65F24" w:rsidRPr="003A165A" w:rsidRDefault="00A65F24" w:rsidP="003A165A">
            <w:pPr>
              <w:pStyle w:val="Tabletext"/>
            </w:pPr>
            <w:r w:rsidRPr="003A165A">
              <w:t>Predominantly refers to the older people or person, previously referred to as care recipient, consumer or participant. Used in some sections (such as worker screening) to refer to a worker.</w:t>
            </w:r>
          </w:p>
        </w:tc>
      </w:tr>
      <w:tr w:rsidR="00A65F24" w14:paraId="083D116A" w14:textId="77777777" w:rsidTr="00996077">
        <w:tc>
          <w:tcPr>
            <w:tcW w:w="1173" w:type="pct"/>
            <w:vAlign w:val="top"/>
          </w:tcPr>
          <w:p w14:paraId="487E67E3" w14:textId="29D1C4DC" w:rsidR="00A65F24" w:rsidRPr="003A165A" w:rsidRDefault="00A65F24" w:rsidP="003A165A">
            <w:pPr>
              <w:pStyle w:val="Tabletext"/>
            </w:pPr>
            <w:r w:rsidRPr="003A165A">
              <w:t>Modified Monash Model (MMM)</w:t>
            </w:r>
          </w:p>
        </w:tc>
        <w:tc>
          <w:tcPr>
            <w:tcW w:w="3827" w:type="pct"/>
            <w:vAlign w:val="top"/>
          </w:tcPr>
          <w:p w14:paraId="346455D1" w14:textId="6F79EBFC" w:rsidR="00A65F24" w:rsidRPr="003A165A" w:rsidRDefault="00A65F24" w:rsidP="003A165A">
            <w:pPr>
              <w:pStyle w:val="Tabletext"/>
            </w:pPr>
            <w:r w:rsidRPr="003A165A">
              <w:t>The Modified Monash Model is a geographical modelling tool that defines whether a location is metropolitan (MMM1), rural, remote or very remote (MMM7).</w:t>
            </w:r>
          </w:p>
        </w:tc>
      </w:tr>
      <w:tr w:rsidR="00A65F24" w14:paraId="5847371F" w14:textId="77777777" w:rsidTr="00996077">
        <w:tc>
          <w:tcPr>
            <w:tcW w:w="1173" w:type="pct"/>
            <w:vAlign w:val="top"/>
          </w:tcPr>
          <w:p w14:paraId="4D42AA66" w14:textId="3F1A81E5" w:rsidR="00A65F24" w:rsidRPr="003A165A" w:rsidRDefault="00A65F24" w:rsidP="003A165A">
            <w:pPr>
              <w:pStyle w:val="Tabletext"/>
            </w:pPr>
            <w:r w:rsidRPr="003A165A">
              <w:t>My Aged Care</w:t>
            </w:r>
          </w:p>
        </w:tc>
        <w:tc>
          <w:tcPr>
            <w:tcW w:w="3827" w:type="pct"/>
            <w:vAlign w:val="top"/>
          </w:tcPr>
          <w:p w14:paraId="118FE4BF" w14:textId="76F5FBAA" w:rsidR="00A65F24" w:rsidRPr="003A165A" w:rsidRDefault="00A65F24" w:rsidP="003A165A">
            <w:pPr>
              <w:pStyle w:val="Tabletext"/>
            </w:pPr>
            <w:r w:rsidRPr="003A165A">
              <w:t>My Aged Care is the entry point to access government-funded aged care services. It consists of a national phone line and a website which provide general information on aged care services and finders to locate local services.</w:t>
            </w:r>
          </w:p>
        </w:tc>
      </w:tr>
      <w:tr w:rsidR="00A65F24" w14:paraId="03DA750E" w14:textId="77777777" w:rsidTr="00996077">
        <w:tc>
          <w:tcPr>
            <w:tcW w:w="1173" w:type="pct"/>
            <w:vAlign w:val="top"/>
          </w:tcPr>
          <w:p w14:paraId="3DACD22C" w14:textId="6EC94EE8" w:rsidR="00A65F24" w:rsidRPr="003A165A" w:rsidRDefault="00A65F24" w:rsidP="003A165A">
            <w:pPr>
              <w:pStyle w:val="Tabletext"/>
            </w:pPr>
            <w:r w:rsidRPr="003A165A">
              <w:t>National Aged Care Advocacy Program (NACAP)</w:t>
            </w:r>
          </w:p>
        </w:tc>
        <w:tc>
          <w:tcPr>
            <w:tcW w:w="3827" w:type="pct"/>
            <w:vAlign w:val="top"/>
          </w:tcPr>
          <w:p w14:paraId="2A07AF3D" w14:textId="3BE51CA8" w:rsidR="00A65F24" w:rsidRPr="003A165A" w:rsidRDefault="00A65F24" w:rsidP="003A165A">
            <w:pPr>
              <w:pStyle w:val="Tabletext"/>
            </w:pPr>
            <w:r w:rsidRPr="003A165A">
              <w:t xml:space="preserve">The National Aged Care Advocacy Program (NACAP) is funded by the Australian Government and provides free, confidential advocacy support and information to individuals receiving, or potentially receiving, Australian Government subsidised aged care services about their rights and responsibilities when accessing services. </w:t>
            </w:r>
          </w:p>
        </w:tc>
      </w:tr>
      <w:tr w:rsidR="00A65F24" w14:paraId="3FC61E17" w14:textId="77777777" w:rsidTr="00996077">
        <w:tc>
          <w:tcPr>
            <w:tcW w:w="1173" w:type="pct"/>
            <w:vAlign w:val="top"/>
          </w:tcPr>
          <w:p w14:paraId="0230B5E8" w14:textId="2E7D39D7" w:rsidR="00A65F24" w:rsidRPr="003A165A" w:rsidRDefault="00A65F24" w:rsidP="003A165A">
            <w:pPr>
              <w:pStyle w:val="Tabletext"/>
            </w:pPr>
            <w:r w:rsidRPr="003A165A">
              <w:t>Program</w:t>
            </w:r>
          </w:p>
        </w:tc>
        <w:tc>
          <w:tcPr>
            <w:tcW w:w="3827" w:type="pct"/>
            <w:vAlign w:val="top"/>
          </w:tcPr>
          <w:p w14:paraId="21BF37A3" w14:textId="1520ACA6" w:rsidR="00A65F24" w:rsidRPr="003A165A" w:rsidRDefault="00A65F24" w:rsidP="003A165A">
            <w:pPr>
              <w:pStyle w:val="Tabletext"/>
            </w:pPr>
            <w:r w:rsidRPr="003A165A">
              <w:t xml:space="preserve">Refers to the National Aboriginal and Torres Strait Islander Flexible Aged Care Program or NATSIFACP. </w:t>
            </w:r>
          </w:p>
        </w:tc>
      </w:tr>
      <w:tr w:rsidR="00A65F24" w14:paraId="65141EE2" w14:textId="77777777" w:rsidTr="00996077">
        <w:tc>
          <w:tcPr>
            <w:tcW w:w="1173" w:type="pct"/>
            <w:vAlign w:val="top"/>
          </w:tcPr>
          <w:p w14:paraId="27123728" w14:textId="4FF19FAA" w:rsidR="00A65F24" w:rsidRPr="003A165A" w:rsidRDefault="00A65F24" w:rsidP="003A165A">
            <w:pPr>
              <w:pStyle w:val="Tabletext"/>
            </w:pPr>
            <w:r w:rsidRPr="003A165A">
              <w:t>Quality</w:t>
            </w:r>
          </w:p>
        </w:tc>
        <w:tc>
          <w:tcPr>
            <w:tcW w:w="3827" w:type="pct"/>
            <w:vAlign w:val="top"/>
          </w:tcPr>
          <w:p w14:paraId="00DACDC1" w14:textId="038720B7" w:rsidR="00A65F24" w:rsidRPr="003A165A" w:rsidRDefault="00A65F24" w:rsidP="003A165A">
            <w:pPr>
              <w:pStyle w:val="Tabletext"/>
            </w:pPr>
            <w:r w:rsidRPr="003A165A">
              <w:t>Providing products or services of high-quality or merit.</w:t>
            </w:r>
          </w:p>
        </w:tc>
      </w:tr>
      <w:tr w:rsidR="00A65F24" w14:paraId="38EF852B" w14:textId="77777777" w:rsidTr="00996077">
        <w:tc>
          <w:tcPr>
            <w:tcW w:w="1173" w:type="pct"/>
            <w:vAlign w:val="top"/>
          </w:tcPr>
          <w:p w14:paraId="7AD17FF5" w14:textId="57D4A1C7" w:rsidR="00A65F24" w:rsidRPr="003A165A" w:rsidRDefault="00A65F24" w:rsidP="003A165A">
            <w:pPr>
              <w:pStyle w:val="Tabletext"/>
            </w:pPr>
            <w:r w:rsidRPr="003A165A">
              <w:t>Registered provider</w:t>
            </w:r>
          </w:p>
        </w:tc>
        <w:tc>
          <w:tcPr>
            <w:tcW w:w="3827" w:type="pct"/>
            <w:vAlign w:val="top"/>
          </w:tcPr>
          <w:p w14:paraId="5226E36C" w14:textId="134F435C" w:rsidR="00A65F24" w:rsidRPr="003A165A" w:rsidRDefault="00A65F24" w:rsidP="003A165A">
            <w:pPr>
              <w:pStyle w:val="Tabletext"/>
            </w:pPr>
            <w:r w:rsidRPr="003A165A">
              <w:t>An individual or organisation that has been formally registered by the Aged Care Quality and Safety Commission (ACQSC) to deliver Australian Government-funded aged care services under the Aged Care Act 2024.</w:t>
            </w:r>
          </w:p>
        </w:tc>
      </w:tr>
      <w:tr w:rsidR="00A65F24" w14:paraId="72C57ABC" w14:textId="77777777" w:rsidTr="00996077">
        <w:tc>
          <w:tcPr>
            <w:tcW w:w="1173" w:type="pct"/>
            <w:vAlign w:val="top"/>
          </w:tcPr>
          <w:p w14:paraId="1037403C" w14:textId="1D0262A1" w:rsidR="00A65F24" w:rsidRPr="003A165A" w:rsidRDefault="00A65F24" w:rsidP="003A165A">
            <w:pPr>
              <w:pStyle w:val="Tabletext"/>
            </w:pPr>
            <w:r w:rsidRPr="003A165A">
              <w:t>Registration category</w:t>
            </w:r>
          </w:p>
        </w:tc>
        <w:tc>
          <w:tcPr>
            <w:tcW w:w="3827" w:type="pct"/>
            <w:vAlign w:val="top"/>
          </w:tcPr>
          <w:p w14:paraId="32A8049B" w14:textId="7F8E765A" w:rsidR="00A65F24" w:rsidRPr="003A165A" w:rsidRDefault="00A65F24" w:rsidP="003A165A">
            <w:pPr>
              <w:pStyle w:val="Tabletext"/>
            </w:pPr>
            <w:r w:rsidRPr="003A165A">
              <w:t>A classification assigned to a registered aged care provider under the Aged Care Act 2024. Registration categories define the types of aged care services a provider is authorised to deliver and determines the specific obligations and conditions the provider must meet.</w:t>
            </w:r>
          </w:p>
        </w:tc>
      </w:tr>
      <w:tr w:rsidR="00A65F24" w14:paraId="35310C9A" w14:textId="77777777" w:rsidTr="00996077">
        <w:tc>
          <w:tcPr>
            <w:tcW w:w="1173" w:type="pct"/>
            <w:vAlign w:val="top"/>
          </w:tcPr>
          <w:p w14:paraId="41DC2FE0" w14:textId="35BD3568" w:rsidR="00A65F24" w:rsidRPr="003A165A" w:rsidRDefault="00A65F24" w:rsidP="003A165A">
            <w:pPr>
              <w:pStyle w:val="Tabletext"/>
            </w:pPr>
            <w:r w:rsidRPr="003A165A">
              <w:t>Residential Care</w:t>
            </w:r>
          </w:p>
        </w:tc>
        <w:tc>
          <w:tcPr>
            <w:tcW w:w="3827" w:type="pct"/>
            <w:vAlign w:val="top"/>
          </w:tcPr>
          <w:p w14:paraId="37258376" w14:textId="36B698DE" w:rsidR="00A65F24" w:rsidRPr="003A165A" w:rsidRDefault="00A65F24" w:rsidP="003A165A">
            <w:pPr>
              <w:pStyle w:val="Tabletext"/>
            </w:pPr>
            <w:r w:rsidRPr="003A165A">
              <w:t>Personal and/or nursing care that is provided to a person in an aged care home in which the person is also provided with accommodation that includes appropriate staffing, meals and cleaning services, as well as furnishings, furniture and equipment for the provision of that care and accommodation.</w:t>
            </w:r>
          </w:p>
        </w:tc>
      </w:tr>
      <w:tr w:rsidR="00A65F24" w14:paraId="72A3713A" w14:textId="77777777" w:rsidTr="00996077">
        <w:tc>
          <w:tcPr>
            <w:tcW w:w="1173" w:type="pct"/>
            <w:vAlign w:val="top"/>
          </w:tcPr>
          <w:p w14:paraId="1348966F" w14:textId="033BB609" w:rsidR="00A65F24" w:rsidRPr="003A165A" w:rsidRDefault="00A65F24" w:rsidP="003A165A">
            <w:pPr>
              <w:pStyle w:val="Tabletext"/>
            </w:pPr>
            <w:r w:rsidRPr="003A165A">
              <w:t>Residential care home</w:t>
            </w:r>
          </w:p>
        </w:tc>
        <w:tc>
          <w:tcPr>
            <w:tcW w:w="3827" w:type="pct"/>
            <w:vAlign w:val="bottom"/>
          </w:tcPr>
          <w:p w14:paraId="62BFC989" w14:textId="24C32367" w:rsidR="00A65F24" w:rsidRPr="003A165A" w:rsidRDefault="00A65F24" w:rsidP="003A165A">
            <w:pPr>
              <w:pStyle w:val="Tabletext"/>
            </w:pPr>
            <w:r w:rsidRPr="003A165A">
              <w:t>A residential care home is a place of residence for older people who need ongoing aged care services, including nursing services. It is fitted, furnished and staffed to be able to provide these services.</w:t>
            </w:r>
          </w:p>
        </w:tc>
      </w:tr>
      <w:tr w:rsidR="00A65F24" w14:paraId="602C312D" w14:textId="77777777" w:rsidTr="00996077">
        <w:tc>
          <w:tcPr>
            <w:tcW w:w="1173" w:type="pct"/>
            <w:vAlign w:val="top"/>
          </w:tcPr>
          <w:p w14:paraId="770B0DE7" w14:textId="1A677C44" w:rsidR="00A65F24" w:rsidRPr="003A165A" w:rsidRDefault="00A65F24" w:rsidP="003A165A">
            <w:pPr>
              <w:pStyle w:val="Tabletext"/>
            </w:pPr>
            <w:r w:rsidRPr="003A165A">
              <w:t>Residential Concessional Supplement</w:t>
            </w:r>
          </w:p>
        </w:tc>
        <w:tc>
          <w:tcPr>
            <w:tcW w:w="3827" w:type="pct"/>
            <w:vAlign w:val="top"/>
          </w:tcPr>
          <w:p w14:paraId="7E2157A4" w14:textId="0F170C48" w:rsidR="00A65F24" w:rsidRPr="003A165A" w:rsidRDefault="00A65F24" w:rsidP="003A165A">
            <w:pPr>
              <w:pStyle w:val="Tabletext"/>
            </w:pPr>
            <w:r w:rsidRPr="003A165A">
              <w:t>A financial supplement paid to Aboriginal and Torres Strait Islander flexible aged care services for the provision of services.</w:t>
            </w:r>
          </w:p>
        </w:tc>
      </w:tr>
      <w:tr w:rsidR="00A65F24" w14:paraId="2C7C91E1" w14:textId="77777777" w:rsidTr="00996077">
        <w:tc>
          <w:tcPr>
            <w:tcW w:w="1173" w:type="pct"/>
            <w:vAlign w:val="top"/>
          </w:tcPr>
          <w:p w14:paraId="7FF75889" w14:textId="41F532F7" w:rsidR="00A65F24" w:rsidRPr="003A165A" w:rsidRDefault="00A65F24" w:rsidP="003A165A">
            <w:pPr>
              <w:pStyle w:val="Tabletext"/>
            </w:pPr>
            <w:r w:rsidRPr="003A165A">
              <w:t>Residential Viability Supplement</w:t>
            </w:r>
          </w:p>
        </w:tc>
        <w:tc>
          <w:tcPr>
            <w:tcW w:w="3827" w:type="pct"/>
            <w:vAlign w:val="top"/>
          </w:tcPr>
          <w:p w14:paraId="4F0C78A1" w14:textId="76B0F97B" w:rsidR="00A65F24" w:rsidRPr="003A165A" w:rsidRDefault="00A65F24" w:rsidP="003A165A">
            <w:pPr>
              <w:pStyle w:val="Tabletext"/>
            </w:pPr>
            <w:r w:rsidRPr="003A165A">
              <w:t>A financial supplement paid to eligible Aboriginal and Torres Strait Islander flexible aged care services to assist in the operation of small, rural and remote services to assist with viability.</w:t>
            </w:r>
          </w:p>
        </w:tc>
      </w:tr>
      <w:tr w:rsidR="00A65F24" w14:paraId="41D1170E" w14:textId="77777777" w:rsidTr="00996077">
        <w:tc>
          <w:tcPr>
            <w:tcW w:w="1173" w:type="pct"/>
            <w:vAlign w:val="top"/>
          </w:tcPr>
          <w:p w14:paraId="1EDD4B26" w14:textId="0D6E4769" w:rsidR="00A65F24" w:rsidRPr="003A165A" w:rsidRDefault="00A65F24" w:rsidP="003A165A">
            <w:pPr>
              <w:pStyle w:val="Tabletext"/>
            </w:pPr>
            <w:r w:rsidRPr="003A165A">
              <w:t>Respite</w:t>
            </w:r>
          </w:p>
        </w:tc>
        <w:tc>
          <w:tcPr>
            <w:tcW w:w="3827" w:type="pct"/>
            <w:vAlign w:val="top"/>
          </w:tcPr>
          <w:p w14:paraId="2A98C52D" w14:textId="5AB63A05" w:rsidR="00A65F24" w:rsidRPr="003A165A" w:rsidRDefault="00A65F24" w:rsidP="003A165A">
            <w:pPr>
              <w:pStyle w:val="Tabletext"/>
            </w:pPr>
            <w:r w:rsidRPr="003A165A">
              <w:t>Respite care (also known as short-term care) is a form of support for carers.  It gives carers the opportunity to attend to everyday activities and have a break from their caring role.</w:t>
            </w:r>
          </w:p>
        </w:tc>
      </w:tr>
      <w:tr w:rsidR="00A65F24" w14:paraId="1EFCE6F4" w14:textId="77777777" w:rsidTr="00996077">
        <w:tc>
          <w:tcPr>
            <w:tcW w:w="1173" w:type="pct"/>
            <w:vAlign w:val="top"/>
          </w:tcPr>
          <w:p w14:paraId="24331716" w14:textId="6734F089" w:rsidR="00A65F24" w:rsidRPr="003A165A" w:rsidRDefault="00A65F24" w:rsidP="003A165A">
            <w:pPr>
              <w:pStyle w:val="Tabletext"/>
            </w:pPr>
            <w:r w:rsidRPr="003A165A">
              <w:t>Responsible person</w:t>
            </w:r>
          </w:p>
        </w:tc>
        <w:tc>
          <w:tcPr>
            <w:tcW w:w="3827" w:type="pct"/>
            <w:vAlign w:val="top"/>
          </w:tcPr>
          <w:p w14:paraId="5709688E" w14:textId="74FCA610" w:rsidR="00A65F24" w:rsidRPr="003A165A" w:rsidRDefault="00A65F24" w:rsidP="003A165A">
            <w:pPr>
              <w:pStyle w:val="Tabletext"/>
            </w:pPr>
            <w:r w:rsidRPr="003A165A">
              <w:t>Individuals who hold key roles in the governance, management, or operational oversight of a registered aged care provider.</w:t>
            </w:r>
          </w:p>
        </w:tc>
      </w:tr>
      <w:tr w:rsidR="00A65F24" w14:paraId="7284BBD4" w14:textId="77777777" w:rsidTr="00996077">
        <w:tc>
          <w:tcPr>
            <w:tcW w:w="1173" w:type="pct"/>
            <w:vAlign w:val="top"/>
          </w:tcPr>
          <w:p w14:paraId="48D65ADF" w14:textId="692695CB" w:rsidR="00A65F24" w:rsidRPr="003A165A" w:rsidRDefault="00A65F24" w:rsidP="003A165A">
            <w:pPr>
              <w:pStyle w:val="Tabletext"/>
            </w:pPr>
            <w:r w:rsidRPr="003A165A">
              <w:t>Restrictive practices</w:t>
            </w:r>
          </w:p>
        </w:tc>
        <w:tc>
          <w:tcPr>
            <w:tcW w:w="3827" w:type="pct"/>
            <w:vAlign w:val="top"/>
          </w:tcPr>
          <w:p w14:paraId="626908D5" w14:textId="084D8E9A" w:rsidR="00A65F24" w:rsidRPr="003A165A" w:rsidRDefault="00A65F24" w:rsidP="003A165A">
            <w:pPr>
              <w:pStyle w:val="Tabletext"/>
            </w:pPr>
            <w:r w:rsidRPr="003A165A">
              <w:t>Any action that restricts the rights or freedom of movement of an individual, primarily to influence an individual’s behaviour.</w:t>
            </w:r>
          </w:p>
        </w:tc>
      </w:tr>
      <w:tr w:rsidR="00A65F24" w14:paraId="39A365BA" w14:textId="77777777" w:rsidTr="00996077">
        <w:tc>
          <w:tcPr>
            <w:tcW w:w="1173" w:type="pct"/>
            <w:vAlign w:val="top"/>
          </w:tcPr>
          <w:p w14:paraId="6EA6B8CE" w14:textId="4C827307" w:rsidR="00A65F24" w:rsidRPr="003A165A" w:rsidRDefault="00A65F24" w:rsidP="003A165A">
            <w:pPr>
              <w:pStyle w:val="Tabletext"/>
            </w:pPr>
            <w:r w:rsidRPr="003A165A">
              <w:t>Service Activity Report (SAR)</w:t>
            </w:r>
          </w:p>
        </w:tc>
        <w:tc>
          <w:tcPr>
            <w:tcW w:w="3827" w:type="pct"/>
            <w:vAlign w:val="top"/>
          </w:tcPr>
          <w:p w14:paraId="0D0CA85B" w14:textId="4383A0F2" w:rsidR="00A65F24" w:rsidRPr="003A165A" w:rsidRDefault="00A65F24" w:rsidP="003A165A">
            <w:pPr>
              <w:pStyle w:val="Tabletext"/>
            </w:pPr>
            <w:r w:rsidRPr="003A165A">
              <w:t>Service Activity Reports (SARs) are twice-yearly Performance Reports that must be completed on the supplied template and submitted by NATSIFACP funded services.</w:t>
            </w:r>
          </w:p>
        </w:tc>
      </w:tr>
      <w:tr w:rsidR="00A65F24" w14:paraId="59E40E43" w14:textId="77777777" w:rsidTr="00996077">
        <w:tc>
          <w:tcPr>
            <w:tcW w:w="1173" w:type="pct"/>
            <w:vAlign w:val="top"/>
          </w:tcPr>
          <w:p w14:paraId="637E2CDA" w14:textId="1D03FD2E" w:rsidR="00A65F24" w:rsidRPr="003A165A" w:rsidRDefault="00A65F24" w:rsidP="003A165A">
            <w:pPr>
              <w:pStyle w:val="Tabletext"/>
            </w:pPr>
            <w:r w:rsidRPr="003A165A">
              <w:t>Service agreement</w:t>
            </w:r>
          </w:p>
        </w:tc>
        <w:tc>
          <w:tcPr>
            <w:tcW w:w="3827" w:type="pct"/>
            <w:vAlign w:val="top"/>
          </w:tcPr>
          <w:p w14:paraId="7A8BA273" w14:textId="3D148336" w:rsidR="00A65F24" w:rsidRPr="003A165A" w:rsidRDefault="00A65F24" w:rsidP="003A165A">
            <w:pPr>
              <w:pStyle w:val="Tabletext"/>
            </w:pPr>
            <w:r w:rsidRPr="003A165A">
              <w:t>A legal contract between a provider and an individual that sets out the terms and conditions by which a provider will deliver services.</w:t>
            </w:r>
          </w:p>
        </w:tc>
      </w:tr>
      <w:tr w:rsidR="00A65F24" w14:paraId="199FDCEB" w14:textId="77777777" w:rsidTr="00996077">
        <w:tc>
          <w:tcPr>
            <w:tcW w:w="1173" w:type="pct"/>
            <w:vAlign w:val="top"/>
          </w:tcPr>
          <w:p w14:paraId="201DB704" w14:textId="24EAEA1B" w:rsidR="00A65F24" w:rsidRPr="003A165A" w:rsidRDefault="00A65F24" w:rsidP="003A165A">
            <w:pPr>
              <w:pStyle w:val="Tabletext"/>
            </w:pPr>
            <w:r w:rsidRPr="003A165A">
              <w:t>Service delivery branch</w:t>
            </w:r>
          </w:p>
        </w:tc>
        <w:tc>
          <w:tcPr>
            <w:tcW w:w="3827" w:type="pct"/>
            <w:vAlign w:val="top"/>
          </w:tcPr>
          <w:p w14:paraId="2F02CDD9" w14:textId="6323D344" w:rsidR="00A65F24" w:rsidRPr="003A165A" w:rsidRDefault="00A65F24" w:rsidP="003A165A">
            <w:pPr>
              <w:pStyle w:val="Tabletext"/>
            </w:pPr>
            <w:r w:rsidRPr="003A165A">
              <w:t>A registered provider’s place of business through which the provider delivers funded aged care services under the service groups home support, assistive technology and/or home modifications.</w:t>
            </w:r>
          </w:p>
        </w:tc>
      </w:tr>
      <w:tr w:rsidR="00A65F24" w14:paraId="1E2AA507" w14:textId="77777777" w:rsidTr="00996077">
        <w:tc>
          <w:tcPr>
            <w:tcW w:w="1173" w:type="pct"/>
            <w:vAlign w:val="top"/>
          </w:tcPr>
          <w:p w14:paraId="07973AC5" w14:textId="6509ADA5" w:rsidR="00A65F24" w:rsidRPr="003A165A" w:rsidRDefault="00A65F24" w:rsidP="003A165A">
            <w:pPr>
              <w:pStyle w:val="Tabletext"/>
            </w:pPr>
            <w:r w:rsidRPr="003A165A">
              <w:t>Service group</w:t>
            </w:r>
          </w:p>
        </w:tc>
        <w:tc>
          <w:tcPr>
            <w:tcW w:w="3827" w:type="pct"/>
            <w:vAlign w:val="top"/>
          </w:tcPr>
          <w:p w14:paraId="4FB642B9" w14:textId="3F57844F" w:rsidR="00A65F24" w:rsidRPr="003A165A" w:rsidRDefault="00A65F24" w:rsidP="003A165A">
            <w:pPr>
              <w:pStyle w:val="Tabletext"/>
            </w:pPr>
            <w:r w:rsidRPr="003A165A">
              <w:t>The overarching categories under which aged care services are grouped. The service groups are home support, assistive technology, home modifications and residential care.</w:t>
            </w:r>
          </w:p>
        </w:tc>
      </w:tr>
      <w:tr w:rsidR="00A65F24" w14:paraId="3A925A9A" w14:textId="77777777" w:rsidTr="00996077">
        <w:tc>
          <w:tcPr>
            <w:tcW w:w="1173" w:type="pct"/>
            <w:vAlign w:val="top"/>
          </w:tcPr>
          <w:p w14:paraId="7450FB2C" w14:textId="1BAA8BEE" w:rsidR="00A65F24" w:rsidRPr="003A165A" w:rsidRDefault="00A65F24" w:rsidP="003A165A">
            <w:pPr>
              <w:pStyle w:val="Tabletext"/>
            </w:pPr>
            <w:r w:rsidRPr="003A165A">
              <w:t>Service delivery branch</w:t>
            </w:r>
          </w:p>
        </w:tc>
        <w:tc>
          <w:tcPr>
            <w:tcW w:w="3827" w:type="pct"/>
            <w:vAlign w:val="top"/>
          </w:tcPr>
          <w:p w14:paraId="61C0BFFE" w14:textId="78C6F5F6" w:rsidR="00A65F24" w:rsidRPr="003A165A" w:rsidRDefault="00A65F24" w:rsidP="003A165A">
            <w:pPr>
              <w:pStyle w:val="Tabletext"/>
            </w:pPr>
            <w:r w:rsidRPr="003A165A">
              <w:t>A service delivery branch is the site or place of business from which NATSIFACP providers will deliver services.</w:t>
            </w:r>
          </w:p>
        </w:tc>
      </w:tr>
      <w:tr w:rsidR="00A65F24" w14:paraId="484209F1" w14:textId="77777777" w:rsidTr="00996077">
        <w:tc>
          <w:tcPr>
            <w:tcW w:w="1173" w:type="pct"/>
            <w:vAlign w:val="top"/>
          </w:tcPr>
          <w:p w14:paraId="360BB003" w14:textId="28844F46" w:rsidR="00A65F24" w:rsidRPr="003A165A" w:rsidRDefault="00A65F24" w:rsidP="003A165A">
            <w:pPr>
              <w:pStyle w:val="Tabletext"/>
            </w:pPr>
            <w:r w:rsidRPr="003A165A">
              <w:t>Service type</w:t>
            </w:r>
          </w:p>
        </w:tc>
        <w:tc>
          <w:tcPr>
            <w:tcW w:w="3827" w:type="pct"/>
            <w:vAlign w:val="top"/>
          </w:tcPr>
          <w:p w14:paraId="796C3BE0" w14:textId="76E1F968" w:rsidR="00A65F24" w:rsidRPr="003A165A" w:rsidRDefault="00A65F24" w:rsidP="003A165A">
            <w:pPr>
              <w:pStyle w:val="Tabletext"/>
            </w:pPr>
            <w:r w:rsidRPr="003A165A">
              <w:t>Service types are subcategories under service groups.</w:t>
            </w:r>
          </w:p>
        </w:tc>
      </w:tr>
      <w:tr w:rsidR="00A65F24" w14:paraId="4D7BA523" w14:textId="77777777" w:rsidTr="00996077">
        <w:tc>
          <w:tcPr>
            <w:tcW w:w="1173" w:type="pct"/>
            <w:vAlign w:val="top"/>
          </w:tcPr>
          <w:p w14:paraId="0D6CB933" w14:textId="1B7B0D9A" w:rsidR="00A65F24" w:rsidRPr="003A165A" w:rsidRDefault="00A65F24" w:rsidP="003A165A">
            <w:pPr>
              <w:pStyle w:val="Tabletext"/>
            </w:pPr>
            <w:r w:rsidRPr="003A165A">
              <w:t xml:space="preserve">Single Assessment System </w:t>
            </w:r>
          </w:p>
        </w:tc>
        <w:tc>
          <w:tcPr>
            <w:tcW w:w="3827" w:type="pct"/>
            <w:vAlign w:val="top"/>
          </w:tcPr>
          <w:p w14:paraId="1F0993E6" w14:textId="5AC59746" w:rsidR="00A65F24" w:rsidRPr="003A165A" w:rsidRDefault="00A65F24" w:rsidP="003A165A">
            <w:pPr>
              <w:pStyle w:val="Tabletext"/>
            </w:pPr>
            <w:r w:rsidRPr="003A165A">
              <w:t>A new system that will provide a single assessment pathway for all individuals seeking access to Government-funded in-home, flexible, and residential aged care.</w:t>
            </w:r>
          </w:p>
        </w:tc>
      </w:tr>
      <w:tr w:rsidR="00A65F24" w14:paraId="67C0DF74" w14:textId="77777777" w:rsidTr="00996077">
        <w:tc>
          <w:tcPr>
            <w:tcW w:w="1173" w:type="pct"/>
            <w:vAlign w:val="top"/>
          </w:tcPr>
          <w:p w14:paraId="3F4CAB8E" w14:textId="6D4941F9" w:rsidR="00A65F24" w:rsidRPr="003A165A" w:rsidRDefault="00A65F24" w:rsidP="003A165A">
            <w:pPr>
              <w:pStyle w:val="Tabletext"/>
            </w:pPr>
            <w:r w:rsidRPr="003A165A">
              <w:t>Specialist aged care program</w:t>
            </w:r>
          </w:p>
        </w:tc>
        <w:tc>
          <w:tcPr>
            <w:tcW w:w="3827" w:type="pct"/>
            <w:vAlign w:val="top"/>
          </w:tcPr>
          <w:p w14:paraId="7B5E3269" w14:textId="2E74EFAF" w:rsidR="00A65F24" w:rsidRPr="003A165A" w:rsidRDefault="00A65F24" w:rsidP="003A165A">
            <w:pPr>
              <w:pStyle w:val="Tabletext"/>
            </w:pPr>
            <w:r w:rsidRPr="003A165A">
              <w:t>Specialist Aged Care Programs are government-funded programs where there is an agreement or arrangement, such as a grant, in place to deliver aged care services. NATSIFACP is a specialist aged care program.</w:t>
            </w:r>
          </w:p>
        </w:tc>
      </w:tr>
      <w:tr w:rsidR="00A65F24" w14:paraId="600CD3AC" w14:textId="77777777" w:rsidTr="00996077">
        <w:tc>
          <w:tcPr>
            <w:tcW w:w="1173" w:type="pct"/>
            <w:vAlign w:val="top"/>
          </w:tcPr>
          <w:p w14:paraId="1C063129" w14:textId="672157BB" w:rsidR="00A65F24" w:rsidRPr="003A165A" w:rsidRDefault="00A65F24" w:rsidP="003A165A">
            <w:pPr>
              <w:pStyle w:val="Tabletext"/>
            </w:pPr>
            <w:r w:rsidRPr="003A165A">
              <w:t>Suitability matters</w:t>
            </w:r>
          </w:p>
        </w:tc>
        <w:tc>
          <w:tcPr>
            <w:tcW w:w="3827" w:type="pct"/>
            <w:vAlign w:val="top"/>
          </w:tcPr>
          <w:p w14:paraId="3498AC0A" w14:textId="052F9081" w:rsidR="00A65F24" w:rsidRPr="003A165A" w:rsidRDefault="00A65F24" w:rsidP="003A165A">
            <w:pPr>
              <w:pStyle w:val="Tabletext"/>
            </w:pPr>
            <w:r w:rsidRPr="003A165A">
              <w:t>Suitability matters refer to background checks and considerations that must be used to assess whether a person is suitable to be involved in delivering aged care services.</w:t>
            </w:r>
          </w:p>
        </w:tc>
      </w:tr>
      <w:tr w:rsidR="00A65F24" w14:paraId="44E5D12D" w14:textId="77777777" w:rsidTr="00996077">
        <w:tc>
          <w:tcPr>
            <w:tcW w:w="1173" w:type="pct"/>
            <w:vAlign w:val="top"/>
          </w:tcPr>
          <w:p w14:paraId="3DAA2C45" w14:textId="3F969260" w:rsidR="00A65F24" w:rsidRPr="003A165A" w:rsidRDefault="00A65F24" w:rsidP="003A165A">
            <w:pPr>
              <w:pStyle w:val="Tabletext"/>
            </w:pPr>
            <w:r w:rsidRPr="003A165A">
              <w:t>Supporter/s</w:t>
            </w:r>
          </w:p>
        </w:tc>
        <w:tc>
          <w:tcPr>
            <w:tcW w:w="3827" w:type="pct"/>
            <w:vAlign w:val="top"/>
          </w:tcPr>
          <w:p w14:paraId="44712D5B" w14:textId="0E7A3D5A" w:rsidR="00A65F24" w:rsidRPr="003A165A" w:rsidRDefault="00A65F24" w:rsidP="003A165A">
            <w:pPr>
              <w:pStyle w:val="Tabletext"/>
            </w:pPr>
            <w:r w:rsidRPr="003A165A">
              <w:t>A person trusted by the individual and registered with My Aged Care to help the individual make and communicate their decisions throughout their aged care journey.</w:t>
            </w:r>
          </w:p>
        </w:tc>
      </w:tr>
      <w:tr w:rsidR="00A65F24" w14:paraId="41639D6A" w14:textId="77777777" w:rsidTr="00996077">
        <w:tc>
          <w:tcPr>
            <w:tcW w:w="1173" w:type="pct"/>
            <w:vAlign w:val="top"/>
          </w:tcPr>
          <w:p w14:paraId="66616BD4" w14:textId="259AC93F" w:rsidR="00A65F24" w:rsidRPr="003A165A" w:rsidRDefault="00A65F24" w:rsidP="003A165A">
            <w:pPr>
              <w:pStyle w:val="Tabletext"/>
            </w:pPr>
            <w:r w:rsidRPr="003A165A">
              <w:t>System Governor</w:t>
            </w:r>
          </w:p>
        </w:tc>
        <w:tc>
          <w:tcPr>
            <w:tcW w:w="3827" w:type="pct"/>
            <w:vAlign w:val="top"/>
          </w:tcPr>
          <w:p w14:paraId="427298FB" w14:textId="3E273248" w:rsidR="00A65F24" w:rsidRPr="003A165A" w:rsidRDefault="00A65F24" w:rsidP="003A165A">
            <w:pPr>
              <w:pStyle w:val="Tabletext"/>
            </w:pPr>
            <w:r w:rsidRPr="003A165A">
              <w:t xml:space="preserve">The System Governor is the Secretary of the Department of Health, Disability and Ageing. The System Governor and department are responsible for operations and oversight of the aged care system. </w:t>
            </w:r>
          </w:p>
        </w:tc>
      </w:tr>
      <w:tr w:rsidR="00A65F24" w14:paraId="0D7A31ED" w14:textId="77777777" w:rsidTr="00996077">
        <w:tc>
          <w:tcPr>
            <w:tcW w:w="1173" w:type="pct"/>
            <w:vAlign w:val="top"/>
          </w:tcPr>
          <w:p w14:paraId="2161FA8D" w14:textId="23DA11C3" w:rsidR="00A65F24" w:rsidRPr="003A165A" w:rsidRDefault="00A65F24" w:rsidP="003A165A">
            <w:pPr>
              <w:pStyle w:val="Tabletext"/>
            </w:pPr>
            <w:r w:rsidRPr="003A165A">
              <w:t>Veterans’ Supplement</w:t>
            </w:r>
          </w:p>
        </w:tc>
        <w:tc>
          <w:tcPr>
            <w:tcW w:w="3827" w:type="pct"/>
            <w:vAlign w:val="top"/>
          </w:tcPr>
          <w:p w14:paraId="46D5A726" w14:textId="7FE8364F" w:rsidR="00A65F24" w:rsidRPr="003A165A" w:rsidRDefault="00A65F24" w:rsidP="003A165A">
            <w:pPr>
              <w:pStyle w:val="Tabletext"/>
            </w:pPr>
            <w:r w:rsidRPr="003A165A">
              <w:t>The Veterans’ Supplement provides funding for veterans with service-related mental health conditions to ensure their service-related mental health condition does not act as a barrier to accessing appropriate care.</w:t>
            </w:r>
          </w:p>
        </w:tc>
      </w:tr>
      <w:tr w:rsidR="00A65F24" w14:paraId="75C455FC" w14:textId="77777777" w:rsidTr="00996077">
        <w:tc>
          <w:tcPr>
            <w:tcW w:w="1173" w:type="pct"/>
            <w:vAlign w:val="top"/>
          </w:tcPr>
          <w:p w14:paraId="4FA02086" w14:textId="0823A44E" w:rsidR="00A65F24" w:rsidRPr="003A165A" w:rsidRDefault="00A65F24" w:rsidP="003A165A">
            <w:pPr>
              <w:pStyle w:val="Tabletext"/>
            </w:pPr>
            <w:r w:rsidRPr="003A165A">
              <w:t>Whistleblower</w:t>
            </w:r>
          </w:p>
        </w:tc>
        <w:tc>
          <w:tcPr>
            <w:tcW w:w="3827" w:type="pct"/>
            <w:vAlign w:val="top"/>
          </w:tcPr>
          <w:p w14:paraId="4D0C8E85" w14:textId="5A62EC45" w:rsidR="00A65F24" w:rsidRPr="003A165A" w:rsidRDefault="00A65F24" w:rsidP="003A165A">
            <w:pPr>
              <w:pStyle w:val="Tabletext"/>
            </w:pPr>
            <w:r w:rsidRPr="003A165A">
              <w:t>A person who calls out or reports issues or concerns, serious misconduct, breaches of law, or unethical behaviour of, in or by registered aged care providers.</w:t>
            </w:r>
          </w:p>
        </w:tc>
      </w:tr>
    </w:tbl>
    <w:p w14:paraId="43C4BA35" w14:textId="77777777" w:rsidR="00FE507B" w:rsidRDefault="00FE507B" w:rsidP="00701AC2"/>
    <w:p w14:paraId="6BD83F30" w14:textId="77777777" w:rsidR="00701AC2" w:rsidRPr="00701AC2" w:rsidRDefault="00701AC2" w:rsidP="00701AC2">
      <w:pPr>
        <w:sectPr w:rsidR="00701AC2" w:rsidRPr="00701AC2" w:rsidSect="00E33A42">
          <w:footerReference w:type="even" r:id="rId122"/>
          <w:footerReference w:type="default" r:id="rId123"/>
          <w:pgSz w:w="11906" w:h="16838"/>
          <w:pgMar w:top="1701" w:right="1418" w:bottom="1418" w:left="1418" w:header="709" w:footer="709" w:gutter="0"/>
          <w:cols w:space="708"/>
          <w:docGrid w:linePitch="360"/>
        </w:sectPr>
      </w:pPr>
    </w:p>
    <w:p w14:paraId="6F541A4E" w14:textId="4E8CEF65" w:rsidR="0030058F" w:rsidRPr="00CA5C9D" w:rsidRDefault="0030058F" w:rsidP="00CA5C9D">
      <w:pPr>
        <w:pStyle w:val="SectionTitle"/>
      </w:pPr>
      <w:r w:rsidRPr="00D7030B">
        <w:rPr>
          <w:noProof/>
        </w:rPr>
        <w:drawing>
          <wp:anchor distT="0" distB="0" distL="114300" distR="114300" simplePos="0" relativeHeight="251658275" behindDoc="0" locked="0" layoutInCell="1" allowOverlap="1" wp14:anchorId="2DE196FA" wp14:editId="21ED2B30">
            <wp:simplePos x="0" y="0"/>
            <wp:positionH relativeFrom="column">
              <wp:posOffset>-2061845</wp:posOffset>
            </wp:positionH>
            <wp:positionV relativeFrom="paragraph">
              <wp:posOffset>297815</wp:posOffset>
            </wp:positionV>
            <wp:extent cx="1842770" cy="1892300"/>
            <wp:effectExtent l="0" t="0" r="0" b="0"/>
            <wp:wrapNone/>
            <wp:docPr id="2033489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5421"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892300"/>
                    </a:xfrm>
                    <a:prstGeom prst="rect">
                      <a:avLst/>
                    </a:prstGeom>
                  </pic:spPr>
                </pic:pic>
              </a:graphicData>
            </a:graphic>
            <wp14:sizeRelH relativeFrom="page">
              <wp14:pctWidth>0</wp14:pctWidth>
            </wp14:sizeRelH>
            <wp14:sizeRelV relativeFrom="page">
              <wp14:pctHeight>0</wp14:pctHeight>
            </wp14:sizeRelV>
          </wp:anchor>
        </w:drawing>
      </w:r>
      <w:r w:rsidRPr="00444D55">
        <w:rPr>
          <w:noProof/>
        </w:rPr>
        <w:drawing>
          <wp:anchor distT="0" distB="0" distL="114300" distR="114300" simplePos="0" relativeHeight="251658276" behindDoc="0" locked="0" layoutInCell="1" allowOverlap="1" wp14:anchorId="6B33743A" wp14:editId="2FFEC0E5">
            <wp:simplePos x="0" y="0"/>
            <wp:positionH relativeFrom="column">
              <wp:posOffset>-347345</wp:posOffset>
            </wp:positionH>
            <wp:positionV relativeFrom="paragraph">
              <wp:posOffset>7574915</wp:posOffset>
            </wp:positionV>
            <wp:extent cx="1460500" cy="1496695"/>
            <wp:effectExtent l="0" t="0" r="0" b="1905"/>
            <wp:wrapNone/>
            <wp:docPr id="11973968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701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Pr="00CC09BC">
        <w:rPr>
          <w:noProof/>
        </w:rPr>
        <mc:AlternateContent>
          <mc:Choice Requires="wps">
            <w:drawing>
              <wp:anchor distT="0" distB="0" distL="114300" distR="114300" simplePos="0" relativeHeight="251658273" behindDoc="1" locked="0" layoutInCell="1" allowOverlap="1" wp14:anchorId="5B3AD35A" wp14:editId="7ACB0C71">
                <wp:simplePos x="171450" y="400050"/>
                <wp:positionH relativeFrom="page">
                  <wp:align>left</wp:align>
                </wp:positionH>
                <wp:positionV relativeFrom="page">
                  <wp:align>top</wp:align>
                </wp:positionV>
                <wp:extent cx="7560000" cy="10692000"/>
                <wp:effectExtent l="0" t="0" r="0" b="1905"/>
                <wp:wrapNone/>
                <wp:docPr id="1658132811" name="Rectangle 1658132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D47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601DA9E">
              <v:rect id="Rectangle 1658132811" style="position:absolute;margin-left:0;margin-top:0;width:595.3pt;height:841.9pt;z-index:-25165820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d4794" stroked="f" strokeweight="2pt" w14:anchorId="29794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">
                <w10:wrap anchorx="page" anchory="page"/>
              </v:rect>
            </w:pict>
          </mc:Fallback>
        </mc:AlternateContent>
      </w:r>
      <w:r w:rsidR="00FA5448" w:rsidRPr="00CA5C9D">
        <w:rPr>
          <w:noProof/>
        </w:rPr>
        <w:drawing>
          <wp:anchor distT="0" distB="0" distL="114300" distR="114300" simplePos="0" relativeHeight="251658274" behindDoc="0" locked="0" layoutInCell="1" allowOverlap="1" wp14:anchorId="088226BD" wp14:editId="38765FD1">
            <wp:simplePos x="0" y="0"/>
            <wp:positionH relativeFrom="page">
              <wp:posOffset>2908935</wp:posOffset>
            </wp:positionH>
            <wp:positionV relativeFrom="page">
              <wp:posOffset>8750300</wp:posOffset>
            </wp:positionV>
            <wp:extent cx="4642485" cy="1925955"/>
            <wp:effectExtent l="0" t="0" r="5715" b="4445"/>
            <wp:wrapNone/>
            <wp:docPr id="13678587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8185" name="Picture 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57B" w:rsidRPr="00CA5C9D">
        <w:t>Appendices</w:t>
      </w:r>
      <w:r w:rsidRPr="00CA5C9D">
        <w:br w:type="page"/>
      </w:r>
    </w:p>
    <w:p w14:paraId="1EB3D788" w14:textId="77777777" w:rsidR="00ED244E" w:rsidRPr="00D15F3A" w:rsidRDefault="00ED244E" w:rsidP="00D15F3A">
      <w:pPr>
        <w:pStyle w:val="Heading1"/>
      </w:pPr>
      <w:bookmarkStart w:id="154" w:name="_Appendix_A"/>
      <w:bookmarkStart w:id="155" w:name="_Toc225416245"/>
      <w:bookmarkEnd w:id="154"/>
      <w:r w:rsidRPr="00D15F3A">
        <w:t>Appendix A</w:t>
      </w:r>
      <w:bookmarkEnd w:id="153"/>
      <w:bookmarkEnd w:id="155"/>
    </w:p>
    <w:p w14:paraId="74603905" w14:textId="77777777" w:rsidR="00ED244E" w:rsidRDefault="00ED244E" w:rsidP="00ED244E">
      <w:pPr>
        <w:pStyle w:val="Heading2"/>
      </w:pPr>
      <w:bookmarkStart w:id="156" w:name="_Toc212713672"/>
      <w:bookmarkStart w:id="157" w:name="_Toc225416246"/>
      <w:bookmarkStart w:id="158" w:name="_Toc208838040"/>
      <w:r>
        <w:t>Supporting documentation</w:t>
      </w:r>
      <w:bookmarkEnd w:id="156"/>
      <w:bookmarkEnd w:id="157"/>
    </w:p>
    <w:p w14:paraId="2A7872FF" w14:textId="77777777" w:rsidR="00ED244E" w:rsidRDefault="00ED244E" w:rsidP="00ED244E">
      <w:pPr>
        <w:pStyle w:val="Heading3"/>
      </w:pPr>
      <w:r>
        <w:t xml:space="preserve">Service </w:t>
      </w:r>
      <w:bookmarkEnd w:id="158"/>
      <w:r>
        <w:t>lists</w:t>
      </w:r>
    </w:p>
    <w:p w14:paraId="69E075FA" w14:textId="77777777" w:rsidR="00ED244E" w:rsidRDefault="00ED244E" w:rsidP="00ED244E">
      <w:r w:rsidRPr="00653025">
        <w:t xml:space="preserve">The services provided by </w:t>
      </w:r>
      <w:r>
        <w:t xml:space="preserve">NATSIFACP </w:t>
      </w:r>
      <w:r w:rsidRPr="00653025">
        <w:t>service provider</w:t>
      </w:r>
      <w:r>
        <w:t xml:space="preserve">s should align with services outlined in the below service lists. </w:t>
      </w:r>
      <w:r w:rsidRPr="00653025">
        <w:t xml:space="preserve">It is not expected that </w:t>
      </w:r>
      <w:proofErr w:type="gramStart"/>
      <w:r w:rsidRPr="00653025">
        <w:t>all of</w:t>
      </w:r>
      <w:proofErr w:type="gramEnd"/>
      <w:r w:rsidRPr="00653025">
        <w:t xml:space="preserve"> the services listed will be provided to an individual.</w:t>
      </w:r>
      <w:r>
        <w:t xml:space="preserve"> The services delivered to individuals will be determined by their assessed care needs.</w:t>
      </w:r>
    </w:p>
    <w:p w14:paraId="631AF3C0" w14:textId="59BA7F5F" w:rsidR="00ED244E" w:rsidRPr="006920AA" w:rsidRDefault="00ED244E" w:rsidP="00ED244E">
      <w:r w:rsidRPr="006920AA">
        <w:t>For NATSIFACP services, the specific services that can be delivered under these service types, a description of these services</w:t>
      </w:r>
      <w:r w:rsidR="00023176">
        <w:t xml:space="preserve"> and excluded items</w:t>
      </w:r>
      <w:r w:rsidRPr="006920AA">
        <w:t xml:space="preserve"> can be found at:</w:t>
      </w:r>
    </w:p>
    <w:p w14:paraId="1C05F73A" w14:textId="6A482EF8" w:rsidR="00ED244E" w:rsidRPr="00FA5448" w:rsidRDefault="00ED244E" w:rsidP="00D82385">
      <w:pPr>
        <w:pStyle w:val="ListBullet"/>
      </w:pPr>
      <w:r w:rsidRPr="00023176">
        <w:rPr>
          <w:b/>
          <w:bCs/>
        </w:rPr>
        <w:t>home care</w:t>
      </w:r>
      <w:r w:rsidRPr="00E56982">
        <w:t xml:space="preserve">: </w:t>
      </w:r>
      <w:hyperlink r:id="rId124" w:history="1">
        <w:r w:rsidR="00023176" w:rsidRPr="002806D2">
          <w:rPr>
            <w:rStyle w:val="Hyperlink"/>
          </w:rPr>
          <w:t>https://www.health.gov.au/resources/publications/support-at-home-service-list</w:t>
        </w:r>
      </w:hyperlink>
      <w:r w:rsidR="00023176">
        <w:rPr>
          <w:rStyle w:val="Hyperlink"/>
        </w:rPr>
        <w:t xml:space="preserve"> </w:t>
      </w:r>
    </w:p>
    <w:p w14:paraId="2BEA23D2" w14:textId="7FDB9E30" w:rsidR="00ED244E" w:rsidRPr="00FA5448" w:rsidRDefault="00ED244E" w:rsidP="00D82385">
      <w:pPr>
        <w:pStyle w:val="ListBullet"/>
      </w:pPr>
      <w:r w:rsidRPr="00023176">
        <w:rPr>
          <w:b/>
          <w:bCs/>
        </w:rPr>
        <w:t>residential care</w:t>
      </w:r>
      <w:r w:rsidRPr="00FA5448">
        <w:t xml:space="preserve">: </w:t>
      </w:r>
      <w:hyperlink r:id="rId125" w:history="1">
        <w:r w:rsidR="00023176" w:rsidRPr="002806D2">
          <w:rPr>
            <w:rStyle w:val="Hyperlink"/>
          </w:rPr>
          <w:t>https://www.health.gov.au/resources/publications/residential-care-service-list?language=en</w:t>
        </w:r>
      </w:hyperlink>
      <w:r w:rsidR="00023176">
        <w:t xml:space="preserve"> </w:t>
      </w:r>
    </w:p>
    <w:p w14:paraId="506CE829" w14:textId="77777777" w:rsidR="00ED244E" w:rsidRPr="00365920" w:rsidRDefault="00ED244E" w:rsidP="00ED244E">
      <w:bookmarkStart w:id="159" w:name="_Toc208838039"/>
      <w:r w:rsidRPr="00365920">
        <w:br w:type="page"/>
      </w:r>
    </w:p>
    <w:p w14:paraId="7D13418F" w14:textId="77777777" w:rsidR="00ED244E" w:rsidRDefault="00ED244E" w:rsidP="00ED244E">
      <w:pPr>
        <w:pStyle w:val="Heading1"/>
      </w:pPr>
      <w:bookmarkStart w:id="160" w:name="_Toc212713673"/>
      <w:bookmarkStart w:id="161" w:name="_Toc225416247"/>
      <w:r>
        <w:t>Appendix B</w:t>
      </w:r>
      <w:bookmarkEnd w:id="159"/>
      <w:bookmarkEnd w:id="160"/>
      <w:bookmarkEnd w:id="161"/>
    </w:p>
    <w:p w14:paraId="66C714E4" w14:textId="77777777" w:rsidR="00ED244E" w:rsidRPr="004C6F79" w:rsidRDefault="00ED244E" w:rsidP="00ED244E">
      <w:pPr>
        <w:pStyle w:val="Heading2"/>
      </w:pPr>
      <w:bookmarkStart w:id="162" w:name="_Toc212713674"/>
      <w:bookmarkStart w:id="163" w:name="_Toc225416248"/>
      <w:r w:rsidRPr="004C6F79">
        <w:t>NATSIFACP</w:t>
      </w:r>
      <w:r>
        <w:t>-</w:t>
      </w:r>
      <w:r w:rsidRPr="004C6F79">
        <w:t>specific</w:t>
      </w:r>
      <w:r>
        <w:t xml:space="preserve"> information</w:t>
      </w:r>
      <w:bookmarkEnd w:id="162"/>
      <w:bookmarkEnd w:id="163"/>
    </w:p>
    <w:p w14:paraId="7E795819" w14:textId="77777777" w:rsidR="00ED244E" w:rsidRPr="000A1DEB" w:rsidRDefault="00ED244E" w:rsidP="00482171">
      <w:pPr>
        <w:pStyle w:val="Tabletext"/>
      </w:pPr>
      <w:r w:rsidRPr="000A1DEB">
        <w:t>Section contains information specific to NATSIFACP providers, including:</w:t>
      </w:r>
    </w:p>
    <w:p w14:paraId="1035BF28" w14:textId="77777777" w:rsidR="00ED244E" w:rsidRDefault="00ED244E" w:rsidP="00D82385">
      <w:pPr>
        <w:pStyle w:val="ListBullet"/>
      </w:pPr>
      <w:hyperlink w:anchor="contacts" w:history="1">
        <w:r w:rsidRPr="00E56982">
          <w:t>contacts</w:t>
        </w:r>
      </w:hyperlink>
      <w:r>
        <w:t xml:space="preserve"> </w:t>
      </w:r>
    </w:p>
    <w:p w14:paraId="78F30F9C" w14:textId="77777777" w:rsidR="00ED244E" w:rsidRDefault="00ED244E" w:rsidP="00D82385">
      <w:pPr>
        <w:pStyle w:val="ListBullet"/>
      </w:pPr>
      <w:hyperlink w:anchor="pathway" w:history="1">
        <w:r w:rsidRPr="00E56982">
          <w:t>pathway to becoming a NATSIFACP provider</w:t>
        </w:r>
      </w:hyperlink>
      <w:r>
        <w:t xml:space="preserve"> </w:t>
      </w:r>
    </w:p>
    <w:p w14:paraId="1FAAC8B6" w14:textId="77777777" w:rsidR="00ED244E" w:rsidRDefault="00ED244E" w:rsidP="00D82385">
      <w:pPr>
        <w:pStyle w:val="ListBullet"/>
      </w:pPr>
      <w:hyperlink w:anchor="funding_limitations" w:history="1">
        <w:r w:rsidRPr="00E56982">
          <w:t>funding limitations</w:t>
        </w:r>
      </w:hyperlink>
      <w:r>
        <w:t>.</w:t>
      </w:r>
    </w:p>
    <w:p w14:paraId="75E2BD77" w14:textId="77777777" w:rsidR="00ED244E" w:rsidRPr="00F017B3" w:rsidRDefault="00ED244E" w:rsidP="00ED244E">
      <w:pPr>
        <w:pStyle w:val="Heading3"/>
      </w:pPr>
      <w:bookmarkStart w:id="164" w:name="contacts"/>
      <w:bookmarkEnd w:id="164"/>
      <w:r>
        <w:t>NATSIFACP contacts</w:t>
      </w:r>
    </w:p>
    <w:p w14:paraId="168B65C9" w14:textId="77777777" w:rsidR="00ED244E" w:rsidRPr="00D15F3A" w:rsidRDefault="00ED244E" w:rsidP="00D15F3A">
      <w:pPr>
        <w:pStyle w:val="Heading4"/>
      </w:pPr>
      <w:r w:rsidRPr="00D15F3A">
        <w:t>Department of Health, Disability and Ageing</w:t>
      </w:r>
    </w:p>
    <w:p w14:paraId="7CCC84B1" w14:textId="1A670F67" w:rsidR="00ED244E" w:rsidRPr="00A51B4F" w:rsidRDefault="00ED244E" w:rsidP="00A51B4F">
      <w:r w:rsidRPr="00A51B4F">
        <w:t xml:space="preserve">More information about the NATSIFACP, including a copy of this program manual, is available at </w:t>
      </w:r>
      <w:hyperlink r:id="rId126" w:history="1">
        <w:r w:rsidR="00A40472" w:rsidRPr="00A51B4F">
          <w:rPr>
            <w:rStyle w:val="Hyperlink"/>
          </w:rPr>
          <w:t>health.gov.au/</w:t>
        </w:r>
        <w:proofErr w:type="spellStart"/>
        <w:r w:rsidR="00A40472" w:rsidRPr="00A51B4F">
          <w:rPr>
            <w:rStyle w:val="Hyperlink"/>
          </w:rPr>
          <w:t>natsifac</w:t>
        </w:r>
        <w:r w:rsidR="00023176" w:rsidRPr="00A51B4F">
          <w:rPr>
            <w:rStyle w:val="Hyperlink"/>
          </w:rPr>
          <w:t>p</w:t>
        </w:r>
        <w:proofErr w:type="spellEnd"/>
      </w:hyperlink>
    </w:p>
    <w:p w14:paraId="64A1451E" w14:textId="2B0DB968" w:rsidR="0073021C" w:rsidRPr="00A51B4F" w:rsidRDefault="00ED244E" w:rsidP="00A51B4F">
      <w:r w:rsidRPr="00A51B4F">
        <w:t xml:space="preserve">NATSIFACP providers who have questions about the NATSIFACP can also email </w:t>
      </w:r>
      <w:hyperlink r:id="rId127" w:history="1">
        <w:r w:rsidRPr="00A51B4F">
          <w:rPr>
            <w:rStyle w:val="Hyperlink"/>
          </w:rPr>
          <w:t>NATSIFACP@health.gov.au</w:t>
        </w:r>
      </w:hyperlink>
      <w:r w:rsidRPr="00A51B4F">
        <w:t xml:space="preserve"> or contact the department’s </w:t>
      </w:r>
      <w:hyperlink r:id="rId128" w:history="1">
        <w:r w:rsidRPr="00A51B4F">
          <w:rPr>
            <w:rStyle w:val="Hyperlink"/>
          </w:rPr>
          <w:t>Local Network</w:t>
        </w:r>
      </w:hyperlink>
      <w:r w:rsidRPr="00A51B4F">
        <w:t xml:space="preserve"> offices on the following email addresses:</w:t>
      </w:r>
    </w:p>
    <w:tbl>
      <w:tblPr>
        <w:tblStyle w:val="DepartmentofHealthtable"/>
        <w:tblpPr w:leftFromText="180" w:rightFromText="180" w:vertAnchor="text" w:tblpY="1"/>
        <w:tblOverlap w:val="never"/>
        <w:tblW w:w="5000" w:type="pct"/>
        <w:tblLook w:val="0420" w:firstRow="1" w:lastRow="0" w:firstColumn="0" w:lastColumn="0" w:noHBand="0" w:noVBand="1"/>
      </w:tblPr>
      <w:tblGrid>
        <w:gridCol w:w="3118"/>
        <w:gridCol w:w="5952"/>
      </w:tblGrid>
      <w:tr w:rsidR="00551B8E" w:rsidRPr="00006676" w14:paraId="71D058BB" w14:textId="77777777" w:rsidTr="000B23AD">
        <w:trPr>
          <w:cnfStyle w:val="100000000000" w:firstRow="1" w:lastRow="0" w:firstColumn="0" w:lastColumn="0" w:oddVBand="0" w:evenVBand="0" w:oddHBand="0" w:evenHBand="0" w:firstRowFirstColumn="0" w:firstRowLastColumn="0" w:lastRowFirstColumn="0" w:lastRowLastColumn="0"/>
        </w:trPr>
        <w:tc>
          <w:tcPr>
            <w:tcW w:w="1719" w:type="pct"/>
            <w:shd w:val="clear" w:color="auto" w:fill="1D4794"/>
          </w:tcPr>
          <w:p w14:paraId="19E57E32" w14:textId="4DB6C095" w:rsidR="00551B8E" w:rsidRPr="00A35762" w:rsidRDefault="00551B8E" w:rsidP="00551B8E">
            <w:pPr>
              <w:rPr>
                <w:color w:val="FFFFFF" w:themeColor="background1"/>
                <w:sz w:val="20"/>
                <w:szCs w:val="20"/>
              </w:rPr>
            </w:pPr>
            <w:r>
              <w:rPr>
                <w:color w:val="FFFFFF" w:themeColor="background1"/>
                <w:sz w:val="20"/>
                <w:szCs w:val="20"/>
              </w:rPr>
              <w:t>State and territory offices</w:t>
            </w:r>
          </w:p>
        </w:tc>
        <w:tc>
          <w:tcPr>
            <w:tcW w:w="3281" w:type="pct"/>
            <w:shd w:val="clear" w:color="auto" w:fill="1D4794"/>
          </w:tcPr>
          <w:p w14:paraId="14270607" w14:textId="7BC993D8" w:rsidR="00551B8E" w:rsidRPr="00A35762" w:rsidRDefault="00551B8E" w:rsidP="00551B8E">
            <w:pPr>
              <w:rPr>
                <w:sz w:val="20"/>
                <w:szCs w:val="20"/>
              </w:rPr>
            </w:pPr>
            <w:r>
              <w:rPr>
                <w:color w:val="FFFFFF" w:themeColor="background1"/>
                <w:sz w:val="20"/>
                <w:szCs w:val="20"/>
              </w:rPr>
              <w:t>Email</w:t>
            </w:r>
          </w:p>
        </w:tc>
      </w:tr>
      <w:tr w:rsidR="00551B8E" w:rsidRPr="00006676" w14:paraId="6C48DFB2" w14:textId="77777777" w:rsidTr="000B23AD">
        <w:tc>
          <w:tcPr>
            <w:tcW w:w="1719" w:type="pct"/>
          </w:tcPr>
          <w:p w14:paraId="4046983F" w14:textId="77777777" w:rsidR="00551B8E" w:rsidRPr="000B23AD" w:rsidRDefault="00551B8E" w:rsidP="00551B8E">
            <w:pPr>
              <w:rPr>
                <w:sz w:val="20"/>
                <w:szCs w:val="20"/>
              </w:rPr>
            </w:pPr>
            <w:r w:rsidRPr="000B23AD">
              <w:rPr>
                <w:sz w:val="20"/>
                <w:szCs w:val="20"/>
              </w:rPr>
              <w:t>New South Wales</w:t>
            </w:r>
          </w:p>
          <w:p w14:paraId="4411DBD3" w14:textId="5C96D1C6" w:rsidR="00551B8E" w:rsidRPr="000B23AD" w:rsidRDefault="00551B8E" w:rsidP="00551B8E">
            <w:pPr>
              <w:rPr>
                <w:sz w:val="20"/>
                <w:szCs w:val="20"/>
              </w:rPr>
            </w:pPr>
            <w:r w:rsidRPr="000B23AD">
              <w:rPr>
                <w:sz w:val="20"/>
                <w:szCs w:val="20"/>
              </w:rPr>
              <w:t>Australian Capital Territory</w:t>
            </w:r>
          </w:p>
        </w:tc>
        <w:tc>
          <w:tcPr>
            <w:tcW w:w="3281" w:type="pct"/>
          </w:tcPr>
          <w:p w14:paraId="7C2B18B9" w14:textId="6C1875F9" w:rsidR="00551B8E" w:rsidRPr="000B23AD" w:rsidRDefault="00551B8E" w:rsidP="00551B8E">
            <w:pPr>
              <w:rPr>
                <w:rStyle w:val="Hyperlink"/>
                <w:sz w:val="20"/>
                <w:szCs w:val="20"/>
              </w:rPr>
            </w:pPr>
            <w:hyperlink r:id="rId129" w:history="1">
              <w:r w:rsidRPr="000B23AD">
                <w:rPr>
                  <w:rStyle w:val="Hyperlink"/>
                  <w:sz w:val="20"/>
                  <w:szCs w:val="20"/>
                </w:rPr>
                <w:t>Engagement.NSWACT@health.gov.au</w:t>
              </w:r>
            </w:hyperlink>
          </w:p>
        </w:tc>
      </w:tr>
      <w:tr w:rsidR="00551B8E" w:rsidRPr="00006676" w14:paraId="51CF89B3" w14:textId="77777777" w:rsidTr="000B23AD">
        <w:tc>
          <w:tcPr>
            <w:tcW w:w="1719" w:type="pct"/>
          </w:tcPr>
          <w:p w14:paraId="16FD905F" w14:textId="0A106F5C" w:rsidR="00551B8E" w:rsidRPr="000B23AD" w:rsidRDefault="00551B8E" w:rsidP="00551B8E">
            <w:pPr>
              <w:rPr>
                <w:sz w:val="20"/>
                <w:szCs w:val="20"/>
              </w:rPr>
            </w:pPr>
            <w:r w:rsidRPr="000B23AD">
              <w:rPr>
                <w:sz w:val="20"/>
                <w:szCs w:val="20"/>
              </w:rPr>
              <w:t>Northern Territory</w:t>
            </w:r>
          </w:p>
        </w:tc>
        <w:tc>
          <w:tcPr>
            <w:tcW w:w="3281" w:type="pct"/>
          </w:tcPr>
          <w:p w14:paraId="189859EA" w14:textId="6A404F76" w:rsidR="00551B8E" w:rsidRPr="00252F96" w:rsidRDefault="00023176" w:rsidP="00551B8E">
            <w:pPr>
              <w:rPr>
                <w:rStyle w:val="Hyperlink"/>
                <w:sz w:val="20"/>
                <w:szCs w:val="20"/>
              </w:rPr>
            </w:pPr>
            <w:hyperlink r:id="rId130" w:history="1">
              <w:r w:rsidRPr="002806D2">
                <w:rPr>
                  <w:rStyle w:val="Hyperlink"/>
                  <w:sz w:val="20"/>
                  <w:szCs w:val="20"/>
                </w:rPr>
                <w:t>EngagementNT@health.gov.au</w:t>
              </w:r>
            </w:hyperlink>
            <w:r>
              <w:rPr>
                <w:sz w:val="20"/>
                <w:szCs w:val="20"/>
              </w:rPr>
              <w:t xml:space="preserve"> </w:t>
            </w:r>
          </w:p>
        </w:tc>
      </w:tr>
      <w:tr w:rsidR="00551B8E" w:rsidRPr="00006676" w14:paraId="6796AB8B" w14:textId="77777777" w:rsidTr="000B23AD">
        <w:tc>
          <w:tcPr>
            <w:tcW w:w="1719" w:type="pct"/>
          </w:tcPr>
          <w:p w14:paraId="35714DC9" w14:textId="1A3FDC53" w:rsidR="00551B8E" w:rsidRPr="000B23AD" w:rsidRDefault="00551B8E" w:rsidP="00551B8E">
            <w:pPr>
              <w:rPr>
                <w:sz w:val="20"/>
                <w:szCs w:val="20"/>
              </w:rPr>
            </w:pPr>
            <w:r w:rsidRPr="000B23AD">
              <w:rPr>
                <w:sz w:val="20"/>
                <w:szCs w:val="20"/>
              </w:rPr>
              <w:t>Queensland</w:t>
            </w:r>
          </w:p>
        </w:tc>
        <w:tc>
          <w:tcPr>
            <w:tcW w:w="3281" w:type="pct"/>
          </w:tcPr>
          <w:p w14:paraId="56C1E5B8" w14:textId="28B1E275" w:rsidR="00551B8E" w:rsidRPr="000B23AD" w:rsidRDefault="00551B8E" w:rsidP="00551B8E">
            <w:pPr>
              <w:rPr>
                <w:rStyle w:val="Hyperlink"/>
                <w:sz w:val="20"/>
                <w:szCs w:val="20"/>
              </w:rPr>
            </w:pPr>
            <w:hyperlink r:id="rId131" w:history="1">
              <w:r w:rsidRPr="000B23AD">
                <w:rPr>
                  <w:rStyle w:val="Hyperlink"/>
                  <w:sz w:val="20"/>
                  <w:szCs w:val="20"/>
                </w:rPr>
                <w:t>Engagement.QLD@health.gov.au</w:t>
              </w:r>
            </w:hyperlink>
          </w:p>
        </w:tc>
      </w:tr>
      <w:tr w:rsidR="00551B8E" w:rsidRPr="00006676" w14:paraId="70C81488" w14:textId="77777777" w:rsidTr="000B23AD">
        <w:tc>
          <w:tcPr>
            <w:tcW w:w="1719" w:type="pct"/>
          </w:tcPr>
          <w:p w14:paraId="4D70CDB5" w14:textId="46C8A828" w:rsidR="00551B8E" w:rsidRPr="000B23AD" w:rsidRDefault="00551B8E" w:rsidP="00551B8E">
            <w:pPr>
              <w:rPr>
                <w:sz w:val="20"/>
                <w:szCs w:val="20"/>
              </w:rPr>
            </w:pPr>
            <w:r w:rsidRPr="000B23AD">
              <w:rPr>
                <w:sz w:val="20"/>
                <w:szCs w:val="20"/>
              </w:rPr>
              <w:t>South Australia</w:t>
            </w:r>
          </w:p>
        </w:tc>
        <w:tc>
          <w:tcPr>
            <w:tcW w:w="3281" w:type="pct"/>
          </w:tcPr>
          <w:p w14:paraId="7B907AE8" w14:textId="48EA66FA" w:rsidR="00551B8E" w:rsidRPr="000B23AD" w:rsidRDefault="002C1F01" w:rsidP="00551B8E">
            <w:pPr>
              <w:rPr>
                <w:rStyle w:val="Hyperlink"/>
                <w:sz w:val="20"/>
                <w:szCs w:val="20"/>
              </w:rPr>
            </w:pPr>
            <w:hyperlink r:id="rId132" w:history="1">
              <w:r w:rsidRPr="002C1F01">
                <w:rPr>
                  <w:rStyle w:val="Hyperlink"/>
                  <w:sz w:val="20"/>
                  <w:szCs w:val="20"/>
                </w:rPr>
                <w:t>E</w:t>
              </w:r>
              <w:r w:rsidRPr="003D2EA5">
                <w:rPr>
                  <w:rStyle w:val="Hyperlink"/>
                  <w:sz w:val="20"/>
                  <w:szCs w:val="20"/>
                </w:rPr>
                <w:t>ngagement.SA@health.gov.au</w:t>
              </w:r>
            </w:hyperlink>
          </w:p>
        </w:tc>
      </w:tr>
      <w:tr w:rsidR="00551B8E" w:rsidRPr="00006676" w14:paraId="172DBCA4" w14:textId="77777777" w:rsidTr="000B23AD">
        <w:tc>
          <w:tcPr>
            <w:tcW w:w="1719" w:type="pct"/>
          </w:tcPr>
          <w:p w14:paraId="2AEE31CF" w14:textId="50AA9EBE" w:rsidR="00551B8E" w:rsidRPr="000B23AD" w:rsidRDefault="00551B8E" w:rsidP="00551B8E">
            <w:pPr>
              <w:rPr>
                <w:sz w:val="20"/>
                <w:szCs w:val="20"/>
              </w:rPr>
            </w:pPr>
            <w:r w:rsidRPr="000B23AD">
              <w:rPr>
                <w:sz w:val="20"/>
                <w:szCs w:val="20"/>
              </w:rPr>
              <w:t>Tasmania</w:t>
            </w:r>
          </w:p>
        </w:tc>
        <w:tc>
          <w:tcPr>
            <w:tcW w:w="3281" w:type="pct"/>
          </w:tcPr>
          <w:p w14:paraId="0EF9909E" w14:textId="59DE5F8D" w:rsidR="00551B8E" w:rsidRPr="000B23AD" w:rsidRDefault="00551B8E" w:rsidP="00551B8E">
            <w:pPr>
              <w:rPr>
                <w:rStyle w:val="Hyperlink"/>
                <w:sz w:val="20"/>
                <w:szCs w:val="20"/>
              </w:rPr>
            </w:pPr>
            <w:hyperlink r:id="rId133" w:history="1">
              <w:r w:rsidRPr="000B23AD">
                <w:rPr>
                  <w:rStyle w:val="Hyperlink"/>
                  <w:sz w:val="20"/>
                  <w:szCs w:val="20"/>
                </w:rPr>
                <w:t>Tas.office@health.gov.au</w:t>
              </w:r>
            </w:hyperlink>
          </w:p>
        </w:tc>
      </w:tr>
      <w:tr w:rsidR="00551B8E" w:rsidRPr="00006676" w14:paraId="32E1DCB6" w14:textId="77777777" w:rsidTr="000B23AD">
        <w:tc>
          <w:tcPr>
            <w:tcW w:w="1719" w:type="pct"/>
          </w:tcPr>
          <w:p w14:paraId="5F843CB0" w14:textId="1DDCEFA3" w:rsidR="00551B8E" w:rsidRPr="000B23AD" w:rsidRDefault="00551B8E" w:rsidP="00551B8E">
            <w:pPr>
              <w:rPr>
                <w:sz w:val="20"/>
                <w:szCs w:val="20"/>
              </w:rPr>
            </w:pPr>
            <w:r w:rsidRPr="000B23AD">
              <w:rPr>
                <w:sz w:val="20"/>
                <w:szCs w:val="20"/>
              </w:rPr>
              <w:t>Victoria</w:t>
            </w:r>
          </w:p>
        </w:tc>
        <w:tc>
          <w:tcPr>
            <w:tcW w:w="3281" w:type="pct"/>
          </w:tcPr>
          <w:p w14:paraId="6F19265E" w14:textId="41BD4D41" w:rsidR="00551B8E" w:rsidRPr="000B23AD" w:rsidRDefault="002C1F01" w:rsidP="00551B8E">
            <w:pPr>
              <w:rPr>
                <w:rStyle w:val="Hyperlink"/>
                <w:sz w:val="20"/>
                <w:szCs w:val="20"/>
              </w:rPr>
            </w:pPr>
            <w:hyperlink r:id="rId134" w:history="1">
              <w:r w:rsidRPr="002C1F01">
                <w:rPr>
                  <w:rStyle w:val="Hyperlink"/>
                  <w:sz w:val="20"/>
                  <w:szCs w:val="20"/>
                </w:rPr>
                <w:t>V</w:t>
              </w:r>
              <w:r w:rsidRPr="003D2EA5">
                <w:rPr>
                  <w:rStyle w:val="Hyperlink"/>
                  <w:sz w:val="20"/>
                  <w:szCs w:val="20"/>
                </w:rPr>
                <w:t>ic.office@health.gov.au</w:t>
              </w:r>
            </w:hyperlink>
          </w:p>
        </w:tc>
      </w:tr>
      <w:tr w:rsidR="00551B8E" w:rsidRPr="00006676" w14:paraId="65C588C9" w14:textId="77777777" w:rsidTr="000B23AD">
        <w:tc>
          <w:tcPr>
            <w:tcW w:w="1719" w:type="pct"/>
          </w:tcPr>
          <w:p w14:paraId="193CA33D" w14:textId="661D6E92" w:rsidR="00551B8E" w:rsidRPr="000B23AD" w:rsidRDefault="00551B8E" w:rsidP="00551B8E">
            <w:pPr>
              <w:rPr>
                <w:sz w:val="20"/>
                <w:szCs w:val="20"/>
              </w:rPr>
            </w:pPr>
            <w:r w:rsidRPr="000B23AD">
              <w:rPr>
                <w:sz w:val="20"/>
                <w:szCs w:val="20"/>
              </w:rPr>
              <w:t>Western Australia</w:t>
            </w:r>
          </w:p>
        </w:tc>
        <w:tc>
          <w:tcPr>
            <w:tcW w:w="3281" w:type="pct"/>
          </w:tcPr>
          <w:p w14:paraId="464F2830" w14:textId="5D38EB19" w:rsidR="00551B8E" w:rsidRPr="00252F96" w:rsidRDefault="002C1F01" w:rsidP="00551B8E">
            <w:pPr>
              <w:rPr>
                <w:rStyle w:val="Hyperlink"/>
                <w:sz w:val="20"/>
                <w:szCs w:val="20"/>
              </w:rPr>
            </w:pPr>
            <w:hyperlink r:id="rId135" w:history="1">
              <w:r w:rsidRPr="003D2EA5">
                <w:rPr>
                  <w:rStyle w:val="Hyperlink"/>
                  <w:sz w:val="20"/>
                  <w:szCs w:val="20"/>
                </w:rPr>
                <w:t>Engagement.WA@health.gov.au</w:t>
              </w:r>
            </w:hyperlink>
          </w:p>
        </w:tc>
      </w:tr>
    </w:tbl>
    <w:p w14:paraId="6BF0DC7E" w14:textId="77777777" w:rsidR="00ED244E" w:rsidRPr="00D15F3A" w:rsidRDefault="00ED244E" w:rsidP="00D15F3A">
      <w:pPr>
        <w:pStyle w:val="Heading4"/>
      </w:pPr>
      <w:r w:rsidRPr="00D15F3A">
        <w:t>Department of Social Services, Community Grants Hub</w:t>
      </w:r>
    </w:p>
    <w:p w14:paraId="1247CBE2" w14:textId="77777777" w:rsidR="00ED244E" w:rsidRPr="00A51B4F" w:rsidRDefault="00ED244E" w:rsidP="00A51B4F">
      <w:r w:rsidRPr="00A51B4F">
        <w:t>NATSIFACP service providers who would like more information about their grant agreement should contact their Funding Agreement Manager.</w:t>
      </w:r>
    </w:p>
    <w:p w14:paraId="67654530" w14:textId="77777777" w:rsidR="00ED244E" w:rsidRPr="00D15F3A" w:rsidRDefault="00ED244E" w:rsidP="00D15F3A">
      <w:pPr>
        <w:pStyle w:val="Heading4"/>
      </w:pPr>
      <w:r w:rsidRPr="00D15F3A">
        <w:t>My Aged Care</w:t>
      </w:r>
    </w:p>
    <w:p w14:paraId="331C2319" w14:textId="77777777" w:rsidR="00ED244E" w:rsidRPr="00A51B4F" w:rsidRDefault="00ED244E" w:rsidP="00A51B4F">
      <w:r w:rsidRPr="00A51B4F">
        <w:t xml:space="preserve">Individuals, families and carers can find a </w:t>
      </w:r>
      <w:hyperlink r:id="rId136" w:anchor="remote-care" w:history="1">
        <w:r w:rsidRPr="00A51B4F">
          <w:rPr>
            <w:rStyle w:val="Hyperlink"/>
          </w:rPr>
          <w:t>list of NATSIFACP Service Providers</w:t>
        </w:r>
      </w:hyperlink>
      <w:r w:rsidRPr="00A51B4F">
        <w:t xml:space="preserve"> or access more detailed information on aged care services at the My Aged Care website: </w:t>
      </w:r>
      <w:hyperlink r:id="rId137" w:history="1">
        <w:r w:rsidRPr="00A51B4F">
          <w:rPr>
            <w:rStyle w:val="Hyperlink"/>
          </w:rPr>
          <w:t>MyAgedCare.gov.au</w:t>
        </w:r>
      </w:hyperlink>
      <w:r w:rsidRPr="00A51B4F">
        <w:t>.</w:t>
      </w:r>
    </w:p>
    <w:p w14:paraId="597B35B2" w14:textId="77777777" w:rsidR="00ED244E" w:rsidRPr="00A51B4F" w:rsidRDefault="00ED244E" w:rsidP="00A51B4F">
      <w:r w:rsidRPr="00A51B4F">
        <w:t>Alternatively, they can call the My Aged Care National Contact Centre on 1800 200 422 between:</w:t>
      </w:r>
    </w:p>
    <w:p w14:paraId="66C7CFAB" w14:textId="77777777" w:rsidR="00ED244E" w:rsidRPr="00084B1B" w:rsidRDefault="00ED244E" w:rsidP="00D82385">
      <w:pPr>
        <w:pStyle w:val="ListBullet"/>
      </w:pPr>
      <w:r w:rsidRPr="00084B1B">
        <w:t>8:00 am to 8:00 pm [AEST] Monday to Friday, or</w:t>
      </w:r>
    </w:p>
    <w:p w14:paraId="1A76C371" w14:textId="77777777" w:rsidR="00ED244E" w:rsidRPr="00084B1B" w:rsidRDefault="00ED244E" w:rsidP="00D82385">
      <w:pPr>
        <w:pStyle w:val="ListBullet"/>
      </w:pPr>
      <w:r w:rsidRPr="00084B1B">
        <w:t xml:space="preserve">10:00 am to 2:00 pm on Saturday. </w:t>
      </w:r>
    </w:p>
    <w:p w14:paraId="5934843D" w14:textId="77777777" w:rsidR="00ED244E" w:rsidRPr="00A51B4F" w:rsidRDefault="00ED244E" w:rsidP="00A51B4F">
      <w:r w:rsidRPr="00A51B4F">
        <w:t>This 1800 number is a free call from fixed lines. Calls from mobiles may be charged.</w:t>
      </w:r>
    </w:p>
    <w:p w14:paraId="4EC20F38" w14:textId="77777777" w:rsidR="00ED244E" w:rsidRPr="00D15F3A" w:rsidRDefault="00ED244E" w:rsidP="00D15F3A">
      <w:pPr>
        <w:pStyle w:val="Heading4"/>
      </w:pPr>
      <w:r w:rsidRPr="00D15F3A">
        <w:t>Aged Care Quality and Safety Commission</w:t>
      </w:r>
    </w:p>
    <w:p w14:paraId="05CEC93D" w14:textId="77777777" w:rsidR="00ED244E" w:rsidRPr="00A51B4F" w:rsidRDefault="00ED244E" w:rsidP="00A51B4F">
      <w:r w:rsidRPr="00A51B4F">
        <w:t xml:space="preserve">The Commission has </w:t>
      </w:r>
      <w:hyperlink r:id="rId138" w:history="1">
        <w:r w:rsidRPr="00A51B4F">
          <w:rPr>
            <w:rStyle w:val="Hyperlink"/>
          </w:rPr>
          <w:t>information and resources</w:t>
        </w:r>
      </w:hyperlink>
      <w:r w:rsidRPr="00A51B4F">
        <w:t xml:space="preserve"> to help providers understand their obligations and responsibilities in delivering safe, quality aged care.</w:t>
      </w:r>
    </w:p>
    <w:p w14:paraId="690AE03B" w14:textId="77777777" w:rsidR="00ED244E" w:rsidRPr="00A51B4F" w:rsidRDefault="00ED244E" w:rsidP="00A51B4F">
      <w:r w:rsidRPr="00A51B4F">
        <w:t xml:space="preserve">The </w:t>
      </w:r>
      <w:hyperlink r:id="rId139" w:history="1">
        <w:r w:rsidRPr="00A51B4F">
          <w:rPr>
            <w:rStyle w:val="Hyperlink"/>
          </w:rPr>
          <w:t>Commission’s Regulatory Strategy 2024–25</w:t>
        </w:r>
      </w:hyperlink>
      <w:r w:rsidRPr="00A51B4F">
        <w:t xml:space="preserve"> provides more information on the Commission’s regulatory approach, including its monitoring, compliance and enforcement powers and functions. The Commission’s approach to aged care for older Aboriginal and/or Torres Strait Islander people is outlined on page 15.</w:t>
      </w:r>
    </w:p>
    <w:p w14:paraId="614924AD" w14:textId="77777777" w:rsidR="00ED244E" w:rsidRPr="00CA5C9D" w:rsidRDefault="00ED244E" w:rsidP="00CA5C9D">
      <w:r w:rsidRPr="00CA5C9D">
        <w:t xml:space="preserve">The Commission also has a </w:t>
      </w:r>
      <w:hyperlink r:id="rId140" w:history="1">
        <w:r w:rsidRPr="00CA5C9D">
          <w:rPr>
            <w:rStyle w:val="Hyperlink"/>
          </w:rPr>
          <w:t>First Nations Hub</w:t>
        </w:r>
      </w:hyperlink>
      <w:r w:rsidRPr="00CA5C9D">
        <w:t xml:space="preserve"> that includes information and resources to help providers deliver quality, culturally safe care for older Aboriginal and/or Torres Strait Islander people. These resources were developed with Aboriginal and/or Torres Strait Islander stakeholders and communities.</w:t>
      </w:r>
    </w:p>
    <w:p w14:paraId="4E10FA9B" w14:textId="77777777" w:rsidR="00ED244E" w:rsidRPr="00084B1B" w:rsidRDefault="00ED244E" w:rsidP="00ED244E">
      <w:pPr>
        <w:pStyle w:val="Heading3"/>
      </w:pPr>
      <w:bookmarkStart w:id="165" w:name="pathway"/>
      <w:bookmarkStart w:id="166" w:name="_Toc208837979"/>
      <w:bookmarkEnd w:id="165"/>
      <w:r w:rsidRPr="00084B1B">
        <w:t>Pathway to becoming a NATSIFACP provider</w:t>
      </w:r>
      <w:bookmarkEnd w:id="166"/>
    </w:p>
    <w:p w14:paraId="7C6AEC83" w14:textId="77777777" w:rsidR="00ED244E" w:rsidRPr="00084B1B" w:rsidRDefault="00ED244E" w:rsidP="00ED244E">
      <w:pPr>
        <w:rPr>
          <w:szCs w:val="28"/>
        </w:rPr>
      </w:pPr>
      <w:bookmarkStart w:id="167" w:name="_Hlk206673875"/>
      <w:r w:rsidRPr="00084B1B">
        <w:rPr>
          <w:szCs w:val="28"/>
        </w:rPr>
        <w:t xml:space="preserve">The NATSIFACP is a grant-based program that is funded by the Australian Government and managed by the department. </w:t>
      </w:r>
      <w:r>
        <w:rPr>
          <w:szCs w:val="28"/>
        </w:rPr>
        <w:t>To</w:t>
      </w:r>
      <w:r w:rsidRPr="00084B1B">
        <w:rPr>
          <w:szCs w:val="28"/>
        </w:rPr>
        <w:t xml:space="preserve"> be funded to deliver NATSIFACP services, you will need to:</w:t>
      </w:r>
    </w:p>
    <w:p w14:paraId="2D00667C" w14:textId="77777777" w:rsidR="00ED244E" w:rsidRPr="00084B1B" w:rsidRDefault="00ED244E" w:rsidP="00D82385">
      <w:pPr>
        <w:pStyle w:val="ListBullet"/>
      </w:pPr>
      <w:r w:rsidRPr="00084B1B">
        <w:t>become a registered aged care provider and be registered in the relevant registration category, and</w:t>
      </w:r>
    </w:p>
    <w:p w14:paraId="0368777F" w14:textId="77777777" w:rsidR="00ED244E" w:rsidRPr="00084B1B" w:rsidRDefault="00ED244E" w:rsidP="00D82385">
      <w:pPr>
        <w:pStyle w:val="ListBullet"/>
      </w:pPr>
      <w:r w:rsidRPr="00084B1B">
        <w:t xml:space="preserve">be successful in a competitive grant funding round, and have a grant agreement in place to deliver </w:t>
      </w:r>
      <w:proofErr w:type="gramStart"/>
      <w:r w:rsidRPr="00084B1B">
        <w:t>particular types</w:t>
      </w:r>
      <w:proofErr w:type="gramEnd"/>
      <w:r w:rsidRPr="00084B1B">
        <w:t xml:space="preserve"> of services, and</w:t>
      </w:r>
    </w:p>
    <w:p w14:paraId="6C562BB5" w14:textId="3192ED5C" w:rsidR="00252F96" w:rsidRPr="00926300" w:rsidRDefault="00ED244E" w:rsidP="00926300">
      <w:pPr>
        <w:pStyle w:val="ListBullet"/>
        <w:rPr>
          <w:szCs w:val="28"/>
        </w:rPr>
      </w:pPr>
      <w:r w:rsidRPr="00084B1B">
        <w:t>if you are applying in Category 6 – Residential Care, you must apply to have your residential care home/s approved by the Commission.</w:t>
      </w:r>
    </w:p>
    <w:p w14:paraId="2131BBD8" w14:textId="7D200DCE" w:rsidR="00252F96" w:rsidRPr="00252F96" w:rsidRDefault="00252F96" w:rsidP="00252F96">
      <w:pPr>
        <w:rPr>
          <w:szCs w:val="28"/>
        </w:rPr>
      </w:pPr>
      <w:r>
        <w:rPr>
          <w:szCs w:val="28"/>
        </w:rPr>
        <w:t xml:space="preserve">The following fact sheet provides additional information on </w:t>
      </w:r>
      <w:hyperlink r:id="rId141" w:history="1">
        <w:r w:rsidRPr="00252F96">
          <w:rPr>
            <w:rStyle w:val="Hyperlink"/>
            <w:szCs w:val="28"/>
          </w:rPr>
          <w:t>b</w:t>
        </w:r>
        <w:r w:rsidRPr="00252F96">
          <w:rPr>
            <w:rStyle w:val="Hyperlink"/>
          </w:rPr>
          <w:t>ecoming a provider of the National Aboriginal and Torres Strait Islander Flexible Aged Care Program</w:t>
        </w:r>
        <w:r w:rsidRPr="00252F96">
          <w:rPr>
            <w:rStyle w:val="Hyperlink"/>
            <w:szCs w:val="28"/>
          </w:rPr>
          <w:t>.</w:t>
        </w:r>
      </w:hyperlink>
    </w:p>
    <w:p w14:paraId="3FA169FA" w14:textId="77777777" w:rsidR="00ED244E" w:rsidRPr="00084B1B" w:rsidRDefault="00ED244E" w:rsidP="00ED244E">
      <w:pPr>
        <w:pStyle w:val="Heading3"/>
      </w:pPr>
      <w:bookmarkStart w:id="168" w:name="_Hlk206677951"/>
      <w:r w:rsidRPr="00084B1B">
        <w:t>Competitive grant funding rounds</w:t>
      </w:r>
    </w:p>
    <w:bookmarkEnd w:id="167"/>
    <w:bookmarkEnd w:id="168"/>
    <w:p w14:paraId="2E6B7570" w14:textId="77777777" w:rsidR="00ED244E" w:rsidRPr="00084B1B" w:rsidRDefault="00ED244E" w:rsidP="00ED244E">
      <w:r w:rsidRPr="00084B1B">
        <w:t xml:space="preserve">The outcomes of NATSIFACP funding rounds are decided by the department and guided by </w:t>
      </w:r>
      <w:r w:rsidRPr="00747BE0">
        <w:rPr>
          <w:i/>
          <w:iCs/>
        </w:rPr>
        <w:t>Commonwealth Grant Rules and Principles 2024</w:t>
      </w:r>
      <w:r w:rsidRPr="00084B1B">
        <w:t xml:space="preserve"> (CGRPs). </w:t>
      </w:r>
    </w:p>
    <w:p w14:paraId="6B850674" w14:textId="77777777" w:rsidR="00ED244E" w:rsidRPr="00084B1B" w:rsidRDefault="00ED244E" w:rsidP="00ED244E">
      <w:r w:rsidRPr="00084B1B">
        <w:t xml:space="preserve">Grant rounds are usually competitive. However, a targeted grant funding round may be used in cases where there are limited providers available due to geographical considerations, or a requirement for highly specialised services. </w:t>
      </w:r>
    </w:p>
    <w:p w14:paraId="695575E4" w14:textId="77777777" w:rsidR="00ED244E" w:rsidRPr="00084B1B" w:rsidRDefault="00ED244E" w:rsidP="00ED244E">
      <w:pPr>
        <w:pStyle w:val="Heading4"/>
      </w:pPr>
      <w:r w:rsidRPr="00084B1B">
        <w:t>Considerations for new providers</w:t>
      </w:r>
    </w:p>
    <w:p w14:paraId="0E989F72" w14:textId="77777777" w:rsidR="00ED244E" w:rsidRPr="00084B1B" w:rsidRDefault="00ED244E" w:rsidP="00ED244E">
      <w:r w:rsidRPr="00084B1B">
        <w:t>In selecting new providers under the NATSIFACP, the department will consider</w:t>
      </w:r>
      <w:r>
        <w:t xml:space="preserve"> the</w:t>
      </w:r>
      <w:r w:rsidRPr="00084B1B">
        <w:t>:</w:t>
      </w:r>
    </w:p>
    <w:p w14:paraId="1029964F" w14:textId="5A267AFA" w:rsidR="00ED244E" w:rsidRPr="00084B1B" w:rsidRDefault="00ED244E" w:rsidP="00D82385">
      <w:pPr>
        <w:pStyle w:val="ListBullet"/>
      </w:pPr>
      <w:r w:rsidRPr="00084B1B">
        <w:t>overall capacity of an organisation</w:t>
      </w:r>
      <w:r w:rsidR="009A7B41">
        <w:t xml:space="preserve"> to</w:t>
      </w:r>
      <w:r w:rsidRPr="00084B1B">
        <w:t xml:space="preserve"> meet the objective/s and outcomes of the NATSIFACP, including having a capable and appropriately skilled workforce</w:t>
      </w:r>
    </w:p>
    <w:p w14:paraId="26780987" w14:textId="77777777" w:rsidR="00ED244E" w:rsidRPr="00084B1B" w:rsidRDefault="00ED244E" w:rsidP="00D82385">
      <w:pPr>
        <w:pStyle w:val="ListBullet"/>
      </w:pPr>
      <w:r w:rsidRPr="00084B1B">
        <w:t>capacity of the organisation to deliver services that are sensitive to the needs of the local Aboriginal and</w:t>
      </w:r>
      <w:r>
        <w:t>/or</w:t>
      </w:r>
      <w:r w:rsidRPr="00084B1B">
        <w:t xml:space="preserve"> Torres Strait Islander communities</w:t>
      </w:r>
    </w:p>
    <w:p w14:paraId="661235B1" w14:textId="77777777" w:rsidR="00ED244E" w:rsidRPr="00084B1B" w:rsidRDefault="00ED244E" w:rsidP="00D82385">
      <w:pPr>
        <w:pStyle w:val="ListBullet"/>
      </w:pPr>
      <w:r w:rsidRPr="00084B1B">
        <w:t>community commitment and engagement</w:t>
      </w:r>
    </w:p>
    <w:p w14:paraId="63A2A33C" w14:textId="77777777" w:rsidR="00ED244E" w:rsidRPr="00084B1B" w:rsidRDefault="00ED244E" w:rsidP="00D82385">
      <w:pPr>
        <w:pStyle w:val="ListBullet"/>
      </w:pPr>
      <w:r w:rsidRPr="00084B1B">
        <w:t>geographical location where the services will be delivered</w:t>
      </w:r>
    </w:p>
    <w:p w14:paraId="715D3020" w14:textId="77777777" w:rsidR="00ED244E" w:rsidRPr="00084B1B" w:rsidRDefault="00ED244E" w:rsidP="00D82385">
      <w:pPr>
        <w:pStyle w:val="ListBullet"/>
      </w:pPr>
      <w:r w:rsidRPr="00084B1B">
        <w:t>ability of the organisation to meet regulatory and legislative requirements, and</w:t>
      </w:r>
    </w:p>
    <w:p w14:paraId="1F0C3B15" w14:textId="77777777" w:rsidR="00ED244E" w:rsidRPr="00084B1B" w:rsidRDefault="00ED244E" w:rsidP="00D82385">
      <w:pPr>
        <w:pStyle w:val="ListBullet"/>
      </w:pPr>
      <w:r w:rsidRPr="00084B1B">
        <w:t>capacity of the organisation to deliver care over a sustained period.</w:t>
      </w:r>
    </w:p>
    <w:p w14:paraId="3343470F" w14:textId="77777777" w:rsidR="00ED244E" w:rsidRPr="00084B1B" w:rsidRDefault="00ED244E" w:rsidP="00ED244E">
      <w:pPr>
        <w:pStyle w:val="Heading4"/>
      </w:pPr>
      <w:r w:rsidRPr="00084B1B">
        <w:t>Advertising of grant opportunities</w:t>
      </w:r>
    </w:p>
    <w:p w14:paraId="3709C74B" w14:textId="77777777" w:rsidR="00ED244E" w:rsidRPr="00084B1B" w:rsidRDefault="00ED244E" w:rsidP="00ED244E">
      <w:r w:rsidRPr="00084B1B">
        <w:t xml:space="preserve">As grant funding opportunities under the NATSIFACP become available, they will be advertised on </w:t>
      </w:r>
      <w:proofErr w:type="spellStart"/>
      <w:r w:rsidRPr="006920AA">
        <w:t>GrantConnect</w:t>
      </w:r>
      <w:proofErr w:type="spellEnd"/>
      <w:r w:rsidRPr="00084B1B">
        <w:t>, the Australian Government’s whole-of-government grants information system</w:t>
      </w:r>
      <w:r>
        <w:t xml:space="preserve">: </w:t>
      </w:r>
      <w:hyperlink r:id="rId142" w:history="1">
        <w:r w:rsidRPr="004020B0">
          <w:rPr>
            <w:rStyle w:val="Hyperlink"/>
          </w:rPr>
          <w:t>grants.gov.au</w:t>
        </w:r>
      </w:hyperlink>
      <w:r w:rsidRPr="00084B1B">
        <w:t xml:space="preserve">. </w:t>
      </w:r>
    </w:p>
    <w:p w14:paraId="0D2F4E9B" w14:textId="77777777" w:rsidR="00ED244E" w:rsidRPr="00084B1B" w:rsidRDefault="00ED244E" w:rsidP="00ED244E">
      <w:r w:rsidRPr="00084B1B">
        <w:t xml:space="preserve">To receive alerts for forecast and/or future grant opportunities, it is recommended that organisations register on </w:t>
      </w:r>
      <w:hyperlink r:id="rId143" w:history="1">
        <w:proofErr w:type="spellStart"/>
        <w:r w:rsidRPr="008209A4">
          <w:rPr>
            <w:rStyle w:val="Hyperlink"/>
          </w:rPr>
          <w:t>GrantConnect</w:t>
        </w:r>
        <w:proofErr w:type="spellEnd"/>
      </w:hyperlink>
      <w:r w:rsidRPr="00084B1B">
        <w:t>. To register, click on the ‘New User Registration’ link (top right-hand corner) and enter your details.</w:t>
      </w:r>
    </w:p>
    <w:p w14:paraId="6AE75949" w14:textId="77777777" w:rsidR="00ED244E" w:rsidRPr="00084B1B" w:rsidRDefault="00ED244E" w:rsidP="00ED244E">
      <w:pPr>
        <w:pStyle w:val="Heading3"/>
      </w:pPr>
      <w:bookmarkStart w:id="169" w:name="funding_limitations"/>
      <w:bookmarkEnd w:id="169"/>
      <w:r w:rsidRPr="00084B1B">
        <w:t>Funding limitations</w:t>
      </w:r>
    </w:p>
    <w:p w14:paraId="48594293" w14:textId="77777777" w:rsidR="00ED244E" w:rsidRPr="00084B1B" w:rsidRDefault="00ED244E" w:rsidP="00ED244E">
      <w:r w:rsidRPr="00084B1B">
        <w:t>The following limitations on funding use apply:</w:t>
      </w:r>
    </w:p>
    <w:p w14:paraId="235BE163" w14:textId="77777777" w:rsidR="00ED244E" w:rsidRPr="00084B1B" w:rsidRDefault="00ED244E" w:rsidP="00D82385">
      <w:pPr>
        <w:pStyle w:val="ListBullet"/>
      </w:pPr>
      <w:r>
        <w:t>s</w:t>
      </w:r>
      <w:r w:rsidRPr="00084B1B">
        <w:t>ervice providers cannot use funding from other Commonwealth, state, territory or local government sources to contribute to its share of eligible expenditure</w:t>
      </w:r>
    </w:p>
    <w:p w14:paraId="16E26098" w14:textId="77777777" w:rsidR="00ED244E" w:rsidRPr="00084B1B" w:rsidRDefault="00ED244E" w:rsidP="00D82385">
      <w:pPr>
        <w:pStyle w:val="ListBullet"/>
      </w:pPr>
      <w:r>
        <w:t>s</w:t>
      </w:r>
      <w:r w:rsidRPr="00084B1B">
        <w:t>ervice providers are responsible for the delivery of aged care services and to have systems in place for budgeting, controls, recording and monitoring.</w:t>
      </w:r>
    </w:p>
    <w:p w14:paraId="05A06197" w14:textId="77777777" w:rsidR="00ED244E" w:rsidRPr="00084B1B" w:rsidRDefault="00ED244E" w:rsidP="00ED244E">
      <w:pPr>
        <w:pStyle w:val="Heading3"/>
      </w:pPr>
      <w:bookmarkStart w:id="170" w:name="_Toc208837985"/>
      <w:r w:rsidRPr="00084B1B">
        <w:t>Other contributions</w:t>
      </w:r>
      <w:bookmarkStart w:id="171" w:name="_Hlk207108994"/>
      <w:bookmarkEnd w:id="170"/>
    </w:p>
    <w:p w14:paraId="74CCA46F" w14:textId="77777777" w:rsidR="00ED244E" w:rsidRPr="00084B1B" w:rsidRDefault="00ED244E" w:rsidP="00ED244E">
      <w:r w:rsidRPr="00084B1B">
        <w:t>As outlined in the grant agreement, if the service provider earns money from the services provided under the Project Schedule, including fees, rent, board or services charged, the service provider is required to deal with the money earned as if it were part of the NATSIFACP grant funds and in accordance with any requirements set out in the Project Schedule.</w:t>
      </w:r>
    </w:p>
    <w:p w14:paraId="69CD3A92" w14:textId="77777777" w:rsidR="00ED244E" w:rsidRPr="00084B1B" w:rsidRDefault="00ED244E" w:rsidP="00ED244E">
      <w:pPr>
        <w:pStyle w:val="Heading3"/>
      </w:pPr>
      <w:bookmarkStart w:id="172" w:name="_Toc208837986"/>
      <w:bookmarkEnd w:id="171"/>
      <w:r>
        <w:t>Individual</w:t>
      </w:r>
      <w:r w:rsidRPr="00084B1B">
        <w:t xml:space="preserve"> related costs</w:t>
      </w:r>
      <w:bookmarkEnd w:id="172"/>
    </w:p>
    <w:p w14:paraId="014CE3CF" w14:textId="77777777" w:rsidR="00ED244E" w:rsidRPr="00084B1B" w:rsidRDefault="00ED244E" w:rsidP="00ED244E">
      <w:pPr>
        <w:pStyle w:val="Heading4"/>
      </w:pPr>
      <w:r w:rsidRPr="00084B1B">
        <w:t>Packaged meals</w:t>
      </w:r>
    </w:p>
    <w:p w14:paraId="7DCC3DD5" w14:textId="77777777" w:rsidR="00ED244E" w:rsidRPr="00084B1B" w:rsidRDefault="00ED244E" w:rsidP="00ED244E">
      <w:r w:rsidRPr="00084B1B">
        <w:t xml:space="preserve">The service provider must provide in their yearly financial acquittal a line item identifying the costs of these meals. </w:t>
      </w:r>
      <w:r>
        <w:t>T</w:t>
      </w:r>
      <w:r w:rsidRPr="00084B1B">
        <w:t xml:space="preserve">he financial acquittal must include a list of the </w:t>
      </w:r>
      <w:r>
        <w:t>individual</w:t>
      </w:r>
      <w:r w:rsidRPr="00084B1B">
        <w:t>s receiving meals, the cost and their contribution to the cost.</w:t>
      </w:r>
    </w:p>
    <w:p w14:paraId="1F6D1915" w14:textId="77777777" w:rsidR="00ED244E" w:rsidRPr="00084B1B" w:rsidRDefault="00ED244E" w:rsidP="00ED244E">
      <w:r w:rsidRPr="00084B1B">
        <w:t xml:space="preserve">Please refer to </w:t>
      </w:r>
      <w:hyperlink w:anchor="meals" w:history="1">
        <w:r w:rsidRPr="00084B1B">
          <w:rPr>
            <w:rStyle w:val="Hyperlink"/>
            <w:color w:val="000101" w:themeColor="text1"/>
          </w:rPr>
          <w:t>Meals</w:t>
        </w:r>
      </w:hyperlink>
      <w:r w:rsidRPr="00084B1B">
        <w:t xml:space="preserve"> section for requirements of packaged meals.</w:t>
      </w:r>
    </w:p>
    <w:p w14:paraId="3767EDA8" w14:textId="77777777" w:rsidR="00ED244E" w:rsidRPr="00084B1B" w:rsidRDefault="00ED244E" w:rsidP="00ED244E">
      <w:pPr>
        <w:pStyle w:val="Heading4"/>
      </w:pPr>
      <w:r w:rsidRPr="00084B1B">
        <w:t>Medical transport transfer cost</w:t>
      </w:r>
    </w:p>
    <w:p w14:paraId="29151442" w14:textId="77777777" w:rsidR="00ED244E" w:rsidRPr="00084B1B" w:rsidRDefault="00ED244E" w:rsidP="00ED244E">
      <w:r w:rsidRPr="00084B1B">
        <w:t>Transport services delivered under the NATSIFACP are not intended to replace or fund transport services more appropriately provided under another system, such as state/territory administered patient transport services.</w:t>
      </w:r>
    </w:p>
    <w:p w14:paraId="28B6F3BB" w14:textId="77777777" w:rsidR="00ED244E" w:rsidRPr="00084B1B" w:rsidRDefault="00ED244E" w:rsidP="00ED244E">
      <w:pPr>
        <w:pStyle w:val="Heading4"/>
      </w:pPr>
      <w:r w:rsidRPr="00084B1B">
        <w:t>Funeral costs</w:t>
      </w:r>
    </w:p>
    <w:p w14:paraId="0DB118EA" w14:textId="77777777" w:rsidR="00ED244E" w:rsidRPr="00084B1B" w:rsidRDefault="00ED244E" w:rsidP="00ED244E">
      <w:r w:rsidRPr="00084B1B">
        <w:t>Funeral costs should be borne by the family, not service providers. If the family cannot afford the funeral, there are Centrelink bereavement payments and other government assistance that should be explored.</w:t>
      </w:r>
    </w:p>
    <w:p w14:paraId="5E158386" w14:textId="77777777" w:rsidR="00ED244E" w:rsidRPr="00084B1B" w:rsidRDefault="00ED244E" w:rsidP="00ED244E">
      <w:pPr>
        <w:pStyle w:val="Heading3"/>
      </w:pPr>
      <w:bookmarkStart w:id="173" w:name="_Toc208837987"/>
      <w:r w:rsidRPr="00084B1B">
        <w:t>Annual depreciation of assets</w:t>
      </w:r>
      <w:bookmarkEnd w:id="173"/>
    </w:p>
    <w:p w14:paraId="7A63A68F" w14:textId="77777777" w:rsidR="00ED244E" w:rsidRPr="00084B1B" w:rsidRDefault="00ED244E" w:rsidP="00ED244E">
      <w:r w:rsidRPr="00084B1B">
        <w:t>NATSIFACP service providers should claim a tax deduction for depreciating assets and other capital expenses.</w:t>
      </w:r>
    </w:p>
    <w:p w14:paraId="5BF9B7F4" w14:textId="77777777" w:rsidR="00ED244E" w:rsidRPr="00084B1B" w:rsidRDefault="00ED244E" w:rsidP="00ED244E">
      <w:r w:rsidRPr="00084B1B">
        <w:t>A depreciating asset is one that has a limited effective life and can reasonably be expected to decline in value over the time it is used. Land, trading stock and some intangible assets are not depreciating assets.</w:t>
      </w:r>
    </w:p>
    <w:p w14:paraId="1612FD29" w14:textId="77777777" w:rsidR="00ED244E" w:rsidRPr="00084B1B" w:rsidRDefault="00ED244E" w:rsidP="00ED244E">
      <w:r w:rsidRPr="00084B1B">
        <w:t xml:space="preserve">Businesses can generally claim a tax deduction for capital expenses over </w:t>
      </w:r>
      <w:proofErr w:type="gramStart"/>
      <w:r w:rsidRPr="00084B1B">
        <w:t>a period of time</w:t>
      </w:r>
      <w:proofErr w:type="gramEnd"/>
      <w:r w:rsidRPr="00084B1B">
        <w:t>.</w:t>
      </w:r>
    </w:p>
    <w:p w14:paraId="7186C87C" w14:textId="77777777" w:rsidR="00ED244E" w:rsidRPr="00084B1B" w:rsidRDefault="00ED244E" w:rsidP="00ED244E">
      <w:r w:rsidRPr="00084B1B">
        <w:t>Eligible businesses may be able to claim an immediate or accelerated deduction for the business portion of the cost of an asset using one of the tax depreciation incentives.</w:t>
      </w:r>
    </w:p>
    <w:p w14:paraId="5AC63EE5" w14:textId="77777777" w:rsidR="00ED244E" w:rsidRPr="00084B1B" w:rsidRDefault="00ED244E" w:rsidP="00ED244E">
      <w:r w:rsidRPr="00084B1B">
        <w:t xml:space="preserve">Information is available on the </w:t>
      </w:r>
      <w:r w:rsidRPr="006920AA">
        <w:t>Australian Taxation Office’s website</w:t>
      </w:r>
      <w:r>
        <w:t xml:space="preserve">: </w:t>
      </w:r>
      <w:hyperlink r:id="rId144" w:history="1">
        <w:r w:rsidRPr="004020B0">
          <w:rPr>
            <w:rStyle w:val="Hyperlink"/>
          </w:rPr>
          <w:t>ato.gov.au/businesses-and-organisations/income-deductions-and-concessions/depreciation-and-capital-expenses-and-allowances</w:t>
        </w:r>
      </w:hyperlink>
      <w:r>
        <w:t xml:space="preserve"> </w:t>
      </w:r>
      <w:r w:rsidRPr="00084B1B">
        <w:t>.</w:t>
      </w:r>
    </w:p>
    <w:p w14:paraId="0267CF28" w14:textId="77777777" w:rsidR="00ED244E" w:rsidRPr="00084B1B" w:rsidRDefault="00ED244E" w:rsidP="00ED244E">
      <w:pPr>
        <w:pStyle w:val="Heading3"/>
      </w:pPr>
      <w:bookmarkStart w:id="174" w:name="_Toc208837988"/>
      <w:r w:rsidRPr="00084B1B">
        <w:t>Annual infrastructure and equipment funding</w:t>
      </w:r>
      <w:bookmarkEnd w:id="174"/>
    </w:p>
    <w:p w14:paraId="6382DD96" w14:textId="77777777" w:rsidR="00ED244E" w:rsidRDefault="00ED244E" w:rsidP="00ED244E">
      <w:r w:rsidRPr="0031266E">
        <w:t xml:space="preserve">The </w:t>
      </w:r>
      <w:hyperlink r:id="rId145" w:history="1">
        <w:r w:rsidRPr="00C51550">
          <w:rPr>
            <w:rStyle w:val="Hyperlink"/>
          </w:rPr>
          <w:t>Aged Care Capital Assistance Program</w:t>
        </w:r>
      </w:hyperlink>
      <w:r w:rsidRPr="0031266E">
        <w:t xml:space="preserve"> (ACCAP) provides grants to build, extend, or upgrade aged care services or to build staff accommodation where older Australians have limited or no access.</w:t>
      </w:r>
    </w:p>
    <w:p w14:paraId="2E7BBC35" w14:textId="77777777" w:rsidR="00ED244E" w:rsidRPr="00A63598" w:rsidRDefault="00ED244E" w:rsidP="00ED244E">
      <w:r w:rsidRPr="00A63598">
        <w:t>Organisations can apply for ACCAP grants to support aged care infrastructure projects, such as:</w:t>
      </w:r>
    </w:p>
    <w:p w14:paraId="5BEFF945" w14:textId="77777777" w:rsidR="00ED244E" w:rsidRPr="00A63598" w:rsidRDefault="00ED244E" w:rsidP="00D82385">
      <w:pPr>
        <w:pStyle w:val="ListBullet"/>
      </w:pPr>
      <w:r w:rsidRPr="00A63598">
        <w:t>new builds, extensions and upgrades</w:t>
      </w:r>
    </w:p>
    <w:p w14:paraId="203AB8DD" w14:textId="77777777" w:rsidR="00ED244E" w:rsidRPr="00A63598" w:rsidRDefault="00ED244E" w:rsidP="00D82385">
      <w:pPr>
        <w:pStyle w:val="ListBullet"/>
      </w:pPr>
      <w:r w:rsidRPr="00A63598">
        <w:t>maintenance and efficiency upgrades</w:t>
      </w:r>
    </w:p>
    <w:p w14:paraId="07D2C63D" w14:textId="77777777" w:rsidR="00ED244E" w:rsidRPr="00A63598" w:rsidRDefault="00ED244E" w:rsidP="00D82385">
      <w:pPr>
        <w:pStyle w:val="ListBullet"/>
      </w:pPr>
      <w:r w:rsidRPr="00A63598">
        <w:t>safety and amenity improvements</w:t>
      </w:r>
    </w:p>
    <w:p w14:paraId="3C0BBE5E" w14:textId="77777777" w:rsidR="00ED244E" w:rsidRPr="00A63598" w:rsidRDefault="00ED244E" w:rsidP="00D82385">
      <w:pPr>
        <w:pStyle w:val="ListBullet"/>
      </w:pPr>
      <w:r w:rsidRPr="00A63598">
        <w:t>construction or upgrade of multi-use spaces</w:t>
      </w:r>
    </w:p>
    <w:p w14:paraId="2992FC6F" w14:textId="77777777" w:rsidR="00ED244E" w:rsidRPr="00A63598" w:rsidRDefault="00ED244E" w:rsidP="00D82385">
      <w:pPr>
        <w:pStyle w:val="ListBullet"/>
      </w:pPr>
      <w:r w:rsidRPr="00A63598">
        <w:t>provision of staff accommodation</w:t>
      </w:r>
    </w:p>
    <w:p w14:paraId="06EAF177" w14:textId="77777777" w:rsidR="00ED244E" w:rsidRPr="00A63598" w:rsidRDefault="00ED244E" w:rsidP="00ED244E">
      <w:r w:rsidRPr="00A63598">
        <w:t>Eligible activities are determined on a round-by-round basis and clarified through grant opportunity guidelines. These guidelines will be published on </w:t>
      </w:r>
      <w:proofErr w:type="spellStart"/>
      <w:r w:rsidRPr="006920AA">
        <w:t>GrantConnect</w:t>
      </w:r>
      <w:proofErr w:type="spellEnd"/>
      <w:r w:rsidRPr="00A63598">
        <w:t> at the beginning of each grant round</w:t>
      </w:r>
      <w:r>
        <w:t xml:space="preserve">: </w:t>
      </w:r>
      <w:hyperlink r:id="rId146" w:history="1">
        <w:r w:rsidRPr="004020B0">
          <w:rPr>
            <w:rStyle w:val="Hyperlink"/>
          </w:rPr>
          <w:t>grants.gov.au</w:t>
        </w:r>
      </w:hyperlink>
      <w:r w:rsidRPr="00A63598">
        <w:t>.</w:t>
      </w:r>
    </w:p>
    <w:p w14:paraId="7E3E0C1D" w14:textId="77777777" w:rsidR="00ED244E" w:rsidRPr="00084B1B" w:rsidRDefault="00ED244E" w:rsidP="00ED244E">
      <w:pPr>
        <w:pStyle w:val="Heading3"/>
      </w:pPr>
      <w:bookmarkStart w:id="175" w:name="_Toc208837989"/>
      <w:r w:rsidRPr="00084B1B">
        <w:t>Emergency funding</w:t>
      </w:r>
      <w:bookmarkEnd w:id="175"/>
    </w:p>
    <w:p w14:paraId="2D63A2FB" w14:textId="77777777" w:rsidR="00ED244E" w:rsidRPr="00084B1B" w:rsidRDefault="00ED244E" w:rsidP="00ED244E">
      <w:r w:rsidRPr="00084B1B">
        <w:t>Ad hoc grants are designed to be established in response to an urgent matter or an unexpected situation. They do not involve a planned selection process and grant funding is not available on an ongoing basis. Like all other grants, one-off or ad hoc grants are subject to the CGRPs’ approval and selection processes.</w:t>
      </w:r>
    </w:p>
    <w:p w14:paraId="62704721" w14:textId="77777777" w:rsidR="00ED244E" w:rsidRPr="00084B1B" w:rsidRDefault="00ED244E" w:rsidP="00ED244E">
      <w:r w:rsidRPr="00084B1B">
        <w:t xml:space="preserve">The department makes provision under the DACS Fund for one-off emergency grant proposals which are essential to supporting the health, safety and wellbeing of </w:t>
      </w:r>
      <w:r>
        <w:t>individual</w:t>
      </w:r>
      <w:r w:rsidRPr="00084B1B">
        <w:t>s and staff where there is serious risk involved, or to ensure continuity of aged care services in unforeseen circumstances.</w:t>
      </w:r>
    </w:p>
    <w:p w14:paraId="0865B5ED" w14:textId="77777777" w:rsidR="00ED244E" w:rsidRPr="00084B1B" w:rsidRDefault="00ED244E" w:rsidP="00ED244E">
      <w:r w:rsidRPr="00084B1B">
        <w:t>The department can invite eligible organisations to apply for an emergency ad-hoc grant if they can demonstrate:</w:t>
      </w:r>
    </w:p>
    <w:p w14:paraId="4100FF04" w14:textId="77777777" w:rsidR="00ED244E" w:rsidRPr="00084B1B" w:rsidRDefault="00ED244E" w:rsidP="00D82385">
      <w:pPr>
        <w:pStyle w:val="ListBullet"/>
      </w:pPr>
      <w:r w:rsidRPr="00084B1B">
        <w:t>justification as to why the funding is needed, including factors that contribute to the urgent nature of the project</w:t>
      </w:r>
    </w:p>
    <w:p w14:paraId="5E4425F3" w14:textId="77777777" w:rsidR="00ED244E" w:rsidRPr="00084B1B" w:rsidRDefault="00ED244E" w:rsidP="00D82385">
      <w:pPr>
        <w:pStyle w:val="ListBullet"/>
      </w:pPr>
      <w:r w:rsidRPr="00084B1B">
        <w:t xml:space="preserve">how the funding will ensure continuity of aged care services and/or mitigate serious risk to </w:t>
      </w:r>
      <w:r>
        <w:t>individual</w:t>
      </w:r>
      <w:r w:rsidRPr="00084B1B">
        <w:t>s</w:t>
      </w:r>
    </w:p>
    <w:p w14:paraId="7770D1E3" w14:textId="77777777" w:rsidR="00ED244E" w:rsidRPr="00084B1B" w:rsidRDefault="00ED244E" w:rsidP="00D82385">
      <w:pPr>
        <w:pStyle w:val="ListBullet"/>
      </w:pPr>
      <w:r w:rsidRPr="00084B1B">
        <w:t>the reason why the organisation cannot fund this work out of recurrent funding or reserves.</w:t>
      </w:r>
    </w:p>
    <w:p w14:paraId="3E30DFE9" w14:textId="77777777" w:rsidR="00ED244E" w:rsidRPr="00084B1B" w:rsidRDefault="00ED244E" w:rsidP="00ED244E">
      <w:r>
        <w:t xml:space="preserve">If invited, eligible organisations will be required to respond to Grant Opportunity Guidelines which will be published on </w:t>
      </w:r>
      <w:proofErr w:type="spellStart"/>
      <w:r w:rsidRPr="006920AA">
        <w:t>GrantConnect</w:t>
      </w:r>
      <w:proofErr w:type="spellEnd"/>
      <w:r>
        <w:t xml:space="preserve"> for transparency and accountability: </w:t>
      </w:r>
      <w:hyperlink r:id="rId147" w:history="1">
        <w:r w:rsidRPr="004020B0">
          <w:rPr>
            <w:rStyle w:val="Hyperlink"/>
          </w:rPr>
          <w:t>grants.gov.au</w:t>
        </w:r>
      </w:hyperlink>
      <w:r>
        <w:t xml:space="preserve">. </w:t>
      </w:r>
    </w:p>
    <w:p w14:paraId="740ABD97" w14:textId="77777777" w:rsidR="00ED244E" w:rsidRDefault="00ED244E" w:rsidP="00ED244E">
      <w:pPr>
        <w:pStyle w:val="Heading2"/>
      </w:pPr>
      <w:bookmarkStart w:id="176" w:name="_Toc208838009"/>
      <w:bookmarkStart w:id="177" w:name="_Toc212713675"/>
      <w:bookmarkStart w:id="178" w:name="_Toc225416249"/>
      <w:r>
        <w:t>NATSIFACP Grant Agreement obligations</w:t>
      </w:r>
      <w:bookmarkEnd w:id="176"/>
      <w:bookmarkEnd w:id="177"/>
      <w:bookmarkEnd w:id="178"/>
    </w:p>
    <w:p w14:paraId="5B1842CA" w14:textId="46C0F1EF" w:rsidR="00ED244E" w:rsidRDefault="00ED244E" w:rsidP="00ED244E">
      <w:r>
        <w:t>As recipients of Commonwealth Grant Funding, NATSIFACP providers have obligations in relation to</w:t>
      </w:r>
      <w:r w:rsidR="00A55DB1">
        <w:t xml:space="preserve"> their policies, protocols and procedures, and community engagement. </w:t>
      </w:r>
    </w:p>
    <w:p w14:paraId="4CC71FD1" w14:textId="77777777" w:rsidR="00ED244E" w:rsidRPr="00247391" w:rsidRDefault="00ED244E" w:rsidP="00ED244E">
      <w:pPr>
        <w:pStyle w:val="Heading3"/>
      </w:pPr>
      <w:r>
        <w:t>Internal policies, protocols and procedures</w:t>
      </w:r>
    </w:p>
    <w:p w14:paraId="0E1C6600" w14:textId="77777777" w:rsidR="00ED244E" w:rsidRPr="00653025" w:rsidRDefault="00ED244E" w:rsidP="00ED244E">
      <w:r>
        <w:t>NATSIFACP</w:t>
      </w:r>
      <w:r w:rsidRPr="00653025">
        <w:t xml:space="preserve"> providers are required to develop and maintain </w:t>
      </w:r>
      <w:r>
        <w:t xml:space="preserve">other </w:t>
      </w:r>
      <w:r w:rsidRPr="00653025">
        <w:t>internal policies, protocols and procedures, in line with relevant Commonwealth and state and territory legislation, to support quality service provision. These include:</w:t>
      </w:r>
    </w:p>
    <w:p w14:paraId="7281D601" w14:textId="77777777" w:rsidR="00ED244E" w:rsidRDefault="00ED244E" w:rsidP="00D82385">
      <w:pPr>
        <w:pStyle w:val="ListBullet"/>
      </w:pPr>
      <w:r>
        <w:t>em</w:t>
      </w:r>
      <w:r w:rsidRPr="00136F18">
        <w:t>ergency procedures such as evacuation</w:t>
      </w:r>
    </w:p>
    <w:p w14:paraId="79FBD38E" w14:textId="77777777" w:rsidR="00ED244E" w:rsidRDefault="00ED244E" w:rsidP="00D82385">
      <w:pPr>
        <w:pStyle w:val="ListBullet"/>
      </w:pPr>
      <w:r>
        <w:t>w</w:t>
      </w:r>
      <w:r w:rsidRPr="00136F18">
        <w:t xml:space="preserve">orkplace </w:t>
      </w:r>
      <w:r>
        <w:t>h</w:t>
      </w:r>
      <w:r w:rsidRPr="00136F18">
        <w:t xml:space="preserve">ealth and </w:t>
      </w:r>
      <w:r>
        <w:t>s</w:t>
      </w:r>
      <w:r w:rsidRPr="00136F18">
        <w:t>afety</w:t>
      </w:r>
    </w:p>
    <w:p w14:paraId="4CEFDDB4" w14:textId="77777777" w:rsidR="00ED244E" w:rsidRDefault="00ED244E" w:rsidP="00D82385">
      <w:pPr>
        <w:pStyle w:val="ListBullet"/>
      </w:pPr>
      <w:r>
        <w:t>p</w:t>
      </w:r>
      <w:r w:rsidRPr="00136F18">
        <w:t xml:space="preserve">rocedures to address concerns about </w:t>
      </w:r>
      <w:r>
        <w:t>individual</w:t>
      </w:r>
      <w:r w:rsidRPr="00136F18">
        <w:t xml:space="preserve"> welfare</w:t>
      </w:r>
    </w:p>
    <w:p w14:paraId="29192A9E" w14:textId="77777777" w:rsidR="00ED244E" w:rsidRDefault="00ED244E" w:rsidP="00D82385">
      <w:pPr>
        <w:pStyle w:val="ListBullet"/>
      </w:pPr>
      <w:r>
        <w:t>p</w:t>
      </w:r>
      <w:r w:rsidRPr="00136F18">
        <w:t xml:space="preserve">olice </w:t>
      </w:r>
      <w:r>
        <w:t>c</w:t>
      </w:r>
      <w:r w:rsidRPr="00136F18">
        <w:t>heck and Serious Incident Response Scheme requirements</w:t>
      </w:r>
    </w:p>
    <w:p w14:paraId="4584BC46" w14:textId="77777777" w:rsidR="00ED244E" w:rsidRDefault="00ED244E" w:rsidP="00D82385">
      <w:pPr>
        <w:pStyle w:val="ListBullet"/>
      </w:pPr>
      <w:r w:rsidRPr="00136F18">
        <w:t xml:space="preserve">fees and </w:t>
      </w:r>
      <w:r>
        <w:t>individual</w:t>
      </w:r>
      <w:r w:rsidRPr="00136F18">
        <w:t xml:space="preserve"> contribution</w:t>
      </w:r>
    </w:p>
    <w:p w14:paraId="1037B135" w14:textId="77777777" w:rsidR="00ED244E" w:rsidRDefault="00ED244E" w:rsidP="00D82385">
      <w:pPr>
        <w:pStyle w:val="ListBullet"/>
      </w:pPr>
      <w:r w:rsidRPr="00136F18">
        <w:t>‘</w:t>
      </w:r>
      <w:proofErr w:type="gramStart"/>
      <w:r>
        <w:t>n</w:t>
      </w:r>
      <w:r w:rsidRPr="00136F18">
        <w:t>o</w:t>
      </w:r>
      <w:proofErr w:type="gramEnd"/>
      <w:r w:rsidRPr="00136F18">
        <w:t xml:space="preserve"> response’ guidelines</w:t>
      </w:r>
    </w:p>
    <w:p w14:paraId="439607AF" w14:textId="77777777" w:rsidR="00ED244E" w:rsidRDefault="00ED244E" w:rsidP="00D82385">
      <w:pPr>
        <w:pStyle w:val="ListBullet"/>
      </w:pPr>
      <w:r>
        <w:t>p</w:t>
      </w:r>
      <w:r w:rsidRPr="00136F18">
        <w:t>rivacy</w:t>
      </w:r>
    </w:p>
    <w:p w14:paraId="6DB19EB6" w14:textId="77777777" w:rsidR="00ED244E" w:rsidRDefault="00ED244E" w:rsidP="00D82385">
      <w:pPr>
        <w:pStyle w:val="ListBullet"/>
      </w:pPr>
      <w:r>
        <w:t>e</w:t>
      </w:r>
      <w:r w:rsidRPr="00136F18">
        <w:t>nsuring that workers (paid and voluntary) are suitably qualified or are undertaking training appropriate to the service they deliver</w:t>
      </w:r>
    </w:p>
    <w:p w14:paraId="522299A9" w14:textId="77777777" w:rsidR="00ED244E" w:rsidRPr="00136F18" w:rsidRDefault="00ED244E" w:rsidP="00D82385">
      <w:pPr>
        <w:pStyle w:val="ListBullet"/>
      </w:pPr>
      <w:r>
        <w:t>s</w:t>
      </w:r>
      <w:r w:rsidRPr="00136F18">
        <w:t>taffing contingencies for holiday, training, sickness or other instances of short staffing.</w:t>
      </w:r>
    </w:p>
    <w:p w14:paraId="146DD7D1" w14:textId="77777777" w:rsidR="00ED244E" w:rsidRPr="00653025" w:rsidRDefault="00ED244E" w:rsidP="00ED244E">
      <w:r>
        <w:t>NATSIFACP</w:t>
      </w:r>
      <w:r w:rsidRPr="00653025">
        <w:t xml:space="preserve"> providers may also choose to have other types of protocols such as specific aspects of service provision or local stakeholder engagement.</w:t>
      </w:r>
    </w:p>
    <w:p w14:paraId="54FD2439" w14:textId="77777777" w:rsidR="00ED244E" w:rsidRDefault="00ED244E" w:rsidP="00ED244E">
      <w:r w:rsidRPr="00653025">
        <w:t xml:space="preserve">Governance and management systems are required to be culturally safe and responsive to the needs of </w:t>
      </w:r>
      <w:r>
        <w:t>individual</w:t>
      </w:r>
      <w:r w:rsidRPr="00653025">
        <w:t>s, their carer(s), their representatives, staff and stakeholders to ensure efficient, effective and quality service delivery.</w:t>
      </w:r>
    </w:p>
    <w:p w14:paraId="0E637A7F" w14:textId="77777777" w:rsidR="00ED244E" w:rsidRPr="00876406" w:rsidRDefault="00ED244E" w:rsidP="00ED244E">
      <w:pPr>
        <w:pStyle w:val="Heading3"/>
      </w:pPr>
      <w:bookmarkStart w:id="179" w:name="_Toc199873010"/>
      <w:r w:rsidRPr="00876406">
        <w:t>Community engagement and networking</w:t>
      </w:r>
      <w:bookmarkEnd w:id="179"/>
    </w:p>
    <w:p w14:paraId="195F212C" w14:textId="77777777" w:rsidR="00ED244E" w:rsidRPr="00653025" w:rsidRDefault="00ED244E" w:rsidP="00ED244E">
      <w:r w:rsidRPr="00653025">
        <w:t xml:space="preserve">The service provider engages with the community to ensure that </w:t>
      </w:r>
      <w:r>
        <w:t>individual</w:t>
      </w:r>
      <w:r w:rsidRPr="00653025">
        <w:t>s achieve maximum independence, maintain friendships</w:t>
      </w:r>
      <w:r>
        <w:t xml:space="preserve"> and connection to Country or Island home</w:t>
      </w:r>
      <w:r w:rsidRPr="00653025">
        <w:t>, and participate in the life of the community.</w:t>
      </w:r>
    </w:p>
    <w:p w14:paraId="71884FF3" w14:textId="77777777" w:rsidR="00ED244E" w:rsidRPr="001C0ED0" w:rsidRDefault="00ED244E" w:rsidP="00ED244E">
      <w:pPr>
        <w:pStyle w:val="Heading4"/>
      </w:pPr>
      <w:r w:rsidRPr="001C0ED0">
        <w:t>Community engagement</w:t>
      </w:r>
    </w:p>
    <w:p w14:paraId="15701B9C" w14:textId="77777777" w:rsidR="00ED244E" w:rsidRPr="00653025" w:rsidRDefault="00ED244E" w:rsidP="00ED244E">
      <w:r w:rsidRPr="00653025">
        <w:t xml:space="preserve">This may involve the service provider encouraging and assisting </w:t>
      </w:r>
      <w:r>
        <w:t>individual</w:t>
      </w:r>
      <w:r w:rsidRPr="00653025">
        <w:t>s to be engaged with social activities outside the service/their home so that they stay connected with their family and community (e.g. by participating in traditional events).  The service provider may also consider inviting family, carers, volunteers and/or the community to attend social activities run by the service (e.g., cultural activities, Mother’s Day, barbecues, Christmas).</w:t>
      </w:r>
    </w:p>
    <w:p w14:paraId="08DFECBE" w14:textId="01AD5792" w:rsidR="00ED244E" w:rsidRPr="00653025" w:rsidRDefault="00ED244E" w:rsidP="00ED244E">
      <w:r w:rsidRPr="00653025">
        <w:t>The service provider should ensure that the local communities are consulted and participate in planning, developing and providing aged care</w:t>
      </w:r>
      <w:r>
        <w:t xml:space="preserve"> services that are in accordance with both the published </w:t>
      </w:r>
      <w:hyperlink r:id="rId148" w:history="1">
        <w:r>
          <w:rPr>
            <w:rStyle w:val="Hyperlink"/>
          </w:rPr>
          <w:t>Service List</w:t>
        </w:r>
      </w:hyperlink>
      <w:r w:rsidRPr="00653025">
        <w:t xml:space="preserve"> </w:t>
      </w:r>
      <w:r>
        <w:t>relevant to the providers registration category and with community need</w:t>
      </w:r>
      <w:r w:rsidRPr="00653025">
        <w:t>. This will both help the service provider and the local communities to understand the types of services they provide, including their limitations.</w:t>
      </w:r>
      <w:r>
        <w:t xml:space="preserve"> </w:t>
      </w:r>
    </w:p>
    <w:p w14:paraId="1189E9ED" w14:textId="77777777" w:rsidR="00ED244E" w:rsidRPr="001C0ED0" w:rsidRDefault="00ED244E" w:rsidP="00ED244E">
      <w:pPr>
        <w:pStyle w:val="Heading4"/>
      </w:pPr>
      <w:r w:rsidRPr="001C0ED0">
        <w:t>Networking</w:t>
      </w:r>
    </w:p>
    <w:p w14:paraId="72DFE5B6" w14:textId="77777777" w:rsidR="00ED244E" w:rsidRPr="00653025" w:rsidRDefault="00ED244E" w:rsidP="00ED244E">
      <w:r w:rsidRPr="00653025">
        <w:t xml:space="preserve">Wherever possible, the service provider should consider being part of a network of services that care for older people and ensure there are links with other related and relevant services, such as </w:t>
      </w:r>
      <w:r>
        <w:t>p</w:t>
      </w:r>
      <w:r w:rsidRPr="00653025">
        <w:t xml:space="preserve">rimary </w:t>
      </w:r>
      <w:r>
        <w:t>h</w:t>
      </w:r>
      <w:r w:rsidRPr="00653025">
        <w:t xml:space="preserve">ealth </w:t>
      </w:r>
      <w:r>
        <w:t>c</w:t>
      </w:r>
      <w:r w:rsidRPr="00653025">
        <w:t xml:space="preserve">are, the CHSP, the </w:t>
      </w:r>
      <w:r>
        <w:t>Support at Home</w:t>
      </w:r>
      <w:r w:rsidRPr="00653025">
        <w:t xml:space="preserve"> Program and/or respite services.</w:t>
      </w:r>
    </w:p>
    <w:p w14:paraId="127C754D" w14:textId="77777777" w:rsidR="00ED244E" w:rsidRPr="00653025" w:rsidRDefault="00ED244E" w:rsidP="00ED244E">
      <w:r w:rsidRPr="00653025">
        <w:t>This will help the service provider and ensure that other relevant services or agencies understand the types of services they provide, including their limitations.</w:t>
      </w:r>
    </w:p>
    <w:p w14:paraId="4BACB9F4" w14:textId="77777777" w:rsidR="00ED244E" w:rsidRPr="001C0ED0" w:rsidRDefault="00ED244E" w:rsidP="00ED244E">
      <w:pPr>
        <w:pStyle w:val="Heading4"/>
      </w:pPr>
      <w:bookmarkStart w:id="180" w:name="transition_out_plans"/>
      <w:bookmarkEnd w:id="180"/>
      <w:r w:rsidRPr="001C0ED0">
        <w:t>Guide to Transition-out Plans</w:t>
      </w:r>
    </w:p>
    <w:p w14:paraId="3C669B36" w14:textId="77777777" w:rsidR="00ED244E" w:rsidRPr="00653025" w:rsidRDefault="00ED244E" w:rsidP="00ED244E">
      <w:r w:rsidRPr="00653025">
        <w:t>The following are matters that should be considered for inclusion in the Transition-Out Plan</w:t>
      </w:r>
      <w:r>
        <w:t xml:space="preserve"> (</w:t>
      </w:r>
      <w:proofErr w:type="spellStart"/>
      <w:r>
        <w:t>ToP</w:t>
      </w:r>
      <w:proofErr w:type="spellEnd"/>
      <w:r>
        <w:t>)</w:t>
      </w:r>
      <w:r w:rsidRPr="00653025">
        <w:t xml:space="preserve">. The list is not exhaustive or prescriptive and </w:t>
      </w:r>
      <w:proofErr w:type="spellStart"/>
      <w:r>
        <w:t>ToP</w:t>
      </w:r>
      <w:proofErr w:type="spellEnd"/>
      <w:r w:rsidRPr="00653025">
        <w:t xml:space="preserve"> will depend on each service provider’s individual arrangements and the outcome of any negotiations.</w:t>
      </w:r>
    </w:p>
    <w:p w14:paraId="475D2ABA" w14:textId="77777777" w:rsidR="00ED244E" w:rsidRPr="00653025" w:rsidRDefault="00ED244E" w:rsidP="00ED244E">
      <w:r w:rsidRPr="00653025">
        <w:t xml:space="preserve">The </w:t>
      </w:r>
      <w:proofErr w:type="spellStart"/>
      <w:r>
        <w:t>ToP</w:t>
      </w:r>
      <w:proofErr w:type="spellEnd"/>
      <w:r w:rsidRPr="00653025">
        <w:t xml:space="preserve"> should include a transition-out strategy for each schedule of the grant agreement, particularly specific requirements for different service types.</w:t>
      </w:r>
    </w:p>
    <w:p w14:paraId="5C3CFFAE" w14:textId="77777777" w:rsidR="00ED244E" w:rsidRPr="00653025" w:rsidRDefault="00ED244E" w:rsidP="00ED244E">
      <w:r w:rsidRPr="00653025">
        <w:t xml:space="preserve">The </w:t>
      </w:r>
      <w:proofErr w:type="spellStart"/>
      <w:r>
        <w:t>ToP</w:t>
      </w:r>
      <w:proofErr w:type="spellEnd"/>
      <w:r w:rsidRPr="00653025">
        <w:t xml:space="preserve"> must include:</w:t>
      </w:r>
    </w:p>
    <w:p w14:paraId="2B299572" w14:textId="77777777" w:rsidR="00ED244E" w:rsidRDefault="00ED244E" w:rsidP="00D82385">
      <w:pPr>
        <w:pStyle w:val="ListBullet"/>
      </w:pPr>
      <w:r w:rsidRPr="00E56982">
        <w:rPr>
          <w:b/>
          <w:bCs/>
        </w:rPr>
        <w:t>service provider details</w:t>
      </w:r>
      <w:r w:rsidRPr="00891787">
        <w:t xml:space="preserve"> – include name, address, and relevant contacts (position</w:t>
      </w:r>
      <w:r>
        <w:t>/s</w:t>
      </w:r>
      <w:r w:rsidRPr="00891787">
        <w:t xml:space="preserve"> and contact details for the position</w:t>
      </w:r>
      <w:r>
        <w:t>s,</w:t>
      </w:r>
      <w:r w:rsidRPr="00891787">
        <w:t xml:space="preserve"> do not include names</w:t>
      </w:r>
      <w:r>
        <w:t>)</w:t>
      </w:r>
    </w:p>
    <w:p w14:paraId="75570B15" w14:textId="77777777" w:rsidR="00ED244E" w:rsidRDefault="00ED244E" w:rsidP="00D82385">
      <w:pPr>
        <w:pStyle w:val="ListBullet"/>
      </w:pPr>
      <w:r w:rsidRPr="00E56982">
        <w:rPr>
          <w:b/>
          <w:bCs/>
        </w:rPr>
        <w:t>auspice body</w:t>
      </w:r>
      <w:r w:rsidRPr="00891787">
        <w:t xml:space="preserve"> – include name, address, and relevant contacts (position</w:t>
      </w:r>
      <w:r>
        <w:t>/s</w:t>
      </w:r>
      <w:r w:rsidRPr="00891787">
        <w:t xml:space="preserve"> and contact details for the position</w:t>
      </w:r>
      <w:r>
        <w:t>s,</w:t>
      </w:r>
      <w:r w:rsidRPr="00891787">
        <w:t xml:space="preserve"> do not include names</w:t>
      </w:r>
      <w:r>
        <w:t>)</w:t>
      </w:r>
    </w:p>
    <w:p w14:paraId="27510836" w14:textId="77777777" w:rsidR="00ED244E" w:rsidRDefault="00ED244E" w:rsidP="00D82385">
      <w:pPr>
        <w:pStyle w:val="ListBullet"/>
      </w:pPr>
      <w:r w:rsidRPr="00E56982">
        <w:rPr>
          <w:b/>
          <w:bCs/>
        </w:rPr>
        <w:t>activity description</w:t>
      </w:r>
      <w:r w:rsidRPr="00891787">
        <w:t xml:space="preserve"> – briefly describe the Activity to which the </w:t>
      </w:r>
      <w:proofErr w:type="spellStart"/>
      <w:r>
        <w:t>ToP</w:t>
      </w:r>
      <w:proofErr w:type="spellEnd"/>
      <w:r w:rsidRPr="00891787">
        <w:t xml:space="preserve"> relates.  Include information about related service providers with which the service provider has linkages and contact details (position</w:t>
      </w:r>
      <w:r>
        <w:t>/s</w:t>
      </w:r>
      <w:r w:rsidRPr="00891787">
        <w:t xml:space="preserve"> and contact details for the position</w:t>
      </w:r>
      <w:r>
        <w:t>s,</w:t>
      </w:r>
      <w:r w:rsidRPr="00891787">
        <w:t xml:space="preserve"> do not include names</w:t>
      </w:r>
      <w:r>
        <w:t>)</w:t>
      </w:r>
    </w:p>
    <w:p w14:paraId="6AB4C287" w14:textId="77777777" w:rsidR="00ED244E" w:rsidRDefault="00ED244E" w:rsidP="00D82385">
      <w:pPr>
        <w:pStyle w:val="ListBullet"/>
      </w:pPr>
      <w:r w:rsidRPr="00E56982">
        <w:rPr>
          <w:b/>
          <w:bCs/>
        </w:rPr>
        <w:t>service provider arrangements</w:t>
      </w:r>
      <w:r w:rsidRPr="00891787">
        <w:t xml:space="preserve"> – include information/ description of service provider specific administrative policies, processes and procedures; operational protocols; subcontracting arrangements; geographical areas serviced, including any cross-border arrangements; hours of operation; staff; operation of service provider vehicles; and additional services provided by the service provider</w:t>
      </w:r>
    </w:p>
    <w:p w14:paraId="339796C0" w14:textId="77777777" w:rsidR="00ED244E" w:rsidRDefault="00ED244E" w:rsidP="00D82385">
      <w:pPr>
        <w:pStyle w:val="ListBullet"/>
      </w:pPr>
      <w:r w:rsidRPr="00E56982">
        <w:rPr>
          <w:b/>
          <w:bCs/>
        </w:rPr>
        <w:t>timeframe for transition</w:t>
      </w:r>
      <w:r w:rsidRPr="00891787">
        <w:t xml:space="preserve"> – specify the transition-out period (assume a period of one to three months before the date of termination or expiry of the grant agreement, to be negotiated and agreed with the department at the time of termination/expiry). Include timetable for the transition - events, milestones etc</w:t>
      </w:r>
    </w:p>
    <w:p w14:paraId="597F1831" w14:textId="77777777" w:rsidR="00ED244E" w:rsidRDefault="00ED244E" w:rsidP="00D82385">
      <w:pPr>
        <w:pStyle w:val="ListBullet"/>
      </w:pPr>
      <w:r w:rsidRPr="00E56982">
        <w:rPr>
          <w:b/>
          <w:bCs/>
        </w:rPr>
        <w:t>staffing arrangements</w:t>
      </w:r>
      <w:r w:rsidRPr="00891787">
        <w:t xml:space="preserve"> – include staffing details and the basis on which service provider staff are employed, e.g. awards and arrangements for transition of staff to a new service provider (subject to the agreement of the new service provider). While there is provision in project funding for staff entitlements, the </w:t>
      </w:r>
      <w:proofErr w:type="spellStart"/>
      <w:r>
        <w:t>ToP</w:t>
      </w:r>
      <w:proofErr w:type="spellEnd"/>
      <w:r w:rsidRPr="00891787">
        <w:t xml:space="preserve"> should address conditions and arrangements for staff not wishing to transfer, e.g. redeployment and redundancy</w:t>
      </w:r>
    </w:p>
    <w:p w14:paraId="7BD004D6" w14:textId="66BDBB2A" w:rsidR="00ED244E" w:rsidRDefault="00ED244E" w:rsidP="00D82385">
      <w:pPr>
        <w:pStyle w:val="ListBullet"/>
      </w:pPr>
      <w:r w:rsidRPr="00E56982">
        <w:rPr>
          <w:b/>
          <w:bCs/>
        </w:rPr>
        <w:t>service provider property</w:t>
      </w:r>
      <w:r w:rsidR="00932A85">
        <w:rPr>
          <w:b/>
          <w:bCs/>
        </w:rPr>
        <w:t xml:space="preserve"> </w:t>
      </w:r>
      <w:r w:rsidRPr="00E56982">
        <w:rPr>
          <w:b/>
          <w:bCs/>
        </w:rPr>
        <w:t>/ accommodation</w:t>
      </w:r>
      <w:r w:rsidRPr="00891787">
        <w:t xml:space="preserve"> – information about the accommodation arrangements for premises currently occupied by the service provider. Would the office space currently used be available on termination of the Agreement? I</w:t>
      </w:r>
      <w:r>
        <w:t>nclude</w:t>
      </w:r>
      <w:r w:rsidRPr="00891787">
        <w:t xml:space="preserve"> arrangements required to transfer, e.g. lease arrangements, etc</w:t>
      </w:r>
    </w:p>
    <w:p w14:paraId="76567B4D" w14:textId="77777777" w:rsidR="00ED244E" w:rsidRDefault="00ED244E" w:rsidP="00D82385">
      <w:pPr>
        <w:pStyle w:val="ListBullet"/>
      </w:pPr>
      <w:r w:rsidRPr="00E56982">
        <w:rPr>
          <w:b/>
          <w:bCs/>
        </w:rPr>
        <w:t>assets</w:t>
      </w:r>
      <w:r w:rsidRPr="00891787">
        <w:t xml:space="preserve"> – in accordance with the grant agreement, details of all assets purchased with the department funding are to be recorded in an Assets Register should be attached to the Plan and kept current for the duration of the grant agreement. Identify how and when the transfer of assets to the department or nominee is to take place, e.g. whether the Assets are to be sold and proceeds paid to the department, and arrangements for this</w:t>
      </w:r>
    </w:p>
    <w:p w14:paraId="6EC53906" w14:textId="77777777" w:rsidR="00ED244E" w:rsidRDefault="00ED244E" w:rsidP="00D82385">
      <w:pPr>
        <w:pStyle w:val="ListBullet"/>
      </w:pPr>
      <w:r w:rsidRPr="00E56982">
        <w:rPr>
          <w:b/>
          <w:bCs/>
        </w:rPr>
        <w:t>information and records</w:t>
      </w:r>
      <w:r w:rsidRPr="00017BF7">
        <w:t xml:space="preserve"> – identification of, and arrangements for the transfer to the alternative service provider of all documents which are necessary to enable services </w:t>
      </w:r>
      <w:proofErr w:type="gramStart"/>
      <w:r w:rsidRPr="00017BF7">
        <w:t>similar to</w:t>
      </w:r>
      <w:proofErr w:type="gramEnd"/>
      <w:r w:rsidRPr="00017BF7">
        <w:t xml:space="preserve"> the existing service to be provided by the department or its nominee. In particular, the service provider should consider arrangements for the transfer of </w:t>
      </w:r>
      <w:r>
        <w:t>individual</w:t>
      </w:r>
      <w:r w:rsidRPr="00017BF7">
        <w:t xml:space="preserve"> records, </w:t>
      </w:r>
      <w:r>
        <w:t>including</w:t>
      </w:r>
      <w:r w:rsidRPr="00017BF7">
        <w:t xml:space="preserve"> privacy requirements</w:t>
      </w:r>
    </w:p>
    <w:p w14:paraId="1F29855B" w14:textId="77777777" w:rsidR="00ED244E" w:rsidRDefault="00ED244E" w:rsidP="00D82385">
      <w:pPr>
        <w:pStyle w:val="ListBullet"/>
      </w:pPr>
      <w:r w:rsidRPr="00E56982">
        <w:rPr>
          <w:b/>
          <w:bCs/>
        </w:rPr>
        <w:t>intellectual property</w:t>
      </w:r>
      <w:r w:rsidRPr="00017BF7">
        <w:t xml:space="preserve"> – the arrangements must be set out for the delivery to the alternative service provider, as agreed with the department, of the service provider’s relevant databases or directories that are used by them as per the </w:t>
      </w:r>
      <w:r w:rsidRPr="00891787">
        <w:t>grant</w:t>
      </w:r>
      <w:r w:rsidRPr="00017BF7">
        <w:t xml:space="preserve"> agreement.</w:t>
      </w:r>
      <w:r>
        <w:t xml:space="preserve"> </w:t>
      </w:r>
      <w:r w:rsidRPr="00017BF7">
        <w:t>The intellectual property register with up-to-date contact details of all owners and licensees of intellectual property should also be attached to the plan</w:t>
      </w:r>
    </w:p>
    <w:p w14:paraId="16EDB65F" w14:textId="77777777" w:rsidR="00ED244E" w:rsidRDefault="00ED244E" w:rsidP="00D82385">
      <w:pPr>
        <w:pStyle w:val="ListBullet"/>
      </w:pPr>
      <w:r w:rsidRPr="00E56982">
        <w:rPr>
          <w:b/>
          <w:bCs/>
        </w:rPr>
        <w:t>financial records</w:t>
      </w:r>
      <w:r w:rsidRPr="00017BF7">
        <w:t xml:space="preserve"> – all financial acquittals must be finalised in accordance with the conditions set down in the grant agreement</w:t>
      </w:r>
    </w:p>
    <w:p w14:paraId="387A2AD6" w14:textId="77777777" w:rsidR="00ED244E" w:rsidRDefault="00ED244E" w:rsidP="00D82385">
      <w:pPr>
        <w:pStyle w:val="ListBullet"/>
      </w:pPr>
      <w:r w:rsidRPr="00E56982">
        <w:rPr>
          <w:b/>
          <w:bCs/>
        </w:rPr>
        <w:t>database arrangements</w:t>
      </w:r>
      <w:r w:rsidRPr="00891787">
        <w:t xml:space="preserve"> for the transfer of software for service and </w:t>
      </w:r>
      <w:r>
        <w:t>individual</w:t>
      </w:r>
      <w:r w:rsidRPr="00891787">
        <w:t xml:space="preserve"> data arrangements, including web-based data base services if applicable</w:t>
      </w:r>
    </w:p>
    <w:p w14:paraId="41CA22CB" w14:textId="77777777" w:rsidR="00ED244E" w:rsidRDefault="00ED244E" w:rsidP="00D82385">
      <w:pPr>
        <w:pStyle w:val="ListBullet"/>
      </w:pPr>
      <w:r w:rsidRPr="00E56982">
        <w:rPr>
          <w:b/>
          <w:bCs/>
        </w:rPr>
        <w:t>service contracts</w:t>
      </w:r>
      <w:r w:rsidRPr="00017BF7">
        <w:t xml:space="preserve"> – arrangements to novate (transfer) to the department or its nominee all contracts relating to services provided or any other relevant contracts to which the service provider is a party, including Subcontractors</w:t>
      </w:r>
    </w:p>
    <w:p w14:paraId="02A5916E" w14:textId="77777777" w:rsidR="00ED244E" w:rsidRDefault="00ED244E" w:rsidP="00D82385">
      <w:pPr>
        <w:pStyle w:val="ListBullet"/>
      </w:pPr>
      <w:r w:rsidRPr="00E56982">
        <w:rPr>
          <w:b/>
          <w:bCs/>
        </w:rPr>
        <w:t>communication plan</w:t>
      </w:r>
      <w:r w:rsidRPr="00017BF7">
        <w:t xml:space="preserve"> to inform </w:t>
      </w:r>
      <w:r>
        <w:t>individual</w:t>
      </w:r>
      <w:r w:rsidRPr="00017BF7">
        <w:t xml:space="preserve">s, particularly regarding continuity of care for </w:t>
      </w:r>
      <w:r>
        <w:t>individual</w:t>
      </w:r>
      <w:r w:rsidRPr="00017BF7">
        <w:t xml:space="preserve">s in the short term, including </w:t>
      </w:r>
      <w:r w:rsidRPr="00891787">
        <w:t>arrangements</w:t>
      </w:r>
      <w:r w:rsidRPr="00017BF7">
        <w:t xml:space="preserve"> for another service provider to deliver existing services</w:t>
      </w:r>
    </w:p>
    <w:p w14:paraId="24C8C79C" w14:textId="77777777" w:rsidR="00ED244E" w:rsidRDefault="00ED244E" w:rsidP="00D82385">
      <w:pPr>
        <w:pStyle w:val="ListBullet"/>
      </w:pPr>
      <w:r w:rsidRPr="00E56982">
        <w:rPr>
          <w:b/>
          <w:bCs/>
        </w:rPr>
        <w:t>unspent funds</w:t>
      </w:r>
      <w:r w:rsidRPr="00017BF7">
        <w:t xml:space="preserve"> – identification and details of any unspent funds</w:t>
      </w:r>
    </w:p>
    <w:p w14:paraId="56739861" w14:textId="77777777" w:rsidR="00884599" w:rsidRDefault="00ED244E" w:rsidP="00D82385">
      <w:pPr>
        <w:pStyle w:val="ListBullet"/>
        <w:sectPr w:rsidR="00884599" w:rsidSect="00E33A42">
          <w:footerReference w:type="even" r:id="rId149"/>
          <w:footerReference w:type="default" r:id="rId150"/>
          <w:pgSz w:w="11906" w:h="16838"/>
          <w:pgMar w:top="1701" w:right="1418" w:bottom="1418" w:left="1418" w:header="709" w:footer="709" w:gutter="0"/>
          <w:cols w:space="708"/>
          <w:docGrid w:linePitch="360"/>
        </w:sectPr>
      </w:pPr>
      <w:r w:rsidRPr="00E56982">
        <w:rPr>
          <w:b/>
          <w:bCs/>
        </w:rPr>
        <w:t>risks</w:t>
      </w:r>
      <w:r w:rsidRPr="00017BF7">
        <w:t xml:space="preserve"> – identification and details of any risks including any actions taken to date or proposed actions to remedy the risks.</w:t>
      </w:r>
    </w:p>
    <w:p w14:paraId="459E6A50" w14:textId="74FCABDF" w:rsidR="00ED244E" w:rsidRPr="00891787" w:rsidRDefault="00ED244E" w:rsidP="00884599"/>
    <w:sectPr w:rsidR="00ED244E" w:rsidRPr="00891787" w:rsidSect="00E33A42">
      <w:headerReference w:type="even" r:id="rId151"/>
      <w:headerReference w:type="default" r:id="rId152"/>
      <w:footerReference w:type="default" r:id="rId15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23F86" w14:textId="77777777" w:rsidR="00953602" w:rsidRDefault="00953602" w:rsidP="00934368">
      <w:r>
        <w:separator/>
      </w:r>
    </w:p>
    <w:p w14:paraId="1D4BAA2F" w14:textId="77777777" w:rsidR="00953602" w:rsidRDefault="00953602" w:rsidP="00934368"/>
  </w:endnote>
  <w:endnote w:type="continuationSeparator" w:id="0">
    <w:p w14:paraId="14DF16B4" w14:textId="77777777" w:rsidR="00953602" w:rsidRDefault="00953602" w:rsidP="00934368">
      <w:r>
        <w:continuationSeparator/>
      </w:r>
    </w:p>
    <w:p w14:paraId="4D76C0BF" w14:textId="77777777" w:rsidR="00953602" w:rsidRDefault="00953602" w:rsidP="00934368"/>
  </w:endnote>
  <w:endnote w:type="continuationNotice" w:id="1">
    <w:p w14:paraId="5E196340" w14:textId="77777777" w:rsidR="00953602" w:rsidRDefault="0095360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B768" w14:textId="517396F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C61107">
      <w:rPr>
        <w:sz w:val="21"/>
        <w:szCs w:val="21"/>
      </w:rPr>
      <w:t>NATSIFAC</w:t>
    </w:r>
    <w:r w:rsidR="00036D9E">
      <w:rPr>
        <w:sz w:val="21"/>
        <w:szCs w:val="21"/>
      </w:rPr>
      <w:t>P</w:t>
    </w:r>
    <w:r w:rsidR="00C61107">
      <w:rPr>
        <w:sz w:val="21"/>
        <w:szCs w:val="21"/>
      </w:rPr>
      <w:t xml:space="preserve"> </w:t>
    </w:r>
    <w:r w:rsidR="00B50101">
      <w:rPr>
        <w:sz w:val="21"/>
        <w:szCs w:val="21"/>
      </w:rPr>
      <w:t xml:space="preserve">- </w:t>
    </w:r>
    <w:r w:rsidR="00C61107">
      <w:rPr>
        <w:sz w:val="21"/>
        <w:szCs w:val="21"/>
      </w:rPr>
      <w:t>Program Manual 202</w:t>
    </w:r>
    <w:r w:rsidR="00FD7288">
      <w:rPr>
        <w:sz w:val="21"/>
        <w:szCs w:val="21"/>
      </w:rPr>
      <w:t>6</w:t>
    </w:r>
    <w:r w:rsidR="00C61107">
      <w:rPr>
        <w:sz w:val="21"/>
        <w:szCs w:val="21"/>
      </w:rPr>
      <w:t xml:space="preserve"> </w:t>
    </w:r>
    <w:r w:rsidRPr="00A726BE">
      <w:rPr>
        <w:color w:val="1E1545"/>
        <w:sz w:val="21"/>
        <w:szCs w:val="21"/>
      </w:rPr>
      <w:t xml:space="preserve">| </w:t>
    </w:r>
    <w:r w:rsidR="00C25D37">
      <w:rPr>
        <w:sz w:val="21"/>
        <w:szCs w:val="21"/>
      </w:rPr>
      <w:t>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E5AF" w14:textId="6A4E8126" w:rsidR="001A3998" w:rsidRPr="00386805" w:rsidRDefault="001A3998" w:rsidP="00934368">
    <w:pPr>
      <w:pStyle w:val="Footer"/>
      <w:rPr>
        <w:sz w:val="21"/>
        <w:szCs w:val="21"/>
      </w:rPr>
    </w:pPr>
    <w:r>
      <w:rPr>
        <w:sz w:val="21"/>
        <w:szCs w:val="21"/>
      </w:rPr>
      <w:t xml:space="preserve">NATSIFACP - </w:t>
    </w:r>
    <w:sdt>
      <w:sdtPr>
        <w:rPr>
          <w:sz w:val="21"/>
          <w:szCs w:val="21"/>
        </w:rPr>
        <w:id w:val="-1480765364"/>
        <w:docPartObj>
          <w:docPartGallery w:val="Page Numbers (Bottom of Page)"/>
          <w:docPartUnique/>
        </w:docPartObj>
      </w:sdtPr>
      <w:sdtEndPr>
        <w:rPr>
          <w:noProof/>
        </w:rPr>
      </w:sdtEndPr>
      <w:sdtContent>
        <w:r>
          <w:rPr>
            <w:sz w:val="21"/>
            <w:szCs w:val="21"/>
          </w:rPr>
          <w:t>Program Manual 202</w:t>
        </w:r>
        <w:r w:rsidR="00FD7288">
          <w:rPr>
            <w:sz w:val="21"/>
            <w:szCs w:val="21"/>
          </w:rPr>
          <w:t>6</w:t>
        </w:r>
        <w:r w:rsidRPr="00A726BE">
          <w:rPr>
            <w:color w:val="1E1545"/>
            <w:sz w:val="21"/>
            <w:szCs w:val="21"/>
          </w:rPr>
          <w:t xml:space="preserve"> </w:t>
        </w:r>
        <w:r w:rsidRPr="009B5601">
          <w:rPr>
            <w:color w:val="000101" w:themeColor="text1"/>
            <w:sz w:val="21"/>
            <w:szCs w:val="21"/>
          </w:rPr>
          <w:t>|</w:t>
        </w:r>
        <w:r w:rsidRPr="00386805">
          <w:rPr>
            <w:color w:val="2FA2A6" w:themeColor="accent1"/>
            <w:sz w:val="21"/>
            <w:szCs w:val="21"/>
          </w:rPr>
          <w:t xml:space="preserve"> </w:t>
        </w:r>
        <w:r>
          <w:rPr>
            <w:sz w:val="21"/>
            <w:szCs w:val="21"/>
          </w:rPr>
          <w:t>Funding, fees and payments</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D303A" w14:textId="3DD41960" w:rsidR="00F527D3" w:rsidRPr="000F1C1F" w:rsidRDefault="00F527D3" w:rsidP="00C61107">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Pr>
        <w:sz w:val="21"/>
        <w:szCs w:val="21"/>
      </w:rPr>
      <w:t>NATSIFAC</w:t>
    </w:r>
    <w:r w:rsidR="004412F8">
      <w:rPr>
        <w:sz w:val="21"/>
        <w:szCs w:val="21"/>
      </w:rPr>
      <w:t>P</w:t>
    </w:r>
    <w:r>
      <w:rPr>
        <w:sz w:val="21"/>
        <w:szCs w:val="21"/>
      </w:rPr>
      <w:t xml:space="preserve"> - Program Manual 202</w:t>
    </w:r>
    <w:r w:rsidR="00FD7288">
      <w:rPr>
        <w:sz w:val="21"/>
        <w:szCs w:val="21"/>
      </w:rPr>
      <w:t>6</w:t>
    </w:r>
    <w:r>
      <w:rPr>
        <w:sz w:val="21"/>
        <w:szCs w:val="21"/>
      </w:rPr>
      <w:t xml:space="preserve"> </w:t>
    </w:r>
    <w:r w:rsidRPr="00A726BE">
      <w:rPr>
        <w:color w:val="1E1545"/>
        <w:sz w:val="21"/>
        <w:szCs w:val="21"/>
      </w:rPr>
      <w:t xml:space="preserve">| </w:t>
    </w:r>
    <w:r>
      <w:rPr>
        <w:sz w:val="21"/>
        <w:szCs w:val="21"/>
      </w:rPr>
      <w:t>Governance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D3FA" w14:textId="094EEA76" w:rsidR="00F527D3" w:rsidRPr="00386805" w:rsidRDefault="00F527D3" w:rsidP="00934368">
    <w:pPr>
      <w:pStyle w:val="Footer"/>
      <w:rPr>
        <w:sz w:val="21"/>
        <w:szCs w:val="21"/>
      </w:rPr>
    </w:pPr>
    <w:r>
      <w:rPr>
        <w:sz w:val="21"/>
        <w:szCs w:val="21"/>
      </w:rPr>
      <w:t xml:space="preserve">NATSIFACP - </w:t>
    </w:r>
    <w:sdt>
      <w:sdtPr>
        <w:rPr>
          <w:sz w:val="21"/>
          <w:szCs w:val="21"/>
        </w:rPr>
        <w:id w:val="2063828810"/>
        <w:docPartObj>
          <w:docPartGallery w:val="Page Numbers (Bottom of Page)"/>
          <w:docPartUnique/>
        </w:docPartObj>
      </w:sdtPr>
      <w:sdtEndPr>
        <w:rPr>
          <w:noProof/>
        </w:rPr>
      </w:sdtEndPr>
      <w:sdtContent>
        <w:r>
          <w:rPr>
            <w:sz w:val="21"/>
            <w:szCs w:val="21"/>
          </w:rPr>
          <w:t>Program Manual 202</w:t>
        </w:r>
        <w:r w:rsidR="00FD7288">
          <w:rPr>
            <w:sz w:val="21"/>
            <w:szCs w:val="21"/>
          </w:rPr>
          <w:t>6</w:t>
        </w:r>
        <w:r w:rsidRPr="00A726BE">
          <w:rPr>
            <w:color w:val="1E1545"/>
            <w:sz w:val="21"/>
            <w:szCs w:val="21"/>
          </w:rPr>
          <w:t xml:space="preserve"> </w:t>
        </w:r>
        <w:r w:rsidRPr="009B5601">
          <w:rPr>
            <w:color w:val="000101" w:themeColor="text1"/>
            <w:sz w:val="21"/>
            <w:szCs w:val="21"/>
          </w:rPr>
          <w:t>|</w:t>
        </w:r>
        <w:r w:rsidRPr="00386805">
          <w:rPr>
            <w:color w:val="2FA2A6" w:themeColor="accent1"/>
            <w:sz w:val="21"/>
            <w:szCs w:val="21"/>
          </w:rPr>
          <w:t xml:space="preserve"> </w:t>
        </w:r>
        <w:r>
          <w:rPr>
            <w:sz w:val="21"/>
            <w:szCs w:val="21"/>
          </w:rPr>
          <w:t>Governance</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ADEC5" w14:textId="16A02595" w:rsidR="00D95472" w:rsidRPr="000F1C1F" w:rsidRDefault="00D95472" w:rsidP="00C61107">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Pr>
        <w:sz w:val="21"/>
        <w:szCs w:val="21"/>
      </w:rPr>
      <w:t>NATSIFAC</w:t>
    </w:r>
    <w:r w:rsidR="001C1128">
      <w:rPr>
        <w:sz w:val="21"/>
        <w:szCs w:val="21"/>
      </w:rPr>
      <w:t>P</w:t>
    </w:r>
    <w:r>
      <w:rPr>
        <w:sz w:val="21"/>
        <w:szCs w:val="21"/>
      </w:rPr>
      <w:t xml:space="preserve"> - Program Manual 202</w:t>
    </w:r>
    <w:r w:rsidR="00FD7288">
      <w:rPr>
        <w:sz w:val="21"/>
        <w:szCs w:val="21"/>
      </w:rPr>
      <w:t>6</w:t>
    </w:r>
    <w:r>
      <w:rPr>
        <w:sz w:val="21"/>
        <w:szCs w:val="21"/>
      </w:rPr>
      <w:t xml:space="preserve"> </w:t>
    </w:r>
    <w:r w:rsidRPr="00A726BE">
      <w:rPr>
        <w:color w:val="1E1545"/>
        <w:sz w:val="21"/>
        <w:szCs w:val="21"/>
      </w:rPr>
      <w:t xml:space="preserve">| </w:t>
    </w:r>
    <w:r>
      <w:rPr>
        <w:sz w:val="21"/>
        <w:szCs w:val="21"/>
      </w:rPr>
      <w:t>Regulatory mechanisms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0C62" w14:textId="4590B17D" w:rsidR="00B849C8" w:rsidRPr="000F1C1F" w:rsidRDefault="00B849C8" w:rsidP="00C61107">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Pr>
        <w:sz w:val="21"/>
        <w:szCs w:val="21"/>
      </w:rPr>
      <w:t>NATSIFAC</w:t>
    </w:r>
    <w:r w:rsidR="00326270">
      <w:rPr>
        <w:sz w:val="21"/>
        <w:szCs w:val="21"/>
      </w:rPr>
      <w:t>P</w:t>
    </w:r>
    <w:r>
      <w:rPr>
        <w:sz w:val="21"/>
        <w:szCs w:val="21"/>
      </w:rPr>
      <w:t xml:space="preserve"> - Program Manual 202</w:t>
    </w:r>
    <w:r w:rsidR="00FD7288">
      <w:rPr>
        <w:sz w:val="21"/>
        <w:szCs w:val="21"/>
      </w:rPr>
      <w:t>6</w:t>
    </w:r>
    <w:r>
      <w:rPr>
        <w:sz w:val="21"/>
        <w:szCs w:val="21"/>
      </w:rPr>
      <w:t xml:space="preserve"> </w:t>
    </w:r>
    <w:r w:rsidRPr="00A726BE">
      <w:rPr>
        <w:color w:val="1E1545"/>
        <w:sz w:val="21"/>
        <w:szCs w:val="21"/>
      </w:rPr>
      <w:t xml:space="preserve">| </w:t>
    </w:r>
    <w:r>
      <w:rPr>
        <w:sz w:val="21"/>
        <w:szCs w:val="21"/>
      </w:rPr>
      <w:t>Information</w:t>
    </w:r>
    <w:r w:rsidR="0062731C">
      <w:rPr>
        <w:sz w:val="21"/>
        <w:szCs w:val="21"/>
      </w:rPr>
      <w:t xml:space="preserve"> management and reporting</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4912" w14:textId="72E79544" w:rsidR="0062731C" w:rsidRPr="00386805" w:rsidRDefault="0062731C" w:rsidP="00934368">
    <w:pPr>
      <w:pStyle w:val="Footer"/>
      <w:rPr>
        <w:sz w:val="21"/>
        <w:szCs w:val="21"/>
      </w:rPr>
    </w:pPr>
    <w:r>
      <w:rPr>
        <w:sz w:val="21"/>
        <w:szCs w:val="21"/>
      </w:rPr>
      <w:t xml:space="preserve">NATSIFACP - </w:t>
    </w:r>
    <w:sdt>
      <w:sdtPr>
        <w:rPr>
          <w:sz w:val="21"/>
          <w:szCs w:val="21"/>
        </w:rPr>
        <w:id w:val="-40525656"/>
        <w:docPartObj>
          <w:docPartGallery w:val="Page Numbers (Bottom of Page)"/>
          <w:docPartUnique/>
        </w:docPartObj>
      </w:sdtPr>
      <w:sdtEndPr>
        <w:rPr>
          <w:noProof/>
        </w:rPr>
      </w:sdtEndPr>
      <w:sdtContent>
        <w:r>
          <w:rPr>
            <w:sz w:val="21"/>
            <w:szCs w:val="21"/>
          </w:rPr>
          <w:t>Program Manual 202</w:t>
        </w:r>
        <w:r w:rsidR="008D1AE3">
          <w:rPr>
            <w:sz w:val="21"/>
            <w:szCs w:val="21"/>
          </w:rPr>
          <w:t>6</w:t>
        </w:r>
        <w:r w:rsidRPr="00A726BE">
          <w:rPr>
            <w:color w:val="1E1545"/>
            <w:sz w:val="21"/>
            <w:szCs w:val="21"/>
          </w:rPr>
          <w:t xml:space="preserve"> </w:t>
        </w:r>
        <w:r w:rsidRPr="009B5601">
          <w:rPr>
            <w:color w:val="000101" w:themeColor="text1"/>
            <w:sz w:val="21"/>
            <w:szCs w:val="21"/>
          </w:rPr>
          <w:t>|</w:t>
        </w:r>
        <w:r w:rsidRPr="00386805">
          <w:rPr>
            <w:color w:val="2FA2A6" w:themeColor="accent1"/>
            <w:sz w:val="21"/>
            <w:szCs w:val="21"/>
          </w:rPr>
          <w:t xml:space="preserve"> </w:t>
        </w:r>
        <w:r>
          <w:rPr>
            <w:sz w:val="21"/>
            <w:szCs w:val="21"/>
          </w:rPr>
          <w:t>Information management and reporting</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6B82A" w14:textId="46A5E166" w:rsidR="00B167BC" w:rsidRPr="000F1C1F" w:rsidRDefault="00B167BC" w:rsidP="00C61107">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Pr>
        <w:sz w:val="21"/>
        <w:szCs w:val="21"/>
      </w:rPr>
      <w:t>NATSIFAC</w:t>
    </w:r>
    <w:r w:rsidR="00D90D83">
      <w:rPr>
        <w:sz w:val="21"/>
        <w:szCs w:val="21"/>
      </w:rPr>
      <w:t>P</w:t>
    </w:r>
    <w:r>
      <w:rPr>
        <w:sz w:val="21"/>
        <w:szCs w:val="21"/>
      </w:rPr>
      <w:t xml:space="preserve"> - Program Manual 202</w:t>
    </w:r>
    <w:r w:rsidR="008D1AE3">
      <w:rPr>
        <w:sz w:val="21"/>
        <w:szCs w:val="21"/>
      </w:rPr>
      <w:t>6</w:t>
    </w:r>
    <w:r>
      <w:rPr>
        <w:sz w:val="21"/>
        <w:szCs w:val="21"/>
      </w:rPr>
      <w:t xml:space="preserve"> </w:t>
    </w:r>
    <w:r w:rsidRPr="00A726BE">
      <w:rPr>
        <w:color w:val="1E1545"/>
        <w:sz w:val="21"/>
        <w:szCs w:val="21"/>
      </w:rPr>
      <w:t xml:space="preserve">| </w:t>
    </w:r>
    <w:r w:rsidR="00AC16A1">
      <w:rPr>
        <w:sz w:val="21"/>
        <w:szCs w:val="21"/>
      </w:rPr>
      <w:t>Glossary and acronyms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6804" w14:textId="63922316" w:rsidR="004471DC" w:rsidRPr="00386805" w:rsidRDefault="004471DC" w:rsidP="00934368">
    <w:pPr>
      <w:pStyle w:val="Footer"/>
      <w:rPr>
        <w:sz w:val="21"/>
        <w:szCs w:val="21"/>
      </w:rPr>
    </w:pPr>
    <w:r>
      <w:rPr>
        <w:sz w:val="21"/>
        <w:szCs w:val="21"/>
      </w:rPr>
      <w:t xml:space="preserve">NATSIFACP - </w:t>
    </w:r>
    <w:sdt>
      <w:sdtPr>
        <w:rPr>
          <w:sz w:val="21"/>
          <w:szCs w:val="21"/>
        </w:rPr>
        <w:id w:val="1137921317"/>
        <w:docPartObj>
          <w:docPartGallery w:val="Page Numbers (Bottom of Page)"/>
          <w:docPartUnique/>
        </w:docPartObj>
      </w:sdtPr>
      <w:sdtEndPr>
        <w:rPr>
          <w:noProof/>
        </w:rPr>
      </w:sdtEndPr>
      <w:sdtContent>
        <w:r>
          <w:rPr>
            <w:sz w:val="21"/>
            <w:szCs w:val="21"/>
          </w:rPr>
          <w:t>Program Manual 202</w:t>
        </w:r>
        <w:r w:rsidR="008D1AE3">
          <w:rPr>
            <w:sz w:val="21"/>
            <w:szCs w:val="21"/>
          </w:rPr>
          <w:t>6</w:t>
        </w:r>
        <w:r w:rsidRPr="00A726BE">
          <w:rPr>
            <w:color w:val="1E1545"/>
            <w:sz w:val="21"/>
            <w:szCs w:val="21"/>
          </w:rPr>
          <w:t xml:space="preserve"> </w:t>
        </w:r>
        <w:r w:rsidRPr="009B5601">
          <w:rPr>
            <w:color w:val="000101" w:themeColor="text1"/>
            <w:sz w:val="21"/>
            <w:szCs w:val="21"/>
          </w:rPr>
          <w:t>|</w:t>
        </w:r>
        <w:r w:rsidRPr="00386805">
          <w:rPr>
            <w:color w:val="2FA2A6" w:themeColor="accent1"/>
            <w:sz w:val="21"/>
            <w:szCs w:val="21"/>
          </w:rPr>
          <w:t xml:space="preserve"> </w:t>
        </w:r>
        <w:r w:rsidR="00AC16A1">
          <w:rPr>
            <w:sz w:val="21"/>
            <w:szCs w:val="21"/>
          </w:rPr>
          <w:t>Glossary and acronyms</w:t>
        </w:r>
        <w:r>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B5AD9" w14:textId="22245BD4" w:rsidR="00AC16A1" w:rsidRPr="000F1C1F" w:rsidRDefault="001715A6" w:rsidP="00C61107">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82</w:t>
    </w:r>
    <w:r w:rsidRPr="00386805">
      <w:rPr>
        <w:b/>
        <w:bCs/>
        <w:noProof/>
        <w:sz w:val="21"/>
        <w:szCs w:val="21"/>
      </w:rPr>
      <w:fldChar w:fldCharType="end"/>
    </w:r>
    <w:r>
      <w:rPr>
        <w:b/>
        <w:bCs/>
        <w:noProof/>
        <w:sz w:val="21"/>
        <w:szCs w:val="21"/>
      </w:rPr>
      <w:t xml:space="preserve">  </w:t>
    </w:r>
    <w:r>
      <w:rPr>
        <w:sz w:val="21"/>
        <w:szCs w:val="21"/>
      </w:rPr>
      <w:t>NATSIFACP - Program Manual 202</w:t>
    </w:r>
    <w:r w:rsidR="00945F3B">
      <w:rPr>
        <w:sz w:val="21"/>
        <w:szCs w:val="21"/>
      </w:rPr>
      <w:t>6</w:t>
    </w:r>
    <w:r>
      <w:rPr>
        <w:sz w:val="21"/>
        <w:szCs w:val="21"/>
      </w:rPr>
      <w:t xml:space="preserve"> </w:t>
    </w:r>
    <w:r w:rsidRPr="00A726BE">
      <w:rPr>
        <w:color w:val="1E1545"/>
        <w:sz w:val="21"/>
        <w:szCs w:val="21"/>
      </w:rPr>
      <w:t xml:space="preserve">| </w:t>
    </w:r>
    <w:r>
      <w:rPr>
        <w:sz w:val="21"/>
        <w:szCs w:val="21"/>
      </w:rPr>
      <w:t>Appendices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D53EF" w14:textId="35F2290D" w:rsidR="00AC16A1" w:rsidRPr="00386805" w:rsidRDefault="00AC16A1" w:rsidP="00934368">
    <w:pPr>
      <w:pStyle w:val="Footer"/>
      <w:rPr>
        <w:sz w:val="21"/>
        <w:szCs w:val="21"/>
      </w:rPr>
    </w:pPr>
    <w:r>
      <w:rPr>
        <w:sz w:val="21"/>
        <w:szCs w:val="21"/>
      </w:rPr>
      <w:t xml:space="preserve">NATSIFACP - </w:t>
    </w:r>
    <w:sdt>
      <w:sdtPr>
        <w:rPr>
          <w:sz w:val="21"/>
          <w:szCs w:val="21"/>
        </w:rPr>
        <w:id w:val="731202968"/>
        <w:docPartObj>
          <w:docPartGallery w:val="Page Numbers (Bottom of Page)"/>
          <w:docPartUnique/>
        </w:docPartObj>
      </w:sdtPr>
      <w:sdtEndPr>
        <w:rPr>
          <w:noProof/>
        </w:rPr>
      </w:sdtEndPr>
      <w:sdtContent>
        <w:r>
          <w:rPr>
            <w:sz w:val="21"/>
            <w:szCs w:val="21"/>
          </w:rPr>
          <w:t>Program Manual 202</w:t>
        </w:r>
        <w:r w:rsidR="00945F3B">
          <w:rPr>
            <w:sz w:val="21"/>
            <w:szCs w:val="21"/>
          </w:rPr>
          <w:t>6</w:t>
        </w:r>
        <w:r w:rsidRPr="00A726BE">
          <w:rPr>
            <w:color w:val="1E1545"/>
            <w:sz w:val="21"/>
            <w:szCs w:val="21"/>
          </w:rPr>
          <w:t xml:space="preserve"> </w:t>
        </w:r>
        <w:r w:rsidRPr="009B5601">
          <w:rPr>
            <w:color w:val="000101" w:themeColor="text1"/>
            <w:sz w:val="21"/>
            <w:szCs w:val="21"/>
          </w:rPr>
          <w:t>|</w:t>
        </w:r>
        <w:r w:rsidRPr="00386805">
          <w:rPr>
            <w:color w:val="2FA2A6" w:themeColor="accent1"/>
            <w:sz w:val="21"/>
            <w:szCs w:val="21"/>
          </w:rPr>
          <w:t xml:space="preserve"> </w:t>
        </w:r>
        <w:r>
          <w:rPr>
            <w:sz w:val="21"/>
            <w:szCs w:val="21"/>
          </w:rPr>
          <w:t xml:space="preserve">Appendices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337CF" w14:textId="2D2338A7" w:rsidR="0044383F" w:rsidRDefault="0044383F">
    <w:pPr>
      <w:pStyle w:val="Footer"/>
    </w:pPr>
    <w:r>
      <w:rPr>
        <w:noProof/>
      </w:rPr>
      <mc:AlternateContent>
        <mc:Choice Requires="wps">
          <w:drawing>
            <wp:anchor distT="0" distB="0" distL="0" distR="0" simplePos="0" relativeHeight="251658245" behindDoc="0" locked="0" layoutInCell="1" allowOverlap="1" wp14:anchorId="3B411F55" wp14:editId="59430887">
              <wp:simplePos x="635" y="635"/>
              <wp:positionH relativeFrom="page">
                <wp:align>center</wp:align>
              </wp:positionH>
              <wp:positionV relativeFrom="page">
                <wp:align>bottom</wp:align>
              </wp:positionV>
              <wp:extent cx="551815" cy="480695"/>
              <wp:effectExtent l="0" t="0" r="6985" b="0"/>
              <wp:wrapNone/>
              <wp:docPr id="7176774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995A202" w14:textId="0C7512DA"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11F55" id="_x0000_t202" coordsize="21600,21600" o:spt="202" path="m,l,21600r21600,l21600,xe">
              <v:stroke joinstyle="miter"/>
              <v:path gradientshapeok="t" o:connecttype="rect"/>
            </v:shapetype>
            <v:shape id="Text Box 8" o:spid="_x0000_s1028" type="#_x0000_t202" alt="OFFICIAL" style="position:absolute;left:0;text-align:left;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995A202" w14:textId="0C7512DA"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3391F" w14:textId="01AD0C4E" w:rsidR="008D2A8A" w:rsidRPr="00386805" w:rsidRDefault="008D2A8A" w:rsidP="00934368">
    <w:pPr>
      <w:pStyle w:val="Footer"/>
      <w:rPr>
        <w:sz w:val="21"/>
        <w:szCs w:val="21"/>
      </w:rPr>
    </w:pPr>
    <w:r>
      <w:rPr>
        <w:noProof/>
      </w:rPr>
      <w:drawing>
        <wp:anchor distT="0" distB="0" distL="114300" distR="114300" simplePos="0" relativeHeight="251658255" behindDoc="0" locked="0" layoutInCell="1" allowOverlap="1" wp14:anchorId="51433034" wp14:editId="45BE02BC">
          <wp:simplePos x="0" y="0"/>
          <wp:positionH relativeFrom="page">
            <wp:posOffset>2908935</wp:posOffset>
          </wp:positionH>
          <wp:positionV relativeFrom="page">
            <wp:posOffset>8766070</wp:posOffset>
          </wp:positionV>
          <wp:extent cx="4642485" cy="1925955"/>
          <wp:effectExtent l="0" t="0" r="5715" b="0"/>
          <wp:wrapNone/>
          <wp:docPr id="45287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5644"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5DA53" w14:textId="68F60A5A" w:rsidR="00627385" w:rsidRDefault="003B40E7" w:rsidP="00627385">
    <w:pPr>
      <w:tabs>
        <w:tab w:val="right" w:pos="9072"/>
      </w:tabs>
    </w:pPr>
    <w:r>
      <w:rPr>
        <w:noProof/>
      </w:rPr>
      <w:drawing>
        <wp:anchor distT="0" distB="0" distL="114300" distR="114300" simplePos="0" relativeHeight="251658246" behindDoc="0" locked="0" layoutInCell="1" allowOverlap="1" wp14:anchorId="2C373D20" wp14:editId="71B98604">
          <wp:simplePos x="0" y="0"/>
          <wp:positionH relativeFrom="page">
            <wp:posOffset>2965937</wp:posOffset>
          </wp:positionH>
          <wp:positionV relativeFrom="page">
            <wp:posOffset>8850923</wp:posOffset>
          </wp:positionV>
          <wp:extent cx="4596157" cy="1832610"/>
          <wp:effectExtent l="0" t="0" r="1270" b="0"/>
          <wp:wrapNone/>
          <wp:docPr id="854846956"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1">
                    <a:extLst>
                      <a:ext uri="{28A0092B-C50C-407E-A947-70E740481C1C}">
                        <a14:useLocalDpi xmlns:a14="http://schemas.microsoft.com/office/drawing/2010/main" val="0"/>
                      </a:ext>
                    </a:extLst>
                  </a:blip>
                  <a:srcRect l="36153" t="81215"/>
                  <a:stretch>
                    <a:fillRect/>
                  </a:stretch>
                </pic:blipFill>
                <pic:spPr bwMode="auto">
                  <a:xfrm>
                    <a:off x="0" y="0"/>
                    <a:ext cx="4597000" cy="1832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385" w:rsidRPr="00627385">
      <w:t>health.gov.au</w:t>
    </w:r>
    <w:r w:rsidR="00627385">
      <w:tab/>
    </w:r>
    <w:r w:rsidR="00FB7940">
      <w:t>March</w:t>
    </w:r>
    <w:r w:rsidR="00FB7940" w:rsidRPr="00627385">
      <w:t xml:space="preserve"> </w:t>
    </w:r>
    <w:r w:rsidR="00FB7940">
      <w:t>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2980" w14:textId="694DB829" w:rsidR="00ED7BD6" w:rsidRPr="00386805" w:rsidRDefault="00ED7BD6" w:rsidP="00934368">
    <w:pPr>
      <w:pStyle w:val="Footer"/>
      <w:rPr>
        <w:sz w:val="21"/>
        <w:szCs w:val="21"/>
      </w:rPr>
    </w:pP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2A6852">
          <w:rPr>
            <w:sz w:val="21"/>
            <w:szCs w:val="21"/>
          </w:rPr>
          <w:t>NATSIFAC</w:t>
        </w:r>
        <w:r w:rsidR="00717A96">
          <w:rPr>
            <w:sz w:val="21"/>
            <w:szCs w:val="21"/>
          </w:rPr>
          <w:t>P</w:t>
        </w:r>
        <w:r w:rsidR="008E5A10">
          <w:rPr>
            <w:sz w:val="21"/>
            <w:szCs w:val="21"/>
          </w:rPr>
          <w:t xml:space="preserve"> </w:t>
        </w:r>
        <w:r w:rsidR="00D81D3A">
          <w:rPr>
            <w:sz w:val="21"/>
            <w:szCs w:val="21"/>
          </w:rPr>
          <w:t xml:space="preserve">- </w:t>
        </w:r>
        <w:r w:rsidR="008E5A10">
          <w:rPr>
            <w:sz w:val="21"/>
            <w:szCs w:val="21"/>
          </w:rPr>
          <w:t>Program Manual 202</w:t>
        </w:r>
        <w:r w:rsidR="00FD7288">
          <w:rPr>
            <w:sz w:val="21"/>
            <w:szCs w:val="21"/>
          </w:rPr>
          <w:t>6</w:t>
        </w:r>
        <w:r w:rsidR="008E5A10" w:rsidRPr="00A726BE">
          <w:rPr>
            <w:color w:val="1E1545"/>
            <w:sz w:val="21"/>
            <w:szCs w:val="21"/>
          </w:rPr>
          <w:t xml:space="preserve"> </w:t>
        </w:r>
        <w:r w:rsidRPr="009B5601">
          <w:rPr>
            <w:color w:val="000101" w:themeColor="text1"/>
            <w:sz w:val="21"/>
            <w:szCs w:val="21"/>
          </w:rPr>
          <w:t>|</w:t>
        </w:r>
        <w:r w:rsidRPr="00386805">
          <w:rPr>
            <w:color w:val="2FA2A6" w:themeColor="accent1"/>
            <w:sz w:val="21"/>
            <w:szCs w:val="21"/>
          </w:rPr>
          <w:t xml:space="preserve"> </w:t>
        </w:r>
        <w:r w:rsidR="00C25D37">
          <w:rPr>
            <w:sz w:val="21"/>
            <w:szCs w:val="21"/>
          </w:rPr>
          <w:t>Contents</w:t>
        </w:r>
        <w:r>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AF57" w14:textId="61397363" w:rsidR="00D0690C" w:rsidRPr="000F1C1F" w:rsidRDefault="00C61107" w:rsidP="00C61107">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Pr>
        <w:sz w:val="21"/>
        <w:szCs w:val="21"/>
      </w:rPr>
      <w:t>NATSIFAC Program Manual 202</w:t>
    </w:r>
    <w:r w:rsidR="00FD7288">
      <w:rPr>
        <w:sz w:val="21"/>
        <w:szCs w:val="21"/>
      </w:rPr>
      <w:t>6</w:t>
    </w:r>
    <w:r>
      <w:rPr>
        <w:sz w:val="21"/>
        <w:szCs w:val="21"/>
      </w:rPr>
      <w:t xml:space="preserve"> </w:t>
    </w:r>
    <w:r w:rsidRPr="00A726BE">
      <w:rPr>
        <w:color w:val="1E1545"/>
        <w:sz w:val="21"/>
        <w:szCs w:val="21"/>
      </w:rPr>
      <w:t xml:space="preserve">| </w:t>
    </w:r>
    <w:r>
      <w:rPr>
        <w:sz w:val="21"/>
        <w:szCs w:val="21"/>
      </w:rPr>
      <w:t>Introduction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0D8" w14:textId="6322EE0A" w:rsidR="00E33A42" w:rsidRPr="00717C49" w:rsidRDefault="00000000" w:rsidP="00717C49">
    <w:pPr>
      <w:pStyle w:val="Footer"/>
    </w:pPr>
    <w:sdt>
      <w:sdtPr>
        <w:rPr>
          <w:sz w:val="21"/>
          <w:szCs w:val="21"/>
        </w:rPr>
        <w:id w:val="1588420211"/>
        <w:docPartObj>
          <w:docPartGallery w:val="Page Numbers (Bottom of Page)"/>
          <w:docPartUnique/>
        </w:docPartObj>
      </w:sdtPr>
      <w:sdtEndPr>
        <w:rPr>
          <w:noProof/>
        </w:rPr>
      </w:sdtEndPr>
      <w:sdtContent>
        <w:r w:rsidR="00AD7DAA" w:rsidRPr="00386805">
          <w:rPr>
            <w:sz w:val="21"/>
            <w:szCs w:val="21"/>
          </w:rPr>
          <w:tab/>
        </w:r>
        <w:r w:rsidR="00AD7DAA">
          <w:rPr>
            <w:sz w:val="21"/>
            <w:szCs w:val="21"/>
          </w:rPr>
          <w:t>NATSIFACP - Program Manual 202</w:t>
        </w:r>
        <w:r w:rsidR="00FD7288">
          <w:rPr>
            <w:sz w:val="21"/>
            <w:szCs w:val="21"/>
          </w:rPr>
          <w:t>6</w:t>
        </w:r>
        <w:r w:rsidR="00AD7DAA" w:rsidRPr="00A726BE">
          <w:rPr>
            <w:color w:val="1E1545"/>
            <w:sz w:val="21"/>
            <w:szCs w:val="21"/>
          </w:rPr>
          <w:t xml:space="preserve"> </w:t>
        </w:r>
        <w:r w:rsidR="00AD7DAA" w:rsidRPr="009B5601">
          <w:rPr>
            <w:color w:val="000101" w:themeColor="text1"/>
            <w:sz w:val="21"/>
            <w:szCs w:val="21"/>
          </w:rPr>
          <w:t>|</w:t>
        </w:r>
        <w:r w:rsidR="00AD7DAA" w:rsidRPr="00386805">
          <w:rPr>
            <w:color w:val="2FA2A6" w:themeColor="accent1"/>
            <w:sz w:val="21"/>
            <w:szCs w:val="21"/>
          </w:rPr>
          <w:t xml:space="preserve"> </w:t>
        </w:r>
        <w:r w:rsidR="00AD7DAA">
          <w:rPr>
            <w:sz w:val="21"/>
            <w:szCs w:val="21"/>
          </w:rPr>
          <w:t xml:space="preserve">Introduction  </w:t>
        </w:r>
        <w:r w:rsidR="00AD7DAA" w:rsidRPr="00386805">
          <w:rPr>
            <w:b/>
            <w:bCs/>
            <w:sz w:val="21"/>
            <w:szCs w:val="21"/>
          </w:rPr>
          <w:fldChar w:fldCharType="begin"/>
        </w:r>
        <w:r w:rsidR="00AD7DAA" w:rsidRPr="00386805">
          <w:rPr>
            <w:b/>
            <w:bCs/>
            <w:sz w:val="21"/>
            <w:szCs w:val="21"/>
          </w:rPr>
          <w:instrText xml:space="preserve"> PAGE   \* MERGEFORMAT </w:instrText>
        </w:r>
        <w:r w:rsidR="00AD7DAA" w:rsidRPr="00386805">
          <w:rPr>
            <w:b/>
            <w:bCs/>
            <w:sz w:val="21"/>
            <w:szCs w:val="21"/>
          </w:rPr>
          <w:fldChar w:fldCharType="separate"/>
        </w:r>
        <w:r w:rsidR="00AD7DAA">
          <w:rPr>
            <w:b/>
            <w:bCs/>
            <w:sz w:val="21"/>
            <w:szCs w:val="21"/>
          </w:rPr>
          <w:t>7</w:t>
        </w:r>
        <w:r w:rsidR="00AD7DAA" w:rsidRPr="00386805">
          <w:rPr>
            <w:b/>
            <w:bCs/>
            <w:noProof/>
            <w:sz w:val="21"/>
            <w:szCs w:val="21"/>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4C78" w14:textId="6E463170" w:rsidR="00B178E9" w:rsidRPr="000F1C1F" w:rsidRDefault="00B178E9" w:rsidP="00C61107">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Pr>
        <w:sz w:val="21"/>
        <w:szCs w:val="21"/>
      </w:rPr>
      <w:t>NATSIFAC</w:t>
    </w:r>
    <w:r w:rsidR="00344917">
      <w:rPr>
        <w:sz w:val="21"/>
        <w:szCs w:val="21"/>
      </w:rPr>
      <w:t>P</w:t>
    </w:r>
    <w:r>
      <w:rPr>
        <w:sz w:val="21"/>
        <w:szCs w:val="21"/>
      </w:rPr>
      <w:t xml:space="preserve"> </w:t>
    </w:r>
    <w:r w:rsidR="001B38AC">
      <w:rPr>
        <w:sz w:val="21"/>
        <w:szCs w:val="21"/>
      </w:rPr>
      <w:t xml:space="preserve">- </w:t>
    </w:r>
    <w:r>
      <w:rPr>
        <w:sz w:val="21"/>
        <w:szCs w:val="21"/>
      </w:rPr>
      <w:t>Program Manual 202</w:t>
    </w:r>
    <w:r w:rsidR="00FD7288">
      <w:rPr>
        <w:sz w:val="21"/>
        <w:szCs w:val="21"/>
      </w:rPr>
      <w:t>6</w:t>
    </w:r>
    <w:r>
      <w:rPr>
        <w:sz w:val="21"/>
        <w:szCs w:val="21"/>
      </w:rPr>
      <w:t xml:space="preserve"> </w:t>
    </w:r>
    <w:r w:rsidRPr="00A726BE">
      <w:rPr>
        <w:color w:val="1E1545"/>
        <w:sz w:val="21"/>
        <w:szCs w:val="21"/>
      </w:rPr>
      <w:t xml:space="preserve">| </w:t>
    </w:r>
    <w:r>
      <w:rPr>
        <w:sz w:val="21"/>
        <w:szCs w:val="21"/>
      </w:rPr>
      <w:t>Access and entry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1BEB" w14:textId="0A69BD2D" w:rsidR="0075763B" w:rsidRPr="00386805" w:rsidRDefault="00FB4856" w:rsidP="00934368">
    <w:pPr>
      <w:pStyle w:val="Footer"/>
      <w:rPr>
        <w:sz w:val="21"/>
        <w:szCs w:val="21"/>
      </w:rPr>
    </w:pPr>
    <w:r>
      <w:rPr>
        <w:sz w:val="21"/>
        <w:szCs w:val="21"/>
      </w:rPr>
      <w:t>NAT</w:t>
    </w:r>
    <w:r w:rsidR="009B4949">
      <w:rPr>
        <w:sz w:val="21"/>
        <w:szCs w:val="21"/>
      </w:rPr>
      <w:t>SIFACP</w:t>
    </w:r>
    <w:r w:rsidR="001B38AC">
      <w:rPr>
        <w:sz w:val="21"/>
        <w:szCs w:val="21"/>
      </w:rPr>
      <w:t xml:space="preserve"> -</w:t>
    </w:r>
    <w:r w:rsidR="009B4949">
      <w:rPr>
        <w:sz w:val="21"/>
        <w:szCs w:val="21"/>
      </w:rPr>
      <w:t xml:space="preserve"> </w:t>
    </w:r>
    <w:sdt>
      <w:sdtPr>
        <w:rPr>
          <w:sz w:val="21"/>
          <w:szCs w:val="21"/>
        </w:rPr>
        <w:id w:val="1750386394"/>
        <w:docPartObj>
          <w:docPartGallery w:val="Page Numbers (Bottom of Page)"/>
          <w:docPartUnique/>
        </w:docPartObj>
      </w:sdtPr>
      <w:sdtEndPr>
        <w:rPr>
          <w:noProof/>
        </w:rPr>
      </w:sdtEndPr>
      <w:sdtContent>
        <w:r w:rsidR="0075763B">
          <w:rPr>
            <w:sz w:val="21"/>
            <w:szCs w:val="21"/>
          </w:rPr>
          <w:t>Program Manual 202</w:t>
        </w:r>
        <w:r w:rsidR="00FD7288">
          <w:rPr>
            <w:sz w:val="21"/>
            <w:szCs w:val="21"/>
          </w:rPr>
          <w:t>6</w:t>
        </w:r>
        <w:r w:rsidR="0075763B" w:rsidRPr="00A726BE">
          <w:rPr>
            <w:color w:val="1E1545"/>
            <w:sz w:val="21"/>
            <w:szCs w:val="21"/>
          </w:rPr>
          <w:t xml:space="preserve"> </w:t>
        </w:r>
        <w:r w:rsidR="0075763B" w:rsidRPr="009B5601">
          <w:rPr>
            <w:color w:val="000101" w:themeColor="text1"/>
            <w:sz w:val="21"/>
            <w:szCs w:val="21"/>
          </w:rPr>
          <w:t>|</w:t>
        </w:r>
        <w:r w:rsidR="0075763B" w:rsidRPr="00386805">
          <w:rPr>
            <w:color w:val="2FA2A6" w:themeColor="accent1"/>
            <w:sz w:val="21"/>
            <w:szCs w:val="21"/>
          </w:rPr>
          <w:t xml:space="preserve"> </w:t>
        </w:r>
        <w:r w:rsidR="00D47872">
          <w:rPr>
            <w:sz w:val="21"/>
            <w:szCs w:val="21"/>
          </w:rPr>
          <w:t>Access and entry</w:t>
        </w:r>
        <w:r w:rsidR="0075763B" w:rsidRPr="00386805">
          <w:rPr>
            <w:b/>
            <w:bCs/>
            <w:sz w:val="21"/>
            <w:szCs w:val="21"/>
          </w:rPr>
          <w:t xml:space="preserve"> </w:t>
        </w:r>
        <w:r w:rsidR="0075763B">
          <w:rPr>
            <w:b/>
            <w:bCs/>
            <w:sz w:val="21"/>
            <w:szCs w:val="21"/>
          </w:rPr>
          <w:t xml:space="preserve"> </w:t>
        </w:r>
        <w:r w:rsidR="0075763B" w:rsidRPr="00386805">
          <w:rPr>
            <w:b/>
            <w:bCs/>
            <w:sz w:val="21"/>
            <w:szCs w:val="21"/>
          </w:rPr>
          <w:fldChar w:fldCharType="begin"/>
        </w:r>
        <w:r w:rsidR="0075763B" w:rsidRPr="00386805">
          <w:rPr>
            <w:b/>
            <w:bCs/>
            <w:sz w:val="21"/>
            <w:szCs w:val="21"/>
          </w:rPr>
          <w:instrText xml:space="preserve"> PAGE   \* MERGEFORMAT </w:instrText>
        </w:r>
        <w:r w:rsidR="0075763B" w:rsidRPr="00386805">
          <w:rPr>
            <w:b/>
            <w:bCs/>
            <w:sz w:val="21"/>
            <w:szCs w:val="21"/>
          </w:rPr>
          <w:fldChar w:fldCharType="separate"/>
        </w:r>
        <w:r w:rsidR="0075763B">
          <w:rPr>
            <w:b/>
            <w:bCs/>
            <w:sz w:val="21"/>
            <w:szCs w:val="21"/>
          </w:rPr>
          <w:t>3</w:t>
        </w:r>
        <w:r w:rsidR="0075763B" w:rsidRPr="00386805">
          <w:rPr>
            <w:b/>
            <w:bCs/>
            <w:noProof/>
            <w:sz w:val="21"/>
            <w:szCs w:val="21"/>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4377" w14:textId="3DE93E1C" w:rsidR="001A3998" w:rsidRPr="000F1C1F" w:rsidRDefault="001A3998" w:rsidP="00C61107">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Pr>
        <w:sz w:val="21"/>
        <w:szCs w:val="21"/>
      </w:rPr>
      <w:t>NATSIFAC</w:t>
    </w:r>
    <w:r w:rsidR="0098258B">
      <w:rPr>
        <w:sz w:val="21"/>
        <w:szCs w:val="21"/>
      </w:rPr>
      <w:t>P</w:t>
    </w:r>
    <w:r>
      <w:rPr>
        <w:sz w:val="21"/>
        <w:szCs w:val="21"/>
      </w:rPr>
      <w:t xml:space="preserve"> - Program Manual 202</w:t>
    </w:r>
    <w:r w:rsidR="00FD7288">
      <w:rPr>
        <w:sz w:val="21"/>
        <w:szCs w:val="21"/>
      </w:rPr>
      <w:t>6</w:t>
    </w:r>
    <w:r>
      <w:rPr>
        <w:sz w:val="21"/>
        <w:szCs w:val="21"/>
      </w:rPr>
      <w:t xml:space="preserve"> </w:t>
    </w:r>
    <w:r w:rsidRPr="00A726BE">
      <w:rPr>
        <w:color w:val="1E1545"/>
        <w:sz w:val="21"/>
        <w:szCs w:val="21"/>
      </w:rPr>
      <w:t xml:space="preserve">| </w:t>
    </w:r>
    <w:r>
      <w:rPr>
        <w:sz w:val="21"/>
        <w:szCs w:val="21"/>
      </w:rPr>
      <w:t>Funding, fees and payments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5677D" w14:textId="77777777" w:rsidR="00953602" w:rsidRDefault="00953602" w:rsidP="00FE507B">
      <w:r>
        <w:separator/>
      </w:r>
    </w:p>
  </w:footnote>
  <w:footnote w:type="continuationSeparator" w:id="0">
    <w:p w14:paraId="4D0CC626" w14:textId="77777777" w:rsidR="00953602" w:rsidRDefault="00953602" w:rsidP="00934368">
      <w:r>
        <w:continuationSeparator/>
      </w:r>
    </w:p>
    <w:p w14:paraId="7E1A83D5" w14:textId="77777777" w:rsidR="00953602" w:rsidRDefault="00953602" w:rsidP="00934368"/>
  </w:footnote>
  <w:footnote w:type="continuationNotice" w:id="1">
    <w:p w14:paraId="74F021B4" w14:textId="77777777" w:rsidR="00953602" w:rsidRDefault="00953602" w:rsidP="00934368"/>
  </w:footnote>
  <w:footnote w:id="2">
    <w:p w14:paraId="208BE35E" w14:textId="77777777" w:rsidR="0014260F" w:rsidRDefault="0014260F" w:rsidP="0014260F">
      <w:pPr>
        <w:pStyle w:val="FootnoteText"/>
      </w:pPr>
      <w:r>
        <w:rPr>
          <w:rStyle w:val="FootnoteReference"/>
        </w:rPr>
        <w:footnoteRef/>
      </w:r>
      <w:r>
        <w:t xml:space="preserve"> Section 71 of the </w:t>
      </w:r>
      <w:r w:rsidRPr="007E3ACA">
        <w:rPr>
          <w:i/>
          <w:iCs/>
        </w:rPr>
        <w:t>Aged Care Act 2024</w:t>
      </w:r>
      <w:r>
        <w:rPr>
          <w:i/>
          <w:iCs/>
        </w:rPr>
        <w:t>.</w:t>
      </w:r>
    </w:p>
  </w:footnote>
  <w:footnote w:id="3">
    <w:p w14:paraId="319E5CA6" w14:textId="77777777" w:rsidR="0014260F" w:rsidRPr="007E3ACA" w:rsidRDefault="0014260F" w:rsidP="0014260F">
      <w:pPr>
        <w:pStyle w:val="FootnoteText"/>
        <w:rPr>
          <w:i/>
          <w:iCs/>
        </w:rPr>
      </w:pPr>
      <w:r>
        <w:rPr>
          <w:rStyle w:val="FootnoteReference"/>
        </w:rPr>
        <w:footnoteRef/>
      </w:r>
      <w:r>
        <w:t xml:space="preserve"> Section 71 of the </w:t>
      </w:r>
      <w:r>
        <w:rPr>
          <w:i/>
          <w:iCs/>
        </w:rPr>
        <w:t>Aged Care Act 2024</w:t>
      </w:r>
      <w:r>
        <w:t xml:space="preserve"> and rule 71-5 of the </w:t>
      </w:r>
      <w:r w:rsidRPr="0009337E">
        <w:t>Aged Care Rules 2025</w:t>
      </w:r>
      <w:r>
        <w:rPr>
          <w:i/>
          <w:iCs/>
        </w:rPr>
        <w:t>.</w:t>
      </w:r>
    </w:p>
  </w:footnote>
  <w:footnote w:id="4">
    <w:p w14:paraId="23551B6E" w14:textId="77777777" w:rsidR="0014260F" w:rsidRPr="007E3ACA" w:rsidRDefault="0014260F" w:rsidP="0014260F">
      <w:pPr>
        <w:pStyle w:val="FootnoteText"/>
        <w:rPr>
          <w:i/>
          <w:iCs/>
        </w:rPr>
      </w:pPr>
      <w:r>
        <w:rPr>
          <w:rStyle w:val="FootnoteReference"/>
        </w:rPr>
        <w:footnoteRef/>
      </w:r>
      <w:r>
        <w:t xml:space="preserve"> Section 71(6) of the </w:t>
      </w:r>
      <w:r>
        <w:rPr>
          <w:i/>
          <w:iCs/>
        </w:rPr>
        <w:t>Aged Care Act 2024.</w:t>
      </w:r>
    </w:p>
  </w:footnote>
  <w:footnote w:id="5">
    <w:p w14:paraId="6E6EDA80" w14:textId="77777777" w:rsidR="00ED244E" w:rsidRDefault="00ED244E" w:rsidP="00ED244E">
      <w:pPr>
        <w:pStyle w:val="FootnoteText"/>
      </w:pPr>
      <w:r>
        <w:rPr>
          <w:rStyle w:val="FootnoteReference"/>
        </w:rPr>
        <w:footnoteRef/>
      </w:r>
      <w:r>
        <w:t xml:space="preserve"> Section 153(1)(a) and 153(2) of the Act and Rules 153-5, 153-10 and 153-15 of the Aged Care Rules 2025.</w:t>
      </w:r>
    </w:p>
  </w:footnote>
  <w:footnote w:id="6">
    <w:p w14:paraId="2DC15FA8" w14:textId="687BB321" w:rsidR="00ED244E" w:rsidRPr="00B5377C" w:rsidRDefault="00ED244E" w:rsidP="00ED244E">
      <w:pPr>
        <w:pStyle w:val="FootnoteText"/>
        <w:tabs>
          <w:tab w:val="center" w:pos="4535"/>
        </w:tabs>
        <w:rPr>
          <w:color w:val="000101" w:themeColor="text1"/>
        </w:rPr>
      </w:pPr>
      <w:r w:rsidRPr="00B5377C">
        <w:rPr>
          <w:rStyle w:val="FootnoteReference"/>
          <w:color w:val="000101" w:themeColor="text1"/>
        </w:rPr>
        <w:footnoteRef/>
      </w:r>
      <w:r w:rsidRPr="00B5377C">
        <w:rPr>
          <w:color w:val="000101" w:themeColor="text1"/>
        </w:rPr>
        <w:t xml:space="preserve"> Section 23 of the </w:t>
      </w:r>
      <w:r w:rsidRPr="00380C0C">
        <w:rPr>
          <w:i/>
          <w:iCs/>
          <w:color w:val="000101" w:themeColor="text1"/>
        </w:rPr>
        <w:t>Aged Care Act 2024</w:t>
      </w:r>
      <w:r>
        <w:rPr>
          <w:i/>
          <w:iCs/>
          <w:color w:val="000101" w:themeColor="text1"/>
        </w:rPr>
        <w:t>.</w:t>
      </w:r>
    </w:p>
  </w:footnote>
  <w:footnote w:id="7">
    <w:p w14:paraId="6E7F6CF2" w14:textId="77777777" w:rsidR="00ED244E" w:rsidRDefault="00ED244E" w:rsidP="00ED244E">
      <w:pPr>
        <w:pStyle w:val="FootnoteText"/>
      </w:pPr>
      <w:r w:rsidRPr="00B5377C">
        <w:rPr>
          <w:rStyle w:val="FootnoteReference"/>
          <w:color w:val="000101" w:themeColor="text1"/>
        </w:rPr>
        <w:footnoteRef/>
      </w:r>
      <w:r w:rsidRPr="00B5377C">
        <w:rPr>
          <w:color w:val="000101" w:themeColor="text1"/>
        </w:rPr>
        <w:t xml:space="preserve"> Rules 14-1 to 14-10 of the </w:t>
      </w:r>
      <w:r w:rsidRPr="0009337E">
        <w:rPr>
          <w:color w:val="000101" w:themeColor="text1"/>
        </w:rPr>
        <w:t>Aged Care Rules 2025</w:t>
      </w:r>
      <w:r>
        <w:rPr>
          <w:color w:val="000101" w:themeColor="text1"/>
        </w:rPr>
        <w:t>.</w:t>
      </w:r>
    </w:p>
  </w:footnote>
  <w:footnote w:id="8">
    <w:p w14:paraId="2983739B" w14:textId="77777777" w:rsidR="00ED244E" w:rsidRDefault="00ED244E" w:rsidP="00ED244E">
      <w:pPr>
        <w:pStyle w:val="FootnoteText"/>
      </w:pPr>
      <w:r>
        <w:rPr>
          <w:rStyle w:val="FootnoteReference"/>
        </w:rPr>
        <w:footnoteRef/>
      </w:r>
      <w:r>
        <w:t xml:space="preserve"> Rule </w:t>
      </w:r>
      <w:r w:rsidRPr="00EA56FF">
        <w:t>148</w:t>
      </w:r>
      <w:r w:rsidRPr="00EA56FF">
        <w:noBreakHyphen/>
        <w:t>70</w:t>
      </w:r>
      <w:r>
        <w:t xml:space="preserve"> of the Aged Care Rules 2025.</w:t>
      </w:r>
    </w:p>
  </w:footnote>
  <w:footnote w:id="9">
    <w:p w14:paraId="32F6C62B" w14:textId="77777777" w:rsidR="00ED244E" w:rsidRDefault="00ED244E" w:rsidP="00ED244E">
      <w:pPr>
        <w:pStyle w:val="FootnoteText"/>
      </w:pPr>
      <w:r>
        <w:rPr>
          <w:rStyle w:val="FootnoteReference"/>
        </w:rPr>
        <w:footnoteRef/>
      </w:r>
      <w:r>
        <w:t xml:space="preserve"> Rule 149-35 of the </w:t>
      </w:r>
      <w:r w:rsidRPr="0009337E">
        <w:t>Aged Care Rules 2025</w:t>
      </w:r>
      <w:r>
        <w:t>.</w:t>
      </w:r>
    </w:p>
  </w:footnote>
  <w:footnote w:id="10">
    <w:p w14:paraId="54FB9D4F" w14:textId="229E8DA0" w:rsidR="00AB2D72" w:rsidRDefault="00AB2D72">
      <w:pPr>
        <w:pStyle w:val="FootnoteText"/>
      </w:pPr>
      <w:r>
        <w:rPr>
          <w:rStyle w:val="FootnoteReference"/>
        </w:rPr>
        <w:footnoteRef/>
      </w:r>
      <w:r>
        <w:t xml:space="preserve"> Rule 149-45 of the Aged Care Rules 2025.</w:t>
      </w:r>
    </w:p>
  </w:footnote>
  <w:footnote w:id="11">
    <w:p w14:paraId="401D36B0" w14:textId="77777777" w:rsidR="00ED244E" w:rsidRDefault="00ED244E" w:rsidP="00ED244E">
      <w:pPr>
        <w:pStyle w:val="FootnoteText"/>
      </w:pPr>
      <w:r>
        <w:rPr>
          <w:rStyle w:val="FootnoteReference"/>
        </w:rPr>
        <w:footnoteRef/>
      </w:r>
      <w:r>
        <w:t xml:space="preserve"> Rule 149-70 of the Aged Care Rules 2025.</w:t>
      </w:r>
    </w:p>
  </w:footnote>
  <w:footnote w:id="12">
    <w:p w14:paraId="3BC7DA53" w14:textId="77777777" w:rsidR="00ED244E" w:rsidRDefault="00ED244E" w:rsidP="00ED244E">
      <w:pPr>
        <w:pStyle w:val="FootnoteText"/>
      </w:pPr>
      <w:r>
        <w:rPr>
          <w:rStyle w:val="FootnoteReference"/>
        </w:rPr>
        <w:footnoteRef/>
      </w:r>
      <w:r>
        <w:t xml:space="preserve"> Rule 149-75 of the </w:t>
      </w:r>
      <w:r w:rsidRPr="0009337E">
        <w:t>Aged Care Rules</w:t>
      </w:r>
      <w:r>
        <w:t xml:space="preserve"> </w:t>
      </w:r>
      <w:r w:rsidRPr="0009337E">
        <w:t>2025</w:t>
      </w:r>
      <w:r>
        <w:t>.</w:t>
      </w:r>
    </w:p>
  </w:footnote>
  <w:footnote w:id="13">
    <w:p w14:paraId="7D0F7A90" w14:textId="77777777" w:rsidR="00ED244E" w:rsidRDefault="00ED244E" w:rsidP="00ED244E">
      <w:pPr>
        <w:pStyle w:val="FootnoteText"/>
      </w:pPr>
      <w:r>
        <w:rPr>
          <w:rStyle w:val="FootnoteReference"/>
        </w:rPr>
        <w:footnoteRef/>
      </w:r>
      <w:r>
        <w:t xml:space="preserve"> Section 286(4) of the </w:t>
      </w:r>
      <w:r w:rsidRPr="0091010B">
        <w:rPr>
          <w:i/>
          <w:iCs/>
        </w:rPr>
        <w:t>Aged Care Act 2024</w:t>
      </w:r>
      <w:r>
        <w:t>.</w:t>
      </w:r>
    </w:p>
  </w:footnote>
  <w:footnote w:id="14">
    <w:p w14:paraId="55DDF367" w14:textId="77777777" w:rsidR="00ED244E" w:rsidRDefault="00ED244E" w:rsidP="00ED244E">
      <w:pPr>
        <w:pStyle w:val="FootnoteText"/>
      </w:pPr>
      <w:r>
        <w:rPr>
          <w:rStyle w:val="FootnoteReference"/>
        </w:rPr>
        <w:footnoteRef/>
      </w:r>
      <w:r>
        <w:t xml:space="preserve"> Rule 149-80 of the </w:t>
      </w:r>
      <w:r w:rsidRPr="0009337E">
        <w:t>Aged Care Rules 2025</w:t>
      </w:r>
      <w:r>
        <w:t xml:space="preserve">. </w:t>
      </w:r>
    </w:p>
  </w:footnote>
  <w:footnote w:id="15">
    <w:p w14:paraId="3ECF9175" w14:textId="77777777" w:rsidR="00ED244E" w:rsidRDefault="00ED244E" w:rsidP="00ED244E">
      <w:pPr>
        <w:pStyle w:val="FootnoteText"/>
      </w:pPr>
      <w:r>
        <w:rPr>
          <w:rStyle w:val="FootnoteReference"/>
        </w:rPr>
        <w:footnoteRef/>
      </w:r>
      <w:r>
        <w:t xml:space="preserve"> Section 168 of the </w:t>
      </w:r>
      <w:r w:rsidRPr="0091010B">
        <w:rPr>
          <w:i/>
          <w:iCs/>
        </w:rPr>
        <w:t>Aged Care Act 2024</w:t>
      </w:r>
      <w:r>
        <w:t>.</w:t>
      </w:r>
    </w:p>
  </w:footnote>
  <w:footnote w:id="16">
    <w:p w14:paraId="3C0C0394" w14:textId="77777777" w:rsidR="00ED244E" w:rsidRDefault="00ED244E" w:rsidP="00ED244E">
      <w:pPr>
        <w:pStyle w:val="FootnoteText"/>
      </w:pPr>
      <w:r>
        <w:rPr>
          <w:rStyle w:val="FootnoteReference"/>
        </w:rPr>
        <w:footnoteRef/>
      </w:r>
      <w:r>
        <w:t xml:space="preserve"> Section 147 of the </w:t>
      </w:r>
      <w:r w:rsidRPr="0091010B">
        <w:rPr>
          <w:i/>
          <w:iCs/>
        </w:rPr>
        <w:t>Aged Care Act 2024</w:t>
      </w:r>
      <w:r>
        <w:t xml:space="preserve"> and rule 147-5 of the </w:t>
      </w:r>
      <w:r w:rsidRPr="0009337E">
        <w:t>Aged Care Rules 2025</w:t>
      </w:r>
      <w:r>
        <w:t>.</w:t>
      </w:r>
    </w:p>
  </w:footnote>
  <w:footnote w:id="17">
    <w:p w14:paraId="33F228F2" w14:textId="77777777" w:rsidR="00ED244E" w:rsidRDefault="00ED244E" w:rsidP="00ED244E">
      <w:pPr>
        <w:pStyle w:val="FootnoteText"/>
      </w:pPr>
      <w:r>
        <w:rPr>
          <w:rStyle w:val="FootnoteReference"/>
        </w:rPr>
        <w:footnoteRef/>
      </w:r>
      <w:r>
        <w:t xml:space="preserve"> Rule 148-15 of the </w:t>
      </w:r>
      <w:r w:rsidRPr="0009337E">
        <w:t>Aged Care Rules 2025</w:t>
      </w:r>
      <w:r>
        <w:t>.</w:t>
      </w:r>
    </w:p>
  </w:footnote>
  <w:footnote w:id="18">
    <w:p w14:paraId="6C19A022" w14:textId="77777777" w:rsidR="00ED244E" w:rsidRDefault="00ED244E" w:rsidP="00ED244E">
      <w:pPr>
        <w:pStyle w:val="FootnoteText"/>
      </w:pPr>
      <w:r>
        <w:rPr>
          <w:rStyle w:val="FootnoteReference"/>
        </w:rPr>
        <w:footnoteRef/>
      </w:r>
      <w:r>
        <w:t xml:space="preserve"> Rule 176-35 of the </w:t>
      </w:r>
      <w:r w:rsidRPr="0009337E">
        <w:t>Aged Care Rules 2025</w:t>
      </w:r>
      <w:r>
        <w:t>.</w:t>
      </w:r>
    </w:p>
  </w:footnote>
  <w:footnote w:id="19">
    <w:p w14:paraId="2E21187C" w14:textId="77777777" w:rsidR="00ED244E" w:rsidRDefault="00ED244E" w:rsidP="00ED244E">
      <w:pPr>
        <w:pStyle w:val="FootnoteText"/>
      </w:pPr>
      <w:r>
        <w:rPr>
          <w:rStyle w:val="FootnoteReference"/>
        </w:rPr>
        <w:footnoteRef/>
      </w:r>
      <w:r>
        <w:t xml:space="preserve"> Section 147 of the </w:t>
      </w:r>
      <w:r w:rsidRPr="0091010B">
        <w:rPr>
          <w:i/>
          <w:iCs/>
        </w:rPr>
        <w:t>Aged Care Act 2024</w:t>
      </w:r>
      <w:r>
        <w:t xml:space="preserve"> and rule 147-5 of the </w:t>
      </w:r>
      <w:r w:rsidRPr="0009337E">
        <w:t>Aged Care Rules 2025</w:t>
      </w:r>
      <w:r>
        <w:t>.</w:t>
      </w:r>
    </w:p>
  </w:footnote>
  <w:footnote w:id="20">
    <w:p w14:paraId="46B528AF" w14:textId="77777777" w:rsidR="00ED244E" w:rsidRDefault="00ED244E" w:rsidP="00ED244E">
      <w:pPr>
        <w:pStyle w:val="FootnoteText"/>
      </w:pPr>
      <w:r>
        <w:rPr>
          <w:rStyle w:val="FootnoteReference"/>
        </w:rPr>
        <w:footnoteRef/>
      </w:r>
      <w:r>
        <w:t xml:space="preserve"> Rule 148-20 of the Aged Care Rules 2025.</w:t>
      </w:r>
    </w:p>
  </w:footnote>
  <w:footnote w:id="21">
    <w:p w14:paraId="2EE6A109" w14:textId="77777777" w:rsidR="00ED244E" w:rsidRDefault="00ED244E" w:rsidP="00ED244E">
      <w:pPr>
        <w:pStyle w:val="FootnoteText"/>
      </w:pPr>
      <w:r>
        <w:rPr>
          <w:rStyle w:val="FootnoteReference"/>
        </w:rPr>
        <w:footnoteRef/>
      </w:r>
      <w:r>
        <w:t xml:space="preserve"> Rule 148-30 of the </w:t>
      </w:r>
      <w:r w:rsidRPr="00B77835">
        <w:t>Aged Care Rules 2025</w:t>
      </w:r>
    </w:p>
  </w:footnote>
  <w:footnote w:id="22">
    <w:p w14:paraId="60BC997B" w14:textId="77777777" w:rsidR="00ED244E" w:rsidRPr="00BD0D43" w:rsidRDefault="00ED244E" w:rsidP="00ED244E">
      <w:pPr>
        <w:pStyle w:val="FootnoteText"/>
        <w:rPr>
          <w:i/>
          <w:iCs/>
        </w:rPr>
      </w:pPr>
      <w:r>
        <w:rPr>
          <w:rStyle w:val="FootnoteReference"/>
        </w:rPr>
        <w:footnoteRef/>
      </w:r>
      <w:r>
        <w:t xml:space="preserve"> Rule 162-15 of the </w:t>
      </w:r>
      <w:r w:rsidRPr="00B77835">
        <w:t>Aged Care Rules 2025</w:t>
      </w:r>
      <w:r w:rsidRPr="00BD0D43">
        <w:rPr>
          <w:i/>
          <w:iCs/>
        </w:rPr>
        <w:t>.</w:t>
      </w:r>
    </w:p>
  </w:footnote>
  <w:footnote w:id="23">
    <w:p w14:paraId="27B4467C" w14:textId="77777777" w:rsidR="00C622FF" w:rsidRDefault="00C622FF" w:rsidP="00C622FF">
      <w:pPr>
        <w:pStyle w:val="FootnoteText"/>
      </w:pPr>
      <w:r>
        <w:rPr>
          <w:rStyle w:val="FootnoteReference"/>
        </w:rPr>
        <w:footnoteRef/>
      </w:r>
      <w:r>
        <w:t xml:space="preserve"> Rule 148-25 of the </w:t>
      </w:r>
      <w:r w:rsidRPr="00B77835">
        <w:t>Aged Care Rules 2025</w:t>
      </w:r>
      <w:r>
        <w:t>.</w:t>
      </w:r>
    </w:p>
  </w:footnote>
  <w:footnote w:id="24">
    <w:p w14:paraId="71D293E0" w14:textId="77777777" w:rsidR="00ED244E" w:rsidRDefault="00ED244E" w:rsidP="00ED244E">
      <w:pPr>
        <w:pStyle w:val="FootnoteText"/>
      </w:pPr>
    </w:p>
  </w:footnote>
  <w:footnote w:id="25">
    <w:p w14:paraId="367FEEEA" w14:textId="77777777" w:rsidR="00ED244E" w:rsidRDefault="00ED244E" w:rsidP="00ED244E">
      <w:pPr>
        <w:pStyle w:val="FootnoteText"/>
      </w:pPr>
      <w:r>
        <w:rPr>
          <w:rStyle w:val="FootnoteReference"/>
        </w:rPr>
        <w:footnoteRef/>
      </w:r>
      <w:r>
        <w:t xml:space="preserve"> Section 267 regarding grants made under s 264(2) of the </w:t>
      </w:r>
      <w:r w:rsidRPr="0091010B">
        <w:rPr>
          <w:i/>
          <w:iCs/>
        </w:rPr>
        <w:t>Aged Care Act 2024</w:t>
      </w:r>
      <w:r>
        <w:t xml:space="preserve">. </w:t>
      </w:r>
    </w:p>
  </w:footnote>
  <w:footnote w:id="26">
    <w:p w14:paraId="64FD4845" w14:textId="77777777" w:rsidR="00ED244E" w:rsidRDefault="00ED244E" w:rsidP="00ED244E">
      <w:pPr>
        <w:pStyle w:val="FootnoteText"/>
      </w:pPr>
      <w:r>
        <w:rPr>
          <w:rStyle w:val="FootnoteReference"/>
        </w:rPr>
        <w:footnoteRef/>
      </w:r>
      <w:r>
        <w:t xml:space="preserve"> Section 286-10 of the </w:t>
      </w:r>
      <w:r w:rsidRPr="00F53984">
        <w:rPr>
          <w:i/>
          <w:iCs/>
        </w:rPr>
        <w:t>Aged Care Act 202</w:t>
      </w:r>
      <w:r>
        <w:rPr>
          <w:i/>
          <w:iCs/>
        </w:rPr>
        <w:t>4.</w:t>
      </w:r>
    </w:p>
  </w:footnote>
  <w:footnote w:id="27">
    <w:p w14:paraId="050A3316" w14:textId="77777777" w:rsidR="00481FB4" w:rsidRDefault="00481FB4" w:rsidP="00481FB4">
      <w:pPr>
        <w:pStyle w:val="FootnoteText"/>
      </w:pPr>
      <w:r>
        <w:rPr>
          <w:rStyle w:val="FootnoteReference"/>
        </w:rPr>
        <w:footnoteRef/>
      </w:r>
      <w:r>
        <w:t xml:space="preserve"> Section 286 of the </w:t>
      </w:r>
      <w:r w:rsidRPr="00F53984">
        <w:rPr>
          <w:i/>
          <w:iCs/>
        </w:rPr>
        <w:t>Aged Care Act 202</w:t>
      </w:r>
      <w:r>
        <w:rPr>
          <w:i/>
          <w:iCs/>
        </w:rPr>
        <w:t>4.</w:t>
      </w:r>
    </w:p>
  </w:footnote>
  <w:footnote w:id="28">
    <w:p w14:paraId="0DD4212C" w14:textId="77777777" w:rsidR="00204F73" w:rsidRDefault="00204F73" w:rsidP="00204F73">
      <w:pPr>
        <w:pStyle w:val="FootnoteText"/>
      </w:pPr>
      <w:r>
        <w:rPr>
          <w:rStyle w:val="FootnoteReference"/>
        </w:rPr>
        <w:footnoteRef/>
      </w:r>
      <w:r>
        <w:t xml:space="preserve"> Rule 286-10 of the </w:t>
      </w:r>
      <w:r w:rsidRPr="00B77835">
        <w:t>Aged Care Rules 2025</w:t>
      </w:r>
      <w:r>
        <w:t>.</w:t>
      </w:r>
    </w:p>
  </w:footnote>
  <w:footnote w:id="29">
    <w:p w14:paraId="07DDE556" w14:textId="77777777" w:rsidR="00ED244E" w:rsidRDefault="00ED244E" w:rsidP="00ED244E">
      <w:pPr>
        <w:pStyle w:val="FootnoteText"/>
      </w:pPr>
      <w:r>
        <w:rPr>
          <w:rStyle w:val="FootnoteReference"/>
        </w:rPr>
        <w:footnoteRef/>
      </w:r>
      <w:r>
        <w:t xml:space="preserve"> Rule 286-25 of the </w:t>
      </w:r>
      <w:r w:rsidRPr="00B77835">
        <w:t>Aged Care Rules 2025</w:t>
      </w:r>
      <w:r>
        <w:t>.</w:t>
      </w:r>
    </w:p>
  </w:footnote>
  <w:footnote w:id="30">
    <w:p w14:paraId="66B3BDD3" w14:textId="77777777" w:rsidR="00ED244E" w:rsidRDefault="00ED244E" w:rsidP="00ED244E">
      <w:pPr>
        <w:pStyle w:val="FootnoteText"/>
      </w:pPr>
      <w:r>
        <w:rPr>
          <w:rStyle w:val="FootnoteReference"/>
        </w:rPr>
        <w:footnoteRef/>
      </w:r>
      <w:r>
        <w:t xml:space="preserve"> Rule 286-20 of the </w:t>
      </w:r>
      <w:r w:rsidRPr="00B77835">
        <w:t>Aged Care Rules 2025</w:t>
      </w:r>
      <w:r>
        <w:t>.</w:t>
      </w:r>
    </w:p>
  </w:footnote>
  <w:footnote w:id="31">
    <w:p w14:paraId="18864097" w14:textId="77777777" w:rsidR="00ED244E" w:rsidRDefault="00ED244E" w:rsidP="00ED244E">
      <w:pPr>
        <w:pStyle w:val="FootnoteText"/>
      </w:pPr>
      <w:r>
        <w:rPr>
          <w:rStyle w:val="FootnoteReference"/>
        </w:rPr>
        <w:footnoteRef/>
      </w:r>
      <w:r>
        <w:t xml:space="preserve"> Rule 285-17 of the </w:t>
      </w:r>
      <w:r w:rsidRPr="00B77835">
        <w:t>Aged Care Rules 2025</w:t>
      </w:r>
      <w:r>
        <w:t>.</w:t>
      </w:r>
    </w:p>
  </w:footnote>
  <w:footnote w:id="32">
    <w:p w14:paraId="71689AC6" w14:textId="77777777" w:rsidR="00ED244E" w:rsidRDefault="00ED244E" w:rsidP="00ED244E">
      <w:pPr>
        <w:pStyle w:val="FootnoteText"/>
      </w:pPr>
      <w:r>
        <w:rPr>
          <w:rStyle w:val="FootnoteReference"/>
        </w:rPr>
        <w:footnoteRef/>
      </w:r>
      <w:r>
        <w:t xml:space="preserve"> Program assurance activities are separate to grant-funding related compliance activities of the department. The department will work internally to reduce the burden on providers from such activities where appropriate, for example aligning any site visits (if needed for program assurance purposes) and utilising existing information from providers already before the department.</w:t>
      </w:r>
    </w:p>
  </w:footnote>
  <w:footnote w:id="33">
    <w:p w14:paraId="5506876E" w14:textId="77777777" w:rsidR="00ED244E" w:rsidRDefault="00ED244E" w:rsidP="00ED244E">
      <w:pPr>
        <w:pStyle w:val="FootnoteText"/>
      </w:pPr>
      <w:r>
        <w:rPr>
          <w:rStyle w:val="FootnoteReference"/>
        </w:rPr>
        <w:footnoteRef/>
      </w:r>
      <w:r>
        <w:t xml:space="preserve"> Rule 166-645 of the Aged Care Rules 2025.</w:t>
      </w:r>
    </w:p>
  </w:footnote>
  <w:footnote w:id="34">
    <w:p w14:paraId="76865735" w14:textId="77777777" w:rsidR="00ED244E" w:rsidRDefault="00ED244E" w:rsidP="00ED244E">
      <w:pPr>
        <w:pStyle w:val="FootnoteText"/>
      </w:pPr>
      <w:r>
        <w:rPr>
          <w:rStyle w:val="FootnoteReference"/>
        </w:rPr>
        <w:footnoteRef/>
      </w:r>
      <w:r>
        <w:t xml:space="preserve"> Rule 166-645 of the Aged Care Rules 2025.</w:t>
      </w:r>
    </w:p>
  </w:footnote>
  <w:footnote w:id="35">
    <w:p w14:paraId="1ACC7AB3" w14:textId="77777777" w:rsidR="00ED244E" w:rsidRDefault="00ED244E" w:rsidP="00ED244E">
      <w:pPr>
        <w:pStyle w:val="FootnoteText"/>
      </w:pPr>
      <w:r>
        <w:rPr>
          <w:rStyle w:val="FootnoteReference"/>
        </w:rPr>
        <w:footnoteRef/>
      </w:r>
      <w:r>
        <w:t xml:space="preserve"> Rule 166-635 of the Aged Care Rules 2025.</w:t>
      </w:r>
    </w:p>
  </w:footnote>
  <w:footnote w:id="36">
    <w:p w14:paraId="318BF4FA" w14:textId="77777777" w:rsidR="00ED244E" w:rsidRDefault="00ED244E" w:rsidP="00ED244E">
      <w:pPr>
        <w:pStyle w:val="FootnoteText"/>
      </w:pPr>
      <w:r>
        <w:rPr>
          <w:rStyle w:val="FootnoteReference"/>
        </w:rPr>
        <w:footnoteRef/>
      </w:r>
      <w:r>
        <w:t xml:space="preserve"> Rule 166-640 of the Aged Care Rules 2025.</w:t>
      </w:r>
    </w:p>
  </w:footnote>
  <w:footnote w:id="37">
    <w:p w14:paraId="39790B09" w14:textId="2E93A9A3" w:rsidR="00C21913" w:rsidRDefault="00C21913">
      <w:pPr>
        <w:pStyle w:val="FootnoteText"/>
      </w:pPr>
      <w:r>
        <w:rPr>
          <w:rStyle w:val="FootnoteReference"/>
        </w:rPr>
        <w:footnoteRef/>
      </w:r>
      <w:r>
        <w:t xml:space="preserve"> Rule </w:t>
      </w:r>
      <w:r w:rsidR="00D80792">
        <w:t>154-505(1)</w:t>
      </w:r>
      <w:r>
        <w:t xml:space="preserve"> of the Aged Care Rules 2025.</w:t>
      </w:r>
    </w:p>
  </w:footnote>
  <w:footnote w:id="38">
    <w:p w14:paraId="7BD443B1" w14:textId="51CBCA6C" w:rsidR="00D80792" w:rsidRDefault="00D80792">
      <w:pPr>
        <w:pStyle w:val="FootnoteText"/>
      </w:pPr>
      <w:r>
        <w:rPr>
          <w:rStyle w:val="FootnoteReference"/>
        </w:rPr>
        <w:footnoteRef/>
      </w:r>
      <w:r>
        <w:t xml:space="preserve"> Rule 154-505(2) of the Aged Care Rules 2025.</w:t>
      </w:r>
    </w:p>
  </w:footnote>
  <w:footnote w:id="39">
    <w:p w14:paraId="7B438BFB" w14:textId="10AC5169" w:rsidR="003D0FA3" w:rsidRDefault="003D0FA3">
      <w:pPr>
        <w:pStyle w:val="FootnoteText"/>
      </w:pPr>
      <w:r>
        <w:rPr>
          <w:rStyle w:val="FootnoteReference"/>
        </w:rPr>
        <w:footnoteRef/>
      </w:r>
      <w:r>
        <w:t xml:space="preserve"> </w:t>
      </w:r>
      <w:r w:rsidR="00686E90">
        <w:t xml:space="preserve">Section 286-20 of the </w:t>
      </w:r>
      <w:r>
        <w:t xml:space="preserve">Aged Care </w:t>
      </w:r>
      <w:r w:rsidR="00686E90">
        <w:t xml:space="preserve">Rules 2025 </w:t>
      </w:r>
    </w:p>
  </w:footnote>
  <w:footnote w:id="40">
    <w:p w14:paraId="211298EF" w14:textId="504908E3" w:rsidR="00981D43" w:rsidRDefault="00981D43">
      <w:pPr>
        <w:pStyle w:val="FootnoteText"/>
      </w:pPr>
      <w:r>
        <w:rPr>
          <w:rStyle w:val="FootnoteReference"/>
        </w:rPr>
        <w:footnoteRef/>
      </w:r>
      <w:r>
        <w:t xml:space="preserve"> Section 286-25 of the Aged Care Rules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DF1D1" w14:textId="5D71142D" w:rsidR="0044383F" w:rsidRDefault="0044383F">
    <w:pPr>
      <w:pStyle w:val="Header"/>
    </w:pPr>
    <w:r>
      <w:rPr>
        <w:noProof/>
      </w:rPr>
      <mc:AlternateContent>
        <mc:Choice Requires="wps">
          <w:drawing>
            <wp:anchor distT="0" distB="0" distL="0" distR="0" simplePos="0" relativeHeight="251658244" behindDoc="0" locked="0" layoutInCell="1" allowOverlap="1" wp14:anchorId="561FED92" wp14:editId="040B2428">
              <wp:simplePos x="635" y="635"/>
              <wp:positionH relativeFrom="page">
                <wp:align>center</wp:align>
              </wp:positionH>
              <wp:positionV relativeFrom="page">
                <wp:align>top</wp:align>
              </wp:positionV>
              <wp:extent cx="551815" cy="480695"/>
              <wp:effectExtent l="0" t="0" r="6985" b="1905"/>
              <wp:wrapNone/>
              <wp:docPr id="15616666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18AB795" w14:textId="61B18F7E"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1FED92"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18AB795" w14:textId="61B18F7E"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F515" w14:textId="1D05FA31" w:rsidR="003B1273" w:rsidRDefault="009C52E6" w:rsidP="006249DC">
    <w:pPr>
      <w:pStyle w:val="Header"/>
      <w:ind w:firstLine="720"/>
      <w:rPr>
        <w:noProof/>
        <w:lang w:eastAsia="en-AU"/>
      </w:rPr>
    </w:pPr>
    <w:r>
      <w:rPr>
        <w:rStyle w:val="Hyperlink"/>
        <w:noProof/>
      </w:rPr>
      <w:drawing>
        <wp:anchor distT="0" distB="0" distL="114300" distR="114300" simplePos="0" relativeHeight="251658240" behindDoc="0" locked="0" layoutInCell="1" allowOverlap="1" wp14:anchorId="42B02341" wp14:editId="4A04E0D0">
          <wp:simplePos x="0" y="0"/>
          <wp:positionH relativeFrom="column">
            <wp:posOffset>2171700</wp:posOffset>
          </wp:positionH>
          <wp:positionV relativeFrom="paragraph">
            <wp:posOffset>-1012825</wp:posOffset>
          </wp:positionV>
          <wp:extent cx="6105525" cy="4067175"/>
          <wp:effectExtent l="0" t="0" r="9525" b="9525"/>
          <wp:wrapSquare wrapText="bothSides"/>
          <wp:docPr id="7019819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191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552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51A2D582" wp14:editId="6892C9B3">
          <wp:simplePos x="0" y="0"/>
          <wp:positionH relativeFrom="margin">
            <wp:posOffset>-904875</wp:posOffset>
          </wp:positionH>
          <wp:positionV relativeFrom="paragraph">
            <wp:posOffset>-579755</wp:posOffset>
          </wp:positionV>
          <wp:extent cx="5272405" cy="3639185"/>
          <wp:effectExtent l="0" t="0" r="0" b="5715"/>
          <wp:wrapNone/>
          <wp:docPr id="457502387" name="Picture 9" descr="A blue and whit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99422" name="Picture 9" descr="A blue and white logo&#10;"/>
                  <pic:cNvPicPr/>
                </pic:nvPicPr>
                <pic:blipFill rotWithShape="1">
                  <a:blip r:embed="rId2">
                    <a:extLst>
                      <a:ext uri="{28A0092B-C50C-407E-A947-70E740481C1C}">
                        <a14:useLocalDpi xmlns:a14="http://schemas.microsoft.com/office/drawing/2010/main" val="0"/>
                      </a:ext>
                    </a:extLst>
                  </a:blip>
                  <a:srcRect t="-913" b="1054"/>
                  <a:stretch>
                    <a:fillRect/>
                  </a:stretch>
                </pic:blipFill>
                <pic:spPr bwMode="auto">
                  <a:xfrm>
                    <a:off x="0" y="0"/>
                    <a:ext cx="5272405" cy="363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20D" w:rsidRPr="00444D55">
      <w:rPr>
        <w:noProof/>
      </w:rPr>
      <w:drawing>
        <wp:anchor distT="0" distB="0" distL="114300" distR="114300" simplePos="0" relativeHeight="251658248" behindDoc="0" locked="0" layoutInCell="1" allowOverlap="1" wp14:anchorId="58BC81E9" wp14:editId="608DFB9F">
          <wp:simplePos x="0" y="0"/>
          <wp:positionH relativeFrom="page">
            <wp:posOffset>-116840</wp:posOffset>
          </wp:positionH>
          <wp:positionV relativeFrom="paragraph">
            <wp:posOffset>-643709</wp:posOffset>
          </wp:positionV>
          <wp:extent cx="1327728" cy="1361200"/>
          <wp:effectExtent l="0" t="0" r="6350" b="0"/>
          <wp:wrapNone/>
          <wp:docPr id="6973376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5083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327728" cy="1361200"/>
                  </a:xfrm>
                  <a:prstGeom prst="rect">
                    <a:avLst/>
                  </a:prstGeom>
                </pic:spPr>
              </pic:pic>
            </a:graphicData>
          </a:graphic>
          <wp14:sizeRelH relativeFrom="page">
            <wp14:pctWidth>0</wp14:pctWidth>
          </wp14:sizeRelH>
          <wp14:sizeRelV relativeFrom="page">
            <wp14:pctHeight>0</wp14:pctHeight>
          </wp14:sizeRelV>
        </wp:anchor>
      </w:drawing>
    </w:r>
  </w:p>
  <w:p w14:paraId="7367C267" w14:textId="708044DF" w:rsidR="003B40E7" w:rsidRDefault="003B40E7" w:rsidP="003B40E7">
    <w:pPr>
      <w:pStyle w:val="Header"/>
      <w:rPr>
        <w:noProof/>
      </w:rPr>
    </w:pPr>
  </w:p>
  <w:p w14:paraId="6E99ECD7" w14:textId="7AFDD24C" w:rsidR="003B40E7" w:rsidRDefault="003B40E7" w:rsidP="003B40E7">
    <w:pPr>
      <w:pStyle w:val="Header"/>
    </w:pPr>
  </w:p>
  <w:p w14:paraId="76EA234E" w14:textId="5E08B73E" w:rsidR="00751A23" w:rsidRDefault="00DE7FF7" w:rsidP="00934368">
    <w:pPr>
      <w:pStyle w:val="Header"/>
    </w:pPr>
    <w:r>
      <w:rPr>
        <w:noProof/>
      </w:rPr>
      <mc:AlternateContent>
        <mc:Choice Requires="wps">
          <w:drawing>
            <wp:anchor distT="0" distB="0" distL="114300" distR="114300" simplePos="0" relativeHeight="251658243" behindDoc="1" locked="0" layoutInCell="1" allowOverlap="1" wp14:anchorId="4B4194D5" wp14:editId="579955B2">
              <wp:simplePos x="0" y="0"/>
              <wp:positionH relativeFrom="column">
                <wp:posOffset>-900430</wp:posOffset>
              </wp:positionH>
              <wp:positionV relativeFrom="paragraph">
                <wp:posOffset>2433320</wp:posOffset>
              </wp:positionV>
              <wp:extent cx="7559675" cy="7828915"/>
              <wp:effectExtent l="0" t="0" r="3175" b="63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82891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430DCE17">
            <v:rect id="Rectangle 23" style="position:absolute;margin-left:-70.9pt;margin-top:191.6pt;width:595.25pt;height:616.4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d4d6ca [3214]" stroked="f" strokeweight="2pt" w14:anchorId="747FD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"/>
          </w:pict>
        </mc:Fallback>
      </mc:AlternateContent>
    </w:r>
    <w:r w:rsidR="0008220D">
      <w:rPr>
        <w:noProof/>
      </w:rPr>
      <w:drawing>
        <wp:anchor distT="0" distB="0" distL="114300" distR="114300" simplePos="0" relativeHeight="251658247" behindDoc="0" locked="0" layoutInCell="1" allowOverlap="1" wp14:anchorId="401A3F93" wp14:editId="45623D7F">
          <wp:simplePos x="0" y="0"/>
          <wp:positionH relativeFrom="page">
            <wp:posOffset>6342380</wp:posOffset>
          </wp:positionH>
          <wp:positionV relativeFrom="page">
            <wp:posOffset>2761161</wp:posOffset>
          </wp:positionV>
          <wp:extent cx="1217295" cy="1663700"/>
          <wp:effectExtent l="0" t="0" r="1905" b="0"/>
          <wp:wrapNone/>
          <wp:docPr id="7843977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54991" name="Picture 1">
                    <a:extLst>
                      <a:ext uri="{C183D7F6-B498-43B3-948B-1728B52AA6E4}">
                        <adec:decorative xmlns:adec="http://schemas.microsoft.com/office/drawing/2017/decorative" val="1"/>
                      </a:ext>
                    </a:extLst>
                  </pic:cNvPr>
                  <pic:cNvPicPr/>
                </pic:nvPicPr>
                <pic:blipFill rotWithShape="1">
                  <a:blip r:embed="rId4">
                    <a:extLst>
                      <a:ext uri="{28A0092B-C50C-407E-A947-70E740481C1C}">
                        <a14:useLocalDpi xmlns:a14="http://schemas.microsoft.com/office/drawing/2010/main" val="0"/>
                      </a:ext>
                    </a:extLst>
                  </a:blip>
                  <a:srcRect l="83908" t="-2131" b="85902"/>
                  <a:stretch>
                    <a:fillRect/>
                  </a:stretch>
                </pic:blipFill>
                <pic:spPr bwMode="auto">
                  <a:xfrm>
                    <a:off x="0" y="0"/>
                    <a:ext cx="1217295"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5D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49EE" w14:textId="77777777" w:rsidR="00ED7BD6" w:rsidRDefault="00ED7BD6"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76FB" w14:textId="0B3ED0A3"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92715" w14:textId="6E3F1950" w:rsidR="00383276" w:rsidRDefault="00383276"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4157D" w14:textId="41BCB204" w:rsidR="0075763B" w:rsidRDefault="0075763B" w:rsidP="00934368">
    <w:pPr>
      <w:pStyle w:val="Header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4B380" w14:textId="3A1C7A43" w:rsidR="001A3998" w:rsidRDefault="001A39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82D83" w14:textId="4D458BB9" w:rsidR="000B7B03" w:rsidRDefault="000B7B03">
    <w:pPr>
      <w:pStyle w:val="Header"/>
    </w:pPr>
    <w:r w:rsidRPr="00CC09BC">
      <w:rPr>
        <w:noProof/>
      </w:rPr>
      <mc:AlternateContent>
        <mc:Choice Requires="wps">
          <w:drawing>
            <wp:anchor distT="0" distB="0" distL="114300" distR="114300" simplePos="0" relativeHeight="251658251" behindDoc="1" locked="0" layoutInCell="1" allowOverlap="1" wp14:anchorId="0F56E118" wp14:editId="13061BC8">
              <wp:simplePos x="0" y="0"/>
              <wp:positionH relativeFrom="page">
                <wp:align>right</wp:align>
              </wp:positionH>
              <wp:positionV relativeFrom="page">
                <wp:align>bottom</wp:align>
              </wp:positionV>
              <wp:extent cx="7559675" cy="10691495"/>
              <wp:effectExtent l="0" t="0" r="3175" b="0"/>
              <wp:wrapNone/>
              <wp:docPr id="1161989879" name="Rectangle 1161989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clsh="http://schemas.microsoft.com/office/drawing/2020/classificationShape" xmlns:a14="http://schemas.microsoft.com/office/drawing/2010/main" xmlns:pic="http://schemas.openxmlformats.org/drawingml/2006/picture" xmlns:adec="http://schemas.microsoft.com/office/drawing/2017/decorative" xmlns:a="http://schemas.openxmlformats.org/drawingml/2006/main">
          <w:pict w14:anchorId="460F27F2">
            <v:rect id="Rectangle 1161989879" style="position:absolute;margin-left:544.05pt;margin-top:0;width:595.25pt;height:841.85pt;z-index:-25165822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o:spid="_x0000_s1026" fillcolor="#d4d6ca [3214]" stroked="f" strokeweight="2pt" w14:anchorId="1B31E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">
              <w10:wrap anchorx="page" anchory="page"/>
            </v:rect>
          </w:pict>
        </mc:Fallback>
      </mc:AlternateContent>
    </w:r>
    <w:r w:rsidRPr="00444D55">
      <w:rPr>
        <w:noProof/>
      </w:rPr>
      <w:drawing>
        <wp:anchor distT="0" distB="0" distL="114300" distR="114300" simplePos="0" relativeHeight="251658252" behindDoc="0" locked="0" layoutInCell="1" allowOverlap="1" wp14:anchorId="6C6474C3" wp14:editId="64E04404">
          <wp:simplePos x="0" y="0"/>
          <wp:positionH relativeFrom="margin">
            <wp:posOffset>4300663</wp:posOffset>
          </wp:positionH>
          <wp:positionV relativeFrom="margin">
            <wp:posOffset>446597</wp:posOffset>
          </wp:positionV>
          <wp:extent cx="1460500" cy="1496695"/>
          <wp:effectExtent l="0" t="0" r="0" b="1905"/>
          <wp:wrapNone/>
          <wp:docPr id="18629274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882"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6C66" w14:textId="77777777" w:rsidR="008D2A8A" w:rsidRDefault="008D2A8A" w:rsidP="00934368">
    <w:pPr>
      <w:pStyle w:val="Headertext"/>
    </w:pPr>
    <w:r w:rsidRPr="00CC09BC">
      <w:rPr>
        <w:noProof/>
      </w:rPr>
      <mc:AlternateContent>
        <mc:Choice Requires="wps">
          <w:drawing>
            <wp:anchor distT="0" distB="0" distL="114300" distR="114300" simplePos="0" relativeHeight="251658253" behindDoc="1" locked="0" layoutInCell="1" allowOverlap="1" wp14:anchorId="03EC63FE" wp14:editId="1EC4C012">
              <wp:simplePos x="0" y="0"/>
              <wp:positionH relativeFrom="page">
                <wp:align>left</wp:align>
              </wp:positionH>
              <wp:positionV relativeFrom="page">
                <wp:posOffset>-25879</wp:posOffset>
              </wp:positionV>
              <wp:extent cx="7559675" cy="10800271"/>
              <wp:effectExtent l="0" t="0" r="3175" b="1270"/>
              <wp:wrapNone/>
              <wp:docPr id="568911331" name="Rectangle 568911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00271"/>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26CEFE9">
            <v:rect id="Rectangle 568911331" style="position:absolute;margin-left:0;margin-top:-2.05pt;width:595.25pt;height:850.4pt;z-index:-25165822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d4d6ca [3214]" stroked="f" strokeweight="2pt" w14:anchorId="534A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">
              <w10:wrap anchorx="page" anchory="page"/>
            </v:rect>
          </w:pict>
        </mc:Fallback>
      </mc:AlternateContent>
    </w:r>
    <w:r w:rsidRPr="00444D55">
      <w:rPr>
        <w:noProof/>
      </w:rPr>
      <w:drawing>
        <wp:anchor distT="0" distB="0" distL="114300" distR="114300" simplePos="0" relativeHeight="251658254" behindDoc="0" locked="0" layoutInCell="1" allowOverlap="1" wp14:anchorId="7D09403C" wp14:editId="66F24BDC">
          <wp:simplePos x="0" y="0"/>
          <wp:positionH relativeFrom="margin">
            <wp:posOffset>4279265</wp:posOffset>
          </wp:positionH>
          <wp:positionV relativeFrom="margin">
            <wp:posOffset>-57414</wp:posOffset>
          </wp:positionV>
          <wp:extent cx="1460500" cy="1496695"/>
          <wp:effectExtent l="0" t="0" r="6350" b="8255"/>
          <wp:wrapNone/>
          <wp:docPr id="10447331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8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99CBDB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F2EB8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E1D1F34"/>
    <w:multiLevelType w:val="hybridMultilevel"/>
    <w:tmpl w:val="C02CD784"/>
    <w:lvl w:ilvl="0" w:tplc="97460306">
      <w:start w:val="1"/>
      <w:numFmt w:val="decimal"/>
      <w:pStyle w:val="ListNumb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E297266"/>
    <w:multiLevelType w:val="hybridMultilevel"/>
    <w:tmpl w:val="5ECE6E30"/>
    <w:lvl w:ilvl="0" w:tplc="B3763110">
      <w:numFmt w:val="bullet"/>
      <w:lvlText w:val="•"/>
      <w:lvlJc w:val="left"/>
      <w:pPr>
        <w:ind w:left="360" w:hanging="360"/>
      </w:pPr>
      <w:rPr>
        <w:rFonts w:ascii="Aptos" w:hAnsi="Aptos" w:cs="Times New Roman" w:hint="default"/>
        <w:color w:val="1D4794"/>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1744BA"/>
    <w:multiLevelType w:val="hybridMultilevel"/>
    <w:tmpl w:val="B32AECE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D1859"/>
    <w:multiLevelType w:val="hybridMultilevel"/>
    <w:tmpl w:val="5A2EF4C0"/>
    <w:lvl w:ilvl="0" w:tplc="EFF2CF12">
      <w:numFmt w:val="bullet"/>
      <w:lvlText w:val="•"/>
      <w:lvlJc w:val="left"/>
      <w:pPr>
        <w:ind w:left="360" w:hanging="360"/>
      </w:pPr>
      <w:rPr>
        <w:rFonts w:ascii="Aptos" w:hAnsi="Aptos" w:cs="Times New Roman" w:hint="default"/>
        <w:color w:val="1D479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D0606C"/>
    <w:multiLevelType w:val="hybridMultilevel"/>
    <w:tmpl w:val="996EB688"/>
    <w:lvl w:ilvl="0" w:tplc="1CE4CD90">
      <w:numFmt w:val="bullet"/>
      <w:lvlText w:val="•"/>
      <w:lvlJc w:val="left"/>
      <w:pPr>
        <w:ind w:left="360" w:hanging="360"/>
      </w:pPr>
      <w:rPr>
        <w:rFonts w:ascii="Aptos" w:hAnsi="Aptos" w:cs="Times New Roman" w:hint="default"/>
        <w:color w:val="1D479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103614"/>
    <w:multiLevelType w:val="hybridMultilevel"/>
    <w:tmpl w:val="135AA53C"/>
    <w:lvl w:ilvl="0" w:tplc="FFFFFFFF">
      <w:numFmt w:val="bullet"/>
      <w:lvlText w:val="•"/>
      <w:lvlJc w:val="left"/>
      <w:pPr>
        <w:ind w:left="360" w:hanging="360"/>
      </w:pPr>
      <w:rPr>
        <w:rFonts w:ascii="Aptos" w:hAnsi="Aptos" w:cs="Times New Roman" w:hint="default"/>
        <w:color w:val="1D4794"/>
      </w:rPr>
    </w:lvl>
    <w:lvl w:ilvl="1" w:tplc="1D022B36">
      <w:start w:val="1"/>
      <w:numFmt w:val="bullet"/>
      <w:lvlText w:val="o"/>
      <w:lvlJc w:val="left"/>
      <w:pPr>
        <w:ind w:left="1080" w:hanging="360"/>
      </w:pPr>
      <w:rPr>
        <w:rFonts w:ascii="Courier New" w:hAnsi="Courier New" w:hint="default"/>
        <w:color w:val="1D479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C95459C"/>
    <w:multiLevelType w:val="hybridMultilevel"/>
    <w:tmpl w:val="40B6D192"/>
    <w:lvl w:ilvl="0" w:tplc="FFFFFFFF">
      <w:numFmt w:val="bullet"/>
      <w:lvlText w:val="•"/>
      <w:lvlJc w:val="left"/>
      <w:pPr>
        <w:ind w:left="360" w:hanging="360"/>
      </w:pPr>
      <w:rPr>
        <w:rFonts w:ascii="Aptos" w:hAnsi="Aptos" w:cs="Times New Roman" w:hint="default"/>
        <w:color w:val="1D4794"/>
      </w:rPr>
    </w:lvl>
    <w:lvl w:ilvl="1" w:tplc="1D022B36">
      <w:start w:val="1"/>
      <w:numFmt w:val="bullet"/>
      <w:lvlText w:val="o"/>
      <w:lvlJc w:val="left"/>
      <w:pPr>
        <w:ind w:left="1080" w:hanging="360"/>
      </w:pPr>
      <w:rPr>
        <w:rFonts w:ascii="Courier New" w:hAnsi="Courier New" w:hint="default"/>
        <w:color w:val="1D479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E17093F"/>
    <w:multiLevelType w:val="hybridMultilevel"/>
    <w:tmpl w:val="0D224618"/>
    <w:lvl w:ilvl="0" w:tplc="FFFFFFFF">
      <w:numFmt w:val="bullet"/>
      <w:lvlText w:val="•"/>
      <w:lvlJc w:val="left"/>
      <w:pPr>
        <w:ind w:left="360" w:hanging="360"/>
      </w:pPr>
      <w:rPr>
        <w:rFonts w:ascii="Aptos" w:hAnsi="Aptos" w:cs="Times New Roman" w:hint="default"/>
        <w:color w:val="1D4794"/>
      </w:rPr>
    </w:lvl>
    <w:lvl w:ilvl="1" w:tplc="1D022B36">
      <w:start w:val="1"/>
      <w:numFmt w:val="bullet"/>
      <w:lvlText w:val="o"/>
      <w:lvlJc w:val="left"/>
      <w:pPr>
        <w:ind w:left="1080" w:hanging="360"/>
      </w:pPr>
      <w:rPr>
        <w:rFonts w:ascii="Courier New" w:hAnsi="Courier New" w:hint="default"/>
        <w:color w:val="1D479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27C31EE"/>
    <w:multiLevelType w:val="hybridMultilevel"/>
    <w:tmpl w:val="B164F998"/>
    <w:lvl w:ilvl="0" w:tplc="1CE4CD90">
      <w:numFmt w:val="bullet"/>
      <w:lvlText w:val="•"/>
      <w:lvlJc w:val="left"/>
      <w:pPr>
        <w:ind w:left="360" w:hanging="360"/>
      </w:pPr>
      <w:rPr>
        <w:rFonts w:ascii="Aptos" w:hAnsi="Aptos" w:cs="Times New Roman" w:hint="default"/>
        <w:color w:val="1D479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465003F"/>
    <w:multiLevelType w:val="hybridMultilevel"/>
    <w:tmpl w:val="85BAA37E"/>
    <w:lvl w:ilvl="0" w:tplc="FFFFFFFF">
      <w:start w:val="1"/>
      <w:numFmt w:val="decimal"/>
      <w:lvlText w:val="%1."/>
      <w:lvlJc w:val="left"/>
      <w:pPr>
        <w:ind w:left="720" w:hanging="360"/>
      </w:pPr>
      <w:rPr>
        <w:rFonts w:hint="default"/>
        <w:color w:val="1D4794"/>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E83584"/>
    <w:multiLevelType w:val="hybridMultilevel"/>
    <w:tmpl w:val="971C85AC"/>
    <w:lvl w:ilvl="0" w:tplc="B3763110">
      <w:numFmt w:val="bullet"/>
      <w:lvlText w:val="•"/>
      <w:lvlJc w:val="left"/>
      <w:pPr>
        <w:ind w:left="360" w:hanging="360"/>
      </w:pPr>
      <w:rPr>
        <w:rFonts w:ascii="Aptos" w:hAnsi="Aptos" w:cs="Times New Roman" w:hint="default"/>
        <w:color w:val="1D4794"/>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4E63E0"/>
    <w:multiLevelType w:val="hybridMultilevel"/>
    <w:tmpl w:val="B7CED37A"/>
    <w:lvl w:ilvl="0" w:tplc="B3763110">
      <w:numFmt w:val="bullet"/>
      <w:lvlText w:val="•"/>
      <w:lvlJc w:val="left"/>
      <w:pPr>
        <w:ind w:left="360" w:hanging="360"/>
      </w:pPr>
      <w:rPr>
        <w:rFonts w:ascii="Aptos" w:hAnsi="Aptos" w:cs="Times New Roman" w:hint="default"/>
        <w:color w:val="1D4794"/>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EF2907"/>
    <w:multiLevelType w:val="hybridMultilevel"/>
    <w:tmpl w:val="51C6A802"/>
    <w:lvl w:ilvl="0" w:tplc="1CE4CD90">
      <w:numFmt w:val="bullet"/>
      <w:lvlText w:val="•"/>
      <w:lvlJc w:val="left"/>
      <w:pPr>
        <w:ind w:left="360" w:hanging="360"/>
      </w:pPr>
      <w:rPr>
        <w:rFonts w:ascii="Aptos" w:hAnsi="Aptos" w:cs="Times New Roman" w:hint="default"/>
        <w:color w:val="1D479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4CD50FD"/>
    <w:multiLevelType w:val="hybridMultilevel"/>
    <w:tmpl w:val="03648D3C"/>
    <w:lvl w:ilvl="0" w:tplc="92D21DA8">
      <w:start w:val="1"/>
      <w:numFmt w:val="lowerLetter"/>
      <w:lvlText w:val="%1."/>
      <w:lvlJc w:val="left"/>
      <w:pPr>
        <w:ind w:left="1040" w:hanging="360"/>
      </w:pPr>
      <w:rPr>
        <w:rFonts w:hint="default"/>
        <w:color w:val="1D4794"/>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9" w15:restartNumberingAfterBreak="0">
    <w:nsid w:val="3B7D5C67"/>
    <w:multiLevelType w:val="hybridMultilevel"/>
    <w:tmpl w:val="25C67C74"/>
    <w:lvl w:ilvl="0" w:tplc="087A96D0">
      <w:start w:val="1"/>
      <w:numFmt w:val="decimal"/>
      <w:pStyle w:val="ListNumber2"/>
      <w:lvlText w:val="%1."/>
      <w:lvlJc w:val="left"/>
      <w:pPr>
        <w:ind w:left="360" w:hanging="360"/>
      </w:pPr>
      <w:rPr>
        <w:color w:val="002060"/>
      </w:rPr>
    </w:lvl>
    <w:lvl w:ilvl="1" w:tplc="CF9E96F6">
      <w:start w:val="1"/>
      <w:numFmt w:val="lowerLetter"/>
      <w:lvlText w:val="%2."/>
      <w:lvlJc w:val="left"/>
      <w:pPr>
        <w:ind w:left="1080" w:hanging="360"/>
      </w:pPr>
      <w:rPr>
        <w:color w:val="002060"/>
      </w:rPr>
    </w:lvl>
    <w:lvl w:ilvl="2" w:tplc="40AE9F92">
      <w:start w:val="1"/>
      <w:numFmt w:val="lowerRoman"/>
      <w:lvlText w:val="%3."/>
      <w:lvlJc w:val="right"/>
      <w:pPr>
        <w:ind w:left="1800" w:hanging="180"/>
      </w:pPr>
      <w:rPr>
        <w:color w:val="002060"/>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C5416EC"/>
    <w:multiLevelType w:val="hybridMultilevel"/>
    <w:tmpl w:val="2BB8B6E4"/>
    <w:lvl w:ilvl="0" w:tplc="0C98A09A">
      <w:start w:val="1"/>
      <w:numFmt w:val="decimal"/>
      <w:lvlText w:val="%1."/>
      <w:lvlJc w:val="left"/>
      <w:pPr>
        <w:ind w:left="720" w:hanging="360"/>
      </w:pPr>
      <w:rPr>
        <w:rFonts w:hint="default"/>
        <w:color w:val="1D479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CA7B75"/>
    <w:multiLevelType w:val="hybridMultilevel"/>
    <w:tmpl w:val="1670039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2840930"/>
    <w:multiLevelType w:val="hybridMultilevel"/>
    <w:tmpl w:val="933843B6"/>
    <w:lvl w:ilvl="0" w:tplc="FFFFFFFF">
      <w:numFmt w:val="bullet"/>
      <w:lvlText w:val="•"/>
      <w:lvlJc w:val="left"/>
      <w:pPr>
        <w:ind w:left="360" w:hanging="360"/>
      </w:pPr>
      <w:rPr>
        <w:rFonts w:ascii="Aptos" w:hAnsi="Aptos" w:cs="Times New Roman" w:hint="default"/>
        <w:color w:val="1D4794"/>
      </w:rPr>
    </w:lvl>
    <w:lvl w:ilvl="1" w:tplc="1D022B36">
      <w:start w:val="1"/>
      <w:numFmt w:val="bullet"/>
      <w:lvlText w:val="o"/>
      <w:lvlJc w:val="left"/>
      <w:pPr>
        <w:ind w:left="1080" w:hanging="360"/>
      </w:pPr>
      <w:rPr>
        <w:rFonts w:ascii="Courier New" w:hAnsi="Courier New" w:hint="default"/>
        <w:color w:val="1D479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3B252FD"/>
    <w:multiLevelType w:val="hybridMultilevel"/>
    <w:tmpl w:val="59AC8820"/>
    <w:lvl w:ilvl="0" w:tplc="FFFFFFFF">
      <w:numFmt w:val="bullet"/>
      <w:lvlText w:val="•"/>
      <w:lvlJc w:val="left"/>
      <w:pPr>
        <w:ind w:left="360" w:hanging="360"/>
      </w:pPr>
      <w:rPr>
        <w:rFonts w:ascii="Aptos" w:hAnsi="Aptos" w:cs="Times New Roman" w:hint="default"/>
        <w:color w:val="1D4794"/>
      </w:rPr>
    </w:lvl>
    <w:lvl w:ilvl="1" w:tplc="1D022B36">
      <w:start w:val="1"/>
      <w:numFmt w:val="bullet"/>
      <w:lvlText w:val="o"/>
      <w:lvlJc w:val="left"/>
      <w:pPr>
        <w:ind w:left="1080" w:hanging="360"/>
      </w:pPr>
      <w:rPr>
        <w:rFonts w:ascii="Courier New" w:hAnsi="Courier New" w:hint="default"/>
        <w:color w:val="1D479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5" w15:restartNumberingAfterBreak="0">
    <w:nsid w:val="4A781BA4"/>
    <w:multiLevelType w:val="hybridMultilevel"/>
    <w:tmpl w:val="55DEA908"/>
    <w:lvl w:ilvl="0" w:tplc="B3763110">
      <w:numFmt w:val="bullet"/>
      <w:lvlText w:val="•"/>
      <w:lvlJc w:val="left"/>
      <w:pPr>
        <w:ind w:left="360" w:hanging="360"/>
      </w:pPr>
      <w:rPr>
        <w:rFonts w:ascii="Aptos" w:hAnsi="Aptos" w:cs="Times New Roman" w:hint="default"/>
        <w:color w:val="1D4794"/>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AD5D9E"/>
    <w:multiLevelType w:val="hybridMultilevel"/>
    <w:tmpl w:val="D2C67EEA"/>
    <w:lvl w:ilvl="0" w:tplc="FFFFFFFF">
      <w:numFmt w:val="bullet"/>
      <w:lvlText w:val="•"/>
      <w:lvlJc w:val="left"/>
      <w:pPr>
        <w:ind w:left="360" w:hanging="360"/>
      </w:pPr>
      <w:rPr>
        <w:rFonts w:ascii="Aptos" w:hAnsi="Aptos" w:cs="Times New Roman" w:hint="default"/>
        <w:color w:val="1D4794"/>
      </w:rPr>
    </w:lvl>
    <w:lvl w:ilvl="1" w:tplc="1D022B36">
      <w:start w:val="1"/>
      <w:numFmt w:val="bullet"/>
      <w:lvlText w:val="o"/>
      <w:lvlJc w:val="left"/>
      <w:pPr>
        <w:ind w:left="1080" w:hanging="360"/>
      </w:pPr>
      <w:rPr>
        <w:rFonts w:ascii="Courier New" w:hAnsi="Courier New" w:hint="default"/>
        <w:color w:val="1D479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CC74035"/>
    <w:multiLevelType w:val="hybridMultilevel"/>
    <w:tmpl w:val="C46E514C"/>
    <w:lvl w:ilvl="0" w:tplc="B3763110">
      <w:numFmt w:val="bullet"/>
      <w:lvlText w:val="•"/>
      <w:lvlJc w:val="left"/>
      <w:pPr>
        <w:ind w:left="360" w:hanging="360"/>
      </w:pPr>
      <w:rPr>
        <w:rFonts w:ascii="Aptos" w:hAnsi="Aptos" w:cs="Times New Roman" w:hint="default"/>
        <w:color w:val="1D4794"/>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5C3465"/>
    <w:multiLevelType w:val="hybridMultilevel"/>
    <w:tmpl w:val="9202E15C"/>
    <w:lvl w:ilvl="0" w:tplc="1CE4CD90">
      <w:numFmt w:val="bullet"/>
      <w:lvlText w:val="•"/>
      <w:lvlJc w:val="left"/>
      <w:pPr>
        <w:ind w:left="360" w:hanging="360"/>
      </w:pPr>
      <w:rPr>
        <w:rFonts w:ascii="Aptos" w:hAnsi="Aptos" w:cs="Times New Roman" w:hint="default"/>
        <w:color w:val="1D479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FBA6AF3"/>
    <w:multiLevelType w:val="hybridMultilevel"/>
    <w:tmpl w:val="E80A622A"/>
    <w:lvl w:ilvl="0" w:tplc="FFFFFFFF">
      <w:numFmt w:val="bullet"/>
      <w:lvlText w:val="•"/>
      <w:lvlJc w:val="left"/>
      <w:pPr>
        <w:ind w:left="360" w:hanging="360"/>
      </w:pPr>
      <w:rPr>
        <w:rFonts w:ascii="Aptos" w:hAnsi="Aptos" w:cs="Times New Roman" w:hint="default"/>
        <w:color w:val="1D4794"/>
      </w:rPr>
    </w:lvl>
    <w:lvl w:ilvl="1" w:tplc="1D022B36">
      <w:start w:val="1"/>
      <w:numFmt w:val="bullet"/>
      <w:lvlText w:val="o"/>
      <w:lvlJc w:val="left"/>
      <w:pPr>
        <w:ind w:left="1080" w:hanging="360"/>
      </w:pPr>
      <w:rPr>
        <w:rFonts w:ascii="Courier New" w:hAnsi="Courier New" w:hint="default"/>
        <w:color w:val="1D4794"/>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5C912CD"/>
    <w:multiLevelType w:val="hybridMultilevel"/>
    <w:tmpl w:val="E90E5506"/>
    <w:lvl w:ilvl="0" w:tplc="FFFFFFFF">
      <w:numFmt w:val="bullet"/>
      <w:lvlText w:val="•"/>
      <w:lvlJc w:val="left"/>
      <w:pPr>
        <w:ind w:left="360" w:hanging="360"/>
      </w:pPr>
      <w:rPr>
        <w:rFonts w:ascii="Aptos" w:hAnsi="Aptos" w:cs="Times New Roman" w:hint="default"/>
        <w:color w:val="1D4794"/>
      </w:rPr>
    </w:lvl>
    <w:lvl w:ilvl="1" w:tplc="1D022B36">
      <w:start w:val="1"/>
      <w:numFmt w:val="bullet"/>
      <w:lvlText w:val="o"/>
      <w:lvlJc w:val="left"/>
      <w:pPr>
        <w:ind w:left="1080" w:hanging="360"/>
      </w:pPr>
      <w:rPr>
        <w:rFonts w:ascii="Courier New" w:hAnsi="Courier New" w:hint="default"/>
        <w:color w:val="1D479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15:restartNumberingAfterBreak="0">
    <w:nsid w:val="6E1A3315"/>
    <w:multiLevelType w:val="hybridMultilevel"/>
    <w:tmpl w:val="FA0E93F2"/>
    <w:lvl w:ilvl="0" w:tplc="FFFFFFFF">
      <w:numFmt w:val="bullet"/>
      <w:lvlText w:val="•"/>
      <w:lvlJc w:val="left"/>
      <w:pPr>
        <w:ind w:left="360" w:hanging="360"/>
      </w:pPr>
      <w:rPr>
        <w:rFonts w:ascii="Aptos" w:hAnsi="Aptos" w:cs="Times New Roman" w:hint="default"/>
        <w:color w:val="1D4794"/>
      </w:rPr>
    </w:lvl>
    <w:lvl w:ilvl="1" w:tplc="FFFFFFFF">
      <w:start w:val="1"/>
      <w:numFmt w:val="bullet"/>
      <w:lvlText w:val="o"/>
      <w:lvlJc w:val="left"/>
      <w:pPr>
        <w:ind w:left="1080" w:hanging="360"/>
      </w:pPr>
      <w:rPr>
        <w:rFonts w:ascii="Courier New" w:hAnsi="Courier New" w:hint="default"/>
        <w:color w:val="1D4794"/>
      </w:rPr>
    </w:lvl>
    <w:lvl w:ilvl="2" w:tplc="F320BA00">
      <w:numFmt w:val="bullet"/>
      <w:lvlText w:val="◦"/>
      <w:lvlJc w:val="left"/>
      <w:pPr>
        <w:ind w:left="360" w:hanging="360"/>
      </w:pPr>
      <w:rPr>
        <w:rFonts w:ascii="Aptos" w:hAnsi="Aptos" w:cs="Times New Roman" w:hint="default"/>
        <w:color w:val="1D4794"/>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1227BF5"/>
    <w:multiLevelType w:val="hybridMultilevel"/>
    <w:tmpl w:val="01D23C16"/>
    <w:lvl w:ilvl="0" w:tplc="CCC66A8A">
      <w:numFmt w:val="bullet"/>
      <w:pStyle w:val="ListBullet"/>
      <w:lvlText w:val="•"/>
      <w:lvlJc w:val="left"/>
      <w:pPr>
        <w:ind w:left="360" w:hanging="360"/>
      </w:pPr>
      <w:rPr>
        <w:rFonts w:ascii="Aptos" w:hAnsi="Aptos" w:cs="Times New Roman" w:hint="default"/>
        <w:color w:val="1D4794"/>
      </w:rPr>
    </w:lvl>
    <w:lvl w:ilvl="1" w:tplc="90CA2F06">
      <w:start w:val="1"/>
      <w:numFmt w:val="bullet"/>
      <w:lvlText w:val="o"/>
      <w:lvlJc w:val="left"/>
      <w:pPr>
        <w:ind w:left="1080" w:hanging="360"/>
      </w:pPr>
      <w:rPr>
        <w:rFonts w:ascii="Courier New" w:hAnsi="Courier New" w:cs="Courier New" w:hint="default"/>
        <w:color w:val="002060"/>
      </w:rPr>
    </w:lvl>
    <w:lvl w:ilvl="2" w:tplc="B2D881A4">
      <w:start w:val="1"/>
      <w:numFmt w:val="bullet"/>
      <w:lvlText w:val=""/>
      <w:lvlJc w:val="left"/>
      <w:pPr>
        <w:ind w:left="1800" w:hanging="360"/>
      </w:pPr>
      <w:rPr>
        <w:rFonts w:ascii="Wingdings" w:hAnsi="Wingdings" w:hint="default"/>
        <w:color w:val="002060"/>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A223742"/>
    <w:multiLevelType w:val="hybridMultilevel"/>
    <w:tmpl w:val="123C02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B93E30"/>
    <w:multiLevelType w:val="hybridMultilevel"/>
    <w:tmpl w:val="EE26C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E93A67"/>
    <w:multiLevelType w:val="hybridMultilevel"/>
    <w:tmpl w:val="08920FB8"/>
    <w:styleLink w:val="CurrentList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391716"/>
    <w:multiLevelType w:val="hybridMultilevel"/>
    <w:tmpl w:val="31A4D4A6"/>
    <w:lvl w:ilvl="0" w:tplc="D5AA81BC">
      <w:start w:val="1"/>
      <w:numFmt w:val="bullet"/>
      <w:pStyle w:val="ListBullet2"/>
      <w:lvlText w:val="o"/>
      <w:lvlJc w:val="left"/>
      <w:pPr>
        <w:ind w:left="1080" w:hanging="360"/>
      </w:pPr>
      <w:rPr>
        <w:rFonts w:ascii="Courier New" w:hAnsi="Courier New" w:hint="default"/>
        <w:color w:val="1D4794"/>
      </w:rPr>
    </w:lvl>
    <w:lvl w:ilvl="1" w:tplc="0C090019">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num w:numId="1" w16cid:durableId="1406410801">
    <w:abstractNumId w:val="1"/>
  </w:num>
  <w:num w:numId="2" w16cid:durableId="728571613">
    <w:abstractNumId w:val="18"/>
  </w:num>
  <w:num w:numId="3" w16cid:durableId="1110583271">
    <w:abstractNumId w:val="39"/>
  </w:num>
  <w:num w:numId="4" w16cid:durableId="1955208067">
    <w:abstractNumId w:val="30"/>
  </w:num>
  <w:num w:numId="5" w16cid:durableId="1245342364">
    <w:abstractNumId w:val="33"/>
  </w:num>
  <w:num w:numId="6" w16cid:durableId="1191726581">
    <w:abstractNumId w:val="2"/>
  </w:num>
  <w:num w:numId="7" w16cid:durableId="69696735">
    <w:abstractNumId w:val="24"/>
  </w:num>
  <w:num w:numId="8" w16cid:durableId="500856995">
    <w:abstractNumId w:val="31"/>
  </w:num>
  <w:num w:numId="9" w16cid:durableId="81340307">
    <w:abstractNumId w:val="3"/>
  </w:num>
  <w:num w:numId="10" w16cid:durableId="172378174">
    <w:abstractNumId w:val="17"/>
  </w:num>
  <w:num w:numId="11" w16cid:durableId="2126730389">
    <w:abstractNumId w:val="7"/>
  </w:num>
  <w:num w:numId="12" w16cid:durableId="1711417319">
    <w:abstractNumId w:val="38"/>
  </w:num>
  <w:num w:numId="13" w16cid:durableId="1996450242">
    <w:abstractNumId w:val="0"/>
  </w:num>
  <w:num w:numId="14" w16cid:durableId="1330909829">
    <w:abstractNumId w:val="20"/>
  </w:num>
  <w:num w:numId="15" w16cid:durableId="1950313899">
    <w:abstractNumId w:val="11"/>
  </w:num>
  <w:num w:numId="16" w16cid:durableId="1904948338">
    <w:abstractNumId w:val="16"/>
  </w:num>
  <w:num w:numId="17" w16cid:durableId="151721858">
    <w:abstractNumId w:val="8"/>
  </w:num>
  <w:num w:numId="18" w16cid:durableId="152263093">
    <w:abstractNumId w:val="23"/>
  </w:num>
  <w:num w:numId="19" w16cid:durableId="2089959767">
    <w:abstractNumId w:val="32"/>
  </w:num>
  <w:num w:numId="20" w16cid:durableId="511726288">
    <w:abstractNumId w:val="22"/>
  </w:num>
  <w:num w:numId="21" w16cid:durableId="804541224">
    <w:abstractNumId w:val="29"/>
  </w:num>
  <w:num w:numId="22" w16cid:durableId="1735857319">
    <w:abstractNumId w:val="34"/>
  </w:num>
  <w:num w:numId="23" w16cid:durableId="1273435022">
    <w:abstractNumId w:val="26"/>
  </w:num>
  <w:num w:numId="24" w16cid:durableId="1778063978">
    <w:abstractNumId w:val="9"/>
  </w:num>
  <w:num w:numId="25" w16cid:durableId="826360019">
    <w:abstractNumId w:val="10"/>
  </w:num>
  <w:num w:numId="26" w16cid:durableId="690909927">
    <w:abstractNumId w:val="12"/>
  </w:num>
  <w:num w:numId="27" w16cid:durableId="1215893309">
    <w:abstractNumId w:val="28"/>
  </w:num>
  <w:num w:numId="28" w16cid:durableId="652224274">
    <w:abstractNumId w:val="5"/>
  </w:num>
  <w:num w:numId="29" w16cid:durableId="980504042">
    <w:abstractNumId w:val="25"/>
  </w:num>
  <w:num w:numId="30" w16cid:durableId="820462327">
    <w:abstractNumId w:val="15"/>
  </w:num>
  <w:num w:numId="31" w16cid:durableId="244456037">
    <w:abstractNumId w:val="27"/>
  </w:num>
  <w:num w:numId="32" w16cid:durableId="1539463201">
    <w:abstractNumId w:val="14"/>
  </w:num>
  <w:num w:numId="33" w16cid:durableId="1604915616">
    <w:abstractNumId w:val="6"/>
  </w:num>
  <w:num w:numId="34" w16cid:durableId="16807672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53795439">
    <w:abstractNumId w:val="37"/>
  </w:num>
  <w:num w:numId="36" w16cid:durableId="323970863">
    <w:abstractNumId w:val="21"/>
  </w:num>
  <w:num w:numId="37" w16cid:durableId="363025249">
    <w:abstractNumId w:val="36"/>
  </w:num>
  <w:num w:numId="38" w16cid:durableId="222568384">
    <w:abstractNumId w:val="13"/>
  </w:num>
  <w:num w:numId="39" w16cid:durableId="2028829248">
    <w:abstractNumId w:val="17"/>
  </w:num>
  <w:num w:numId="40" w16cid:durableId="996878940">
    <w:abstractNumId w:val="35"/>
  </w:num>
  <w:num w:numId="41" w16cid:durableId="1459301933">
    <w:abstractNumId w:val="19"/>
  </w:num>
  <w:num w:numId="42" w16cid:durableId="1102070528">
    <w:abstractNumId w:val="39"/>
  </w:num>
  <w:num w:numId="43" w16cid:durableId="145048371">
    <w:abstractNumId w:val="30"/>
  </w:num>
  <w:num w:numId="44" w16cid:durableId="1216429736">
    <w:abstractNumId w:val="3"/>
  </w:num>
  <w:num w:numId="45" w16cid:durableId="1823892151">
    <w:abstractNumId w:val="31"/>
  </w:num>
  <w:num w:numId="46" w16cid:durableId="1579050738">
    <w:abstractNumId w:val="33"/>
  </w:num>
  <w:num w:numId="47" w16cid:durableId="273363791">
    <w:abstractNumId w:val="2"/>
  </w:num>
  <w:num w:numId="48" w16cid:durableId="660736792">
    <w:abstractNumId w:val="24"/>
  </w:num>
  <w:num w:numId="49" w16cid:durableId="217087273">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A28" w:allStyles="0" w:customStyles="0" w:latentStyles="0" w:stylesInUse="1" w:headingStyles="1"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83F"/>
    <w:rsid w:val="00000AA0"/>
    <w:rsid w:val="00000C08"/>
    <w:rsid w:val="00001F41"/>
    <w:rsid w:val="00003743"/>
    <w:rsid w:val="000047B4"/>
    <w:rsid w:val="00005712"/>
    <w:rsid w:val="00006297"/>
    <w:rsid w:val="00006556"/>
    <w:rsid w:val="00006676"/>
    <w:rsid w:val="00006DA0"/>
    <w:rsid w:val="00007FD8"/>
    <w:rsid w:val="000117F8"/>
    <w:rsid w:val="00021C5D"/>
    <w:rsid w:val="00023176"/>
    <w:rsid w:val="00026139"/>
    <w:rsid w:val="00027071"/>
    <w:rsid w:val="00027601"/>
    <w:rsid w:val="00027CD2"/>
    <w:rsid w:val="00031EDE"/>
    <w:rsid w:val="00033321"/>
    <w:rsid w:val="000338E5"/>
    <w:rsid w:val="00033ECC"/>
    <w:rsid w:val="0003422F"/>
    <w:rsid w:val="00036D9E"/>
    <w:rsid w:val="00040247"/>
    <w:rsid w:val="00040B94"/>
    <w:rsid w:val="00040DCC"/>
    <w:rsid w:val="0004596B"/>
    <w:rsid w:val="00045FBE"/>
    <w:rsid w:val="00046716"/>
    <w:rsid w:val="00046FF0"/>
    <w:rsid w:val="00050176"/>
    <w:rsid w:val="00057022"/>
    <w:rsid w:val="00062B65"/>
    <w:rsid w:val="0006333D"/>
    <w:rsid w:val="00064E66"/>
    <w:rsid w:val="000659CF"/>
    <w:rsid w:val="00067456"/>
    <w:rsid w:val="00071506"/>
    <w:rsid w:val="0007154F"/>
    <w:rsid w:val="00072FED"/>
    <w:rsid w:val="000749FB"/>
    <w:rsid w:val="00081AB1"/>
    <w:rsid w:val="0008220D"/>
    <w:rsid w:val="00090316"/>
    <w:rsid w:val="00092145"/>
    <w:rsid w:val="00093981"/>
    <w:rsid w:val="00093BAB"/>
    <w:rsid w:val="00093CD9"/>
    <w:rsid w:val="000969A9"/>
    <w:rsid w:val="0009785D"/>
    <w:rsid w:val="000A1DEB"/>
    <w:rsid w:val="000A247E"/>
    <w:rsid w:val="000A3532"/>
    <w:rsid w:val="000B0275"/>
    <w:rsid w:val="000B067A"/>
    <w:rsid w:val="000B0DD2"/>
    <w:rsid w:val="000B1540"/>
    <w:rsid w:val="000B23AD"/>
    <w:rsid w:val="000B33FD"/>
    <w:rsid w:val="000B36D0"/>
    <w:rsid w:val="000B4ABA"/>
    <w:rsid w:val="000B6450"/>
    <w:rsid w:val="000B7B03"/>
    <w:rsid w:val="000C0943"/>
    <w:rsid w:val="000C4B16"/>
    <w:rsid w:val="000C50C3"/>
    <w:rsid w:val="000C693E"/>
    <w:rsid w:val="000C74CE"/>
    <w:rsid w:val="000D21F6"/>
    <w:rsid w:val="000D42C3"/>
    <w:rsid w:val="000D4500"/>
    <w:rsid w:val="000D6A1D"/>
    <w:rsid w:val="000D7AEA"/>
    <w:rsid w:val="000E01A9"/>
    <w:rsid w:val="000E1FAA"/>
    <w:rsid w:val="000E2C40"/>
    <w:rsid w:val="000E2C66"/>
    <w:rsid w:val="000E316A"/>
    <w:rsid w:val="000E5193"/>
    <w:rsid w:val="000E51D1"/>
    <w:rsid w:val="000E51EC"/>
    <w:rsid w:val="000E5973"/>
    <w:rsid w:val="000E6E7D"/>
    <w:rsid w:val="000E731A"/>
    <w:rsid w:val="000F123C"/>
    <w:rsid w:val="000F1C1F"/>
    <w:rsid w:val="000F2FED"/>
    <w:rsid w:val="000F5A80"/>
    <w:rsid w:val="000F79B6"/>
    <w:rsid w:val="00100D5F"/>
    <w:rsid w:val="00101599"/>
    <w:rsid w:val="00103270"/>
    <w:rsid w:val="001044B1"/>
    <w:rsid w:val="001057BC"/>
    <w:rsid w:val="0010616D"/>
    <w:rsid w:val="00110478"/>
    <w:rsid w:val="0011711B"/>
    <w:rsid w:val="00117171"/>
    <w:rsid w:val="00117F8A"/>
    <w:rsid w:val="00117FED"/>
    <w:rsid w:val="00120448"/>
    <w:rsid w:val="001206F6"/>
    <w:rsid w:val="00121B9B"/>
    <w:rsid w:val="00121CD5"/>
    <w:rsid w:val="00122ADC"/>
    <w:rsid w:val="00123E06"/>
    <w:rsid w:val="00126007"/>
    <w:rsid w:val="00130F59"/>
    <w:rsid w:val="00133083"/>
    <w:rsid w:val="00133EC0"/>
    <w:rsid w:val="00137B40"/>
    <w:rsid w:val="00140E79"/>
    <w:rsid w:val="00141935"/>
    <w:rsid w:val="00141CE5"/>
    <w:rsid w:val="0014260F"/>
    <w:rsid w:val="00143790"/>
    <w:rsid w:val="00144908"/>
    <w:rsid w:val="001506AF"/>
    <w:rsid w:val="00151B2B"/>
    <w:rsid w:val="0015385E"/>
    <w:rsid w:val="00156422"/>
    <w:rsid w:val="001571C7"/>
    <w:rsid w:val="0016060C"/>
    <w:rsid w:val="00161094"/>
    <w:rsid w:val="001624B9"/>
    <w:rsid w:val="00165737"/>
    <w:rsid w:val="00167FA4"/>
    <w:rsid w:val="001715A6"/>
    <w:rsid w:val="0017198C"/>
    <w:rsid w:val="00172A55"/>
    <w:rsid w:val="001758CD"/>
    <w:rsid w:val="0017665C"/>
    <w:rsid w:val="00177AD2"/>
    <w:rsid w:val="001815A8"/>
    <w:rsid w:val="001840FA"/>
    <w:rsid w:val="00186411"/>
    <w:rsid w:val="00190079"/>
    <w:rsid w:val="001928EA"/>
    <w:rsid w:val="0019440A"/>
    <w:rsid w:val="0019622E"/>
    <w:rsid w:val="001966A7"/>
    <w:rsid w:val="001A04C7"/>
    <w:rsid w:val="001A3998"/>
    <w:rsid w:val="001A3B4F"/>
    <w:rsid w:val="001A4627"/>
    <w:rsid w:val="001A4979"/>
    <w:rsid w:val="001B103E"/>
    <w:rsid w:val="001B15D3"/>
    <w:rsid w:val="001B3443"/>
    <w:rsid w:val="001B37A5"/>
    <w:rsid w:val="001B38AC"/>
    <w:rsid w:val="001B7372"/>
    <w:rsid w:val="001C0326"/>
    <w:rsid w:val="001C1128"/>
    <w:rsid w:val="001C192F"/>
    <w:rsid w:val="001C323A"/>
    <w:rsid w:val="001C3C42"/>
    <w:rsid w:val="001C3EF2"/>
    <w:rsid w:val="001D1446"/>
    <w:rsid w:val="001D18FD"/>
    <w:rsid w:val="001D2C43"/>
    <w:rsid w:val="001D3F64"/>
    <w:rsid w:val="001D4568"/>
    <w:rsid w:val="001D779F"/>
    <w:rsid w:val="001D7869"/>
    <w:rsid w:val="001E1C33"/>
    <w:rsid w:val="001E786C"/>
    <w:rsid w:val="001F0135"/>
    <w:rsid w:val="001F1756"/>
    <w:rsid w:val="001F1F68"/>
    <w:rsid w:val="001F20B2"/>
    <w:rsid w:val="001F2F78"/>
    <w:rsid w:val="001F390D"/>
    <w:rsid w:val="001F69B7"/>
    <w:rsid w:val="001F6DDF"/>
    <w:rsid w:val="002026CD"/>
    <w:rsid w:val="002033FC"/>
    <w:rsid w:val="002044BB"/>
    <w:rsid w:val="00204F73"/>
    <w:rsid w:val="00205F99"/>
    <w:rsid w:val="00206308"/>
    <w:rsid w:val="00210B09"/>
    <w:rsid w:val="00210C9E"/>
    <w:rsid w:val="00211840"/>
    <w:rsid w:val="00211F5B"/>
    <w:rsid w:val="002127EE"/>
    <w:rsid w:val="00212C94"/>
    <w:rsid w:val="00212D80"/>
    <w:rsid w:val="002137AF"/>
    <w:rsid w:val="00213D02"/>
    <w:rsid w:val="002146EA"/>
    <w:rsid w:val="00216990"/>
    <w:rsid w:val="0022013A"/>
    <w:rsid w:val="00220E5F"/>
    <w:rsid w:val="002212B5"/>
    <w:rsid w:val="00222DD8"/>
    <w:rsid w:val="00225623"/>
    <w:rsid w:val="00225F45"/>
    <w:rsid w:val="00226668"/>
    <w:rsid w:val="0022698C"/>
    <w:rsid w:val="00231BC1"/>
    <w:rsid w:val="00233809"/>
    <w:rsid w:val="00240046"/>
    <w:rsid w:val="0024133F"/>
    <w:rsid w:val="00243C05"/>
    <w:rsid w:val="00245565"/>
    <w:rsid w:val="0024797F"/>
    <w:rsid w:val="00250226"/>
    <w:rsid w:val="0025119E"/>
    <w:rsid w:val="00251269"/>
    <w:rsid w:val="00252F96"/>
    <w:rsid w:val="002535C0"/>
    <w:rsid w:val="00255212"/>
    <w:rsid w:val="00256F02"/>
    <w:rsid w:val="002579FE"/>
    <w:rsid w:val="002623A6"/>
    <w:rsid w:val="0026311C"/>
    <w:rsid w:val="002632E2"/>
    <w:rsid w:val="002664BC"/>
    <w:rsid w:val="0026661D"/>
    <w:rsid w:val="0026668C"/>
    <w:rsid w:val="00266AC1"/>
    <w:rsid w:val="0027178C"/>
    <w:rsid w:val="002719FA"/>
    <w:rsid w:val="00272668"/>
    <w:rsid w:val="0027319F"/>
    <w:rsid w:val="0027330B"/>
    <w:rsid w:val="00273476"/>
    <w:rsid w:val="002737D4"/>
    <w:rsid w:val="00274BF7"/>
    <w:rsid w:val="002803AD"/>
    <w:rsid w:val="00281E0B"/>
    <w:rsid w:val="00282052"/>
    <w:rsid w:val="0028519E"/>
    <w:rsid w:val="002856A5"/>
    <w:rsid w:val="002872ED"/>
    <w:rsid w:val="00287AAE"/>
    <w:rsid w:val="002905C2"/>
    <w:rsid w:val="00295AF2"/>
    <w:rsid w:val="00295C91"/>
    <w:rsid w:val="00296A1E"/>
    <w:rsid w:val="00297151"/>
    <w:rsid w:val="0029727B"/>
    <w:rsid w:val="002A0165"/>
    <w:rsid w:val="002A0910"/>
    <w:rsid w:val="002A2432"/>
    <w:rsid w:val="002A6852"/>
    <w:rsid w:val="002B0448"/>
    <w:rsid w:val="002B1244"/>
    <w:rsid w:val="002B20E6"/>
    <w:rsid w:val="002B34E5"/>
    <w:rsid w:val="002B3956"/>
    <w:rsid w:val="002B42A3"/>
    <w:rsid w:val="002B7502"/>
    <w:rsid w:val="002B791F"/>
    <w:rsid w:val="002C0CDD"/>
    <w:rsid w:val="002C1F01"/>
    <w:rsid w:val="002C3D9F"/>
    <w:rsid w:val="002C4907"/>
    <w:rsid w:val="002C5E7D"/>
    <w:rsid w:val="002C7458"/>
    <w:rsid w:val="002D3E19"/>
    <w:rsid w:val="002D4E0E"/>
    <w:rsid w:val="002D5876"/>
    <w:rsid w:val="002E1A1D"/>
    <w:rsid w:val="002E4081"/>
    <w:rsid w:val="002E5B78"/>
    <w:rsid w:val="002E744B"/>
    <w:rsid w:val="002F3324"/>
    <w:rsid w:val="002F3725"/>
    <w:rsid w:val="002F3AE3"/>
    <w:rsid w:val="002F4672"/>
    <w:rsid w:val="002F6B13"/>
    <w:rsid w:val="002F73EE"/>
    <w:rsid w:val="002F753A"/>
    <w:rsid w:val="0030058F"/>
    <w:rsid w:val="00300E66"/>
    <w:rsid w:val="0030464B"/>
    <w:rsid w:val="0030786C"/>
    <w:rsid w:val="00312749"/>
    <w:rsid w:val="0031643D"/>
    <w:rsid w:val="0032014C"/>
    <w:rsid w:val="003233DE"/>
    <w:rsid w:val="0032466B"/>
    <w:rsid w:val="00326270"/>
    <w:rsid w:val="00327B44"/>
    <w:rsid w:val="0033158F"/>
    <w:rsid w:val="00331A89"/>
    <w:rsid w:val="003330EB"/>
    <w:rsid w:val="003339CE"/>
    <w:rsid w:val="00336605"/>
    <w:rsid w:val="003415FD"/>
    <w:rsid w:val="003429F0"/>
    <w:rsid w:val="003436EB"/>
    <w:rsid w:val="00344917"/>
    <w:rsid w:val="00346564"/>
    <w:rsid w:val="0035048C"/>
    <w:rsid w:val="0035097A"/>
    <w:rsid w:val="003540A4"/>
    <w:rsid w:val="003553F8"/>
    <w:rsid w:val="00360E4E"/>
    <w:rsid w:val="003624A4"/>
    <w:rsid w:val="00363C49"/>
    <w:rsid w:val="00365BE0"/>
    <w:rsid w:val="003665A3"/>
    <w:rsid w:val="00366706"/>
    <w:rsid w:val="00370AAA"/>
    <w:rsid w:val="00374FC8"/>
    <w:rsid w:val="00375048"/>
    <w:rsid w:val="00375F77"/>
    <w:rsid w:val="00376459"/>
    <w:rsid w:val="00377506"/>
    <w:rsid w:val="00377A78"/>
    <w:rsid w:val="00381BBE"/>
    <w:rsid w:val="00382903"/>
    <w:rsid w:val="00382B7E"/>
    <w:rsid w:val="00383276"/>
    <w:rsid w:val="00383318"/>
    <w:rsid w:val="003846FF"/>
    <w:rsid w:val="003855CE"/>
    <w:rsid w:val="00385AD4"/>
    <w:rsid w:val="00385C2D"/>
    <w:rsid w:val="00386805"/>
    <w:rsid w:val="00387924"/>
    <w:rsid w:val="003924CC"/>
    <w:rsid w:val="0039384D"/>
    <w:rsid w:val="00395C23"/>
    <w:rsid w:val="00396002"/>
    <w:rsid w:val="003978AA"/>
    <w:rsid w:val="003A003F"/>
    <w:rsid w:val="003A165A"/>
    <w:rsid w:val="003A2E4F"/>
    <w:rsid w:val="003A4438"/>
    <w:rsid w:val="003A5013"/>
    <w:rsid w:val="003A5078"/>
    <w:rsid w:val="003A62DD"/>
    <w:rsid w:val="003A775A"/>
    <w:rsid w:val="003B0DAB"/>
    <w:rsid w:val="003B1126"/>
    <w:rsid w:val="003B1273"/>
    <w:rsid w:val="003B1464"/>
    <w:rsid w:val="003B213A"/>
    <w:rsid w:val="003B2769"/>
    <w:rsid w:val="003B40E7"/>
    <w:rsid w:val="003B43AD"/>
    <w:rsid w:val="003B7A77"/>
    <w:rsid w:val="003C0FEC"/>
    <w:rsid w:val="003C15B8"/>
    <w:rsid w:val="003C2AC8"/>
    <w:rsid w:val="003C46A6"/>
    <w:rsid w:val="003C7C08"/>
    <w:rsid w:val="003D0414"/>
    <w:rsid w:val="003D0FA3"/>
    <w:rsid w:val="003D17F9"/>
    <w:rsid w:val="003D2D88"/>
    <w:rsid w:val="003D41EA"/>
    <w:rsid w:val="003D4850"/>
    <w:rsid w:val="003D5211"/>
    <w:rsid w:val="003D535A"/>
    <w:rsid w:val="003E1926"/>
    <w:rsid w:val="003E1F4E"/>
    <w:rsid w:val="003E5265"/>
    <w:rsid w:val="003E5E17"/>
    <w:rsid w:val="003E72C5"/>
    <w:rsid w:val="003E769D"/>
    <w:rsid w:val="003F0955"/>
    <w:rsid w:val="003F1AB7"/>
    <w:rsid w:val="003F30DE"/>
    <w:rsid w:val="003F3BDE"/>
    <w:rsid w:val="003F3E10"/>
    <w:rsid w:val="003F4D55"/>
    <w:rsid w:val="003F4E2A"/>
    <w:rsid w:val="003F5C0A"/>
    <w:rsid w:val="003F5ECB"/>
    <w:rsid w:val="003F6FE1"/>
    <w:rsid w:val="00400F00"/>
    <w:rsid w:val="0040433B"/>
    <w:rsid w:val="00404C03"/>
    <w:rsid w:val="00404F8B"/>
    <w:rsid w:val="00405256"/>
    <w:rsid w:val="00410031"/>
    <w:rsid w:val="00411378"/>
    <w:rsid w:val="004115A2"/>
    <w:rsid w:val="00411618"/>
    <w:rsid w:val="00413FEF"/>
    <w:rsid w:val="00415C81"/>
    <w:rsid w:val="00416731"/>
    <w:rsid w:val="0041682F"/>
    <w:rsid w:val="00416B3A"/>
    <w:rsid w:val="00422633"/>
    <w:rsid w:val="00424AEF"/>
    <w:rsid w:val="0042507C"/>
    <w:rsid w:val="00430A1C"/>
    <w:rsid w:val="004321BC"/>
    <w:rsid w:val="00432378"/>
    <w:rsid w:val="0043385A"/>
    <w:rsid w:val="004339EB"/>
    <w:rsid w:val="00436D9D"/>
    <w:rsid w:val="00436EBC"/>
    <w:rsid w:val="00436F3F"/>
    <w:rsid w:val="00440D65"/>
    <w:rsid w:val="004412F8"/>
    <w:rsid w:val="004424F2"/>
    <w:rsid w:val="00443217"/>
    <w:rsid w:val="004435E6"/>
    <w:rsid w:val="0044383F"/>
    <w:rsid w:val="00443B45"/>
    <w:rsid w:val="00444D55"/>
    <w:rsid w:val="0044691D"/>
    <w:rsid w:val="00446ABC"/>
    <w:rsid w:val="0044711B"/>
    <w:rsid w:val="004471DC"/>
    <w:rsid w:val="00447E31"/>
    <w:rsid w:val="00450B89"/>
    <w:rsid w:val="0045176C"/>
    <w:rsid w:val="00453923"/>
    <w:rsid w:val="00454793"/>
    <w:rsid w:val="00454B9B"/>
    <w:rsid w:val="00455005"/>
    <w:rsid w:val="00455741"/>
    <w:rsid w:val="004560C3"/>
    <w:rsid w:val="00456C7C"/>
    <w:rsid w:val="00457858"/>
    <w:rsid w:val="004602A8"/>
    <w:rsid w:val="00460B0B"/>
    <w:rsid w:val="00461023"/>
    <w:rsid w:val="00462FAC"/>
    <w:rsid w:val="0046439E"/>
    <w:rsid w:val="0046452B"/>
    <w:rsid w:val="00464631"/>
    <w:rsid w:val="00464B79"/>
    <w:rsid w:val="00465B90"/>
    <w:rsid w:val="00466C82"/>
    <w:rsid w:val="00467BBF"/>
    <w:rsid w:val="004711A7"/>
    <w:rsid w:val="00473497"/>
    <w:rsid w:val="0047640A"/>
    <w:rsid w:val="00476565"/>
    <w:rsid w:val="004812CF"/>
    <w:rsid w:val="004813AB"/>
    <w:rsid w:val="00481FB4"/>
    <w:rsid w:val="00482171"/>
    <w:rsid w:val="004834E8"/>
    <w:rsid w:val="004847E1"/>
    <w:rsid w:val="004867E2"/>
    <w:rsid w:val="004929A9"/>
    <w:rsid w:val="0049412E"/>
    <w:rsid w:val="004952A9"/>
    <w:rsid w:val="004979CD"/>
    <w:rsid w:val="004B24AA"/>
    <w:rsid w:val="004B3085"/>
    <w:rsid w:val="004B450C"/>
    <w:rsid w:val="004B4A62"/>
    <w:rsid w:val="004C2FEC"/>
    <w:rsid w:val="004C6BCF"/>
    <w:rsid w:val="004D0D9E"/>
    <w:rsid w:val="004D28B0"/>
    <w:rsid w:val="004D58BF"/>
    <w:rsid w:val="004D70B9"/>
    <w:rsid w:val="004E2CEA"/>
    <w:rsid w:val="004E39CF"/>
    <w:rsid w:val="004E4335"/>
    <w:rsid w:val="004E5107"/>
    <w:rsid w:val="004E5ACF"/>
    <w:rsid w:val="004E72CC"/>
    <w:rsid w:val="004F0185"/>
    <w:rsid w:val="004F075D"/>
    <w:rsid w:val="004F13EE"/>
    <w:rsid w:val="004F2022"/>
    <w:rsid w:val="004F39E7"/>
    <w:rsid w:val="004F6023"/>
    <w:rsid w:val="004F7C05"/>
    <w:rsid w:val="0050019B"/>
    <w:rsid w:val="005018E5"/>
    <w:rsid w:val="00501C94"/>
    <w:rsid w:val="00504C0C"/>
    <w:rsid w:val="00506432"/>
    <w:rsid w:val="0050679A"/>
    <w:rsid w:val="0051242B"/>
    <w:rsid w:val="00512FF4"/>
    <w:rsid w:val="00515F64"/>
    <w:rsid w:val="0052051D"/>
    <w:rsid w:val="0052180A"/>
    <w:rsid w:val="00522CAA"/>
    <w:rsid w:val="0052356D"/>
    <w:rsid w:val="00523FFD"/>
    <w:rsid w:val="00531365"/>
    <w:rsid w:val="00531F9C"/>
    <w:rsid w:val="00534E1E"/>
    <w:rsid w:val="00535EAE"/>
    <w:rsid w:val="00537B66"/>
    <w:rsid w:val="00545EE6"/>
    <w:rsid w:val="00551B8E"/>
    <w:rsid w:val="00552944"/>
    <w:rsid w:val="005550E7"/>
    <w:rsid w:val="005564FB"/>
    <w:rsid w:val="00557159"/>
    <w:rsid w:val="005572C7"/>
    <w:rsid w:val="005610DB"/>
    <w:rsid w:val="0056363F"/>
    <w:rsid w:val="00564DED"/>
    <w:rsid w:val="005650ED"/>
    <w:rsid w:val="00566338"/>
    <w:rsid w:val="00567C52"/>
    <w:rsid w:val="005733AA"/>
    <w:rsid w:val="005751BD"/>
    <w:rsid w:val="00575754"/>
    <w:rsid w:val="00577D3A"/>
    <w:rsid w:val="005827DE"/>
    <w:rsid w:val="005844FB"/>
    <w:rsid w:val="00591E20"/>
    <w:rsid w:val="00592A7A"/>
    <w:rsid w:val="00595408"/>
    <w:rsid w:val="00595E84"/>
    <w:rsid w:val="00597564"/>
    <w:rsid w:val="00597D79"/>
    <w:rsid w:val="005A0588"/>
    <w:rsid w:val="005A0C59"/>
    <w:rsid w:val="005A48EB"/>
    <w:rsid w:val="005A65ED"/>
    <w:rsid w:val="005A6CFB"/>
    <w:rsid w:val="005B0B33"/>
    <w:rsid w:val="005C00ED"/>
    <w:rsid w:val="005C36EE"/>
    <w:rsid w:val="005C5AEB"/>
    <w:rsid w:val="005D4A3F"/>
    <w:rsid w:val="005D6FDA"/>
    <w:rsid w:val="005D7374"/>
    <w:rsid w:val="005E0A3F"/>
    <w:rsid w:val="005E0ECF"/>
    <w:rsid w:val="005E1F08"/>
    <w:rsid w:val="005E3291"/>
    <w:rsid w:val="005E332E"/>
    <w:rsid w:val="005E35F2"/>
    <w:rsid w:val="005E4BBC"/>
    <w:rsid w:val="005E6883"/>
    <w:rsid w:val="005E772F"/>
    <w:rsid w:val="005F00EC"/>
    <w:rsid w:val="005F29E5"/>
    <w:rsid w:val="005F4ECA"/>
    <w:rsid w:val="00602B32"/>
    <w:rsid w:val="006041BE"/>
    <w:rsid w:val="006043C7"/>
    <w:rsid w:val="00605958"/>
    <w:rsid w:val="006108F6"/>
    <w:rsid w:val="006146D3"/>
    <w:rsid w:val="00616027"/>
    <w:rsid w:val="00616E92"/>
    <w:rsid w:val="00621873"/>
    <w:rsid w:val="0062447B"/>
    <w:rsid w:val="006249DC"/>
    <w:rsid w:val="00624B52"/>
    <w:rsid w:val="0062731C"/>
    <w:rsid w:val="00627385"/>
    <w:rsid w:val="00627659"/>
    <w:rsid w:val="00631DF4"/>
    <w:rsid w:val="0063292F"/>
    <w:rsid w:val="006331CE"/>
    <w:rsid w:val="00634175"/>
    <w:rsid w:val="0063459E"/>
    <w:rsid w:val="00635655"/>
    <w:rsid w:val="006408AC"/>
    <w:rsid w:val="00640AD0"/>
    <w:rsid w:val="006425FB"/>
    <w:rsid w:val="006429B0"/>
    <w:rsid w:val="00646045"/>
    <w:rsid w:val="00646A7E"/>
    <w:rsid w:val="00647B29"/>
    <w:rsid w:val="00647DDA"/>
    <w:rsid w:val="006511B6"/>
    <w:rsid w:val="00652742"/>
    <w:rsid w:val="00653575"/>
    <w:rsid w:val="0065471F"/>
    <w:rsid w:val="00657143"/>
    <w:rsid w:val="00657FF8"/>
    <w:rsid w:val="00667D70"/>
    <w:rsid w:val="00670D99"/>
    <w:rsid w:val="00670E2B"/>
    <w:rsid w:val="00672743"/>
    <w:rsid w:val="006734BB"/>
    <w:rsid w:val="00675317"/>
    <w:rsid w:val="006809CB"/>
    <w:rsid w:val="00680DD3"/>
    <w:rsid w:val="00681A34"/>
    <w:rsid w:val="006821EB"/>
    <w:rsid w:val="006824D4"/>
    <w:rsid w:val="00682BC7"/>
    <w:rsid w:val="00686E90"/>
    <w:rsid w:val="00687D39"/>
    <w:rsid w:val="006A46E5"/>
    <w:rsid w:val="006A4EEC"/>
    <w:rsid w:val="006A682A"/>
    <w:rsid w:val="006B2286"/>
    <w:rsid w:val="006B56BB"/>
    <w:rsid w:val="006B5989"/>
    <w:rsid w:val="006B7824"/>
    <w:rsid w:val="006C0441"/>
    <w:rsid w:val="006C0B6E"/>
    <w:rsid w:val="006C0CB5"/>
    <w:rsid w:val="006C15E3"/>
    <w:rsid w:val="006C185C"/>
    <w:rsid w:val="006C4E9C"/>
    <w:rsid w:val="006C77A8"/>
    <w:rsid w:val="006C7CEC"/>
    <w:rsid w:val="006D4098"/>
    <w:rsid w:val="006D7681"/>
    <w:rsid w:val="006D7B2E"/>
    <w:rsid w:val="006E02EA"/>
    <w:rsid w:val="006E0968"/>
    <w:rsid w:val="006E2955"/>
    <w:rsid w:val="006E2AF6"/>
    <w:rsid w:val="006E2BC0"/>
    <w:rsid w:val="006E5E20"/>
    <w:rsid w:val="006F040A"/>
    <w:rsid w:val="006F30EC"/>
    <w:rsid w:val="006F478C"/>
    <w:rsid w:val="006F71F9"/>
    <w:rsid w:val="006F7E3F"/>
    <w:rsid w:val="00701275"/>
    <w:rsid w:val="00701AC2"/>
    <w:rsid w:val="00702E26"/>
    <w:rsid w:val="0070387A"/>
    <w:rsid w:val="00705DF8"/>
    <w:rsid w:val="00707F56"/>
    <w:rsid w:val="0071070D"/>
    <w:rsid w:val="0071230B"/>
    <w:rsid w:val="00713558"/>
    <w:rsid w:val="00715B3D"/>
    <w:rsid w:val="00717A96"/>
    <w:rsid w:val="00717C49"/>
    <w:rsid w:val="00720D08"/>
    <w:rsid w:val="00722796"/>
    <w:rsid w:val="007263B9"/>
    <w:rsid w:val="00727046"/>
    <w:rsid w:val="0073021C"/>
    <w:rsid w:val="007307F1"/>
    <w:rsid w:val="00732AA7"/>
    <w:rsid w:val="007334F8"/>
    <w:rsid w:val="007339CD"/>
    <w:rsid w:val="007359D8"/>
    <w:rsid w:val="007362D4"/>
    <w:rsid w:val="007373FA"/>
    <w:rsid w:val="007474CC"/>
    <w:rsid w:val="00751A23"/>
    <w:rsid w:val="0075763B"/>
    <w:rsid w:val="00760C82"/>
    <w:rsid w:val="007619F0"/>
    <w:rsid w:val="0076259B"/>
    <w:rsid w:val="00765E36"/>
    <w:rsid w:val="00765E42"/>
    <w:rsid w:val="0076672A"/>
    <w:rsid w:val="00772A55"/>
    <w:rsid w:val="00773756"/>
    <w:rsid w:val="007743B6"/>
    <w:rsid w:val="00774799"/>
    <w:rsid w:val="00775E45"/>
    <w:rsid w:val="00775EF7"/>
    <w:rsid w:val="007763FC"/>
    <w:rsid w:val="007767F1"/>
    <w:rsid w:val="00776B61"/>
    <w:rsid w:val="00776E74"/>
    <w:rsid w:val="00785169"/>
    <w:rsid w:val="007855CC"/>
    <w:rsid w:val="007875E0"/>
    <w:rsid w:val="00790BEF"/>
    <w:rsid w:val="007954AB"/>
    <w:rsid w:val="00795F3D"/>
    <w:rsid w:val="00797E27"/>
    <w:rsid w:val="007A0BE6"/>
    <w:rsid w:val="007A14C5"/>
    <w:rsid w:val="007A2C09"/>
    <w:rsid w:val="007A338B"/>
    <w:rsid w:val="007A3E38"/>
    <w:rsid w:val="007A4449"/>
    <w:rsid w:val="007A4A10"/>
    <w:rsid w:val="007A6025"/>
    <w:rsid w:val="007A661A"/>
    <w:rsid w:val="007A6EB1"/>
    <w:rsid w:val="007A6F01"/>
    <w:rsid w:val="007A7267"/>
    <w:rsid w:val="007B1760"/>
    <w:rsid w:val="007B2321"/>
    <w:rsid w:val="007B3D03"/>
    <w:rsid w:val="007B5F4A"/>
    <w:rsid w:val="007B6A70"/>
    <w:rsid w:val="007C6D9C"/>
    <w:rsid w:val="007C7DDB"/>
    <w:rsid w:val="007D0E79"/>
    <w:rsid w:val="007D2CC7"/>
    <w:rsid w:val="007D3740"/>
    <w:rsid w:val="007D673D"/>
    <w:rsid w:val="007E1806"/>
    <w:rsid w:val="007E312B"/>
    <w:rsid w:val="007E7277"/>
    <w:rsid w:val="007E7EB9"/>
    <w:rsid w:val="007F2220"/>
    <w:rsid w:val="007F4B3E"/>
    <w:rsid w:val="007F5090"/>
    <w:rsid w:val="007F588A"/>
    <w:rsid w:val="007F5B9A"/>
    <w:rsid w:val="0080396B"/>
    <w:rsid w:val="008040B1"/>
    <w:rsid w:val="008115D6"/>
    <w:rsid w:val="008127AF"/>
    <w:rsid w:val="00812A2F"/>
    <w:rsid w:val="00812B46"/>
    <w:rsid w:val="00812CFE"/>
    <w:rsid w:val="00812FE5"/>
    <w:rsid w:val="00815700"/>
    <w:rsid w:val="00817B70"/>
    <w:rsid w:val="00823CF3"/>
    <w:rsid w:val="00825523"/>
    <w:rsid w:val="00825B34"/>
    <w:rsid w:val="008264EB"/>
    <w:rsid w:val="00826B8F"/>
    <w:rsid w:val="008314AF"/>
    <w:rsid w:val="00831E8A"/>
    <w:rsid w:val="008328D3"/>
    <w:rsid w:val="00833FAA"/>
    <w:rsid w:val="00835C76"/>
    <w:rsid w:val="008369F5"/>
    <w:rsid w:val="00842E45"/>
    <w:rsid w:val="00843049"/>
    <w:rsid w:val="00845D9C"/>
    <w:rsid w:val="0085209B"/>
    <w:rsid w:val="00856B66"/>
    <w:rsid w:val="00857AA2"/>
    <w:rsid w:val="00861A5F"/>
    <w:rsid w:val="00862E24"/>
    <w:rsid w:val="008644AD"/>
    <w:rsid w:val="00865735"/>
    <w:rsid w:val="00865DDB"/>
    <w:rsid w:val="00867538"/>
    <w:rsid w:val="0087120D"/>
    <w:rsid w:val="00873D90"/>
    <w:rsid w:val="00873FC8"/>
    <w:rsid w:val="00876C79"/>
    <w:rsid w:val="00877A8C"/>
    <w:rsid w:val="00881A2B"/>
    <w:rsid w:val="00884599"/>
    <w:rsid w:val="0088469C"/>
    <w:rsid w:val="00884C63"/>
    <w:rsid w:val="00885412"/>
    <w:rsid w:val="00885908"/>
    <w:rsid w:val="008864B7"/>
    <w:rsid w:val="00887A8A"/>
    <w:rsid w:val="0089677E"/>
    <w:rsid w:val="00896E8C"/>
    <w:rsid w:val="008A022C"/>
    <w:rsid w:val="008A0405"/>
    <w:rsid w:val="008A29A4"/>
    <w:rsid w:val="008A3792"/>
    <w:rsid w:val="008A664C"/>
    <w:rsid w:val="008A7438"/>
    <w:rsid w:val="008B1334"/>
    <w:rsid w:val="008B1EE3"/>
    <w:rsid w:val="008B3F6E"/>
    <w:rsid w:val="008B5433"/>
    <w:rsid w:val="008C0278"/>
    <w:rsid w:val="008C24E9"/>
    <w:rsid w:val="008C3F2E"/>
    <w:rsid w:val="008C4939"/>
    <w:rsid w:val="008C7E73"/>
    <w:rsid w:val="008D0533"/>
    <w:rsid w:val="008D1AE3"/>
    <w:rsid w:val="008D2A8A"/>
    <w:rsid w:val="008D3A8E"/>
    <w:rsid w:val="008D42CB"/>
    <w:rsid w:val="008D48C9"/>
    <w:rsid w:val="008D5B79"/>
    <w:rsid w:val="008D6381"/>
    <w:rsid w:val="008E0C77"/>
    <w:rsid w:val="008E2181"/>
    <w:rsid w:val="008E5A10"/>
    <w:rsid w:val="008E625F"/>
    <w:rsid w:val="008E6354"/>
    <w:rsid w:val="008F264D"/>
    <w:rsid w:val="009074E1"/>
    <w:rsid w:val="009112F7"/>
    <w:rsid w:val="009122AF"/>
    <w:rsid w:val="009127BC"/>
    <w:rsid w:val="00912D54"/>
    <w:rsid w:val="0091389F"/>
    <w:rsid w:val="0091557B"/>
    <w:rsid w:val="00920585"/>
    <w:rsid w:val="0092059E"/>
    <w:rsid w:val="009208F7"/>
    <w:rsid w:val="00921CA0"/>
    <w:rsid w:val="0092212E"/>
    <w:rsid w:val="00922517"/>
    <w:rsid w:val="00922722"/>
    <w:rsid w:val="009261E6"/>
    <w:rsid w:val="00926300"/>
    <w:rsid w:val="009265E8"/>
    <w:rsid w:val="009268E1"/>
    <w:rsid w:val="00932A85"/>
    <w:rsid w:val="00934368"/>
    <w:rsid w:val="00937CF6"/>
    <w:rsid w:val="009412C2"/>
    <w:rsid w:val="00943806"/>
    <w:rsid w:val="00945E7F"/>
    <w:rsid w:val="00945F3B"/>
    <w:rsid w:val="00947010"/>
    <w:rsid w:val="00950730"/>
    <w:rsid w:val="00953602"/>
    <w:rsid w:val="00953E02"/>
    <w:rsid w:val="009543B1"/>
    <w:rsid w:val="009557C1"/>
    <w:rsid w:val="00960D6E"/>
    <w:rsid w:val="00961E68"/>
    <w:rsid w:val="00965436"/>
    <w:rsid w:val="0096743B"/>
    <w:rsid w:val="00972BC1"/>
    <w:rsid w:val="00974B59"/>
    <w:rsid w:val="00977561"/>
    <w:rsid w:val="00977CC0"/>
    <w:rsid w:val="00981D43"/>
    <w:rsid w:val="0098258B"/>
    <w:rsid w:val="009825F2"/>
    <w:rsid w:val="0098340B"/>
    <w:rsid w:val="00985B12"/>
    <w:rsid w:val="00986830"/>
    <w:rsid w:val="0098754C"/>
    <w:rsid w:val="0099242D"/>
    <w:rsid w:val="009924C3"/>
    <w:rsid w:val="00993102"/>
    <w:rsid w:val="00997500"/>
    <w:rsid w:val="00997BBF"/>
    <w:rsid w:val="009A0A4D"/>
    <w:rsid w:val="009A3380"/>
    <w:rsid w:val="009A49D6"/>
    <w:rsid w:val="009A56B8"/>
    <w:rsid w:val="009A7B41"/>
    <w:rsid w:val="009B2577"/>
    <w:rsid w:val="009B30E2"/>
    <w:rsid w:val="009B4949"/>
    <w:rsid w:val="009B5601"/>
    <w:rsid w:val="009B7D4C"/>
    <w:rsid w:val="009C1336"/>
    <w:rsid w:val="009C4A39"/>
    <w:rsid w:val="009C52E6"/>
    <w:rsid w:val="009C54CA"/>
    <w:rsid w:val="009C6F10"/>
    <w:rsid w:val="009D10CF"/>
    <w:rsid w:val="009D148F"/>
    <w:rsid w:val="009D3D70"/>
    <w:rsid w:val="009D6804"/>
    <w:rsid w:val="009D6AF2"/>
    <w:rsid w:val="009E6F7E"/>
    <w:rsid w:val="009E7A57"/>
    <w:rsid w:val="009F0C4A"/>
    <w:rsid w:val="009F331A"/>
    <w:rsid w:val="009F38E2"/>
    <w:rsid w:val="009F4F6A"/>
    <w:rsid w:val="00A04084"/>
    <w:rsid w:val="00A04D62"/>
    <w:rsid w:val="00A058AC"/>
    <w:rsid w:val="00A06539"/>
    <w:rsid w:val="00A07B9C"/>
    <w:rsid w:val="00A11CB8"/>
    <w:rsid w:val="00A13808"/>
    <w:rsid w:val="00A16E36"/>
    <w:rsid w:val="00A17C91"/>
    <w:rsid w:val="00A200AF"/>
    <w:rsid w:val="00A20544"/>
    <w:rsid w:val="00A207AE"/>
    <w:rsid w:val="00A20E1A"/>
    <w:rsid w:val="00A24961"/>
    <w:rsid w:val="00A24B10"/>
    <w:rsid w:val="00A30E9B"/>
    <w:rsid w:val="00A336F3"/>
    <w:rsid w:val="00A33BA2"/>
    <w:rsid w:val="00A35762"/>
    <w:rsid w:val="00A36B21"/>
    <w:rsid w:val="00A40472"/>
    <w:rsid w:val="00A408BD"/>
    <w:rsid w:val="00A42515"/>
    <w:rsid w:val="00A4512D"/>
    <w:rsid w:val="00A50244"/>
    <w:rsid w:val="00A51B4F"/>
    <w:rsid w:val="00A52347"/>
    <w:rsid w:val="00A55DB1"/>
    <w:rsid w:val="00A56F17"/>
    <w:rsid w:val="00A627D7"/>
    <w:rsid w:val="00A6423D"/>
    <w:rsid w:val="00A652E8"/>
    <w:rsid w:val="00A656C7"/>
    <w:rsid w:val="00A65818"/>
    <w:rsid w:val="00A65F24"/>
    <w:rsid w:val="00A705AF"/>
    <w:rsid w:val="00A712D7"/>
    <w:rsid w:val="00A72454"/>
    <w:rsid w:val="00A726BE"/>
    <w:rsid w:val="00A733DF"/>
    <w:rsid w:val="00A74345"/>
    <w:rsid w:val="00A77696"/>
    <w:rsid w:val="00A80557"/>
    <w:rsid w:val="00A81D33"/>
    <w:rsid w:val="00A826EA"/>
    <w:rsid w:val="00A8566D"/>
    <w:rsid w:val="00A86D0E"/>
    <w:rsid w:val="00A86E33"/>
    <w:rsid w:val="00A87D33"/>
    <w:rsid w:val="00A926A6"/>
    <w:rsid w:val="00A930AE"/>
    <w:rsid w:val="00AA1072"/>
    <w:rsid w:val="00AA1A95"/>
    <w:rsid w:val="00AA260F"/>
    <w:rsid w:val="00AA2D66"/>
    <w:rsid w:val="00AA37F3"/>
    <w:rsid w:val="00AA723B"/>
    <w:rsid w:val="00AB1EE7"/>
    <w:rsid w:val="00AB2D72"/>
    <w:rsid w:val="00AB4878"/>
    <w:rsid w:val="00AB4B37"/>
    <w:rsid w:val="00AB5762"/>
    <w:rsid w:val="00AC16A1"/>
    <w:rsid w:val="00AC2679"/>
    <w:rsid w:val="00AC460B"/>
    <w:rsid w:val="00AC4BE4"/>
    <w:rsid w:val="00AC6BF9"/>
    <w:rsid w:val="00AC754E"/>
    <w:rsid w:val="00AC78EF"/>
    <w:rsid w:val="00AD05E6"/>
    <w:rsid w:val="00AD0D3F"/>
    <w:rsid w:val="00AD1757"/>
    <w:rsid w:val="00AD1C5A"/>
    <w:rsid w:val="00AD7DAA"/>
    <w:rsid w:val="00AE1C0C"/>
    <w:rsid w:val="00AE1D7D"/>
    <w:rsid w:val="00AE2A8B"/>
    <w:rsid w:val="00AE3F64"/>
    <w:rsid w:val="00AE4E38"/>
    <w:rsid w:val="00AE5B23"/>
    <w:rsid w:val="00AF1894"/>
    <w:rsid w:val="00AF256E"/>
    <w:rsid w:val="00AF3598"/>
    <w:rsid w:val="00AF5D25"/>
    <w:rsid w:val="00AF6ABD"/>
    <w:rsid w:val="00AF7386"/>
    <w:rsid w:val="00AF7934"/>
    <w:rsid w:val="00B00B81"/>
    <w:rsid w:val="00B01B49"/>
    <w:rsid w:val="00B04580"/>
    <w:rsid w:val="00B04B09"/>
    <w:rsid w:val="00B0607F"/>
    <w:rsid w:val="00B06C44"/>
    <w:rsid w:val="00B1271A"/>
    <w:rsid w:val="00B143DB"/>
    <w:rsid w:val="00B167BC"/>
    <w:rsid w:val="00B16A51"/>
    <w:rsid w:val="00B178E9"/>
    <w:rsid w:val="00B247EB"/>
    <w:rsid w:val="00B25440"/>
    <w:rsid w:val="00B26178"/>
    <w:rsid w:val="00B32222"/>
    <w:rsid w:val="00B34672"/>
    <w:rsid w:val="00B34987"/>
    <w:rsid w:val="00B35583"/>
    <w:rsid w:val="00B3618D"/>
    <w:rsid w:val="00B36233"/>
    <w:rsid w:val="00B40523"/>
    <w:rsid w:val="00B4074A"/>
    <w:rsid w:val="00B42851"/>
    <w:rsid w:val="00B43D2A"/>
    <w:rsid w:val="00B447E9"/>
    <w:rsid w:val="00B45AC7"/>
    <w:rsid w:val="00B50101"/>
    <w:rsid w:val="00B52234"/>
    <w:rsid w:val="00B5372F"/>
    <w:rsid w:val="00B5785C"/>
    <w:rsid w:val="00B61129"/>
    <w:rsid w:val="00B615FA"/>
    <w:rsid w:val="00B620ED"/>
    <w:rsid w:val="00B67E7F"/>
    <w:rsid w:val="00B706C5"/>
    <w:rsid w:val="00B73F5A"/>
    <w:rsid w:val="00B74B69"/>
    <w:rsid w:val="00B75A04"/>
    <w:rsid w:val="00B7684C"/>
    <w:rsid w:val="00B77C92"/>
    <w:rsid w:val="00B839B2"/>
    <w:rsid w:val="00B849C8"/>
    <w:rsid w:val="00B87988"/>
    <w:rsid w:val="00B94252"/>
    <w:rsid w:val="00B95354"/>
    <w:rsid w:val="00B95C62"/>
    <w:rsid w:val="00B96007"/>
    <w:rsid w:val="00B9715A"/>
    <w:rsid w:val="00BA14BE"/>
    <w:rsid w:val="00BA2732"/>
    <w:rsid w:val="00BA293D"/>
    <w:rsid w:val="00BA322E"/>
    <w:rsid w:val="00BA49BC"/>
    <w:rsid w:val="00BA4CD9"/>
    <w:rsid w:val="00BA56B7"/>
    <w:rsid w:val="00BA7A1E"/>
    <w:rsid w:val="00BA7CA9"/>
    <w:rsid w:val="00BB15DB"/>
    <w:rsid w:val="00BB2F6C"/>
    <w:rsid w:val="00BB3875"/>
    <w:rsid w:val="00BB5860"/>
    <w:rsid w:val="00BB6AAD"/>
    <w:rsid w:val="00BC2EC1"/>
    <w:rsid w:val="00BC4A19"/>
    <w:rsid w:val="00BC4E6D"/>
    <w:rsid w:val="00BC5FCF"/>
    <w:rsid w:val="00BD0617"/>
    <w:rsid w:val="00BD08D4"/>
    <w:rsid w:val="00BD1A8D"/>
    <w:rsid w:val="00BD2E9B"/>
    <w:rsid w:val="00BE25DF"/>
    <w:rsid w:val="00BE2A39"/>
    <w:rsid w:val="00BE2CAF"/>
    <w:rsid w:val="00BF06A3"/>
    <w:rsid w:val="00BF093B"/>
    <w:rsid w:val="00BF47DD"/>
    <w:rsid w:val="00BF486E"/>
    <w:rsid w:val="00BF63A7"/>
    <w:rsid w:val="00BF7AD7"/>
    <w:rsid w:val="00BF7E80"/>
    <w:rsid w:val="00C00930"/>
    <w:rsid w:val="00C035DC"/>
    <w:rsid w:val="00C04030"/>
    <w:rsid w:val="00C043C0"/>
    <w:rsid w:val="00C05474"/>
    <w:rsid w:val="00C060AD"/>
    <w:rsid w:val="00C0670D"/>
    <w:rsid w:val="00C113BF"/>
    <w:rsid w:val="00C113D2"/>
    <w:rsid w:val="00C1508D"/>
    <w:rsid w:val="00C15FA9"/>
    <w:rsid w:val="00C163B7"/>
    <w:rsid w:val="00C2176E"/>
    <w:rsid w:val="00C21913"/>
    <w:rsid w:val="00C21CAE"/>
    <w:rsid w:val="00C23013"/>
    <w:rsid w:val="00C23430"/>
    <w:rsid w:val="00C23634"/>
    <w:rsid w:val="00C25D37"/>
    <w:rsid w:val="00C26642"/>
    <w:rsid w:val="00C27D67"/>
    <w:rsid w:val="00C3211C"/>
    <w:rsid w:val="00C4631F"/>
    <w:rsid w:val="00C50E16"/>
    <w:rsid w:val="00C52054"/>
    <w:rsid w:val="00C53C96"/>
    <w:rsid w:val="00C547DA"/>
    <w:rsid w:val="00C55258"/>
    <w:rsid w:val="00C56C44"/>
    <w:rsid w:val="00C61107"/>
    <w:rsid w:val="00C6134E"/>
    <w:rsid w:val="00C622FF"/>
    <w:rsid w:val="00C6284F"/>
    <w:rsid w:val="00C64E68"/>
    <w:rsid w:val="00C6727B"/>
    <w:rsid w:val="00C72C98"/>
    <w:rsid w:val="00C82EEB"/>
    <w:rsid w:val="00C8549A"/>
    <w:rsid w:val="00C866E2"/>
    <w:rsid w:val="00C87354"/>
    <w:rsid w:val="00C9034C"/>
    <w:rsid w:val="00C92BE1"/>
    <w:rsid w:val="00C94CAF"/>
    <w:rsid w:val="00C971DC"/>
    <w:rsid w:val="00CA0C78"/>
    <w:rsid w:val="00CA16B7"/>
    <w:rsid w:val="00CA2645"/>
    <w:rsid w:val="00CA2E4D"/>
    <w:rsid w:val="00CA4BE3"/>
    <w:rsid w:val="00CA4CEB"/>
    <w:rsid w:val="00CA5C9D"/>
    <w:rsid w:val="00CA62AE"/>
    <w:rsid w:val="00CA656C"/>
    <w:rsid w:val="00CA6ED2"/>
    <w:rsid w:val="00CB5B1A"/>
    <w:rsid w:val="00CB6F0B"/>
    <w:rsid w:val="00CB7A80"/>
    <w:rsid w:val="00CC09BC"/>
    <w:rsid w:val="00CC220B"/>
    <w:rsid w:val="00CC5C43"/>
    <w:rsid w:val="00CC72C3"/>
    <w:rsid w:val="00CD02AE"/>
    <w:rsid w:val="00CD2A4F"/>
    <w:rsid w:val="00CD3D57"/>
    <w:rsid w:val="00CD5193"/>
    <w:rsid w:val="00CE03CA"/>
    <w:rsid w:val="00CE1663"/>
    <w:rsid w:val="00CE19B2"/>
    <w:rsid w:val="00CE22F1"/>
    <w:rsid w:val="00CE50F2"/>
    <w:rsid w:val="00CE540E"/>
    <w:rsid w:val="00CE57D7"/>
    <w:rsid w:val="00CE6502"/>
    <w:rsid w:val="00CF1040"/>
    <w:rsid w:val="00CF2A2E"/>
    <w:rsid w:val="00CF2E42"/>
    <w:rsid w:val="00CF6D27"/>
    <w:rsid w:val="00CF7819"/>
    <w:rsid w:val="00CF7D3C"/>
    <w:rsid w:val="00D00C01"/>
    <w:rsid w:val="00D03933"/>
    <w:rsid w:val="00D0690C"/>
    <w:rsid w:val="00D06B68"/>
    <w:rsid w:val="00D06E46"/>
    <w:rsid w:val="00D071FC"/>
    <w:rsid w:val="00D119E7"/>
    <w:rsid w:val="00D13A8B"/>
    <w:rsid w:val="00D13AD9"/>
    <w:rsid w:val="00D147EB"/>
    <w:rsid w:val="00D15154"/>
    <w:rsid w:val="00D15F3A"/>
    <w:rsid w:val="00D162EA"/>
    <w:rsid w:val="00D2124D"/>
    <w:rsid w:val="00D21443"/>
    <w:rsid w:val="00D21536"/>
    <w:rsid w:val="00D24416"/>
    <w:rsid w:val="00D26097"/>
    <w:rsid w:val="00D263CF"/>
    <w:rsid w:val="00D26FAE"/>
    <w:rsid w:val="00D27363"/>
    <w:rsid w:val="00D330D2"/>
    <w:rsid w:val="00D33B04"/>
    <w:rsid w:val="00D34667"/>
    <w:rsid w:val="00D401E1"/>
    <w:rsid w:val="00D408B4"/>
    <w:rsid w:val="00D40DA8"/>
    <w:rsid w:val="00D423B1"/>
    <w:rsid w:val="00D43F1D"/>
    <w:rsid w:val="00D45D94"/>
    <w:rsid w:val="00D47872"/>
    <w:rsid w:val="00D509A3"/>
    <w:rsid w:val="00D51FBF"/>
    <w:rsid w:val="00D524C8"/>
    <w:rsid w:val="00D5423C"/>
    <w:rsid w:val="00D56BC5"/>
    <w:rsid w:val="00D570C3"/>
    <w:rsid w:val="00D5715C"/>
    <w:rsid w:val="00D60E25"/>
    <w:rsid w:val="00D642CE"/>
    <w:rsid w:val="00D67446"/>
    <w:rsid w:val="00D7030B"/>
    <w:rsid w:val="00D70E24"/>
    <w:rsid w:val="00D72B61"/>
    <w:rsid w:val="00D73C8A"/>
    <w:rsid w:val="00D74283"/>
    <w:rsid w:val="00D77F08"/>
    <w:rsid w:val="00D80792"/>
    <w:rsid w:val="00D81D3A"/>
    <w:rsid w:val="00D82385"/>
    <w:rsid w:val="00D85683"/>
    <w:rsid w:val="00D8732E"/>
    <w:rsid w:val="00D8787B"/>
    <w:rsid w:val="00D90D83"/>
    <w:rsid w:val="00D95472"/>
    <w:rsid w:val="00D96BDE"/>
    <w:rsid w:val="00D97409"/>
    <w:rsid w:val="00DA189C"/>
    <w:rsid w:val="00DA2383"/>
    <w:rsid w:val="00DA2EEB"/>
    <w:rsid w:val="00DA3D1D"/>
    <w:rsid w:val="00DA440A"/>
    <w:rsid w:val="00DA6142"/>
    <w:rsid w:val="00DB0138"/>
    <w:rsid w:val="00DB2479"/>
    <w:rsid w:val="00DB2753"/>
    <w:rsid w:val="00DB6286"/>
    <w:rsid w:val="00DB645F"/>
    <w:rsid w:val="00DB76E9"/>
    <w:rsid w:val="00DC0A67"/>
    <w:rsid w:val="00DC1D5E"/>
    <w:rsid w:val="00DC2313"/>
    <w:rsid w:val="00DC5220"/>
    <w:rsid w:val="00DC7910"/>
    <w:rsid w:val="00DD2061"/>
    <w:rsid w:val="00DD3058"/>
    <w:rsid w:val="00DD3A04"/>
    <w:rsid w:val="00DD46C5"/>
    <w:rsid w:val="00DD6906"/>
    <w:rsid w:val="00DD7546"/>
    <w:rsid w:val="00DD7DAB"/>
    <w:rsid w:val="00DE3355"/>
    <w:rsid w:val="00DE4184"/>
    <w:rsid w:val="00DE4A76"/>
    <w:rsid w:val="00DE7FF7"/>
    <w:rsid w:val="00DF486F"/>
    <w:rsid w:val="00DF5B5B"/>
    <w:rsid w:val="00DF7619"/>
    <w:rsid w:val="00E042D8"/>
    <w:rsid w:val="00E06150"/>
    <w:rsid w:val="00E06AA0"/>
    <w:rsid w:val="00E07EE7"/>
    <w:rsid w:val="00E1103B"/>
    <w:rsid w:val="00E11955"/>
    <w:rsid w:val="00E1324A"/>
    <w:rsid w:val="00E14D68"/>
    <w:rsid w:val="00E169D8"/>
    <w:rsid w:val="00E17280"/>
    <w:rsid w:val="00E17B44"/>
    <w:rsid w:val="00E212A3"/>
    <w:rsid w:val="00E24957"/>
    <w:rsid w:val="00E27FEA"/>
    <w:rsid w:val="00E33A42"/>
    <w:rsid w:val="00E34E45"/>
    <w:rsid w:val="00E37590"/>
    <w:rsid w:val="00E406C3"/>
    <w:rsid w:val="00E4086F"/>
    <w:rsid w:val="00E43B3C"/>
    <w:rsid w:val="00E463BE"/>
    <w:rsid w:val="00E4705E"/>
    <w:rsid w:val="00E47D50"/>
    <w:rsid w:val="00E50188"/>
    <w:rsid w:val="00E515CB"/>
    <w:rsid w:val="00E52260"/>
    <w:rsid w:val="00E54090"/>
    <w:rsid w:val="00E56982"/>
    <w:rsid w:val="00E57EB7"/>
    <w:rsid w:val="00E639B6"/>
    <w:rsid w:val="00E639F4"/>
    <w:rsid w:val="00E6434B"/>
    <w:rsid w:val="00E6463D"/>
    <w:rsid w:val="00E72223"/>
    <w:rsid w:val="00E72E9B"/>
    <w:rsid w:val="00E72F86"/>
    <w:rsid w:val="00E73426"/>
    <w:rsid w:val="00E73F9B"/>
    <w:rsid w:val="00E75F70"/>
    <w:rsid w:val="00E77934"/>
    <w:rsid w:val="00E803A2"/>
    <w:rsid w:val="00E8243A"/>
    <w:rsid w:val="00E849DA"/>
    <w:rsid w:val="00E940C5"/>
    <w:rsid w:val="00E9462E"/>
    <w:rsid w:val="00E94784"/>
    <w:rsid w:val="00E97AB6"/>
    <w:rsid w:val="00EA2A92"/>
    <w:rsid w:val="00EA4137"/>
    <w:rsid w:val="00EA4455"/>
    <w:rsid w:val="00EA470E"/>
    <w:rsid w:val="00EA47A7"/>
    <w:rsid w:val="00EA4B53"/>
    <w:rsid w:val="00EA57EB"/>
    <w:rsid w:val="00EA65D6"/>
    <w:rsid w:val="00EA7E5E"/>
    <w:rsid w:val="00EB2CF4"/>
    <w:rsid w:val="00EB3226"/>
    <w:rsid w:val="00EB3EA0"/>
    <w:rsid w:val="00EC01D8"/>
    <w:rsid w:val="00EC02BC"/>
    <w:rsid w:val="00EC213A"/>
    <w:rsid w:val="00EC32CB"/>
    <w:rsid w:val="00EC6603"/>
    <w:rsid w:val="00EC7744"/>
    <w:rsid w:val="00ED0DAD"/>
    <w:rsid w:val="00ED0F46"/>
    <w:rsid w:val="00ED1DDA"/>
    <w:rsid w:val="00ED2373"/>
    <w:rsid w:val="00ED244E"/>
    <w:rsid w:val="00ED36B9"/>
    <w:rsid w:val="00ED39D4"/>
    <w:rsid w:val="00ED7BD6"/>
    <w:rsid w:val="00EE3E8A"/>
    <w:rsid w:val="00EE4924"/>
    <w:rsid w:val="00EE5EC7"/>
    <w:rsid w:val="00EF686D"/>
    <w:rsid w:val="00EF6ECA"/>
    <w:rsid w:val="00F01DC5"/>
    <w:rsid w:val="00F024E1"/>
    <w:rsid w:val="00F045FF"/>
    <w:rsid w:val="00F049F6"/>
    <w:rsid w:val="00F04CC6"/>
    <w:rsid w:val="00F056AA"/>
    <w:rsid w:val="00F06C10"/>
    <w:rsid w:val="00F073A4"/>
    <w:rsid w:val="00F1096F"/>
    <w:rsid w:val="00F10AD8"/>
    <w:rsid w:val="00F10DEF"/>
    <w:rsid w:val="00F12589"/>
    <w:rsid w:val="00F12595"/>
    <w:rsid w:val="00F12AF3"/>
    <w:rsid w:val="00F134D9"/>
    <w:rsid w:val="00F1403D"/>
    <w:rsid w:val="00F1463F"/>
    <w:rsid w:val="00F21302"/>
    <w:rsid w:val="00F222DB"/>
    <w:rsid w:val="00F22DDE"/>
    <w:rsid w:val="00F235F2"/>
    <w:rsid w:val="00F237EE"/>
    <w:rsid w:val="00F24283"/>
    <w:rsid w:val="00F253D5"/>
    <w:rsid w:val="00F3020D"/>
    <w:rsid w:val="00F30432"/>
    <w:rsid w:val="00F31DBA"/>
    <w:rsid w:val="00F321DE"/>
    <w:rsid w:val="00F32387"/>
    <w:rsid w:val="00F3275F"/>
    <w:rsid w:val="00F32985"/>
    <w:rsid w:val="00F32DF4"/>
    <w:rsid w:val="00F33777"/>
    <w:rsid w:val="00F36F71"/>
    <w:rsid w:val="00F40648"/>
    <w:rsid w:val="00F47DA2"/>
    <w:rsid w:val="00F519FC"/>
    <w:rsid w:val="00F52765"/>
    <w:rsid w:val="00F527D3"/>
    <w:rsid w:val="00F5600C"/>
    <w:rsid w:val="00F6239D"/>
    <w:rsid w:val="00F6483C"/>
    <w:rsid w:val="00F70B34"/>
    <w:rsid w:val="00F715D2"/>
    <w:rsid w:val="00F7274F"/>
    <w:rsid w:val="00F75F20"/>
    <w:rsid w:val="00F76FA8"/>
    <w:rsid w:val="00F77F17"/>
    <w:rsid w:val="00F817EC"/>
    <w:rsid w:val="00F81FA8"/>
    <w:rsid w:val="00F85B1A"/>
    <w:rsid w:val="00F864E9"/>
    <w:rsid w:val="00F912A0"/>
    <w:rsid w:val="00F91476"/>
    <w:rsid w:val="00F93F08"/>
    <w:rsid w:val="00F94CED"/>
    <w:rsid w:val="00FA1FE1"/>
    <w:rsid w:val="00FA2CEE"/>
    <w:rsid w:val="00FA318C"/>
    <w:rsid w:val="00FA383B"/>
    <w:rsid w:val="00FA4D48"/>
    <w:rsid w:val="00FA5448"/>
    <w:rsid w:val="00FB4856"/>
    <w:rsid w:val="00FB6F92"/>
    <w:rsid w:val="00FB7940"/>
    <w:rsid w:val="00FC026E"/>
    <w:rsid w:val="00FC43C1"/>
    <w:rsid w:val="00FC5124"/>
    <w:rsid w:val="00FC6624"/>
    <w:rsid w:val="00FC6D63"/>
    <w:rsid w:val="00FD3E1E"/>
    <w:rsid w:val="00FD4731"/>
    <w:rsid w:val="00FD5A33"/>
    <w:rsid w:val="00FD7288"/>
    <w:rsid w:val="00FE25AB"/>
    <w:rsid w:val="00FE2987"/>
    <w:rsid w:val="00FE507B"/>
    <w:rsid w:val="00FF0974"/>
    <w:rsid w:val="00FF0AB0"/>
    <w:rsid w:val="00FF2551"/>
    <w:rsid w:val="00FF28AC"/>
    <w:rsid w:val="00FF2C54"/>
    <w:rsid w:val="00FF5A7A"/>
    <w:rsid w:val="00FF7F62"/>
    <w:rsid w:val="451E0B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F27D93"/>
  <w15:docId w15:val="{0C68E5B4-C49F-43DA-87AA-6E733F27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E507B"/>
    <w:pPr>
      <w:spacing w:before="120" w:after="120" w:line="276" w:lineRule="auto"/>
    </w:pPr>
    <w:rPr>
      <w:rFonts w:ascii="Aptos" w:hAnsi="Aptos"/>
      <w:color w:val="000101" w:themeColor="text1"/>
      <w:sz w:val="24"/>
      <w:szCs w:val="24"/>
      <w:lang w:eastAsia="en-US"/>
    </w:rPr>
  </w:style>
  <w:style w:type="paragraph" w:styleId="Heading1">
    <w:name w:val="heading 1"/>
    <w:next w:val="Normal"/>
    <w:link w:val="Heading1Char"/>
    <w:qFormat/>
    <w:rsid w:val="00732AA7"/>
    <w:pPr>
      <w:keepNext/>
      <w:spacing w:before="600" w:after="240"/>
      <w:outlineLvl w:val="0"/>
    </w:pPr>
    <w:rPr>
      <w:rFonts w:ascii="Aptos" w:hAnsi="Aptos" w:cs="Arial"/>
      <w:b/>
      <w:bCs/>
      <w:color w:val="1D4794"/>
      <w:kern w:val="28"/>
      <w:sz w:val="60"/>
      <w:szCs w:val="36"/>
      <w:lang w:eastAsia="en-US"/>
    </w:rPr>
  </w:style>
  <w:style w:type="paragraph" w:styleId="Heading2">
    <w:name w:val="heading 2"/>
    <w:next w:val="Normal"/>
    <w:link w:val="Heading2Char"/>
    <w:qFormat/>
    <w:rsid w:val="00732AA7"/>
    <w:pPr>
      <w:keepNext/>
      <w:spacing w:before="360" w:after="240"/>
      <w:outlineLvl w:val="1"/>
    </w:pPr>
    <w:rPr>
      <w:rFonts w:ascii="Aptos" w:hAnsi="Aptos" w:cs="Arial"/>
      <w:b/>
      <w:bCs/>
      <w:iCs/>
      <w:color w:val="1D4794"/>
      <w:sz w:val="36"/>
      <w:szCs w:val="28"/>
      <w:lang w:eastAsia="en-US"/>
    </w:rPr>
  </w:style>
  <w:style w:type="paragraph" w:styleId="Heading3">
    <w:name w:val="heading 3"/>
    <w:next w:val="Normal"/>
    <w:link w:val="Heading3Char"/>
    <w:qFormat/>
    <w:rsid w:val="00732AA7"/>
    <w:pPr>
      <w:keepNext/>
      <w:spacing w:before="240" w:after="120"/>
      <w:outlineLvl w:val="2"/>
    </w:pPr>
    <w:rPr>
      <w:rFonts w:ascii="Aptos" w:hAnsi="Aptos" w:cs="Arial"/>
      <w:b/>
      <w:bCs/>
      <w:color w:val="1D4794"/>
      <w:sz w:val="28"/>
      <w:szCs w:val="24"/>
      <w:lang w:eastAsia="en-US"/>
    </w:rPr>
  </w:style>
  <w:style w:type="paragraph" w:styleId="Heading4">
    <w:name w:val="heading 4"/>
    <w:next w:val="Normal"/>
    <w:link w:val="Heading4Char"/>
    <w:qFormat/>
    <w:rsid w:val="00732AA7"/>
    <w:pPr>
      <w:keepNext/>
      <w:spacing w:before="240" w:after="60"/>
      <w:outlineLvl w:val="3"/>
    </w:pPr>
    <w:rPr>
      <w:rFonts w:ascii="Aptos" w:hAnsi="Aptos"/>
      <w:b/>
      <w:bCs/>
      <w:iCs/>
      <w:color w:val="1D4794"/>
      <w:sz w:val="24"/>
      <w:szCs w:val="24"/>
      <w:lang w:eastAsia="en-US"/>
    </w:rPr>
  </w:style>
  <w:style w:type="paragraph" w:styleId="Heading5">
    <w:name w:val="heading 5"/>
    <w:next w:val="Normal"/>
    <w:link w:val="Heading5Char"/>
    <w:rsid w:val="00732AA7"/>
    <w:pPr>
      <w:keepNext/>
      <w:spacing w:before="120" w:line="276" w:lineRule="auto"/>
      <w:outlineLvl w:val="4"/>
    </w:pPr>
    <w:rPr>
      <w:rFonts w:ascii="Aptos" w:hAnsi="Aptos"/>
      <w:bCs/>
      <w:iCs/>
      <w:color w:val="1D4794"/>
      <w:sz w:val="24"/>
      <w:szCs w:val="26"/>
      <w:lang w:eastAsia="en-US"/>
    </w:rPr>
  </w:style>
  <w:style w:type="paragraph" w:styleId="Heading6">
    <w:name w:val="heading 6"/>
    <w:next w:val="Normal"/>
    <w:rsid w:val="00732AA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732AA7"/>
    <w:pPr>
      <w:keepNext/>
      <w:keepLines/>
      <w:spacing w:before="40"/>
      <w:outlineLvl w:val="6"/>
    </w:pPr>
    <w:rPr>
      <w:rFonts w:ascii="Arial" w:eastAsiaTheme="majorEastAsia" w:hAnsi="Arial" w:cstheme="majorBidi"/>
      <w:b/>
      <w:i/>
      <w:iCs/>
      <w:color w:val="175052"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732AA7"/>
    <w:rPr>
      <w:i/>
      <w:iCs/>
    </w:rPr>
  </w:style>
  <w:style w:type="character" w:styleId="Strong">
    <w:name w:val="Strong"/>
    <w:basedOn w:val="DefaultParagraphFont"/>
    <w:rsid w:val="00732AA7"/>
    <w:rPr>
      <w:b/>
      <w:bCs/>
    </w:rPr>
  </w:style>
  <w:style w:type="paragraph" w:styleId="Subtitle">
    <w:name w:val="Subtitle"/>
    <w:next w:val="Normal"/>
    <w:link w:val="SubtitleChar"/>
    <w:qFormat/>
    <w:rsid w:val="00732AA7"/>
    <w:pPr>
      <w:numPr>
        <w:ilvl w:val="1"/>
      </w:numPr>
      <w:spacing w:before="120" w:after="60"/>
    </w:pPr>
    <w:rPr>
      <w:rFonts w:ascii="Aptos" w:eastAsiaTheme="majorEastAsia" w:hAnsi="Aptos" w:cstheme="majorBidi"/>
      <w:iCs/>
      <w:color w:val="1D4794"/>
      <w:spacing w:val="15"/>
      <w:sz w:val="56"/>
      <w:szCs w:val="56"/>
      <w:lang w:eastAsia="en-US"/>
    </w:rPr>
  </w:style>
  <w:style w:type="character" w:customStyle="1" w:styleId="SubtitleChar">
    <w:name w:val="Subtitle Char"/>
    <w:basedOn w:val="DefaultParagraphFont"/>
    <w:link w:val="Subtitle"/>
    <w:rsid w:val="00732AA7"/>
    <w:rPr>
      <w:rFonts w:ascii="Aptos" w:eastAsiaTheme="majorEastAsia" w:hAnsi="Aptos" w:cstheme="majorBidi"/>
      <w:iCs/>
      <w:color w:val="1D4794"/>
      <w:spacing w:val="15"/>
      <w:sz w:val="56"/>
      <w:szCs w:val="56"/>
      <w:lang w:eastAsia="en-US"/>
    </w:rPr>
  </w:style>
  <w:style w:type="paragraph" w:styleId="Title">
    <w:name w:val="Title"/>
    <w:next w:val="Normal"/>
    <w:link w:val="TitleChar"/>
    <w:qFormat/>
    <w:rsid w:val="00732AA7"/>
    <w:pPr>
      <w:spacing w:before="1560" w:after="120"/>
      <w:contextualSpacing/>
    </w:pPr>
    <w:rPr>
      <w:rFonts w:ascii="Aptos" w:eastAsiaTheme="majorEastAsia" w:hAnsi="Aptos" w:cstheme="majorBidi"/>
      <w:b/>
      <w:color w:val="1D4794"/>
      <w:kern w:val="28"/>
      <w:sz w:val="80"/>
      <w:szCs w:val="80"/>
      <w:lang w:eastAsia="en-US"/>
    </w:rPr>
  </w:style>
  <w:style w:type="character" w:customStyle="1" w:styleId="TitleChar">
    <w:name w:val="Title Char"/>
    <w:basedOn w:val="DefaultParagraphFont"/>
    <w:link w:val="Title"/>
    <w:rsid w:val="00732AA7"/>
    <w:rPr>
      <w:rFonts w:ascii="Aptos" w:eastAsiaTheme="majorEastAsia" w:hAnsi="Aptos" w:cstheme="majorBidi"/>
      <w:b/>
      <w:color w:val="1D4794"/>
      <w:kern w:val="28"/>
      <w:sz w:val="80"/>
      <w:szCs w:val="80"/>
      <w:lang w:eastAsia="en-US"/>
    </w:rPr>
  </w:style>
  <w:style w:type="paragraph" w:styleId="NoSpacing">
    <w:name w:val="No Spacing"/>
    <w:uiPriority w:val="1"/>
    <w:rsid w:val="00732AA7"/>
    <w:rPr>
      <w:sz w:val="24"/>
      <w:szCs w:val="24"/>
      <w:lang w:eastAsia="en-US"/>
    </w:rPr>
  </w:style>
  <w:style w:type="character" w:styleId="SubtleEmphasis">
    <w:name w:val="Subtle Emphasis"/>
    <w:basedOn w:val="DefaultParagraphFont"/>
    <w:uiPriority w:val="19"/>
    <w:rsid w:val="00732AA7"/>
    <w:rPr>
      <w:i/>
      <w:iCs/>
      <w:color w:val="01FFFF" w:themeColor="text1" w:themeTint="7F"/>
    </w:rPr>
  </w:style>
  <w:style w:type="character" w:styleId="IntenseEmphasis">
    <w:name w:val="Intense Emphasis"/>
    <w:basedOn w:val="DefaultParagraphFont"/>
    <w:uiPriority w:val="21"/>
    <w:rsid w:val="00732AA7"/>
    <w:rPr>
      <w:b/>
      <w:bCs/>
      <w:i/>
      <w:iCs/>
      <w:color w:val="2FA2A6" w:themeColor="accent1"/>
    </w:rPr>
  </w:style>
  <w:style w:type="paragraph" w:styleId="Quote">
    <w:name w:val="Quote"/>
    <w:next w:val="Normal"/>
    <w:link w:val="QuoteChar"/>
    <w:uiPriority w:val="29"/>
    <w:qFormat/>
    <w:rsid w:val="00732AA7"/>
    <w:pPr>
      <w:ind w:left="720"/>
    </w:pPr>
    <w:rPr>
      <w:rFonts w:ascii="Arial" w:hAnsi="Arial"/>
      <w:i/>
      <w:iCs/>
      <w:color w:val="000101" w:themeColor="text1"/>
      <w:sz w:val="22"/>
      <w:szCs w:val="24"/>
      <w:lang w:eastAsia="en-US"/>
    </w:rPr>
  </w:style>
  <w:style w:type="character" w:customStyle="1" w:styleId="QuoteChar">
    <w:name w:val="Quote Char"/>
    <w:basedOn w:val="DefaultParagraphFont"/>
    <w:link w:val="Quote"/>
    <w:uiPriority w:val="29"/>
    <w:rsid w:val="00732AA7"/>
    <w:rPr>
      <w:rFonts w:ascii="Arial" w:hAnsi="Arial"/>
      <w:i/>
      <w:iCs/>
      <w:color w:val="000101" w:themeColor="text1"/>
      <w:sz w:val="22"/>
      <w:szCs w:val="24"/>
      <w:lang w:eastAsia="en-US"/>
    </w:rPr>
  </w:style>
  <w:style w:type="paragraph" w:styleId="IntenseQuote">
    <w:name w:val="Intense Quote"/>
    <w:next w:val="Normal"/>
    <w:link w:val="IntenseQuoteChar"/>
    <w:uiPriority w:val="30"/>
    <w:rsid w:val="00732AA7"/>
    <w:pPr>
      <w:pBdr>
        <w:bottom w:val="single" w:sz="4" w:space="4" w:color="2FA2A6" w:themeColor="accent1"/>
      </w:pBdr>
      <w:spacing w:before="200" w:after="280"/>
      <w:ind w:left="936" w:right="936"/>
    </w:pPr>
    <w:rPr>
      <w:rFonts w:ascii="Arial" w:hAnsi="Arial"/>
      <w:b/>
      <w:bCs/>
      <w:i/>
      <w:iCs/>
      <w:color w:val="2FA2A6" w:themeColor="accent1"/>
      <w:sz w:val="22"/>
      <w:szCs w:val="24"/>
      <w:lang w:eastAsia="en-US"/>
    </w:rPr>
  </w:style>
  <w:style w:type="character" w:customStyle="1" w:styleId="IntenseQuoteChar">
    <w:name w:val="Intense Quote Char"/>
    <w:basedOn w:val="DefaultParagraphFont"/>
    <w:link w:val="IntenseQuote"/>
    <w:uiPriority w:val="30"/>
    <w:rsid w:val="00732AA7"/>
    <w:rPr>
      <w:rFonts w:ascii="Arial" w:hAnsi="Arial"/>
      <w:b/>
      <w:bCs/>
      <w:i/>
      <w:iCs/>
      <w:color w:val="2FA2A6" w:themeColor="accent1"/>
      <w:sz w:val="22"/>
      <w:szCs w:val="24"/>
      <w:lang w:eastAsia="en-US"/>
    </w:rPr>
  </w:style>
  <w:style w:type="character" w:styleId="SubtleReference">
    <w:name w:val="Subtle Reference"/>
    <w:basedOn w:val="DefaultParagraphFont"/>
    <w:uiPriority w:val="31"/>
    <w:rsid w:val="00732AA7"/>
    <w:rPr>
      <w:smallCaps/>
      <w:color w:val="C0504D" w:themeColor="accent2"/>
      <w:u w:val="single"/>
    </w:rPr>
  </w:style>
  <w:style w:type="character" w:styleId="IntenseReference">
    <w:name w:val="Intense Reference"/>
    <w:basedOn w:val="DefaultParagraphFont"/>
    <w:uiPriority w:val="32"/>
    <w:rsid w:val="00732AA7"/>
    <w:rPr>
      <w:b/>
      <w:bCs/>
      <w:i/>
      <w:smallCaps/>
      <w:color w:val="C0504D" w:themeColor="accent2"/>
      <w:spacing w:val="5"/>
      <w:u w:val="none"/>
    </w:rPr>
  </w:style>
  <w:style w:type="paragraph" w:styleId="ListBullet2">
    <w:name w:val="List Bullet 2"/>
    <w:basedOn w:val="ListNumber2"/>
    <w:rsid w:val="00F222DB"/>
    <w:pPr>
      <w:numPr>
        <w:numId w:val="42"/>
      </w:numPr>
    </w:pPr>
  </w:style>
  <w:style w:type="paragraph" w:styleId="ListNumber2">
    <w:name w:val="List Number 2"/>
    <w:basedOn w:val="ListNumber"/>
    <w:qFormat/>
    <w:rsid w:val="00732AA7"/>
    <w:pPr>
      <w:numPr>
        <w:numId w:val="41"/>
      </w:numPr>
    </w:pPr>
    <w:rPr>
      <w:color w:val="auto"/>
    </w:rPr>
  </w:style>
  <w:style w:type="paragraph" w:customStyle="1" w:styleId="BasicParagraph">
    <w:name w:val="[Basic Paragraph]"/>
    <w:basedOn w:val="Normal"/>
    <w:uiPriority w:val="99"/>
    <w:rsid w:val="00732AA7"/>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link w:val="ListParagraphChar"/>
    <w:uiPriority w:val="34"/>
    <w:rsid w:val="00732AA7"/>
    <w:pPr>
      <w:ind w:left="720"/>
      <w:contextualSpacing/>
    </w:pPr>
    <w:rPr>
      <w:color w:val="1D4794"/>
    </w:rPr>
  </w:style>
  <w:style w:type="paragraph" w:styleId="ListNumber3">
    <w:name w:val="List Number 3"/>
    <w:aliases w:val="List Third Level"/>
    <w:basedOn w:val="ListNumber2"/>
    <w:rsid w:val="00732AA7"/>
    <w:pPr>
      <w:numPr>
        <w:numId w:val="43"/>
      </w:numPr>
      <w:tabs>
        <w:tab w:val="num" w:pos="1440"/>
      </w:tabs>
    </w:pPr>
    <w:rPr>
      <w:rFonts w:eastAsia="Cambria"/>
      <w:szCs w:val="22"/>
      <w:lang w:val="en-US"/>
    </w:rPr>
  </w:style>
  <w:style w:type="paragraph" w:customStyle="1" w:styleId="ImageTitle">
    <w:name w:val="Image Title"/>
    <w:locked/>
    <w:rsid w:val="00732AA7"/>
    <w:pPr>
      <w:tabs>
        <w:tab w:val="num" w:pos="1080"/>
      </w:tabs>
      <w:spacing w:before="120" w:line="240" w:lineRule="exact"/>
    </w:pPr>
    <w:rPr>
      <w:rFonts w:ascii="Arial" w:hAnsi="Arial"/>
      <w:color w:val="000101" w:themeColor="text1"/>
      <w:sz w:val="22"/>
      <w:szCs w:val="24"/>
      <w:lang w:eastAsia="en-US"/>
    </w:rPr>
  </w:style>
  <w:style w:type="paragraph" w:styleId="BalloonText">
    <w:name w:val="Balloon Text"/>
    <w:basedOn w:val="Normal"/>
    <w:link w:val="BalloonTextChar"/>
    <w:rsid w:val="00732AA7"/>
    <w:rPr>
      <w:rFonts w:ascii="Tahoma" w:hAnsi="Tahoma" w:cs="Tahoma"/>
      <w:sz w:val="16"/>
      <w:szCs w:val="16"/>
    </w:rPr>
  </w:style>
  <w:style w:type="character" w:customStyle="1" w:styleId="BalloonTextChar">
    <w:name w:val="Balloon Text Char"/>
    <w:basedOn w:val="DefaultParagraphFont"/>
    <w:link w:val="BalloonText"/>
    <w:rsid w:val="00732AA7"/>
    <w:rPr>
      <w:rFonts w:ascii="Tahoma" w:hAnsi="Tahoma" w:cs="Tahoma"/>
      <w:color w:val="000101" w:themeColor="text1"/>
      <w:sz w:val="16"/>
      <w:szCs w:val="16"/>
      <w:lang w:eastAsia="en-US"/>
    </w:rPr>
  </w:style>
  <w:style w:type="table" w:styleId="TableGrid">
    <w:name w:val="Table Grid"/>
    <w:basedOn w:val="TableNormal"/>
    <w:locked/>
    <w:rsid w:val="00732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732AA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732AA7"/>
    <w:rPr>
      <w:sz w:val="20"/>
      <w:szCs w:val="20"/>
    </w:rPr>
  </w:style>
  <w:style w:type="table" w:styleId="TableColumns2">
    <w:name w:val="Table Columns 2"/>
    <w:basedOn w:val="TableNormal"/>
    <w:locked/>
    <w:rsid w:val="00732AA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32AA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732AA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732AA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732AA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732AA7"/>
    <w:rPr>
      <w:b/>
      <w:bCs/>
    </w:rPr>
  </w:style>
  <w:style w:type="paragraph" w:styleId="Header">
    <w:name w:val="header"/>
    <w:link w:val="HeaderChar"/>
    <w:uiPriority w:val="99"/>
    <w:qFormat/>
    <w:rsid w:val="00732AA7"/>
    <w:pPr>
      <w:tabs>
        <w:tab w:val="center" w:pos="4513"/>
        <w:tab w:val="right" w:pos="9026"/>
      </w:tabs>
    </w:pPr>
    <w:rPr>
      <w:rFonts w:ascii="Aptos" w:hAnsi="Aptos"/>
      <w:sz w:val="22"/>
      <w:szCs w:val="24"/>
      <w:lang w:eastAsia="en-US"/>
    </w:rPr>
  </w:style>
  <w:style w:type="character" w:customStyle="1" w:styleId="HeaderChar">
    <w:name w:val="Header Char"/>
    <w:basedOn w:val="DefaultParagraphFont"/>
    <w:link w:val="Header"/>
    <w:uiPriority w:val="99"/>
    <w:rsid w:val="00732AA7"/>
    <w:rPr>
      <w:rFonts w:ascii="Aptos" w:hAnsi="Aptos"/>
      <w:sz w:val="22"/>
      <w:szCs w:val="24"/>
      <w:lang w:eastAsia="en-US"/>
    </w:rPr>
  </w:style>
  <w:style w:type="paragraph" w:styleId="Footer">
    <w:name w:val="footer"/>
    <w:link w:val="FooterChar"/>
    <w:uiPriority w:val="99"/>
    <w:qFormat/>
    <w:rsid w:val="00732AA7"/>
    <w:pPr>
      <w:tabs>
        <w:tab w:val="center" w:pos="0"/>
        <w:tab w:val="right" w:pos="9026"/>
      </w:tabs>
      <w:jc w:val="right"/>
    </w:pPr>
    <w:rPr>
      <w:rFonts w:ascii="Aptos" w:hAnsi="Aptos"/>
      <w:szCs w:val="24"/>
      <w:lang w:eastAsia="en-US"/>
    </w:rPr>
  </w:style>
  <w:style w:type="character" w:customStyle="1" w:styleId="FooterChar">
    <w:name w:val="Footer Char"/>
    <w:basedOn w:val="DefaultParagraphFont"/>
    <w:link w:val="Footer"/>
    <w:uiPriority w:val="99"/>
    <w:rsid w:val="00732AA7"/>
    <w:rPr>
      <w:rFonts w:ascii="Aptos" w:hAnsi="Aptos"/>
      <w:szCs w:val="24"/>
      <w:lang w:eastAsia="en-US"/>
    </w:rPr>
  </w:style>
  <w:style w:type="paragraph" w:customStyle="1" w:styleId="TableHeaderWhite">
    <w:name w:val="Table Header White"/>
    <w:basedOn w:val="Normal"/>
    <w:next w:val="Tabletext"/>
    <w:qFormat/>
    <w:rsid w:val="00CA5C9D"/>
    <w:pPr>
      <w:spacing w:before="80" w:after="80"/>
    </w:pPr>
    <w:rPr>
      <w:rFonts w:eastAsia="Cambria"/>
      <w:b/>
      <w:color w:val="FFFFFF" w:themeColor="background1"/>
      <w:sz w:val="20"/>
      <w:szCs w:val="22"/>
      <w:lang w:val="en-US"/>
    </w:rPr>
  </w:style>
  <w:style w:type="table" w:styleId="TableGrid7">
    <w:name w:val="Table Grid 7"/>
    <w:basedOn w:val="TableNormal"/>
    <w:locked/>
    <w:rsid w:val="00732AA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732AA7"/>
    <w:rPr>
      <w:b/>
      <w:bCs/>
      <w:color w:val="FFFFFF" w:themeColor="background1"/>
      <w:sz w:val="20"/>
      <w:szCs w:val="20"/>
    </w:rPr>
  </w:style>
  <w:style w:type="paragraph" w:customStyle="1" w:styleId="FigureTitle">
    <w:name w:val="Figure Title"/>
    <w:basedOn w:val="Tablehead"/>
    <w:next w:val="Normal"/>
    <w:qFormat/>
    <w:rsid w:val="00732AA7"/>
    <w:rPr>
      <w:color w:val="000101" w:themeColor="text1"/>
      <w:sz w:val="24"/>
      <w:szCs w:val="24"/>
    </w:rPr>
  </w:style>
  <w:style w:type="paragraph" w:styleId="NormalWeb">
    <w:name w:val="Normal (Web)"/>
    <w:basedOn w:val="Normal"/>
    <w:uiPriority w:val="99"/>
    <w:unhideWhenUsed/>
    <w:rsid w:val="00732AA7"/>
    <w:pPr>
      <w:spacing w:before="100" w:beforeAutospacing="1" w:after="100" w:afterAutospacing="1"/>
    </w:pPr>
    <w:rPr>
      <w:rFonts w:ascii="Times New Roman" w:hAnsi="Times New Roman"/>
      <w:lang w:eastAsia="en-AU"/>
    </w:rPr>
  </w:style>
  <w:style w:type="paragraph" w:customStyle="1" w:styleId="Headertext">
    <w:name w:val="Header text"/>
    <w:rsid w:val="00732AA7"/>
    <w:pPr>
      <w:jc w:val="right"/>
    </w:pPr>
    <w:rPr>
      <w:rFonts w:ascii="Aptos" w:hAnsi="Aptos"/>
      <w:szCs w:val="24"/>
      <w:lang w:eastAsia="en-US"/>
    </w:rPr>
  </w:style>
  <w:style w:type="character" w:styleId="Hyperlink">
    <w:name w:val="Hyperlink"/>
    <w:basedOn w:val="DefaultParagraphFont"/>
    <w:uiPriority w:val="99"/>
    <w:qFormat/>
    <w:rsid w:val="00732AA7"/>
    <w:rPr>
      <w:rFonts w:ascii="Aptos" w:hAnsi="Aptos"/>
      <w:color w:val="1D4793" w:themeColor="hyperlink"/>
      <w:u w:val="single"/>
    </w:rPr>
  </w:style>
  <w:style w:type="table" w:customStyle="1" w:styleId="PHNGreyTable">
    <w:name w:val="PHN Grey Table"/>
    <w:basedOn w:val="TableNormal"/>
    <w:uiPriority w:val="99"/>
    <w:rsid w:val="00732AA7"/>
    <w:pPr>
      <w:spacing w:before="120" w:after="120"/>
    </w:pPr>
    <w:rPr>
      <w:rFonts w:ascii="Arial" w:hAnsi="Arial"/>
      <w:sz w:val="22"/>
    </w:rPr>
    <w:tblPr>
      <w:tblBorders>
        <w:top w:val="single" w:sz="4" w:space="0" w:color="000101" w:themeColor="text1"/>
        <w:left w:val="single" w:sz="4" w:space="0" w:color="000101" w:themeColor="text1"/>
        <w:bottom w:val="single" w:sz="4" w:space="0" w:color="000101" w:themeColor="text1"/>
        <w:right w:val="single" w:sz="4" w:space="0" w:color="000101" w:themeColor="text1"/>
        <w:insideH w:val="single" w:sz="4" w:space="0" w:color="000101" w:themeColor="text1"/>
        <w:insideV w:val="single" w:sz="4" w:space="0" w:color="000101"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732AA7"/>
    <w:pPr>
      <w:numPr>
        <w:numId w:val="46"/>
      </w:numPr>
    </w:pPr>
  </w:style>
  <w:style w:type="paragraph" w:customStyle="1" w:styleId="Tablelistnumber">
    <w:name w:val="Table list number"/>
    <w:basedOn w:val="Tabletext"/>
    <w:qFormat/>
    <w:rsid w:val="00732AA7"/>
    <w:pPr>
      <w:numPr>
        <w:numId w:val="47"/>
      </w:numPr>
    </w:pPr>
    <w:rPr>
      <w:bCs/>
      <w14:numSpacing w14:val="proportional"/>
    </w:rPr>
  </w:style>
  <w:style w:type="paragraph" w:customStyle="1" w:styleId="TableHeader">
    <w:name w:val="Table Header"/>
    <w:basedOn w:val="Normal"/>
    <w:next w:val="Tabletext"/>
    <w:qFormat/>
    <w:rsid w:val="00732AA7"/>
    <w:pPr>
      <w:spacing w:before="80" w:after="80"/>
    </w:pPr>
    <w:rPr>
      <w:rFonts w:eastAsia="Cambria"/>
      <w:b/>
      <w:color w:val="FFFFFF" w:themeColor="background1"/>
      <w:szCs w:val="22"/>
      <w:lang w:val="en-US"/>
    </w:rPr>
  </w:style>
  <w:style w:type="paragraph" w:customStyle="1" w:styleId="SectionNumber">
    <w:name w:val="Section Number"/>
    <w:basedOn w:val="Normal"/>
    <w:next w:val="Normal"/>
    <w:rsid w:val="00732AA7"/>
    <w:pPr>
      <w:pBdr>
        <w:bottom w:val="single" w:sz="24" w:space="6" w:color="1D4794"/>
      </w:pBdr>
      <w:spacing w:before="320" w:after="0" w:line="240" w:lineRule="auto"/>
    </w:pPr>
    <w:rPr>
      <w:noProof/>
      <w:color w:val="FFFFFF" w:themeColor="background1"/>
      <w:sz w:val="36"/>
      <w:szCs w:val="36"/>
    </w:rPr>
  </w:style>
  <w:style w:type="paragraph" w:styleId="FootnoteText">
    <w:name w:val="footnote text"/>
    <w:link w:val="FootnoteTextChar"/>
    <w:rsid w:val="00AC78EF"/>
    <w:rPr>
      <w:rFonts w:ascii="Arial" w:hAnsi="Arial"/>
      <w:vertAlign w:val="superscript"/>
      <w:lang w:eastAsia="en-US"/>
    </w:rPr>
  </w:style>
  <w:style w:type="character" w:customStyle="1" w:styleId="FootnoteTextChar">
    <w:name w:val="Footnote Text Char"/>
    <w:basedOn w:val="DefaultParagraphFont"/>
    <w:link w:val="FootnoteText"/>
    <w:rsid w:val="00AC78EF"/>
    <w:rPr>
      <w:rFonts w:ascii="Arial" w:hAnsi="Arial"/>
      <w:vertAlign w:val="superscript"/>
      <w:lang w:eastAsia="en-US"/>
    </w:rPr>
  </w:style>
  <w:style w:type="paragraph" w:styleId="Caption">
    <w:name w:val="caption"/>
    <w:basedOn w:val="Normal"/>
    <w:next w:val="Normal"/>
    <w:unhideWhenUsed/>
    <w:rsid w:val="00732AA7"/>
    <w:pPr>
      <w:spacing w:after="200"/>
    </w:pPr>
    <w:rPr>
      <w:b/>
      <w:bCs/>
      <w:color w:val="2FA2A6" w:themeColor="accent1"/>
      <w:sz w:val="18"/>
      <w:szCs w:val="18"/>
    </w:rPr>
  </w:style>
  <w:style w:type="paragraph" w:customStyle="1" w:styleId="PullOut">
    <w:name w:val="Pull Out"/>
    <w:basedOn w:val="Normal"/>
    <w:qFormat/>
    <w:rsid w:val="00732AA7"/>
    <w:pPr>
      <w:pBdr>
        <w:top w:val="single" w:sz="4" w:space="15" w:color="2FA3A6"/>
        <w:bottom w:val="single" w:sz="4" w:space="10" w:color="2FA3A6"/>
      </w:pBdr>
      <w:spacing w:before="240" w:after="240" w:line="340" w:lineRule="exact"/>
    </w:pPr>
    <w:rPr>
      <w:rFonts w:eastAsiaTheme="minorHAnsi"/>
      <w:b/>
      <w:sz w:val="32"/>
    </w:rPr>
  </w:style>
  <w:style w:type="paragraph" w:customStyle="1" w:styleId="Style1">
    <w:name w:val="Style1"/>
    <w:next w:val="Normal"/>
    <w:rsid w:val="00732AA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101" w:themeColor="text1"/>
      <w:sz w:val="21"/>
      <w:szCs w:val="24"/>
      <w:lang w:val="en" w:eastAsia="en-US"/>
    </w:rPr>
  </w:style>
  <w:style w:type="character" w:customStyle="1" w:styleId="BoldAllCaps">
    <w:name w:val="Bold All Caps"/>
    <w:basedOn w:val="DefaultParagraphFont"/>
    <w:uiPriority w:val="1"/>
    <w:qFormat/>
    <w:rsid w:val="00732AA7"/>
    <w:rPr>
      <w:b/>
      <w:caps/>
      <w:smallCaps w:val="0"/>
      <w:color w:val="358189"/>
      <w:bdr w:val="none" w:sz="0" w:space="0" w:color="auto"/>
    </w:rPr>
  </w:style>
  <w:style w:type="paragraph" w:customStyle="1" w:styleId="PolicyStatement">
    <w:name w:val="PolicyStatement"/>
    <w:basedOn w:val="Normal"/>
    <w:qFormat/>
    <w:rsid w:val="00732AA7"/>
    <w:pPr>
      <w:pBdr>
        <w:top w:val="single" w:sz="4" w:space="20" w:color="D4D6CA" w:themeColor="background2"/>
        <w:left w:val="single" w:sz="4" w:space="10" w:color="D4D6CA" w:themeColor="background2"/>
        <w:bottom w:val="single" w:sz="4" w:space="10" w:color="D4D6CA" w:themeColor="background2"/>
        <w:right w:val="single" w:sz="4" w:space="10" w:color="D4D6CA" w:themeColor="background2"/>
      </w:pBdr>
      <w:shd w:val="clear" w:color="auto" w:fill="D4D6CA" w:themeFill="background2"/>
      <w:spacing w:line="259" w:lineRule="auto"/>
      <w:ind w:left="227" w:right="227"/>
    </w:pPr>
  </w:style>
  <w:style w:type="table" w:customStyle="1" w:styleId="DepartmentofHealthtable">
    <w:name w:val="Department of Health table"/>
    <w:basedOn w:val="TableNormal"/>
    <w:uiPriority w:val="99"/>
    <w:rsid w:val="00732AA7"/>
    <w:rPr>
      <w:rFonts w:ascii="Arial" w:hAnsi="Arial"/>
      <w:color w:val="000101" w:themeColor="text1"/>
      <w:sz w:val="21"/>
    </w:rPr>
    <w:tblPr>
      <w:tblBorders>
        <w:top w:val="single" w:sz="4" w:space="0" w:color="000101" w:themeColor="text1"/>
        <w:bottom w:val="single" w:sz="4" w:space="0" w:color="000101" w:themeColor="text1"/>
        <w:insideH w:val="single" w:sz="4" w:space="0" w:color="000101" w:themeColor="text1"/>
      </w:tblBorders>
    </w:tblPr>
    <w:tcPr>
      <w:shd w:val="clear" w:color="auto" w:fill="auto"/>
      <w:vAlign w:val="center"/>
    </w:tcPr>
    <w:tblStylePr w:type="firstRow">
      <w:rPr>
        <w:rFonts w:ascii="Arial" w:hAnsi="Arial"/>
        <w:b/>
        <w:color w:val="FFFFFF" w:themeColor="background1"/>
        <w:sz w:val="24"/>
      </w:rPr>
      <w:tblPr/>
      <w:tcPr>
        <w:shd w:val="clear" w:color="auto" w:fill="000101" w:themeFill="text1"/>
      </w:tcPr>
    </w:tblStylePr>
    <w:tblStylePr w:type="lastRow">
      <w:rPr>
        <w:rFonts w:ascii="Arial" w:hAnsi="Arial"/>
        <w:color w:val="000101" w:themeColor="text1"/>
      </w:rPr>
    </w:tblStylePr>
  </w:style>
  <w:style w:type="character" w:customStyle="1" w:styleId="TableTitleChar">
    <w:name w:val="Table Title Char"/>
    <w:basedOn w:val="DefaultParagraphFont"/>
    <w:link w:val="TableTitle"/>
    <w:rsid w:val="00732AA7"/>
    <w:rPr>
      <w:rFonts w:ascii="Aptos" w:hAnsi="Aptos"/>
      <w:b/>
      <w:bCs/>
      <w:color w:val="000101" w:themeColor="text1"/>
      <w:sz w:val="24"/>
      <w:szCs w:val="24"/>
      <w:lang w:eastAsia="en-US"/>
    </w:rPr>
  </w:style>
  <w:style w:type="paragraph" w:customStyle="1" w:styleId="IntroPara">
    <w:name w:val="Intro Para"/>
    <w:basedOn w:val="Normal"/>
    <w:next w:val="Normal"/>
    <w:qFormat/>
    <w:rsid w:val="00732AA7"/>
    <w:pPr>
      <w:spacing w:before="480" w:after="240" w:line="400" w:lineRule="exact"/>
    </w:pPr>
    <w:rPr>
      <w:color w:val="1D4794"/>
      <w:sz w:val="32"/>
      <w:szCs w:val="28"/>
    </w:rPr>
  </w:style>
  <w:style w:type="paragraph" w:customStyle="1" w:styleId="TableTextright">
    <w:name w:val="Table Text right"/>
    <w:basedOn w:val="Tabletext"/>
    <w:rsid w:val="00732AA7"/>
    <w:pPr>
      <w:jc w:val="right"/>
    </w:pPr>
  </w:style>
  <w:style w:type="paragraph" w:customStyle="1" w:styleId="Tabletextright0">
    <w:name w:val="Table text right"/>
    <w:basedOn w:val="Tabletext"/>
    <w:rsid w:val="00732AA7"/>
    <w:pPr>
      <w:jc w:val="right"/>
    </w:pPr>
  </w:style>
  <w:style w:type="paragraph" w:customStyle="1" w:styleId="Tabletextcentre">
    <w:name w:val="Table text centre"/>
    <w:basedOn w:val="Tabletext"/>
    <w:rsid w:val="00732AA7"/>
    <w:pPr>
      <w:jc w:val="center"/>
    </w:pPr>
  </w:style>
  <w:style w:type="paragraph" w:customStyle="1" w:styleId="Boxheading">
    <w:name w:val="Box heading"/>
    <w:basedOn w:val="Boxtype"/>
    <w:qFormat/>
    <w:rsid w:val="00732AA7"/>
    <w:pPr>
      <w:spacing w:before="240"/>
    </w:pPr>
    <w:rPr>
      <w:rFonts w:cs="Times New Roman"/>
      <w:b/>
      <w:bCs/>
      <w:caps/>
      <w:color w:val="1D4794"/>
      <w:szCs w:val="20"/>
    </w:rPr>
  </w:style>
  <w:style w:type="paragraph" w:customStyle="1" w:styleId="Boxtype">
    <w:name w:val="Box type"/>
    <w:next w:val="Normal"/>
    <w:qFormat/>
    <w:rsid w:val="00732AA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101" w:themeColor="text1"/>
      <w:sz w:val="22"/>
      <w:szCs w:val="24"/>
      <w:lang w:val="en" w:eastAsia="en-US"/>
    </w:rPr>
  </w:style>
  <w:style w:type="paragraph" w:styleId="BodyText">
    <w:name w:val="Body Text"/>
    <w:basedOn w:val="Normal"/>
    <w:link w:val="BodyTextChar"/>
    <w:unhideWhenUsed/>
    <w:rsid w:val="00732AA7"/>
  </w:style>
  <w:style w:type="character" w:customStyle="1" w:styleId="BodyTextChar">
    <w:name w:val="Body Text Char"/>
    <w:basedOn w:val="DefaultParagraphFont"/>
    <w:link w:val="BodyText"/>
    <w:rsid w:val="00732AA7"/>
    <w:rPr>
      <w:rFonts w:ascii="Aptos" w:hAnsi="Aptos"/>
      <w:color w:val="000101" w:themeColor="text1"/>
      <w:sz w:val="24"/>
      <w:szCs w:val="24"/>
      <w:lang w:eastAsia="en-US"/>
    </w:rPr>
  </w:style>
  <w:style w:type="paragraph" w:customStyle="1" w:styleId="Footerrightpage">
    <w:name w:val="Footer right page"/>
    <w:basedOn w:val="Footer"/>
    <w:rsid w:val="00732AA7"/>
  </w:style>
  <w:style w:type="character" w:customStyle="1" w:styleId="Heading7Char">
    <w:name w:val="Heading 7 Char"/>
    <w:basedOn w:val="DefaultParagraphFont"/>
    <w:link w:val="Heading7"/>
    <w:semiHidden/>
    <w:rsid w:val="00732AA7"/>
    <w:rPr>
      <w:rFonts w:ascii="Arial" w:eastAsiaTheme="majorEastAsia" w:hAnsi="Arial" w:cstheme="majorBidi"/>
      <w:b/>
      <w:i/>
      <w:iCs/>
      <w:color w:val="175052" w:themeColor="accent1" w:themeShade="7F"/>
      <w:sz w:val="22"/>
      <w:szCs w:val="24"/>
      <w:lang w:eastAsia="en-US"/>
    </w:rPr>
  </w:style>
  <w:style w:type="paragraph" w:customStyle="1" w:styleId="URL">
    <w:name w:val="URL"/>
    <w:basedOn w:val="Normal"/>
    <w:rsid w:val="00732AA7"/>
    <w:pPr>
      <w:spacing w:before="3120"/>
      <w:jc w:val="center"/>
    </w:pPr>
    <w:rPr>
      <w:b/>
      <w:bCs/>
      <w:szCs w:val="20"/>
    </w:rPr>
  </w:style>
  <w:style w:type="table" w:customStyle="1" w:styleId="PlainTable21">
    <w:name w:val="Plain Table 21"/>
    <w:basedOn w:val="TableNormal"/>
    <w:next w:val="PlainTable2"/>
    <w:uiPriority w:val="42"/>
    <w:rsid w:val="00732AA7"/>
    <w:pPr>
      <w:spacing w:before="120" w:after="120" w:line="276" w:lineRule="auto"/>
      <w:ind w:left="2160"/>
    </w:pPr>
    <w:rPr>
      <w:rFonts w:ascii="Arial" w:eastAsiaTheme="minorEastAsia" w:hAnsi="Arial"/>
      <w:color w:val="000101"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101"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732AA7"/>
    <w:pPr>
      <w:numPr>
        <w:numId w:val="48"/>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732AA7"/>
    <w:pPr>
      <w:numPr>
        <w:numId w:val="45"/>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732AA7"/>
    <w:rPr>
      <w:rFonts w:ascii="Aptos" w:hAnsi="Aptos"/>
      <w:noProof/>
      <w:color w:val="1E1545"/>
      <w:lang w:val="en-US" w:eastAsia="en-GB"/>
    </w:rPr>
  </w:style>
  <w:style w:type="character" w:customStyle="1" w:styleId="TABLEbulletpointChar">
    <w:name w:val="TABLE bullet point Char"/>
    <w:basedOn w:val="DefaultParagraphFont"/>
    <w:link w:val="TABLEbulletpoint"/>
    <w:locked/>
    <w:rsid w:val="00732AA7"/>
    <w:rPr>
      <w:rFonts w:ascii="Aptos" w:hAnsi="Aptos"/>
      <w:noProof/>
      <w:color w:val="1E1545"/>
      <w:lang w:val="en-US" w:eastAsia="en-GB"/>
    </w:rPr>
  </w:style>
  <w:style w:type="table" w:styleId="PlainTable2">
    <w:name w:val="Plain Table 2"/>
    <w:basedOn w:val="TableNormal"/>
    <w:uiPriority w:val="42"/>
    <w:rsid w:val="00732AA7"/>
    <w:tblPr>
      <w:tblStyleRowBandSize w:val="1"/>
      <w:tblStyleColBandSize w:val="1"/>
      <w:tblBorders>
        <w:top w:val="single" w:sz="4" w:space="0" w:color="00FEFE" w:themeColor="text1" w:themeTint="80"/>
        <w:bottom w:val="single" w:sz="4" w:space="0" w:color="00FEFE" w:themeColor="text1" w:themeTint="80"/>
      </w:tblBorders>
    </w:tblPr>
    <w:tblStylePr w:type="firstRow">
      <w:rPr>
        <w:b/>
        <w:bCs/>
      </w:rPr>
      <w:tblPr/>
      <w:tcPr>
        <w:tcBorders>
          <w:bottom w:val="single" w:sz="4" w:space="0" w:color="00FEFE" w:themeColor="text1" w:themeTint="80"/>
        </w:tcBorders>
      </w:tcPr>
    </w:tblStylePr>
    <w:tblStylePr w:type="lastRow">
      <w:rPr>
        <w:b/>
        <w:bCs/>
      </w:rPr>
      <w:tblPr/>
      <w:tcPr>
        <w:tcBorders>
          <w:top w:val="single" w:sz="4" w:space="0" w:color="00FEFE" w:themeColor="text1" w:themeTint="80"/>
        </w:tcBorders>
      </w:tcPr>
    </w:tblStylePr>
    <w:tblStylePr w:type="firstCol">
      <w:rPr>
        <w:b/>
        <w:bCs/>
      </w:rPr>
    </w:tblStylePr>
    <w:tblStylePr w:type="lastCol">
      <w:rPr>
        <w:b/>
        <w:bCs/>
      </w:rPr>
    </w:tblStylePr>
    <w:tblStylePr w:type="band1Vert">
      <w:tblPr/>
      <w:tcPr>
        <w:tcBorders>
          <w:left w:val="single" w:sz="4" w:space="0" w:color="00FEFE" w:themeColor="text1" w:themeTint="80"/>
          <w:right w:val="single" w:sz="4" w:space="0" w:color="00FEFE" w:themeColor="text1" w:themeTint="80"/>
        </w:tcBorders>
      </w:tcPr>
    </w:tblStylePr>
    <w:tblStylePr w:type="band2Vert">
      <w:tblPr/>
      <w:tcPr>
        <w:tcBorders>
          <w:left w:val="single" w:sz="4" w:space="0" w:color="00FEFE" w:themeColor="text1" w:themeTint="80"/>
          <w:right w:val="single" w:sz="4" w:space="0" w:color="00FEFE" w:themeColor="text1" w:themeTint="80"/>
        </w:tcBorders>
      </w:tcPr>
    </w:tblStylePr>
    <w:tblStylePr w:type="band1Horz">
      <w:tblPr/>
      <w:tcPr>
        <w:tcBorders>
          <w:top w:val="single" w:sz="4" w:space="0" w:color="00FEFE" w:themeColor="text1" w:themeTint="80"/>
          <w:bottom w:val="single" w:sz="4" w:space="0" w:color="00FEFE" w:themeColor="text1" w:themeTint="80"/>
        </w:tcBorders>
      </w:tcPr>
    </w:tblStylePr>
  </w:style>
  <w:style w:type="paragraph" w:styleId="ListNumber">
    <w:name w:val="List Number"/>
    <w:basedOn w:val="Normal"/>
    <w:rsid w:val="00A51B4F"/>
    <w:pPr>
      <w:numPr>
        <w:numId w:val="49"/>
      </w:numPr>
      <w:spacing w:before="0" w:after="160" w:line="259" w:lineRule="auto"/>
    </w:pPr>
  </w:style>
  <w:style w:type="paragraph" w:customStyle="1" w:styleId="SectionTitle">
    <w:name w:val="Section Title"/>
    <w:basedOn w:val="Normal"/>
    <w:rsid w:val="00732AA7"/>
    <w:pPr>
      <w:spacing w:before="840"/>
    </w:pPr>
    <w:rPr>
      <w:b/>
      <w:bCs/>
      <w:color w:val="FFFFFF" w:themeColor="background1"/>
      <w:sz w:val="80"/>
      <w:szCs w:val="80"/>
    </w:rPr>
  </w:style>
  <w:style w:type="numbering" w:customStyle="1" w:styleId="Style2">
    <w:name w:val="Style2"/>
    <w:uiPriority w:val="99"/>
    <w:rsid w:val="00732AA7"/>
    <w:pPr>
      <w:numPr>
        <w:numId w:val="9"/>
      </w:numPr>
    </w:pPr>
  </w:style>
  <w:style w:type="numbering" w:customStyle="1" w:styleId="CurrentList1">
    <w:name w:val="Current List1"/>
    <w:uiPriority w:val="99"/>
    <w:rsid w:val="00732AA7"/>
    <w:pPr>
      <w:numPr>
        <w:numId w:val="10"/>
      </w:numPr>
    </w:pPr>
  </w:style>
  <w:style w:type="paragraph" w:styleId="TOCHeading">
    <w:name w:val="TOC Heading"/>
    <w:basedOn w:val="Heading1"/>
    <w:next w:val="Normal"/>
    <w:uiPriority w:val="39"/>
    <w:unhideWhenUsed/>
    <w:qFormat/>
    <w:rsid w:val="00732AA7"/>
    <w:pPr>
      <w:keepLines/>
      <w:spacing w:before="240" w:after="0" w:line="259" w:lineRule="auto"/>
      <w:outlineLvl w:val="9"/>
    </w:pPr>
    <w:rPr>
      <w:rFonts w:asciiTheme="majorHAnsi" w:eastAsiaTheme="majorEastAsia" w:hAnsiTheme="majorHAnsi" w:cstheme="majorBidi"/>
      <w:b w:val="0"/>
      <w:bCs w:val="0"/>
      <w:color w:val="23787C" w:themeColor="accent1" w:themeShade="BF"/>
      <w:kern w:val="0"/>
      <w:sz w:val="32"/>
      <w:szCs w:val="32"/>
      <w:lang w:val="en-US"/>
    </w:rPr>
  </w:style>
  <w:style w:type="paragraph" w:styleId="TOC1">
    <w:name w:val="toc 1"/>
    <w:basedOn w:val="Normal"/>
    <w:next w:val="Normal"/>
    <w:autoRedefine/>
    <w:uiPriority w:val="39"/>
    <w:unhideWhenUsed/>
    <w:rsid w:val="00732AA7"/>
    <w:pPr>
      <w:pBdr>
        <w:top w:val="single" w:sz="6" w:space="1" w:color="2FA2A6" w:themeColor="accent1"/>
        <w:bottom w:val="single" w:sz="6" w:space="1" w:color="2FA2A6" w:themeColor="accent1"/>
        <w:between w:val="single" w:sz="6" w:space="1" w:color="2FA2A6" w:themeColor="accent1"/>
      </w:pBdr>
      <w:tabs>
        <w:tab w:val="right" w:pos="9061"/>
      </w:tabs>
    </w:pPr>
    <w:rPr>
      <w:b/>
      <w:bCs/>
      <w:color w:val="1D4794"/>
      <w:szCs w:val="20"/>
    </w:rPr>
  </w:style>
  <w:style w:type="paragraph" w:styleId="TOC2">
    <w:name w:val="toc 2"/>
    <w:basedOn w:val="Normal"/>
    <w:next w:val="Normal"/>
    <w:uiPriority w:val="39"/>
    <w:unhideWhenUsed/>
    <w:rsid w:val="00732AA7"/>
    <w:pPr>
      <w:pBdr>
        <w:top w:val="single" w:sz="6" w:space="1" w:color="2FA2A6" w:themeColor="accent1"/>
        <w:bottom w:val="single" w:sz="6" w:space="1" w:color="2FA2A6" w:themeColor="accent1"/>
        <w:between w:val="single" w:sz="6" w:space="1" w:color="2FA2A6"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732AA7"/>
    <w:pPr>
      <w:tabs>
        <w:tab w:val="right" w:pos="9061"/>
      </w:tabs>
      <w:spacing w:before="0" w:after="0"/>
    </w:pPr>
    <w:rPr>
      <w:rFonts w:cstheme="minorHAnsi"/>
      <w:noProof/>
      <w:szCs w:val="20"/>
    </w:rPr>
  </w:style>
  <w:style w:type="paragraph" w:styleId="TOC4">
    <w:name w:val="toc 4"/>
    <w:basedOn w:val="Normal"/>
    <w:next w:val="Normal"/>
    <w:autoRedefine/>
    <w:unhideWhenUsed/>
    <w:rsid w:val="00732AA7"/>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732AA7"/>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732AA7"/>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732AA7"/>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732AA7"/>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732AA7"/>
    <w:pPr>
      <w:spacing w:before="0" w:after="0"/>
      <w:ind w:left="1680"/>
    </w:pPr>
    <w:rPr>
      <w:rFonts w:asciiTheme="minorHAnsi" w:hAnsiTheme="minorHAnsi" w:cstheme="minorHAnsi"/>
      <w:sz w:val="20"/>
      <w:szCs w:val="20"/>
    </w:rPr>
  </w:style>
  <w:style w:type="paragraph" w:customStyle="1" w:styleId="TOC21">
    <w:name w:val="TOC 21"/>
    <w:basedOn w:val="Normal"/>
    <w:rsid w:val="00732AA7"/>
    <w:pPr>
      <w:pBdr>
        <w:top w:val="single" w:sz="6" w:space="1" w:color="2FA2A6" w:themeColor="accent1"/>
        <w:bottom w:val="single" w:sz="6" w:space="1" w:color="2FA2A6" w:themeColor="accent1"/>
        <w:between w:val="single" w:sz="6" w:space="1" w:color="2FA2A6" w:themeColor="accent1"/>
      </w:pBdr>
      <w:tabs>
        <w:tab w:val="right" w:pos="9061"/>
      </w:tabs>
    </w:pPr>
    <w:rPr>
      <w:color w:val="1D4794"/>
      <w:szCs w:val="20"/>
    </w:rPr>
  </w:style>
  <w:style w:type="paragraph" w:styleId="ListBullet">
    <w:name w:val="List Bullet"/>
    <w:basedOn w:val="ListParagraph"/>
    <w:next w:val="ListBullet2"/>
    <w:uiPriority w:val="99"/>
    <w:unhideWhenUsed/>
    <w:qFormat/>
    <w:rsid w:val="0047640A"/>
    <w:pPr>
      <w:numPr>
        <w:numId w:val="40"/>
      </w:numPr>
    </w:pPr>
    <w:rPr>
      <w:color w:val="auto"/>
    </w:rPr>
  </w:style>
  <w:style w:type="character" w:styleId="UnresolvedMention">
    <w:name w:val="Unresolved Mention"/>
    <w:basedOn w:val="DefaultParagraphFont"/>
    <w:uiPriority w:val="99"/>
    <w:semiHidden/>
    <w:unhideWhenUsed/>
    <w:rsid w:val="00151B2B"/>
    <w:rPr>
      <w:color w:val="605E5C"/>
      <w:shd w:val="clear" w:color="auto" w:fill="E1DFDD"/>
    </w:rPr>
  </w:style>
  <w:style w:type="character" w:customStyle="1" w:styleId="ListParagraphChar">
    <w:name w:val="List Paragraph Char"/>
    <w:basedOn w:val="DefaultParagraphFont"/>
    <w:link w:val="ListParagraph"/>
    <w:uiPriority w:val="34"/>
    <w:qFormat/>
    <w:locked/>
    <w:rsid w:val="00376459"/>
    <w:rPr>
      <w:rFonts w:ascii="Aptos" w:hAnsi="Aptos"/>
      <w:color w:val="1D4794"/>
      <w:sz w:val="24"/>
      <w:szCs w:val="24"/>
      <w:lang w:eastAsia="en-US"/>
    </w:rPr>
  </w:style>
  <w:style w:type="character" w:styleId="CommentReference">
    <w:name w:val="annotation reference"/>
    <w:basedOn w:val="DefaultParagraphFont"/>
    <w:uiPriority w:val="99"/>
    <w:unhideWhenUsed/>
    <w:rsid w:val="00CB7A80"/>
    <w:rPr>
      <w:sz w:val="16"/>
      <w:szCs w:val="16"/>
    </w:rPr>
  </w:style>
  <w:style w:type="paragraph" w:styleId="CommentText">
    <w:name w:val="annotation text"/>
    <w:basedOn w:val="Normal"/>
    <w:link w:val="CommentTextChar"/>
    <w:uiPriority w:val="99"/>
    <w:unhideWhenUsed/>
    <w:rsid w:val="00CB7A80"/>
    <w:pPr>
      <w:spacing w:line="240" w:lineRule="auto"/>
    </w:pPr>
    <w:rPr>
      <w:sz w:val="20"/>
      <w:szCs w:val="20"/>
    </w:rPr>
  </w:style>
  <w:style w:type="character" w:customStyle="1" w:styleId="CommentTextChar">
    <w:name w:val="Comment Text Char"/>
    <w:basedOn w:val="DefaultParagraphFont"/>
    <w:link w:val="CommentText"/>
    <w:uiPriority w:val="99"/>
    <w:rsid w:val="00CB7A80"/>
    <w:rPr>
      <w:rFonts w:ascii="Aptos" w:hAnsi="Aptos"/>
      <w:color w:val="000101" w:themeColor="text1"/>
      <w:lang w:eastAsia="en-US"/>
    </w:rPr>
  </w:style>
  <w:style w:type="paragraph" w:styleId="CommentSubject">
    <w:name w:val="annotation subject"/>
    <w:basedOn w:val="CommentText"/>
    <w:next w:val="CommentText"/>
    <w:link w:val="CommentSubjectChar"/>
    <w:semiHidden/>
    <w:unhideWhenUsed/>
    <w:rsid w:val="00CB7A80"/>
    <w:rPr>
      <w:b/>
      <w:bCs/>
    </w:rPr>
  </w:style>
  <w:style w:type="character" w:customStyle="1" w:styleId="CommentSubjectChar">
    <w:name w:val="Comment Subject Char"/>
    <w:basedOn w:val="CommentTextChar"/>
    <w:link w:val="CommentSubject"/>
    <w:semiHidden/>
    <w:rsid w:val="00CB7A80"/>
    <w:rPr>
      <w:rFonts w:ascii="Aptos" w:hAnsi="Aptos"/>
      <w:b/>
      <w:bCs/>
      <w:color w:val="000101" w:themeColor="text1"/>
      <w:lang w:eastAsia="en-US"/>
    </w:rPr>
  </w:style>
  <w:style w:type="paragraph" w:customStyle="1" w:styleId="Paragraphtext">
    <w:name w:val="Paragraph text"/>
    <w:basedOn w:val="Normal"/>
    <w:qFormat/>
    <w:rsid w:val="0014260F"/>
    <w:pPr>
      <w:spacing w:after="60" w:line="240" w:lineRule="auto"/>
    </w:pPr>
    <w:rPr>
      <w:rFonts w:asciiTheme="minorHAnsi" w:hAnsiTheme="minorHAnsi"/>
      <w:sz w:val="21"/>
    </w:rPr>
  </w:style>
  <w:style w:type="character" w:styleId="FootnoteReference">
    <w:name w:val="footnote reference"/>
    <w:basedOn w:val="DefaultParagraphFont"/>
    <w:semiHidden/>
    <w:unhideWhenUsed/>
    <w:rsid w:val="0014260F"/>
    <w:rPr>
      <w:vertAlign w:val="superscript"/>
    </w:rPr>
  </w:style>
  <w:style w:type="character" w:customStyle="1" w:styleId="Heading1Char">
    <w:name w:val="Heading 1 Char"/>
    <w:basedOn w:val="DefaultParagraphFont"/>
    <w:link w:val="Heading1"/>
    <w:rsid w:val="00ED244E"/>
    <w:rPr>
      <w:rFonts w:ascii="Aptos" w:hAnsi="Aptos" w:cs="Arial"/>
      <w:b/>
      <w:bCs/>
      <w:color w:val="1D4794"/>
      <w:kern w:val="28"/>
      <w:sz w:val="60"/>
      <w:szCs w:val="36"/>
      <w:lang w:eastAsia="en-US"/>
    </w:rPr>
  </w:style>
  <w:style w:type="character" w:customStyle="1" w:styleId="Heading2Char">
    <w:name w:val="Heading 2 Char"/>
    <w:basedOn w:val="DefaultParagraphFont"/>
    <w:link w:val="Heading2"/>
    <w:rsid w:val="00ED244E"/>
    <w:rPr>
      <w:rFonts w:ascii="Aptos" w:hAnsi="Aptos" w:cs="Arial"/>
      <w:b/>
      <w:bCs/>
      <w:iCs/>
      <w:color w:val="1D4794"/>
      <w:sz w:val="36"/>
      <w:szCs w:val="28"/>
      <w:lang w:eastAsia="en-US"/>
    </w:rPr>
  </w:style>
  <w:style w:type="character" w:customStyle="1" w:styleId="Heading3Char">
    <w:name w:val="Heading 3 Char"/>
    <w:basedOn w:val="DefaultParagraphFont"/>
    <w:link w:val="Heading3"/>
    <w:rsid w:val="00ED244E"/>
    <w:rPr>
      <w:rFonts w:ascii="Aptos" w:hAnsi="Aptos" w:cs="Arial"/>
      <w:b/>
      <w:bCs/>
      <w:color w:val="1D4794"/>
      <w:sz w:val="28"/>
      <w:szCs w:val="24"/>
      <w:lang w:eastAsia="en-US"/>
    </w:rPr>
  </w:style>
  <w:style w:type="character" w:customStyle="1" w:styleId="Heading4Char">
    <w:name w:val="Heading 4 Char"/>
    <w:basedOn w:val="DefaultParagraphFont"/>
    <w:link w:val="Heading4"/>
    <w:rsid w:val="00ED244E"/>
    <w:rPr>
      <w:rFonts w:ascii="Aptos" w:hAnsi="Aptos"/>
      <w:b/>
      <w:bCs/>
      <w:iCs/>
      <w:color w:val="1D4794"/>
      <w:sz w:val="24"/>
      <w:szCs w:val="24"/>
      <w:lang w:eastAsia="en-US"/>
    </w:rPr>
  </w:style>
  <w:style w:type="character" w:customStyle="1" w:styleId="Heading5Char">
    <w:name w:val="Heading 5 Char"/>
    <w:basedOn w:val="DefaultParagraphFont"/>
    <w:link w:val="Heading5"/>
    <w:rsid w:val="00ED244E"/>
    <w:rPr>
      <w:rFonts w:ascii="Aptos" w:hAnsi="Aptos"/>
      <w:bCs/>
      <w:iCs/>
      <w:color w:val="1D4794"/>
      <w:sz w:val="24"/>
      <w:szCs w:val="26"/>
      <w:lang w:eastAsia="en-US"/>
    </w:rPr>
  </w:style>
  <w:style w:type="paragraph" w:customStyle="1" w:styleId="paragraph">
    <w:name w:val="paragraph"/>
    <w:aliases w:val="a"/>
    <w:basedOn w:val="Normal"/>
    <w:link w:val="paragraphChar"/>
    <w:rsid w:val="00ED244E"/>
    <w:pPr>
      <w:tabs>
        <w:tab w:val="right" w:pos="1531"/>
      </w:tabs>
      <w:spacing w:before="40" w:after="0" w:line="240" w:lineRule="auto"/>
      <w:ind w:left="1644" w:hanging="1644"/>
    </w:pPr>
    <w:rPr>
      <w:rFonts w:ascii="Times New Roman" w:hAnsi="Times New Roman"/>
      <w:color w:val="auto"/>
      <w:sz w:val="22"/>
      <w:szCs w:val="20"/>
      <w:lang w:eastAsia="en-AU"/>
    </w:rPr>
  </w:style>
  <w:style w:type="character" w:customStyle="1" w:styleId="paragraphChar">
    <w:name w:val="paragraph Char"/>
    <w:aliases w:val="a Char"/>
    <w:link w:val="paragraph"/>
    <w:rsid w:val="00ED244E"/>
    <w:rPr>
      <w:sz w:val="22"/>
    </w:rPr>
  </w:style>
  <w:style w:type="paragraph" w:customStyle="1" w:styleId="subsection">
    <w:name w:val="subsection"/>
    <w:aliases w:val="ss"/>
    <w:basedOn w:val="Normal"/>
    <w:link w:val="subsectionChar"/>
    <w:rsid w:val="00ED244E"/>
    <w:pPr>
      <w:tabs>
        <w:tab w:val="right" w:pos="1021"/>
      </w:tabs>
      <w:spacing w:before="180" w:after="0" w:line="240" w:lineRule="auto"/>
      <w:ind w:left="1134" w:hanging="1134"/>
    </w:pPr>
    <w:rPr>
      <w:rFonts w:ascii="Times New Roman" w:hAnsi="Times New Roman"/>
      <w:color w:val="auto"/>
      <w:sz w:val="22"/>
      <w:szCs w:val="20"/>
      <w:lang w:eastAsia="en-AU"/>
    </w:rPr>
  </w:style>
  <w:style w:type="character" w:customStyle="1" w:styleId="subsectionChar">
    <w:name w:val="subsection Char"/>
    <w:aliases w:val="ss Char"/>
    <w:basedOn w:val="DefaultParagraphFont"/>
    <w:link w:val="subsection"/>
    <w:locked/>
    <w:rsid w:val="00ED244E"/>
    <w:rPr>
      <w:sz w:val="22"/>
    </w:rPr>
  </w:style>
  <w:style w:type="numbering" w:customStyle="1" w:styleId="CurrentList8">
    <w:name w:val="Current List8"/>
    <w:uiPriority w:val="99"/>
    <w:rsid w:val="00ED244E"/>
    <w:pPr>
      <w:numPr>
        <w:numId w:val="12"/>
      </w:numPr>
    </w:pPr>
  </w:style>
  <w:style w:type="paragraph" w:styleId="ListBullet3">
    <w:name w:val="List Bullet 3"/>
    <w:basedOn w:val="Normal"/>
    <w:semiHidden/>
    <w:unhideWhenUsed/>
    <w:rsid w:val="00ED244E"/>
    <w:pPr>
      <w:numPr>
        <w:numId w:val="13"/>
      </w:numPr>
      <w:tabs>
        <w:tab w:val="clear" w:pos="926"/>
      </w:tabs>
      <w:ind w:left="0" w:firstLine="0"/>
      <w:contextualSpacing/>
    </w:pPr>
    <w:rPr>
      <w:rFonts w:ascii="Arial" w:hAnsi="Arial"/>
    </w:rPr>
  </w:style>
  <w:style w:type="paragraph" w:customStyle="1" w:styleId="Heading1nonumbering">
    <w:name w:val="Heading 1 (no numbering)"/>
    <w:basedOn w:val="Heading1"/>
    <w:link w:val="Heading1nonumberingChar"/>
    <w:qFormat/>
    <w:rsid w:val="00ED244E"/>
    <w:pPr>
      <w:pageBreakBefore/>
      <w:spacing w:before="240" w:after="60"/>
      <w:ind w:left="851" w:hanging="851"/>
    </w:pPr>
    <w:rPr>
      <w:rFonts w:ascii="Arial" w:hAnsi="Arial"/>
      <w:b w:val="0"/>
      <w:color w:val="3F4A75"/>
      <w:sz w:val="36"/>
    </w:rPr>
  </w:style>
  <w:style w:type="character" w:customStyle="1" w:styleId="Heading1nonumberingChar">
    <w:name w:val="Heading 1 (no numbering) Char"/>
    <w:basedOn w:val="Heading1Char"/>
    <w:link w:val="Heading1nonumbering"/>
    <w:rsid w:val="00ED244E"/>
    <w:rPr>
      <w:rFonts w:ascii="Arial" w:hAnsi="Arial" w:cs="Arial"/>
      <w:b w:val="0"/>
      <w:bCs/>
      <w:color w:val="3F4A75"/>
      <w:kern w:val="28"/>
      <w:sz w:val="36"/>
      <w:szCs w:val="36"/>
      <w:lang w:eastAsia="en-US"/>
    </w:rPr>
  </w:style>
  <w:style w:type="character" w:styleId="FollowedHyperlink">
    <w:name w:val="FollowedHyperlink"/>
    <w:basedOn w:val="DefaultParagraphFont"/>
    <w:semiHidden/>
    <w:unhideWhenUsed/>
    <w:rsid w:val="00ED244E"/>
    <w:rPr>
      <w:color w:val="800080" w:themeColor="followedHyperlink"/>
      <w:u w:val="single"/>
    </w:rPr>
  </w:style>
  <w:style w:type="paragraph" w:styleId="Revision">
    <w:name w:val="Revision"/>
    <w:hidden/>
    <w:uiPriority w:val="99"/>
    <w:semiHidden/>
    <w:rsid w:val="00ED244E"/>
    <w:rPr>
      <w:rFonts w:ascii="Arial" w:hAnsi="Arial"/>
      <w:color w:val="000101" w:themeColor="text1"/>
      <w:sz w:val="24"/>
      <w:szCs w:val="24"/>
      <w:lang w:eastAsia="en-US"/>
    </w:rPr>
  </w:style>
  <w:style w:type="character" w:styleId="Mention">
    <w:name w:val="Mention"/>
    <w:basedOn w:val="DefaultParagraphFont"/>
    <w:uiPriority w:val="99"/>
    <w:unhideWhenUsed/>
    <w:rsid w:val="00ED244E"/>
    <w:rPr>
      <w:color w:val="2B579A"/>
      <w:shd w:val="clear" w:color="auto" w:fill="E1DFDD"/>
    </w:rPr>
  </w:style>
  <w:style w:type="paragraph" w:customStyle="1" w:styleId="Heading50">
    <w:name w:val="Heading5"/>
    <w:basedOn w:val="Normal"/>
    <w:link w:val="Heading5Char0"/>
    <w:qFormat/>
    <w:rsid w:val="00ED244E"/>
    <w:rPr>
      <w:rFonts w:ascii="Arial" w:hAnsi="Arial"/>
      <w:b/>
      <w:bCs/>
      <w:i/>
      <w:iCs/>
    </w:rPr>
  </w:style>
  <w:style w:type="character" w:customStyle="1" w:styleId="Heading5Char0">
    <w:name w:val="Heading5 Char"/>
    <w:basedOn w:val="DefaultParagraphFont"/>
    <w:link w:val="Heading50"/>
    <w:rsid w:val="00ED244E"/>
    <w:rPr>
      <w:rFonts w:ascii="Arial" w:hAnsi="Arial"/>
      <w:b/>
      <w:bCs/>
      <w:i/>
      <w:iCs/>
      <w:color w:val="000101"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our-work/aged-care-act/about" TargetMode="External"/><Relationship Id="rId21" Type="http://schemas.openxmlformats.org/officeDocument/2006/relationships/hyperlink" Target="https://www.myagedcare.gov.au/" TargetMode="External"/><Relationship Id="rId42" Type="http://schemas.openxmlformats.org/officeDocument/2006/relationships/hyperlink" Target="https://www.health.gov.au/our-work/single-assessment-system/needs/first-nations-aged-care-assessments" TargetMode="External"/><Relationship Id="rId63" Type="http://schemas.openxmlformats.org/officeDocument/2006/relationships/hyperlink" Target="https://www.agedcarequality.gov.au/providers/provider-registration/registration-resources." TargetMode="External"/><Relationship Id="rId84" Type="http://schemas.openxmlformats.org/officeDocument/2006/relationships/hyperlink" Target="mailto:sirs@agedcarequality.gov.au" TargetMode="External"/><Relationship Id="rId138" Type="http://schemas.openxmlformats.org/officeDocument/2006/relationships/hyperlink" Target="https://www.agedcarequality.gov.au/providers" TargetMode="External"/><Relationship Id="rId107" Type="http://schemas.openxmlformats.org/officeDocument/2006/relationships/footer" Target="footer12.xml"/><Relationship Id="rId11" Type="http://schemas.openxmlformats.org/officeDocument/2006/relationships/header" Target="header1.xml"/><Relationship Id="rId32" Type="http://schemas.openxmlformats.org/officeDocument/2006/relationships/image" Target="media/image8.png"/><Relationship Id="rId53" Type="http://schemas.openxmlformats.org/officeDocument/2006/relationships/hyperlink" Target="https://www.health.gov.au/our-work/elder-care-support" TargetMode="External"/><Relationship Id="rId74" Type="http://schemas.openxmlformats.org/officeDocument/2006/relationships/hyperlink" Target="https://www.legislation.gov.au/F2025L01173/latest/text" TargetMode="External"/><Relationship Id="rId128" Type="http://schemas.openxmlformats.org/officeDocument/2006/relationships/hyperlink" Target="https://www.health.gov.au/our-work/our-local-network" TargetMode="External"/><Relationship Id="rId149" Type="http://schemas.openxmlformats.org/officeDocument/2006/relationships/footer" Target="footer18.xml"/><Relationship Id="rId5" Type="http://schemas.openxmlformats.org/officeDocument/2006/relationships/numbering" Target="numbering.xml"/><Relationship Id="rId95" Type="http://schemas.openxmlformats.org/officeDocument/2006/relationships/hyperlink" Target="http://www.health.gov.au/resources/publications/aged-care-worker-screening-guidance-material" TargetMode="External"/><Relationship Id="rId22" Type="http://schemas.openxmlformats.org/officeDocument/2006/relationships/hyperlink" Target="https://www.agedcarequality.gov.au/" TargetMode="External"/><Relationship Id="rId27" Type="http://schemas.openxmlformats.org/officeDocument/2006/relationships/image" Target="media/image4.png"/><Relationship Id="rId43" Type="http://schemas.openxmlformats.org/officeDocument/2006/relationships/hyperlink" Target="https://www.myagedcare.gov.au/" TargetMode="External"/><Relationship Id="rId48" Type="http://schemas.openxmlformats.org/officeDocument/2006/relationships/hyperlink" Target="https://www.health.gov.au/resources/publications/integrated-assessment-tool-iat-overview" TargetMode="External"/><Relationship Id="rId64" Type="http://schemas.openxmlformats.org/officeDocument/2006/relationships/hyperlink" Target="https://www.health.gov.au/resources/publications/residential-care-service-list?language=en" TargetMode="External"/><Relationship Id="rId69" Type="http://schemas.openxmlformats.org/officeDocument/2006/relationships/hyperlink" Target="https://www.health.gov.au/resources/publications/a-new-aged-care-act-for-the-rights-of-older-people?language=en" TargetMode="External"/><Relationship Id="rId113" Type="http://schemas.openxmlformats.org/officeDocument/2006/relationships/hyperlink" Target="http://www.MyAgedCare.gov.au" TargetMode="External"/><Relationship Id="rId118" Type="http://schemas.openxmlformats.org/officeDocument/2006/relationships/footer" Target="footer14.xml"/><Relationship Id="rId134" Type="http://schemas.openxmlformats.org/officeDocument/2006/relationships/hyperlink" Target="mailto:Vic.office@health.gov.au" TargetMode="External"/><Relationship Id="rId139" Type="http://schemas.openxmlformats.org/officeDocument/2006/relationships/hyperlink" Target="https://www.agedcarequality.gov.au/sites/default/files/media/acqsc-regulatory-strategy-2024-25.pdf" TargetMode="External"/><Relationship Id="rId80" Type="http://schemas.openxmlformats.org/officeDocument/2006/relationships/hyperlink" Target="https://www.agedcarequality.gov.au/providers/assessment-monitoring/continuous-improvement" TargetMode="External"/><Relationship Id="rId85" Type="http://schemas.openxmlformats.org/officeDocument/2006/relationships/hyperlink" Target="https://www.agedcarequality.gov.au/providers/serious-incident-response-scheme/reportable-incidents/missing-consumers?info_about=8487&amp;working_in=8488" TargetMode="External"/><Relationship Id="rId150" Type="http://schemas.openxmlformats.org/officeDocument/2006/relationships/footer" Target="footer19.xml"/><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yperlink" Target="mailto:copyright@health.gov.au" TargetMode="External"/><Relationship Id="rId33" Type="http://schemas.openxmlformats.org/officeDocument/2006/relationships/hyperlink" Target="https://www.health.gov.au/our-work/single-assessment-system" TargetMode="External"/><Relationship Id="rId38" Type="http://schemas.openxmlformats.org/officeDocument/2006/relationships/header" Target="header5.xml"/><Relationship Id="rId59" Type="http://schemas.openxmlformats.org/officeDocument/2006/relationships/header" Target="header6.xml"/><Relationship Id="rId103" Type="http://schemas.openxmlformats.org/officeDocument/2006/relationships/footer" Target="footer9.xml"/><Relationship Id="rId108" Type="http://schemas.openxmlformats.org/officeDocument/2006/relationships/footer" Target="footer13.xml"/><Relationship Id="rId124" Type="http://schemas.openxmlformats.org/officeDocument/2006/relationships/hyperlink" Target="https://www.health.gov.au/resources/publications/support-at-home-service-list" TargetMode="External"/><Relationship Id="rId129" Type="http://schemas.openxmlformats.org/officeDocument/2006/relationships/hyperlink" Target="mailto:Engagement.NSWACT@health.gov.au" TargetMode="External"/><Relationship Id="rId54" Type="http://schemas.openxmlformats.org/officeDocument/2006/relationships/hyperlink" Target="https://www.health.gov.au/our-work/elder-care-support" TargetMode="External"/><Relationship Id="rId70" Type="http://schemas.openxmlformats.org/officeDocument/2006/relationships/hyperlink" Target="https://www.agedcarequality.gov.au/older-australians/reform-changes-older-people/statement-rights" TargetMode="External"/><Relationship Id="rId75" Type="http://schemas.openxmlformats.org/officeDocument/2006/relationships/hyperlink" Target="https://www.agedcarequality.gov.au/sites/default/files/media/standard-3-care-and-services-provider-fact-sheet.pdf" TargetMode="External"/><Relationship Id="rId91" Type="http://schemas.openxmlformats.org/officeDocument/2006/relationships/hyperlink" Target="https://www.agedcarequality.gov.au/sites/default/files/media/fact-sheet-behaviour-support-plans.pdf" TargetMode="External"/><Relationship Id="rId96" Type="http://schemas.openxmlformats.org/officeDocument/2006/relationships/hyperlink" Target="https://www.health.gov.au/our-work/aged-care-volunteer-visitors-scheme-acvvs" TargetMode="External"/><Relationship Id="rId140" Type="http://schemas.openxmlformats.org/officeDocument/2006/relationships/hyperlink" Target="https://www.agedcarequality.gov.au/news-publications/first-nations-hub" TargetMode="External"/><Relationship Id="rId145" Type="http://schemas.openxmlformats.org/officeDocument/2006/relationships/hyperlink" Target="https://www.health.gov.au/our-work/aged-care-capital-assistance-progra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ccc.gov.au/" TargetMode="External"/><Relationship Id="rId28" Type="http://schemas.openxmlformats.org/officeDocument/2006/relationships/header" Target="header3.xml"/><Relationship Id="rId49" Type="http://schemas.openxmlformats.org/officeDocument/2006/relationships/hyperlink" Target="https://www.myagedcare.gov.au/assessment/prepare-your-assessment" TargetMode="External"/><Relationship Id="rId114" Type="http://schemas.openxmlformats.org/officeDocument/2006/relationships/hyperlink" Target="http://www.opan.org.au/" TargetMode="External"/><Relationship Id="rId119" Type="http://schemas.openxmlformats.org/officeDocument/2006/relationships/footer" Target="footer15.xml"/><Relationship Id="rId44" Type="http://schemas.openxmlformats.org/officeDocument/2006/relationships/hyperlink" Target="https://www.health.gov.au/resources/publications/my-aged-care-assessment-manual" TargetMode="External"/><Relationship Id="rId60" Type="http://schemas.openxmlformats.org/officeDocument/2006/relationships/footer" Target="footer7.xml"/><Relationship Id="rId65" Type="http://schemas.openxmlformats.org/officeDocument/2006/relationships/hyperlink" Target="https://www.health.gov.au/resources/publications/support-at-home-service-list" TargetMode="External"/><Relationship Id="rId81" Type="http://schemas.openxmlformats.org/officeDocument/2006/relationships/hyperlink" Target="https://www.health.gov.au/our-work/star-ratings-for-residential-aged-care/quality-improvement-guidance-for-aged-care-providers" TargetMode="External"/><Relationship Id="rId86" Type="http://schemas.openxmlformats.org/officeDocument/2006/relationships/hyperlink" Target="https://www.health.gov.au/resources/publications/strengthened-aged-care-quality-standards-august-2025?language=en" TargetMode="External"/><Relationship Id="rId130" Type="http://schemas.openxmlformats.org/officeDocument/2006/relationships/hyperlink" Target="mailto:EngagementNT@health.gov.au" TargetMode="External"/><Relationship Id="rId135" Type="http://schemas.openxmlformats.org/officeDocument/2006/relationships/hyperlink" Target="mailto:Engagement.WA@health.gov.au" TargetMode="External"/><Relationship Id="rId151" Type="http://schemas.openxmlformats.org/officeDocument/2006/relationships/header" Target="header8.xml"/><Relationship Id="rId13" Type="http://schemas.openxmlformats.org/officeDocument/2006/relationships/footer" Target="footer2.xml"/><Relationship Id="rId18" Type="http://schemas.openxmlformats.org/officeDocument/2006/relationships/hyperlink" Target="https://www.health.gov.au/resources/publications/natsifac-program-manual?language=en" TargetMode="External"/><Relationship Id="rId39" Type="http://schemas.openxmlformats.org/officeDocument/2006/relationships/footer" Target="footer5.xml"/><Relationship Id="rId109" Type="http://schemas.openxmlformats.org/officeDocument/2006/relationships/hyperlink" Target="mailto:natsifacp@health.gov.au" TargetMode="External"/><Relationship Id="rId34" Type="http://schemas.openxmlformats.org/officeDocument/2006/relationships/hyperlink" Target="https://www.health.gov.au/our-work/new-model-for-regulating-aged-care" TargetMode="External"/><Relationship Id="rId50" Type="http://schemas.openxmlformats.org/officeDocument/2006/relationships/hyperlink" Target="https://www.health.gov.au/resources/publications/when-to-request-a-support-plan-review-from-an-assessor-fact-sheet" TargetMode="External"/><Relationship Id="rId55" Type="http://schemas.openxmlformats.org/officeDocument/2006/relationships/hyperlink" Target="https://www.health.gov.au/our-work/care-finder-program" TargetMode="External"/><Relationship Id="rId76" Type="http://schemas.openxmlformats.org/officeDocument/2006/relationships/hyperlink" Target="https://www.health.gov.au/our-work/residential-aged-care/managing/exiting-residents" TargetMode="External"/><Relationship Id="rId97" Type="http://schemas.openxmlformats.org/officeDocument/2006/relationships/hyperlink" Target="https://www.health.gov.au/resources/publications/new-aged-care-act-and-volunteering-in-aged-care-what-providers-volunteer-managers-and-volunteers-need-to-know" TargetMode="External"/><Relationship Id="rId104" Type="http://schemas.openxmlformats.org/officeDocument/2006/relationships/footer" Target="footer10.xml"/><Relationship Id="rId120" Type="http://schemas.openxmlformats.org/officeDocument/2006/relationships/hyperlink" Target="https://www.health.gov.au/topics/aged-care-workforce/new-ways-of-working-in-aged-care" TargetMode="External"/><Relationship Id="rId125" Type="http://schemas.openxmlformats.org/officeDocument/2006/relationships/hyperlink" Target="https://www.health.gov.au/resources/publications/residential-care-service-list?language=en" TargetMode="External"/><Relationship Id="rId141" Type="http://schemas.openxmlformats.org/officeDocument/2006/relationships/hyperlink" Target="https://www.health.gov.au/sites/default/files/2026-02/becoming-a-provider-of-the-national-aboriginal-and-torres-strait-islander-flexible-aged-care-program.pdf" TargetMode="External"/><Relationship Id="rId146" Type="http://schemas.openxmlformats.org/officeDocument/2006/relationships/hyperlink" Target="https://www.grants.gov.au/" TargetMode="External"/><Relationship Id="rId7" Type="http://schemas.openxmlformats.org/officeDocument/2006/relationships/settings" Target="settings.xml"/><Relationship Id="rId71" Type="http://schemas.openxmlformats.org/officeDocument/2006/relationships/hyperlink" Target="https://www.health.gov.au/resources/publications/guide-to-aged-care-law/chapter-1-introduction/statement-of-principles" TargetMode="External"/><Relationship Id="rId92" Type="http://schemas.openxmlformats.org/officeDocument/2006/relationships/hyperlink" Target="https://www.health.gov.au/resources/publications/assistive-technology-and-home-modifications-list-at-hm-list"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www.ato.gov.au/" TargetMode="External"/><Relationship Id="rId40" Type="http://schemas.openxmlformats.org/officeDocument/2006/relationships/footer" Target="footer6.xml"/><Relationship Id="rId45" Type="http://schemas.openxmlformats.org/officeDocument/2006/relationships/hyperlink" Target="https://www.myagedcare.gov.au/assessment/how-apply-assessment" TargetMode="External"/><Relationship Id="rId66" Type="http://schemas.openxmlformats.org/officeDocument/2006/relationships/hyperlink" Target="https://www.health.gov.au/news/understanding-aged-care-provider-registration-categories" TargetMode="External"/><Relationship Id="rId87" Type="http://schemas.openxmlformats.org/officeDocument/2006/relationships/hyperlink" Target="https://www.health.gov.au/resources/publications/strengthened-aged-care-quality-standards-august-2025?language=en" TargetMode="External"/><Relationship Id="rId110" Type="http://schemas.openxmlformats.org/officeDocument/2006/relationships/hyperlink" Target="https://www.health.gov.au/health-topics/aged-care/providing-aged-care-services/responsibilities/quarterly-financial-report" TargetMode="External"/><Relationship Id="rId115" Type="http://schemas.openxmlformats.org/officeDocument/2006/relationships/hyperlink" Target="https://www.agedcarequality.gov.au/contact-us/complaints-concerns/what-do-if-you-have-complaint" TargetMode="External"/><Relationship Id="rId131" Type="http://schemas.openxmlformats.org/officeDocument/2006/relationships/hyperlink" Target="mailto:Engagement.QLD@health.gov.au" TargetMode="External"/><Relationship Id="rId136" Type="http://schemas.openxmlformats.org/officeDocument/2006/relationships/hyperlink" Target="https://www.myagedcare.gov.au/support-aboriginal-and-torres-strait-islander-people" TargetMode="External"/><Relationship Id="rId61" Type="http://schemas.openxmlformats.org/officeDocument/2006/relationships/footer" Target="footer8.xml"/><Relationship Id="rId82" Type="http://schemas.openxmlformats.org/officeDocument/2006/relationships/hyperlink" Target="https://www.agedcarequality.gov.au/providers/serious-incident-response-scheme/incident-management-systems" TargetMode="External"/><Relationship Id="rId152" Type="http://schemas.openxmlformats.org/officeDocument/2006/relationships/header" Target="header9.xml"/><Relationship Id="rId19" Type="http://schemas.openxmlformats.org/officeDocument/2006/relationships/hyperlink" Target="http://www.health.gov.au/resources/publications/natsifacp-manual" TargetMode="External"/><Relationship Id="rId14" Type="http://schemas.openxmlformats.org/officeDocument/2006/relationships/header" Target="header2.xml"/><Relationship Id="rId30" Type="http://schemas.openxmlformats.org/officeDocument/2006/relationships/hyperlink" Target="https://www.agedcarequality.gov.au/providers/aged-care-service-requirements/specialist-aged-care-programs" TargetMode="External"/><Relationship Id="rId35" Type="http://schemas.openxmlformats.org/officeDocument/2006/relationships/hyperlink" Target="https://www.agedcarequality.gov.au/" TargetMode="External"/><Relationship Id="rId56" Type="http://schemas.openxmlformats.org/officeDocument/2006/relationships/hyperlink" Target="https://www.myagedcare.gov.au/help-care-finder" TargetMode="External"/><Relationship Id="rId77" Type="http://schemas.openxmlformats.org/officeDocument/2006/relationships/hyperlink" Target="https://www.agedcarequality.gov.au/quality-standards/privacy-and-confidentiality-introduction-aged-care-video" TargetMode="External"/><Relationship Id="rId100" Type="http://schemas.openxmlformats.org/officeDocument/2006/relationships/hyperlink" Target="https://www.health.gov.au/resources/publications/residential-care-service-list?language=en" TargetMode="External"/><Relationship Id="rId105" Type="http://schemas.openxmlformats.org/officeDocument/2006/relationships/hyperlink" Target="https://www.agedcarequality.gov.au/providers/financial-prudential-standards/financial-viability-support-aged-care-providers" TargetMode="External"/><Relationship Id="rId126" Type="http://schemas.openxmlformats.org/officeDocument/2006/relationships/hyperlink" Target="https://www.health.gov.au/our-work/national-aboriginal-and-torres-strait-islander-flexible-aged-care-program" TargetMode="External"/><Relationship Id="rId147" Type="http://schemas.openxmlformats.org/officeDocument/2006/relationships/hyperlink" Target="https://www.grants.gov.au/" TargetMode="External"/><Relationship Id="rId8" Type="http://schemas.openxmlformats.org/officeDocument/2006/relationships/webSettings" Target="webSettings.xml"/><Relationship Id="rId51" Type="http://schemas.openxmlformats.org/officeDocument/2006/relationships/hyperlink" Target="https://www.health.gov.au/our-work/single-assessment-system/needs/reviews-reassessments" TargetMode="External"/><Relationship Id="rId72" Type="http://schemas.openxmlformats.org/officeDocument/2006/relationships/hyperlink" Target="https://www.health.gov.au/resources/publications/guide-to-aged-care-law/chapter-1-introduction/aged-care-code-of-conduct" TargetMode="External"/><Relationship Id="rId93" Type="http://schemas.openxmlformats.org/officeDocument/2006/relationships/hyperlink" Target="https://www.liveup.org.au/resources/first-nations-resources" TargetMode="External"/><Relationship Id="rId98" Type="http://schemas.openxmlformats.org/officeDocument/2006/relationships/hyperlink" Target="http://www.health.gov.au/topics/aged-care-workforce/screening-requirements" TargetMode="External"/><Relationship Id="rId121" Type="http://schemas.openxmlformats.org/officeDocument/2006/relationships/hyperlink" Target="https://parlinfo.aph.gov.au/parlInfo/search/display/display.w3p;query=Id%3A%22legislation%2Fems%2Fr7238_ems_d3261378-1ce3-44f4-8598-44f754904d67%22" TargetMode="External"/><Relationship Id="rId142" Type="http://schemas.openxmlformats.org/officeDocument/2006/relationships/hyperlink" Target="https://www.grants.gov.au/"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www.myagedcare.gov.au/assessment/prepare-your-assessment" TargetMode="External"/><Relationship Id="rId67" Type="http://schemas.openxmlformats.org/officeDocument/2006/relationships/hyperlink" Target="https://immunisationhandbook.health.gov.au/" TargetMode="External"/><Relationship Id="rId116" Type="http://schemas.openxmlformats.org/officeDocument/2006/relationships/hyperlink" Target="http://www.myagedcare.gov.au/contact-us/complaints" TargetMode="External"/><Relationship Id="rId137" Type="http://schemas.openxmlformats.org/officeDocument/2006/relationships/hyperlink" Target="https://www.myagedcare.gov.au/" TargetMode="External"/><Relationship Id="rId20" Type="http://schemas.openxmlformats.org/officeDocument/2006/relationships/hyperlink" Target="https://www.health.gov.au" TargetMode="External"/><Relationship Id="rId41" Type="http://schemas.openxmlformats.org/officeDocument/2006/relationships/hyperlink" Target="https://www.health.gov.au/our-work/single-assessment-system/about" TargetMode="External"/><Relationship Id="rId62" Type="http://schemas.openxmlformats.org/officeDocument/2006/relationships/hyperlink" Target="https://www.agedcarequality.gov.au/providers/provider-registration/becoming-registered-provider" TargetMode="External"/><Relationship Id="rId83" Type="http://schemas.openxmlformats.org/officeDocument/2006/relationships/hyperlink" Target="https://www.agedcarequality.gov.au/providers/serious-incident-response-scheme" TargetMode="External"/><Relationship Id="rId88" Type="http://schemas.openxmlformats.org/officeDocument/2006/relationships/hyperlink" Target="https://www.health.gov.au/topics/aged-care/providing-aged-care-services/training-and-guidance/restrictive-practices-in-aged-care-a-last-resort" TargetMode="External"/><Relationship Id="rId111" Type="http://schemas.openxmlformats.org/officeDocument/2006/relationships/hyperlink" Target="mailto:health@formsadministration.com.au" TargetMode="External"/><Relationship Id="rId132" Type="http://schemas.openxmlformats.org/officeDocument/2006/relationships/hyperlink" Target="mailto:Engagement.SA@health.gov.au" TargetMode="External"/><Relationship Id="rId153" Type="http://schemas.openxmlformats.org/officeDocument/2006/relationships/footer" Target="footer20.xml"/><Relationship Id="rId15" Type="http://schemas.openxmlformats.org/officeDocument/2006/relationships/footer" Target="footer3.xml"/><Relationship Id="rId36" Type="http://schemas.openxmlformats.org/officeDocument/2006/relationships/hyperlink" Target="https://www.health.gov.au/our-work/aged-care-act/about" TargetMode="External"/><Relationship Id="rId57" Type="http://schemas.openxmlformats.org/officeDocument/2006/relationships/hyperlink" Target="https://opan.org.au/" TargetMode="External"/><Relationship Id="rId106" Type="http://schemas.openxmlformats.org/officeDocument/2006/relationships/footer" Target="footer11.xml"/><Relationship Id="rId127" Type="http://schemas.openxmlformats.org/officeDocument/2006/relationships/hyperlink" Target="mailto:NATSIFACP@health.gov.au" TargetMode="External"/><Relationship Id="rId10" Type="http://schemas.openxmlformats.org/officeDocument/2006/relationships/endnotes" Target="endnotes.xml"/><Relationship Id="rId31" Type="http://schemas.openxmlformats.org/officeDocument/2006/relationships/hyperlink" Target="https://parlinfo.aph.gov.au/parlInfo/search/display/display.w3p;query=Id%3A%22legislation%2Fems%2Fr7238_ems_d3261378-1ce3-44f4-8598-44f754904d67%22" TargetMode="External"/><Relationship Id="rId52" Type="http://schemas.openxmlformats.org/officeDocument/2006/relationships/hyperlink" Target="https://www.health.gov.au/our-work/aged-care-act/about/registered-supporters-in-aged-care" TargetMode="External"/><Relationship Id="rId73" Type="http://schemas.openxmlformats.org/officeDocument/2006/relationships/hyperlink" Target="https://www.health.gov.au/resources/publications/stakeholder-communications-toolkit-on-the-statement-of-rights" TargetMode="External"/><Relationship Id="rId78" Type="http://schemas.openxmlformats.org/officeDocument/2006/relationships/image" Target="media/image9.png"/><Relationship Id="rId94" Type="http://schemas.openxmlformats.org/officeDocument/2006/relationships/hyperlink" Target="https://www.liveup.org.au/media/MobGuide.pdf" TargetMode="External"/><Relationship Id="rId99" Type="http://schemas.openxmlformats.org/officeDocument/2006/relationships/hyperlink" Target="https://www.grants.gov.au/Go/Show?GoUuid=0ae87c32-6c4d-4394-b3e7-012f57234e4e" TargetMode="External"/><Relationship Id="rId101" Type="http://schemas.openxmlformats.org/officeDocument/2006/relationships/hyperlink" Target="https://www.health.gov.au/resources/publications/support-at-home-service-list" TargetMode="External"/><Relationship Id="rId122" Type="http://schemas.openxmlformats.org/officeDocument/2006/relationships/footer" Target="footer16.xml"/><Relationship Id="rId143" Type="http://schemas.openxmlformats.org/officeDocument/2006/relationships/hyperlink" Target="https://www.grants.gov.au/" TargetMode="External"/><Relationship Id="rId148" Type="http://schemas.openxmlformats.org/officeDocument/2006/relationships/hyperlink" Target="https://www.health.gov.au/resources/publications/support-at-home-service-lis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png"/><Relationship Id="rId47" Type="http://schemas.openxmlformats.org/officeDocument/2006/relationships/hyperlink" Target="https://www.health.gov.au/our-work/single-assessment-system/about/tools" TargetMode="External"/><Relationship Id="rId68" Type="http://schemas.openxmlformats.org/officeDocument/2006/relationships/hyperlink" Target="https://www.health.gov.au/resources/publications/guide-to-aged-care-law/chapter-1-introduction/statement-of-rights" TargetMode="External"/><Relationship Id="rId89" Type="http://schemas.openxmlformats.org/officeDocument/2006/relationships/hyperlink" Target="https://www.agedcarequality.gov.au/" TargetMode="External"/><Relationship Id="rId112" Type="http://schemas.openxmlformats.org/officeDocument/2006/relationships/hyperlink" Target="https://www.agedcarequality.gov.au/" TargetMode="External"/><Relationship Id="rId133" Type="http://schemas.openxmlformats.org/officeDocument/2006/relationships/hyperlink" Target="mailto:Tas.office@health.gov.au" TargetMode="External"/><Relationship Id="rId154" Type="http://schemas.openxmlformats.org/officeDocument/2006/relationships/fontTable" Target="fontTable.xml"/><Relationship Id="rId16" Type="http://schemas.openxmlformats.org/officeDocument/2006/relationships/image" Target="media/image5.jpeg"/><Relationship Id="rId37" Type="http://schemas.openxmlformats.org/officeDocument/2006/relationships/header" Target="header4.xml"/><Relationship Id="rId58" Type="http://schemas.openxmlformats.org/officeDocument/2006/relationships/hyperlink" Target="https://www.health.gov.au/our-work/support-at-home/delivering-services-for-support-at-home/assistive-technology-and-home-modifications-at-hm-scheme" TargetMode="External"/><Relationship Id="rId79" Type="http://schemas.openxmlformats.org/officeDocument/2006/relationships/hyperlink" Target="https://www.agedcarequality.gov.au/providers/quality-standards/strengthened-quality-standards" TargetMode="External"/><Relationship Id="rId102" Type="http://schemas.openxmlformats.org/officeDocument/2006/relationships/header" Target="header7.xml"/><Relationship Id="rId123" Type="http://schemas.openxmlformats.org/officeDocument/2006/relationships/footer" Target="footer17.xml"/><Relationship Id="rId144" Type="http://schemas.openxmlformats.org/officeDocument/2006/relationships/hyperlink" Target="https://www.ato.gov.au/businesses-and-organisations/income-deductions-and-concessions/depreciation-and-capital-expenses-and-allowances" TargetMode="External"/><Relationship Id="rId90" Type="http://schemas.openxmlformats.org/officeDocument/2006/relationships/hyperlink" Target="https://www.health.gov.au/topics/aged-care/providing-aged-care-services/training-and-guidance/restrictive-practices-in-aged-care-a-last-resort" TargetMode="External"/></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000101"/>
      </a:dk1>
      <a:lt1>
        <a:srgbClr val="FFFFFF"/>
      </a:lt1>
      <a:dk2>
        <a:srgbClr val="2FA2A6"/>
      </a:dk2>
      <a:lt2>
        <a:srgbClr val="D4D6CA"/>
      </a:lt2>
      <a:accent1>
        <a:srgbClr val="2FA2A6"/>
      </a:accent1>
      <a:accent2>
        <a:srgbClr val="C0504D"/>
      </a:accent2>
      <a:accent3>
        <a:srgbClr val="9BBB59"/>
      </a:accent3>
      <a:accent4>
        <a:srgbClr val="8064A2"/>
      </a:accent4>
      <a:accent5>
        <a:srgbClr val="4F75C1"/>
      </a:accent5>
      <a:accent6>
        <a:srgbClr val="F79646"/>
      </a:accent6>
      <a:hlink>
        <a:srgbClr val="1D479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5f19e5a-3f6a-44b0-9966-0a3477558b0f">
      <Value>5</Value>
    </TaxCatchAll>
    <lcf76f155ced4ddcb4097134ff3c332f xmlns="35e90531-66c0-4c16-b5ef-47d924f5a338">
      <Terms xmlns="http://schemas.microsoft.com/office/infopath/2007/PartnerControls"/>
    </lcf76f155ced4ddcb4097134ff3c332f>
    <ReadyforFASclearance xmlns="35e90531-66c0-4c16-b5ef-47d924f5a338">false</ReadyforFASclearance>
    <Status xmlns="35e90531-66c0-4c16-b5ef-47d924f5a338" xsi:nil="true"/>
    <_Flow_SignoffStatus xmlns="35e90531-66c0-4c16-b5ef-47d924f5a338" xsi:nil="true"/>
    <SharedWithUsers xmlns="45f19e5a-3f6a-44b0-9966-0a3477558b0f">
      <UserInfo>
        <DisplayName>Andrew Glenn</DisplayName>
        <AccountId>3338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customXml/itemProps4.xml><?xml version="1.0" encoding="utf-8"?>
<ds:datastoreItem xmlns:ds="http://schemas.openxmlformats.org/officeDocument/2006/customXml" ds:itemID="{D952A90B-F0E9-4046-B323-70922845A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25264</Words>
  <Characters>148303</Characters>
  <Application>Microsoft Office Word</Application>
  <DocSecurity>0</DocSecurity>
  <Lines>3026</Lines>
  <Paragraphs>1789</Paragraphs>
  <ScaleCrop>false</ScaleCrop>
  <HeadingPairs>
    <vt:vector size="2" baseType="variant">
      <vt:variant>
        <vt:lpstr>Title</vt:lpstr>
      </vt:variant>
      <vt:variant>
        <vt:i4>1</vt:i4>
      </vt:variant>
    </vt:vector>
  </HeadingPairs>
  <TitlesOfParts>
    <vt:vector size="1" baseType="lpstr">
      <vt:lpstr>National Aboriginal and Torres Strait Islander Flexible Aged Care Program Manual</vt:lpstr>
    </vt:vector>
  </TitlesOfParts>
  <Manager/>
  <Company/>
  <LinksUpToDate>false</LinksUpToDate>
  <CharactersWithSpaces>171778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Aboriginal and Torres Strait Islander Flexible Aged Care Program Manual</dc:title>
  <dc:subject>Aged Care; Aboriginal and Torres Strait Islander health</dc:subject>
  <dc:creator>Australian Government Department of Health, Disability and Ageing</dc:creator>
  <cp:keywords>Senior Australians; Aboriginal and Torres Strait Islander health; </cp:keywords>
  <dc:description/>
  <cp:lastModifiedBy>MASCHKE, Elvia</cp:lastModifiedBy>
  <cp:revision>10</cp:revision>
  <cp:lastPrinted>2026-03-26T00:18:00Z</cp:lastPrinted>
  <dcterms:created xsi:type="dcterms:W3CDTF">2026-03-27T03:32:00Z</dcterms:created>
  <dcterms:modified xsi:type="dcterms:W3CDTF">2026-03-27T04:55:00Z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Section">
    <vt:lpwstr>5;#PCPD CC Corporate Communication SN|73cff0d0-7b20-43e0-ad96-75a3b55de641</vt:lpwstr>
  </property>
  <property fmtid="{D5CDD505-2E9C-101B-9397-08002B2CF9AE}" pid="5" name="_dlc_DocIdItemGuid">
    <vt:lpwstr>c035f51b-1153-45fd-97fb-3efc14ccd009</vt:lpwstr>
  </property>
  <property fmtid="{D5CDD505-2E9C-101B-9397-08002B2CF9AE}" pid="6" name="Keywords1">
    <vt:lpwstr>30;#Aged care|15037316-ccb1-4430-a7dd-5c4031a389b1;#4;#visual identity|a54ebda2-a0fd-45ec-8fc0-1cf31001b526</vt:lpwstr>
  </property>
  <property fmtid="{D5CDD505-2E9C-101B-9397-08002B2CF9AE}" pid="7" name="Information type">
    <vt:lpwstr>42;#Template|0635ea83-9a41-497c-9b11-d9d7178dcab7</vt:lpwstr>
  </property>
  <property fmtid="{D5CDD505-2E9C-101B-9397-08002B2CF9AE}" pid="8" name="MediaServiceImageTags">
    <vt:lpwstr/>
  </property>
  <property fmtid="{D5CDD505-2E9C-101B-9397-08002B2CF9AE}" pid="9" name="Order">
    <vt:i4>4995700</vt:i4>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WAH-7Dec">
    <vt:lpwstr>, </vt:lpwstr>
  </property>
  <property fmtid="{D5CDD505-2E9C-101B-9397-08002B2CF9AE}" pid="16" name="TriggerFlowInfo">
    <vt:lpwstr/>
  </property>
  <property fmtid="{D5CDD505-2E9C-101B-9397-08002B2CF9AE}" pid="17" name="Contact">
    <vt:lpwstr>104;#Aged Care Communications and Change|e5d142d6-a25f-4b81-a8a4-d8f9e5839eea</vt:lpwstr>
  </property>
  <property fmtid="{D5CDD505-2E9C-101B-9397-08002B2CF9AE}" pid="18" name="p76df81b8fed4a2fa2af18761f9ff90d">
    <vt:lpwstr>Aged care|15037316-ccb1-4430-a7dd-5c4031a389b1;visual identity|a54ebda2-a0fd-45ec-8fc0-1cf31001b526</vt:lpwstr>
  </property>
  <property fmtid="{D5CDD505-2E9C-101B-9397-08002B2CF9AE}" pid="19" name="Intranet">
    <vt:bool>true</vt:bool>
  </property>
  <property fmtid="{D5CDD505-2E9C-101B-9397-08002B2CF9AE}" pid="20" name="Int_x002d_InformationType">
    <vt:lpwstr/>
  </property>
  <property fmtid="{D5CDD505-2E9C-101B-9397-08002B2CF9AE}" pid="21" name="pfd27f99efda4409b63228bea026394d">
    <vt:lpwstr>Template|0635ea83-9a41-497c-9b11-d9d7178dcab7</vt:lpwstr>
  </property>
  <property fmtid="{D5CDD505-2E9C-101B-9397-08002B2CF9AE}" pid="22" name="Int_x002d_Topics">
    <vt:lpwstr/>
  </property>
  <property fmtid="{D5CDD505-2E9C-101B-9397-08002B2CF9AE}" pid="23" name="Last reviewed">
    <vt:filetime>2023-11-29T10:00:00Z</vt:filetime>
  </property>
  <property fmtid="{D5CDD505-2E9C-101B-9397-08002B2CF9AE}" pid="24" name="jf042baad2b143719d8a0cfd36411dfb">
    <vt:lpwstr>Aged Care Communications and Change|e5d142d6-a25f-4b81-a8a4-d8f9e5839eea</vt:lpwstr>
  </property>
  <property fmtid="{D5CDD505-2E9C-101B-9397-08002B2CF9AE}" pid="25" name="SharedWithUsers">
    <vt:lpwstr>3338;#Andrew Glenn</vt:lpwstr>
  </property>
  <property fmtid="{D5CDD505-2E9C-101B-9397-08002B2CF9AE}" pid="26" name="Int_x002d_Contact">
    <vt:lpwstr/>
  </property>
  <property fmtid="{D5CDD505-2E9C-101B-9397-08002B2CF9AE}" pid="27" name="Int-Contact">
    <vt:lpwstr>104;#|e5d142d6-a25f-4b81-a8a4-d8f9e5839eea</vt:lpwstr>
  </property>
  <property fmtid="{D5CDD505-2E9C-101B-9397-08002B2CF9AE}" pid="28" name="Int-InformationType">
    <vt:lpwstr>42;#|0635ea83-9a41-497c-9b11-d9d7178dcab7</vt:lpwstr>
  </property>
  <property fmtid="{D5CDD505-2E9C-101B-9397-08002B2CF9AE}" pid="29" name="Int-Topics">
    <vt:lpwstr>4;#visual identity|a54ebda2-a0fd-45ec-8fc0-1cf31001b526;#30;#Aged care|15037316-ccb1-4430-a7dd-5c4031a389b1</vt:lpwstr>
  </property>
  <property fmtid="{D5CDD505-2E9C-101B-9397-08002B2CF9AE}" pid="30" name="lcf76f155ced4ddcb4097134ff3c332f">
    <vt:lpwstr/>
  </property>
  <property fmtid="{D5CDD505-2E9C-101B-9397-08002B2CF9AE}" pid="31" name="ClassificationContentMarkingHeaderShapeIds">
    <vt:lpwstr>3fde5eda,52d69dff,5d15243f,72a5803a,173f8d50</vt:lpwstr>
  </property>
  <property fmtid="{D5CDD505-2E9C-101B-9397-08002B2CF9AE}" pid="32" name="ClassificationContentMarkingHeaderFontProps">
    <vt:lpwstr>#ff0000,12,Calibri</vt:lpwstr>
  </property>
  <property fmtid="{D5CDD505-2E9C-101B-9397-08002B2CF9AE}" pid="33" name="ClassificationContentMarkingHeaderText">
    <vt:lpwstr>OFFICIAL</vt:lpwstr>
  </property>
  <property fmtid="{D5CDD505-2E9C-101B-9397-08002B2CF9AE}" pid="34" name="ClassificationContentMarkingFooterShapeIds">
    <vt:lpwstr>25d60104,792a905f,2ac6e374,4b303792,228d0de7</vt:lpwstr>
  </property>
  <property fmtid="{D5CDD505-2E9C-101B-9397-08002B2CF9AE}" pid="35" name="ClassificationContentMarkingFooterFontProps">
    <vt:lpwstr>#ff0000,12,Calibri</vt:lpwstr>
  </property>
  <property fmtid="{D5CDD505-2E9C-101B-9397-08002B2CF9AE}" pid="36" name="ClassificationContentMarkingFooterText">
    <vt:lpwstr>OFFICIAL</vt:lpwstr>
  </property>
  <property fmtid="{D5CDD505-2E9C-101B-9397-08002B2CF9AE}" pid="37" name="MSIP_Label_7cd3e8b9-ffed-43a8-b7f4-cc2fa0382d36_Enabled">
    <vt:lpwstr>true</vt:lpwstr>
  </property>
  <property fmtid="{D5CDD505-2E9C-101B-9397-08002B2CF9AE}" pid="38" name="MSIP_Label_7cd3e8b9-ffed-43a8-b7f4-cc2fa0382d36_SetDate">
    <vt:lpwstr>2025-08-13T02:11:59Z</vt:lpwstr>
  </property>
  <property fmtid="{D5CDD505-2E9C-101B-9397-08002B2CF9AE}" pid="39" name="MSIP_Label_7cd3e8b9-ffed-43a8-b7f4-cc2fa0382d36_Method">
    <vt:lpwstr>Privileged</vt:lpwstr>
  </property>
  <property fmtid="{D5CDD505-2E9C-101B-9397-08002B2CF9AE}" pid="40" name="MSIP_Label_7cd3e8b9-ffed-43a8-b7f4-cc2fa0382d36_Name">
    <vt:lpwstr>O</vt:lpwstr>
  </property>
  <property fmtid="{D5CDD505-2E9C-101B-9397-08002B2CF9AE}" pid="41" name="MSIP_Label_7cd3e8b9-ffed-43a8-b7f4-cc2fa0382d36_SiteId">
    <vt:lpwstr>34a3929c-73cf-4954-abfe-147dc3517892</vt:lpwstr>
  </property>
  <property fmtid="{D5CDD505-2E9C-101B-9397-08002B2CF9AE}" pid="42" name="MSIP_Label_7cd3e8b9-ffed-43a8-b7f4-cc2fa0382d36_ActionId">
    <vt:lpwstr>270b35e8-9de5-486e-9e0e-274005090dc7</vt:lpwstr>
  </property>
  <property fmtid="{D5CDD505-2E9C-101B-9397-08002B2CF9AE}" pid="43" name="MSIP_Label_7cd3e8b9-ffed-43a8-b7f4-cc2fa0382d36_ContentBits">
    <vt:lpwstr>3</vt:lpwstr>
  </property>
  <property fmtid="{D5CDD505-2E9C-101B-9397-08002B2CF9AE}" pid="44" name="MSIP_Label_7cd3e8b9-ffed-43a8-b7f4-cc2fa0382d36_Tag">
    <vt:lpwstr>50, 0, 1, 1</vt:lpwstr>
  </property>
  <property fmtid="{D5CDD505-2E9C-101B-9397-08002B2CF9AE}" pid="45" name="ContentTypeId">
    <vt:lpwstr>0x0101008A4B7EB362182F48AEF77DFA2F6D5B5B</vt:lpwstr>
  </property>
  <property fmtid="{D5CDD505-2E9C-101B-9397-08002B2CF9AE}" pid="46" name="mfb9edab7134471d8c78133ba7b278810">
    <vt:lpwstr>PCPD CC Corporate Communication SN|73cff0d0-7b20-43e0-ad96-75a3b55de641</vt:lpwstr>
  </property>
</Properties>
</file>