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B695" w14:textId="77777777" w:rsidR="00D926BB" w:rsidRDefault="00D926BB" w:rsidP="00B40C40">
      <w:pPr>
        <w:pStyle w:val="Title"/>
        <w:spacing w:before="100" w:beforeAutospacing="1"/>
        <w:rPr>
          <w:rFonts w:ascii="Arial" w:hAnsi="Arial" w:cs="Arial"/>
          <w:b/>
          <w:bCs/>
          <w:color w:val="153A6D"/>
          <w:sz w:val="48"/>
          <w:szCs w:val="48"/>
        </w:rPr>
      </w:pPr>
    </w:p>
    <w:p w14:paraId="15B175AF" w14:textId="049E4C77" w:rsidR="00D926BB" w:rsidRPr="003723A0" w:rsidRDefault="00D926BB" w:rsidP="00D926BB">
      <w:pPr>
        <w:pStyle w:val="Title"/>
        <w:spacing w:before="100" w:beforeAutospacing="1"/>
        <w:jc w:val="center"/>
        <w:rPr>
          <w:rFonts w:ascii="Arial" w:hAnsi="Arial" w:cs="Arial"/>
          <w:b/>
          <w:bCs/>
          <w:color w:val="153A6D"/>
          <w:sz w:val="48"/>
          <w:szCs w:val="48"/>
        </w:rPr>
      </w:pPr>
      <w:r w:rsidRPr="003723A0">
        <w:rPr>
          <w:rFonts w:ascii="Arial" w:hAnsi="Arial" w:cs="Arial"/>
          <w:b/>
          <w:bCs/>
          <w:color w:val="153A6D"/>
          <w:sz w:val="48"/>
          <w:szCs w:val="48"/>
        </w:rPr>
        <w:t xml:space="preserve">Health Provider Compliance Priorities </w:t>
      </w:r>
    </w:p>
    <w:p w14:paraId="1824C2BB" w14:textId="591B4CBC" w:rsidR="00D926BB" w:rsidRPr="00156D48" w:rsidRDefault="007B5257" w:rsidP="007174DF">
      <w:pPr>
        <w:tabs>
          <w:tab w:val="left" w:pos="426"/>
        </w:tabs>
        <w:spacing w:after="240"/>
        <w:jc w:val="center"/>
        <w:rPr>
          <w:rFonts w:cs="Arial"/>
          <w:sz w:val="24"/>
        </w:rPr>
      </w:pPr>
      <w:r w:rsidRPr="00182018">
        <w:rPr>
          <w:rFonts w:cs="Arial"/>
          <w:color w:val="000000"/>
        </w:rPr>
        <w:t>The Department of Health, Disability and Ageing is responsible for ensuring compliant health provider claiming for Australian Government health program payments. Our compliance priorities reflect our commitment to act to protect Medicare integrity</w:t>
      </w:r>
      <w:r w:rsidR="00203BD0">
        <w:rPr>
          <w:rFonts w:cs="Arial"/>
          <w:sz w:val="24"/>
        </w:rPr>
        <w:t>.</w:t>
      </w:r>
      <w:r w:rsidR="00D926BB" w:rsidRPr="00D900E9">
        <w:rPr>
          <w:rFonts w:cs="Arial"/>
          <w:sz w:val="24"/>
        </w:rPr>
        <w:t xml:space="preserve"> </w:t>
      </w:r>
    </w:p>
    <w:p w14:paraId="554F4012" w14:textId="0743B265" w:rsidR="00D926BB" w:rsidRPr="003723A0" w:rsidRDefault="00156D48" w:rsidP="007174DF">
      <w:pPr>
        <w:spacing w:before="360"/>
        <w:jc w:val="center"/>
        <w:rPr>
          <w:rFonts w:cs="Arial"/>
          <w:b/>
          <w:bCs/>
          <w:color w:val="00727D"/>
          <w:sz w:val="36"/>
          <w:szCs w:val="40"/>
        </w:rPr>
      </w:pPr>
      <w:r>
        <w:rPr>
          <w:rFonts w:cs="Arial"/>
          <w:b/>
          <w:bCs/>
          <w:noProof/>
          <w:color w:val="00727D"/>
          <w:sz w:val="36"/>
          <w:szCs w:val="40"/>
          <w14:ligatures w14:val="standardContextual"/>
        </w:rPr>
        <mc:AlternateContent>
          <mc:Choice Requires="wps">
            <w:drawing>
              <wp:anchor distT="0" distB="0" distL="114300" distR="114300" simplePos="0" relativeHeight="251658241" behindDoc="0" locked="0" layoutInCell="1" allowOverlap="1" wp14:anchorId="3B94B97E" wp14:editId="3334ADCB">
                <wp:simplePos x="0" y="0"/>
                <wp:positionH relativeFrom="margin">
                  <wp:align>center</wp:align>
                </wp:positionH>
                <wp:positionV relativeFrom="paragraph">
                  <wp:posOffset>3810</wp:posOffset>
                </wp:positionV>
                <wp:extent cx="7183120" cy="8266209"/>
                <wp:effectExtent l="19050" t="19050" r="36830" b="40005"/>
                <wp:wrapNone/>
                <wp:docPr id="351083160" name="Rectangle: Rounded Corners 10"/>
                <wp:cNvGraphicFramePr/>
                <a:graphic xmlns:a="http://schemas.openxmlformats.org/drawingml/2006/main">
                  <a:graphicData uri="http://schemas.microsoft.com/office/word/2010/wordprocessingShape">
                    <wps:wsp>
                      <wps:cNvSpPr/>
                      <wps:spPr>
                        <a:xfrm>
                          <a:off x="0" y="0"/>
                          <a:ext cx="7183120" cy="8266209"/>
                        </a:xfrm>
                        <a:prstGeom prst="roundRect">
                          <a:avLst>
                            <a:gd name="adj" fmla="val 4747"/>
                          </a:avLst>
                        </a:prstGeom>
                        <a:noFill/>
                        <a:ln w="50800" cap="rnd">
                          <a:solidFill>
                            <a:srgbClr val="008A96">
                              <a:alpha val="50196"/>
                            </a:srgbClr>
                          </a:solidFill>
                          <a:prstDash val="sysDot"/>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v:roundrect id="Rectangle: Rounded Corners 10" style="position:absolute;margin-left:0;margin-top:.3pt;width:565.6pt;height:650.9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008a96" strokeweight="4pt" arcsize="3110f" w14:anchorId="5C9FA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">
                <v:stroke opacity="32896f" endcap="round" dashstyle="1 1"/>
                <w10:wrap anchorx="margin"/>
              </v:roundrect>
            </w:pict>
          </mc:Fallback>
        </mc:AlternateContent>
      </w:r>
      <w:r w:rsidR="00D926BB">
        <w:rPr>
          <w:rFonts w:cs="Arial"/>
          <w:b/>
          <w:bCs/>
          <w:noProof/>
          <w:color w:val="00727D"/>
          <w:sz w:val="36"/>
          <w:szCs w:val="40"/>
          <w14:ligatures w14:val="standardContextual"/>
        </w:rPr>
        <mc:AlternateContent>
          <mc:Choice Requires="wps">
            <w:drawing>
              <wp:anchor distT="0" distB="0" distL="114300" distR="114300" simplePos="0" relativeHeight="251658240" behindDoc="1" locked="0" layoutInCell="1" allowOverlap="1" wp14:anchorId="47FB1ADE" wp14:editId="0F405D85">
                <wp:simplePos x="0" y="0"/>
                <wp:positionH relativeFrom="column">
                  <wp:posOffset>202871</wp:posOffset>
                </wp:positionH>
                <wp:positionV relativeFrom="paragraph">
                  <wp:posOffset>233171</wp:posOffset>
                </wp:positionV>
                <wp:extent cx="718806" cy="718806"/>
                <wp:effectExtent l="0" t="0" r="5715" b="5715"/>
                <wp:wrapNone/>
                <wp:docPr id="1040856555" name="Oval 11"/>
                <wp:cNvGraphicFramePr/>
                <a:graphic xmlns:a="http://schemas.openxmlformats.org/drawingml/2006/main">
                  <a:graphicData uri="http://schemas.microsoft.com/office/word/2010/wordprocessingShape">
                    <wps:wsp>
                      <wps:cNvSpPr/>
                      <wps:spPr>
                        <a:xfrm>
                          <a:off x="0" y="0"/>
                          <a:ext cx="718806" cy="71880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pic="http://schemas.openxmlformats.org/drawingml/2006/picture" xmlns:a="http://schemas.openxmlformats.org/drawingml/2006/main">
            <w:pict>
              <v:oval id="Oval 11" style="position:absolute;margin-left:15.95pt;margin-top:18.35pt;width:56.6pt;height:56.6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8D8D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">
                <v:stroke joinstyle="miter"/>
              </v:oval>
            </w:pict>
          </mc:Fallback>
        </mc:AlternateContent>
      </w:r>
      <w:r w:rsidR="00D926BB" w:rsidRPr="003723A0">
        <w:rPr>
          <w:rFonts w:cs="Arial"/>
          <w:b/>
          <w:bCs/>
          <w:color w:val="00727D"/>
          <w:sz w:val="36"/>
          <w:szCs w:val="40"/>
        </w:rPr>
        <w:t xml:space="preserve">2026 </w:t>
      </w:r>
      <w:r w:rsidR="00A6446F">
        <w:rPr>
          <w:rFonts w:cs="Arial"/>
          <w:b/>
          <w:bCs/>
          <w:color w:val="00727D"/>
          <w:sz w:val="36"/>
          <w:szCs w:val="40"/>
        </w:rPr>
        <w:t>focus areas</w:t>
      </w:r>
    </w:p>
    <w:tbl>
      <w:tblPr>
        <w:tblStyle w:val="TableGrid"/>
        <w:tblW w:w="10773" w:type="dxa"/>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F1F9FA"/>
        <w:tblLook w:val="04A0" w:firstRow="1" w:lastRow="0" w:firstColumn="1" w:lastColumn="0" w:noHBand="0" w:noVBand="1"/>
      </w:tblPr>
      <w:tblGrid>
        <w:gridCol w:w="1418"/>
        <w:gridCol w:w="9355"/>
      </w:tblGrid>
      <w:tr w:rsidR="00D926BB" w14:paraId="7D7AB3DA" w14:textId="77777777" w:rsidTr="004754B4">
        <w:trPr>
          <w:cantSplit/>
          <w:trHeight w:val="3117"/>
        </w:trPr>
        <w:tc>
          <w:tcPr>
            <w:tcW w:w="1418" w:type="dxa"/>
            <w:shd w:val="clear" w:color="auto" w:fill="F1F9FA"/>
            <w:vAlign w:val="center"/>
          </w:tcPr>
          <w:p w14:paraId="5C59DEF5" w14:textId="53245A75" w:rsidR="00D926BB" w:rsidRDefault="00C75E5C">
            <w:pPr>
              <w:jc w:val="center"/>
              <w:rPr>
                <w:rFonts w:cs="Arial"/>
                <w:b/>
                <w:bCs/>
                <w:sz w:val="36"/>
                <w:szCs w:val="40"/>
              </w:rPr>
            </w:pPr>
            <w:r>
              <w:rPr>
                <w:rFonts w:cs="Arial"/>
                <w:b/>
                <w:bCs/>
                <w:noProof/>
                <w:sz w:val="36"/>
                <w:szCs w:val="40"/>
                <w14:ligatures w14:val="standardContextual"/>
              </w:rPr>
              <w:drawing>
                <wp:inline distT="0" distB="0" distL="0" distR="0" wp14:anchorId="34AF183D" wp14:editId="4260C3D1">
                  <wp:extent cx="720000" cy="720000"/>
                  <wp:effectExtent l="0" t="0" r="4445" b="4445"/>
                  <wp:docPr id="1527219413" name="Graphic 8" descr="Telehealth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19413" name="Graphic 8" descr="Telehealth infographic"/>
                          <pic:cNvPicPr/>
                        </pic:nvPicPr>
                        <pic:blipFill>
                          <a:blip r:embed="rId11">
                            <a:extLst>
                              <a:ext uri="{96DAC541-7B7A-43D3-8B79-37D633B846F1}">
                                <asvg:svgBlip xmlns:asvg="http://schemas.microsoft.com/office/drawing/2016/SVG/main" r:embed="rId12"/>
                              </a:ext>
                            </a:extLst>
                          </a:blip>
                          <a:stretch>
                            <a:fillRect/>
                          </a:stretch>
                        </pic:blipFill>
                        <pic:spPr>
                          <a:xfrm>
                            <a:off x="0" y="0"/>
                            <a:ext cx="720000" cy="720000"/>
                          </a:xfrm>
                          <a:prstGeom prst="rect">
                            <a:avLst/>
                          </a:prstGeom>
                        </pic:spPr>
                      </pic:pic>
                    </a:graphicData>
                  </a:graphic>
                </wp:inline>
              </w:drawing>
            </w:r>
          </w:p>
        </w:tc>
        <w:tc>
          <w:tcPr>
            <w:tcW w:w="9355" w:type="dxa"/>
            <w:shd w:val="clear" w:color="auto" w:fill="F1F9FA"/>
            <w:vAlign w:val="center"/>
          </w:tcPr>
          <w:p w14:paraId="7ECB56D5" w14:textId="77777777" w:rsidR="00D926BB" w:rsidRPr="00D900E9" w:rsidRDefault="00D926BB" w:rsidP="00156D48">
            <w:pPr>
              <w:spacing w:before="0" w:after="0" w:line="240" w:lineRule="auto"/>
              <w:rPr>
                <w:rFonts w:cs="Arial"/>
                <w:b/>
                <w:bCs/>
                <w:color w:val="BF4E14" w:themeColor="accent2" w:themeShade="BF"/>
                <w:sz w:val="26"/>
                <w:szCs w:val="26"/>
              </w:rPr>
            </w:pPr>
            <w:r w:rsidRPr="003723A0">
              <w:rPr>
                <w:rFonts w:cs="Arial"/>
                <w:b/>
                <w:bCs/>
                <w:color w:val="00727D"/>
                <w:sz w:val="26"/>
                <w:szCs w:val="26"/>
              </w:rPr>
              <w:t>Telehealth</w:t>
            </w:r>
            <w:r w:rsidRPr="00D900E9">
              <w:rPr>
                <w:rFonts w:cs="Arial"/>
                <w:color w:val="BF4E14" w:themeColor="accent2" w:themeShade="BF"/>
                <w:sz w:val="26"/>
                <w:szCs w:val="26"/>
              </w:rPr>
              <w:t> </w:t>
            </w:r>
          </w:p>
          <w:p w14:paraId="2C44AACA" w14:textId="77777777" w:rsidR="00D926BB" w:rsidRDefault="00D926BB" w:rsidP="00AD4E71">
            <w:pPr>
              <w:spacing w:after="0"/>
              <w:rPr>
                <w:rFonts w:cs="Arial"/>
                <w:szCs w:val="22"/>
              </w:rPr>
            </w:pPr>
            <w:r w:rsidRPr="00D900E9">
              <w:rPr>
                <w:rFonts w:cs="Arial"/>
              </w:rPr>
              <w:t xml:space="preserve">Telehealth is vital for maintaining continuity of care and improving access to timely health services for Australians. Our priority is </w:t>
            </w:r>
            <w:r w:rsidR="00B06E60" w:rsidRPr="00B06E60">
              <w:rPr>
                <w:rFonts w:cs="Arial"/>
                <w:szCs w:val="22"/>
              </w:rPr>
              <w:t>on ensuring providers understand how to claim correctly, to ensure future growth is sustainable.</w:t>
            </w:r>
          </w:p>
          <w:p w14:paraId="59CF36EB" w14:textId="20048142" w:rsidR="00E86AE3" w:rsidRPr="00E86AE3" w:rsidRDefault="00E86AE3" w:rsidP="00AD4E71">
            <w:pPr>
              <w:spacing w:after="0"/>
              <w:rPr>
                <w:rFonts w:cs="Arial"/>
              </w:rPr>
            </w:pPr>
            <w:r w:rsidRPr="00E86AE3">
              <w:rPr>
                <w:rFonts w:cs="Arial"/>
                <w:szCs w:val="22"/>
              </w:rPr>
              <w:t xml:space="preserve">This includes a focus on </w:t>
            </w:r>
            <w:r w:rsidR="00B859EB">
              <w:rPr>
                <w:rFonts w:cs="Arial"/>
                <w:szCs w:val="22"/>
              </w:rPr>
              <w:t>Medicare Benefits Sched</w:t>
            </w:r>
            <w:r w:rsidR="00BD36E0">
              <w:rPr>
                <w:rFonts w:cs="Arial"/>
                <w:szCs w:val="22"/>
              </w:rPr>
              <w:t xml:space="preserve">ule (MBS) </w:t>
            </w:r>
            <w:r w:rsidRPr="00E86AE3">
              <w:rPr>
                <w:rFonts w:cs="Arial"/>
                <w:szCs w:val="22"/>
              </w:rPr>
              <w:t>servicing</w:t>
            </w:r>
            <w:r w:rsidR="00BD36E0">
              <w:rPr>
                <w:rFonts w:cs="Arial"/>
                <w:szCs w:val="22"/>
              </w:rPr>
              <w:t xml:space="preserve"> and</w:t>
            </w:r>
            <w:r w:rsidRPr="00E86AE3">
              <w:rPr>
                <w:rFonts w:cs="Arial"/>
                <w:szCs w:val="22"/>
              </w:rPr>
              <w:t xml:space="preserve"> requesting</w:t>
            </w:r>
            <w:r w:rsidR="00BD36E0">
              <w:rPr>
                <w:rFonts w:cs="Arial"/>
                <w:szCs w:val="22"/>
              </w:rPr>
              <w:t>,</w:t>
            </w:r>
            <w:r w:rsidRPr="00E86AE3">
              <w:rPr>
                <w:rFonts w:cs="Arial"/>
                <w:szCs w:val="22"/>
              </w:rPr>
              <w:t xml:space="preserve"> and </w:t>
            </w:r>
            <w:r w:rsidR="00BD36E0">
              <w:rPr>
                <w:rFonts w:cs="Arial"/>
                <w:szCs w:val="22"/>
              </w:rPr>
              <w:t xml:space="preserve">Pharmaceutical Benefits </w:t>
            </w:r>
            <w:r w:rsidR="00781B07">
              <w:rPr>
                <w:rFonts w:cs="Arial"/>
                <w:szCs w:val="22"/>
              </w:rPr>
              <w:t>Scheme</w:t>
            </w:r>
            <w:r w:rsidR="00BD36E0">
              <w:rPr>
                <w:rFonts w:cs="Arial"/>
                <w:szCs w:val="22"/>
              </w:rPr>
              <w:t xml:space="preserve"> (PBS) </w:t>
            </w:r>
            <w:r w:rsidRPr="00E86AE3">
              <w:rPr>
                <w:rFonts w:cs="Arial"/>
                <w:szCs w:val="22"/>
              </w:rPr>
              <w:t>prescribing</w:t>
            </w:r>
            <w:r w:rsidR="00BD36E0">
              <w:rPr>
                <w:rFonts w:cs="Arial"/>
                <w:szCs w:val="22"/>
              </w:rPr>
              <w:t>,</w:t>
            </w:r>
            <w:r w:rsidRPr="00E86AE3">
              <w:rPr>
                <w:rFonts w:cs="Arial"/>
                <w:szCs w:val="22"/>
              </w:rPr>
              <w:t xml:space="preserve"> from on-demand telehealth platforms. The rise of these businesses raises concerns about opportunistic and/or inappropriate claiming of health program payments, as well as commercial incentives conflicting with clinical best practice, continuity of care and patient safety.</w:t>
            </w:r>
          </w:p>
        </w:tc>
      </w:tr>
      <w:tr w:rsidR="00D926BB" w14:paraId="1AB03CD0" w14:textId="77777777" w:rsidTr="00D926BB">
        <w:trPr>
          <w:cantSplit/>
          <w:trHeight w:val="1978"/>
        </w:trPr>
        <w:tc>
          <w:tcPr>
            <w:tcW w:w="1418" w:type="dxa"/>
            <w:shd w:val="clear" w:color="auto" w:fill="F1F9FA"/>
            <w:vAlign w:val="center"/>
          </w:tcPr>
          <w:p w14:paraId="6752B445" w14:textId="2A3D7B72" w:rsidR="00D926BB" w:rsidRDefault="000052C6">
            <w:pPr>
              <w:jc w:val="center"/>
              <w:rPr>
                <w:rFonts w:cs="Arial"/>
                <w:b/>
                <w:bCs/>
                <w:sz w:val="36"/>
                <w:szCs w:val="40"/>
              </w:rPr>
            </w:pPr>
            <w:r>
              <w:rPr>
                <w:rFonts w:cs="Arial"/>
                <w:b/>
                <w:bCs/>
                <w:noProof/>
                <w:sz w:val="36"/>
                <w:szCs w:val="40"/>
                <w14:ligatures w14:val="standardContextual"/>
              </w:rPr>
              <w:drawing>
                <wp:inline distT="0" distB="0" distL="0" distR="0" wp14:anchorId="13B59BEF" wp14:editId="38C1A025">
                  <wp:extent cx="720000" cy="720000"/>
                  <wp:effectExtent l="0" t="0" r="4445" b="4445"/>
                  <wp:docPr id="1050353596" name="Graphic 15" descr="Care and management plan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3596" name="Graphic 15" descr="Care and management plans infographic"/>
                          <pic:cNvPicPr/>
                        </pic:nvPicPr>
                        <pic:blipFill>
                          <a:blip r:embed="rId13">
                            <a:extLst>
                              <a:ext uri="{96DAC541-7B7A-43D3-8B79-37D633B846F1}">
                                <asvg:svgBlip xmlns:asvg="http://schemas.microsoft.com/office/drawing/2016/SVG/main" r:embed="rId14"/>
                              </a:ext>
                            </a:extLst>
                          </a:blip>
                          <a:stretch>
                            <a:fillRect/>
                          </a:stretch>
                        </pic:blipFill>
                        <pic:spPr>
                          <a:xfrm>
                            <a:off x="0" y="0"/>
                            <a:ext cx="720000" cy="720000"/>
                          </a:xfrm>
                          <a:prstGeom prst="rect">
                            <a:avLst/>
                          </a:prstGeom>
                        </pic:spPr>
                      </pic:pic>
                    </a:graphicData>
                  </a:graphic>
                </wp:inline>
              </w:drawing>
            </w:r>
          </w:p>
        </w:tc>
        <w:tc>
          <w:tcPr>
            <w:tcW w:w="9355" w:type="dxa"/>
            <w:shd w:val="clear" w:color="auto" w:fill="F1F9FA"/>
            <w:vAlign w:val="center"/>
          </w:tcPr>
          <w:p w14:paraId="6ADAA17E" w14:textId="77777777" w:rsidR="00D926BB" w:rsidRPr="003723A0" w:rsidRDefault="00D926BB" w:rsidP="00156D48">
            <w:pPr>
              <w:spacing w:before="0" w:after="0" w:line="240" w:lineRule="auto"/>
              <w:rPr>
                <w:rFonts w:cs="Arial"/>
                <w:color w:val="00727D"/>
                <w:sz w:val="26"/>
                <w:szCs w:val="26"/>
              </w:rPr>
            </w:pPr>
            <w:r w:rsidRPr="003723A0">
              <w:rPr>
                <w:rFonts w:cs="Arial"/>
                <w:b/>
                <w:bCs/>
                <w:color w:val="00727D"/>
                <w:sz w:val="26"/>
                <w:szCs w:val="26"/>
              </w:rPr>
              <w:t>Care and management plans</w:t>
            </w:r>
            <w:r w:rsidRPr="003723A0">
              <w:rPr>
                <w:rFonts w:cs="Arial"/>
                <w:color w:val="00727D"/>
                <w:sz w:val="26"/>
                <w:szCs w:val="26"/>
              </w:rPr>
              <w:t> </w:t>
            </w:r>
          </w:p>
          <w:p w14:paraId="6072443A" w14:textId="3784A5BD" w:rsidR="00D926BB" w:rsidRPr="00D900E9" w:rsidRDefault="00D926BB" w:rsidP="00AD4E71">
            <w:pPr>
              <w:spacing w:after="0"/>
              <w:rPr>
                <w:rFonts w:cs="Arial"/>
                <w:szCs w:val="22"/>
              </w:rPr>
            </w:pPr>
            <w:r w:rsidRPr="00D900E9">
              <w:rPr>
                <w:rFonts w:cs="Arial"/>
                <w:szCs w:val="22"/>
              </w:rPr>
              <w:t xml:space="preserve">Care plans promote comprehensive and continuous care by providing structured support for patients with chronic conditions, including access to multidisciplinary services. We’re monitoring claiming of these items to better understand how we can </w:t>
            </w:r>
            <w:r w:rsidR="000E2731">
              <w:rPr>
                <w:rFonts w:cs="Arial"/>
                <w:szCs w:val="22"/>
              </w:rPr>
              <w:t>support</w:t>
            </w:r>
            <w:r w:rsidRPr="00D900E9">
              <w:rPr>
                <w:rFonts w:cs="Arial"/>
                <w:szCs w:val="22"/>
              </w:rPr>
              <w:t xml:space="preserve"> health provider compliance</w:t>
            </w:r>
            <w:r w:rsidR="000E2731">
              <w:rPr>
                <w:rFonts w:cs="Arial"/>
                <w:szCs w:val="22"/>
              </w:rPr>
              <w:t xml:space="preserve"> and ensure MBS sustainability.</w:t>
            </w:r>
          </w:p>
        </w:tc>
      </w:tr>
      <w:tr w:rsidR="00D926BB" w14:paraId="4392BB76" w14:textId="77777777" w:rsidTr="00D926BB">
        <w:trPr>
          <w:cantSplit/>
          <w:trHeight w:val="1797"/>
        </w:trPr>
        <w:tc>
          <w:tcPr>
            <w:tcW w:w="1418" w:type="dxa"/>
            <w:shd w:val="clear" w:color="auto" w:fill="F1F9FA"/>
            <w:vAlign w:val="center"/>
          </w:tcPr>
          <w:p w14:paraId="7619C5EF" w14:textId="1009403D" w:rsidR="00D926BB" w:rsidRDefault="00D87AEB">
            <w:pPr>
              <w:jc w:val="center"/>
              <w:rPr>
                <w:rFonts w:cs="Arial"/>
                <w:b/>
                <w:bCs/>
                <w:sz w:val="36"/>
                <w:szCs w:val="40"/>
              </w:rPr>
            </w:pPr>
            <w:r>
              <w:rPr>
                <w:rFonts w:cs="Arial"/>
                <w:b/>
                <w:bCs/>
                <w:noProof/>
                <w:sz w:val="36"/>
                <w:szCs w:val="40"/>
                <w14:ligatures w14:val="standardContextual"/>
              </w:rPr>
              <w:drawing>
                <wp:inline distT="0" distB="0" distL="0" distR="0" wp14:anchorId="4DF21B88" wp14:editId="39623DF4">
                  <wp:extent cx="720000" cy="720000"/>
                  <wp:effectExtent l="0" t="0" r="4445" b="4445"/>
                  <wp:docPr id="155429713" name="Graphic 12" descr="Claiming MBS services while oversea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9713" name="Graphic 12" descr="Claiming MBS services while overseas infographic"/>
                          <pic:cNvPicPr/>
                        </pic:nvPicPr>
                        <pic:blipFill>
                          <a:blip r:embed="rId15">
                            <a:extLst>
                              <a:ext uri="{96DAC541-7B7A-43D3-8B79-37D633B846F1}">
                                <asvg:svgBlip xmlns:asvg="http://schemas.microsoft.com/office/drawing/2016/SVG/main" r:embed="rId16"/>
                              </a:ext>
                            </a:extLst>
                          </a:blip>
                          <a:stretch>
                            <a:fillRect/>
                          </a:stretch>
                        </pic:blipFill>
                        <pic:spPr>
                          <a:xfrm>
                            <a:off x="0" y="0"/>
                            <a:ext cx="720000" cy="720000"/>
                          </a:xfrm>
                          <a:prstGeom prst="rect">
                            <a:avLst/>
                          </a:prstGeom>
                        </pic:spPr>
                      </pic:pic>
                    </a:graphicData>
                  </a:graphic>
                </wp:inline>
              </w:drawing>
            </w:r>
          </w:p>
        </w:tc>
        <w:tc>
          <w:tcPr>
            <w:tcW w:w="9355" w:type="dxa"/>
            <w:shd w:val="clear" w:color="auto" w:fill="F1F9FA"/>
            <w:vAlign w:val="center"/>
          </w:tcPr>
          <w:p w14:paraId="55CB61E0" w14:textId="77777777" w:rsidR="00D926BB" w:rsidRPr="003723A0" w:rsidRDefault="00D926BB" w:rsidP="00156D48">
            <w:pPr>
              <w:spacing w:before="0" w:after="0" w:line="240" w:lineRule="auto"/>
              <w:rPr>
                <w:rFonts w:cs="Arial"/>
                <w:b/>
                <w:bCs/>
                <w:color w:val="00727D"/>
                <w:sz w:val="26"/>
                <w:szCs w:val="26"/>
              </w:rPr>
            </w:pPr>
            <w:r w:rsidRPr="003723A0">
              <w:rPr>
                <w:rFonts w:cs="Arial"/>
                <w:b/>
                <w:bCs/>
                <w:color w:val="00727D"/>
                <w:sz w:val="26"/>
                <w:szCs w:val="26"/>
              </w:rPr>
              <w:t xml:space="preserve">Claiming MBS services while overseas </w:t>
            </w:r>
          </w:p>
          <w:p w14:paraId="7676B88C" w14:textId="5077AD82" w:rsidR="00D926BB" w:rsidRPr="00AD4E71" w:rsidRDefault="00AD4E71">
            <w:pPr>
              <w:spacing w:after="0"/>
              <w:rPr>
                <w:rFonts w:cs="Arial"/>
                <w:szCs w:val="22"/>
              </w:rPr>
            </w:pPr>
            <w:r w:rsidRPr="00AD4E71">
              <w:rPr>
                <w:rFonts w:cs="Arial"/>
                <w:szCs w:val="22"/>
              </w:rPr>
              <w:t>Medicare benefits are only payable where the service is performed and supervised in Australia to an eligible patient. We’ll take compliance action where we identify these requirements have not been met.</w:t>
            </w:r>
          </w:p>
        </w:tc>
      </w:tr>
      <w:tr w:rsidR="00D926BB" w14:paraId="203ACD45" w14:textId="77777777" w:rsidTr="00D169A0">
        <w:trPr>
          <w:cantSplit/>
          <w:trHeight w:val="2106"/>
        </w:trPr>
        <w:tc>
          <w:tcPr>
            <w:tcW w:w="1418" w:type="dxa"/>
            <w:shd w:val="clear" w:color="auto" w:fill="F1F9FA"/>
            <w:vAlign w:val="center"/>
          </w:tcPr>
          <w:p w14:paraId="6F2E6738" w14:textId="1E782B28" w:rsidR="00D926BB" w:rsidRDefault="00F263DA">
            <w:pPr>
              <w:jc w:val="center"/>
              <w:rPr>
                <w:rFonts w:cs="Arial"/>
                <w:b/>
                <w:bCs/>
                <w:sz w:val="36"/>
                <w:szCs w:val="40"/>
              </w:rPr>
            </w:pPr>
            <w:r>
              <w:rPr>
                <w:rFonts w:cs="Arial"/>
                <w:b/>
                <w:bCs/>
                <w:noProof/>
                <w:sz w:val="36"/>
                <w:szCs w:val="40"/>
                <w14:ligatures w14:val="standardContextual"/>
              </w:rPr>
              <w:drawing>
                <wp:inline distT="0" distB="0" distL="0" distR="0" wp14:anchorId="031C5129" wp14:editId="1C3E36FA">
                  <wp:extent cx="720000" cy="691325"/>
                  <wp:effectExtent l="0" t="0" r="4445" b="0"/>
                  <wp:docPr id="1579018469" name="Graphic 3" descr="Open and uncertified PBS clai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8469" name="Graphic 3" descr="Open and uncertified PBS claims icon"/>
                          <pic:cNvPicPr/>
                        </pic:nvPicPr>
                        <pic:blipFill>
                          <a:blip r:embed="rId17">
                            <a:extLst>
                              <a:ext uri="{96DAC541-7B7A-43D3-8B79-37D633B846F1}">
                                <asvg:svgBlip xmlns:asvg="http://schemas.microsoft.com/office/drawing/2016/SVG/main" r:embed="rId18"/>
                              </a:ext>
                            </a:extLst>
                          </a:blip>
                          <a:stretch>
                            <a:fillRect/>
                          </a:stretch>
                        </pic:blipFill>
                        <pic:spPr>
                          <a:xfrm>
                            <a:off x="0" y="0"/>
                            <a:ext cx="720000" cy="691325"/>
                          </a:xfrm>
                          <a:prstGeom prst="rect">
                            <a:avLst/>
                          </a:prstGeom>
                        </pic:spPr>
                      </pic:pic>
                    </a:graphicData>
                  </a:graphic>
                </wp:inline>
              </w:drawing>
            </w:r>
          </w:p>
        </w:tc>
        <w:tc>
          <w:tcPr>
            <w:tcW w:w="9355" w:type="dxa"/>
            <w:shd w:val="clear" w:color="auto" w:fill="F1F9FA"/>
            <w:vAlign w:val="center"/>
          </w:tcPr>
          <w:p w14:paraId="623AC8E0" w14:textId="39AA9B5E" w:rsidR="00D926BB" w:rsidRPr="003723A0" w:rsidRDefault="00D926BB" w:rsidP="00156D48">
            <w:pPr>
              <w:spacing w:before="0" w:after="0" w:line="240" w:lineRule="auto"/>
            </w:pPr>
            <w:r w:rsidRPr="003723A0">
              <w:rPr>
                <w:rFonts w:cs="Arial"/>
                <w:b/>
                <w:bCs/>
                <w:color w:val="00727D"/>
                <w:sz w:val="26"/>
                <w:szCs w:val="26"/>
              </w:rPr>
              <w:t>Open and uncertified PBS claims</w:t>
            </w:r>
          </w:p>
          <w:p w14:paraId="04392B32" w14:textId="4431DAF0" w:rsidR="00D926BB" w:rsidRPr="00D900E9" w:rsidRDefault="00AC357A">
            <w:pPr>
              <w:spacing w:after="0"/>
              <w:rPr>
                <w:rFonts w:cs="Arial"/>
                <w:b/>
                <w:bCs/>
                <w:color w:val="BF4E14" w:themeColor="accent2" w:themeShade="BF"/>
                <w:sz w:val="28"/>
                <w:szCs w:val="32"/>
              </w:rPr>
            </w:pPr>
            <w:r w:rsidRPr="00182018">
              <w:rPr>
                <w:rFonts w:cs="Arial"/>
                <w:color w:val="000000"/>
                <w:szCs w:val="22"/>
              </w:rPr>
              <w:t xml:space="preserve">Open and uncertified claims occur where the supply of pharmaceutical benefits was not certified, and the claim closed. This breaches the Claims Rules under the </w:t>
            </w:r>
            <w:r w:rsidR="003E6721">
              <w:rPr>
                <w:rFonts w:cs="Arial"/>
                <w:color w:val="000000"/>
                <w:szCs w:val="22"/>
              </w:rPr>
              <w:br/>
            </w:r>
            <w:r w:rsidRPr="00182018">
              <w:rPr>
                <w:rFonts w:cs="Arial"/>
                <w:i/>
                <w:iCs/>
                <w:color w:val="000000"/>
                <w:szCs w:val="22"/>
              </w:rPr>
              <w:t>National Health Act 1953</w:t>
            </w:r>
            <w:r w:rsidRPr="00182018">
              <w:rPr>
                <w:rFonts w:cs="Arial"/>
                <w:color w:val="000000"/>
                <w:szCs w:val="22"/>
              </w:rPr>
              <w:t>. We continue to monitor this issue and work collaboratively with Services Australia and software vendors to implement up-front controls to ensure future compliance</w:t>
            </w:r>
            <w:r w:rsidR="00D926BB" w:rsidRPr="00D900E9">
              <w:rPr>
                <w:rFonts w:cs="Arial"/>
                <w:szCs w:val="22"/>
              </w:rPr>
              <w:t>.</w:t>
            </w:r>
          </w:p>
        </w:tc>
      </w:tr>
      <w:tr w:rsidR="00D926BB" w14:paraId="0DAAA10E" w14:textId="77777777" w:rsidTr="00D926BB">
        <w:trPr>
          <w:cantSplit/>
          <w:trHeight w:val="2418"/>
        </w:trPr>
        <w:tc>
          <w:tcPr>
            <w:tcW w:w="1418" w:type="dxa"/>
            <w:shd w:val="clear" w:color="auto" w:fill="F1F9FA"/>
            <w:vAlign w:val="center"/>
          </w:tcPr>
          <w:p w14:paraId="0AE19B13" w14:textId="6B3B7CE8" w:rsidR="00D926BB" w:rsidRDefault="00B97B7D">
            <w:pPr>
              <w:jc w:val="center"/>
              <w:rPr>
                <w:rFonts w:cs="Arial"/>
                <w:b/>
                <w:bCs/>
                <w:sz w:val="36"/>
                <w:szCs w:val="40"/>
              </w:rPr>
            </w:pPr>
            <w:r>
              <w:rPr>
                <w:rFonts w:cs="Arial"/>
                <w:b/>
                <w:bCs/>
                <w:noProof/>
                <w:sz w:val="36"/>
                <w:szCs w:val="40"/>
                <w14:ligatures w14:val="standardContextual"/>
              </w:rPr>
              <w:drawing>
                <wp:inline distT="0" distB="0" distL="0" distR="0" wp14:anchorId="4F998054" wp14:editId="2E0873AA">
                  <wp:extent cx="720000" cy="720000"/>
                  <wp:effectExtent l="0" t="0" r="4445" b="4445"/>
                  <wp:docPr id="1229887744" name="Graphic 9" descr="Inappropriate claiming practices of PBS medicin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87744" name="Graphic 9" descr="Inappropriate claiming practices of PBS medicines infographic"/>
                          <pic:cNvPicPr/>
                        </pic:nvPicPr>
                        <pic:blipFill>
                          <a:blip r:embed="rId19">
                            <a:extLst>
                              <a:ext uri="{96DAC541-7B7A-43D3-8B79-37D633B846F1}">
                                <asvg:svgBlip xmlns:asvg="http://schemas.microsoft.com/office/drawing/2016/SVG/main" r:embed="rId20"/>
                              </a:ext>
                            </a:extLst>
                          </a:blip>
                          <a:stretch>
                            <a:fillRect/>
                          </a:stretch>
                        </pic:blipFill>
                        <pic:spPr>
                          <a:xfrm>
                            <a:off x="0" y="0"/>
                            <a:ext cx="720000" cy="720000"/>
                          </a:xfrm>
                          <a:prstGeom prst="rect">
                            <a:avLst/>
                          </a:prstGeom>
                        </pic:spPr>
                      </pic:pic>
                    </a:graphicData>
                  </a:graphic>
                </wp:inline>
              </w:drawing>
            </w:r>
          </w:p>
        </w:tc>
        <w:tc>
          <w:tcPr>
            <w:tcW w:w="9355" w:type="dxa"/>
            <w:shd w:val="clear" w:color="auto" w:fill="F1F9FA"/>
            <w:vAlign w:val="center"/>
          </w:tcPr>
          <w:p w14:paraId="044B6117" w14:textId="77777777" w:rsidR="00CA7E8F" w:rsidRDefault="00CA7E8F">
            <w:pPr>
              <w:spacing w:after="0"/>
              <w:rPr>
                <w:rFonts w:cs="Arial"/>
                <w:b/>
                <w:bCs/>
                <w:color w:val="00727D"/>
                <w:sz w:val="26"/>
                <w:szCs w:val="26"/>
              </w:rPr>
            </w:pPr>
            <w:r w:rsidRPr="00CA7E8F">
              <w:rPr>
                <w:rFonts w:cs="Arial"/>
                <w:b/>
                <w:bCs/>
                <w:color w:val="00727D"/>
                <w:sz w:val="26"/>
                <w:szCs w:val="26"/>
              </w:rPr>
              <w:t>Inappropriate claiming of PBS medicines</w:t>
            </w:r>
          </w:p>
          <w:p w14:paraId="40E369A4" w14:textId="77777777" w:rsidR="002518D6" w:rsidRPr="00182018" w:rsidRDefault="002518D6" w:rsidP="002518D6">
            <w:pPr>
              <w:rPr>
                <w:rFonts w:cs="Arial"/>
                <w:color w:val="000000"/>
                <w:szCs w:val="22"/>
              </w:rPr>
            </w:pPr>
            <w:r w:rsidRPr="00182018">
              <w:rPr>
                <w:rFonts w:cs="Arial"/>
                <w:color w:val="000000"/>
                <w:szCs w:val="22"/>
              </w:rPr>
              <w:t>We aim to prevent patient harm and protect the sustainability of the PBS by addressing high-risk claiming practices. This includes monitoring claiming of high-cost medicines, as well as</w:t>
            </w:r>
            <w:r>
              <w:rPr>
                <w:rFonts w:cs="Arial"/>
                <w:color w:val="000000"/>
                <w:szCs w:val="22"/>
              </w:rPr>
              <w:t xml:space="preserve"> acting on</w:t>
            </w:r>
            <w:r w:rsidRPr="00182018">
              <w:rPr>
                <w:rFonts w:cs="Arial"/>
                <w:color w:val="000000"/>
                <w:szCs w:val="22"/>
              </w:rPr>
              <w:t>:</w:t>
            </w:r>
          </w:p>
          <w:p w14:paraId="6F58A2C0" w14:textId="5E66959F" w:rsidR="002518D6" w:rsidRPr="00DB2F97" w:rsidRDefault="00243901" w:rsidP="00DB2F97">
            <w:pPr>
              <w:pStyle w:val="ListParagraph"/>
              <w:numPr>
                <w:ilvl w:val="0"/>
                <w:numId w:val="2"/>
              </w:numPr>
              <w:spacing w:before="0" w:after="0"/>
              <w:rPr>
                <w:rFonts w:cs="Arial"/>
                <w:szCs w:val="22"/>
              </w:rPr>
            </w:pPr>
            <w:r>
              <w:rPr>
                <w:rFonts w:cs="Arial"/>
                <w:szCs w:val="22"/>
              </w:rPr>
              <w:t>d</w:t>
            </w:r>
            <w:r w:rsidR="002518D6" w:rsidRPr="00DB2F97">
              <w:rPr>
                <w:rFonts w:cs="Arial"/>
                <w:szCs w:val="22"/>
              </w:rPr>
              <w:t>iscrepancies between pharmaceutical sponsor supplies to market and claims for PBS medicines</w:t>
            </w:r>
          </w:p>
          <w:p w14:paraId="1E85CA32" w14:textId="1EAC9897" w:rsidR="00D926BB" w:rsidRPr="00F70E11" w:rsidRDefault="00243901" w:rsidP="005B7686">
            <w:pPr>
              <w:pStyle w:val="ListParagraph"/>
              <w:numPr>
                <w:ilvl w:val="0"/>
                <w:numId w:val="2"/>
              </w:numPr>
              <w:spacing w:before="0"/>
              <w:rPr>
                <w:rFonts w:cs="Arial"/>
                <w:szCs w:val="22"/>
              </w:rPr>
            </w:pPr>
            <w:r>
              <w:rPr>
                <w:rFonts w:cs="Arial"/>
                <w:szCs w:val="22"/>
              </w:rPr>
              <w:t>r</w:t>
            </w:r>
            <w:r w:rsidR="002518D6" w:rsidRPr="00DB2F97">
              <w:rPr>
                <w:rFonts w:cs="Arial"/>
                <w:szCs w:val="22"/>
              </w:rPr>
              <w:t>outine early supply of PBS medicines</w:t>
            </w:r>
            <w:r w:rsidR="00D926BB" w:rsidRPr="00D900E9">
              <w:rPr>
                <w:rFonts w:cs="Arial"/>
                <w:szCs w:val="22"/>
              </w:rPr>
              <w:t>. </w:t>
            </w:r>
          </w:p>
        </w:tc>
      </w:tr>
    </w:tbl>
    <w:p w14:paraId="52C3B5B2" w14:textId="78366ECA" w:rsidR="00477546" w:rsidRPr="006F1887" w:rsidRDefault="00477546" w:rsidP="00477546">
      <w:pPr>
        <w:tabs>
          <w:tab w:val="left" w:pos="240"/>
          <w:tab w:val="center" w:pos="5386"/>
        </w:tabs>
        <w:spacing w:before="240" w:after="0"/>
        <w:jc w:val="center"/>
        <w:rPr>
          <w:rFonts w:cs="Arial"/>
          <w:b/>
          <w:bCs/>
          <w:color w:val="153A6D"/>
          <w:sz w:val="20"/>
          <w:szCs w:val="20"/>
        </w:rPr>
      </w:pPr>
      <w:r w:rsidRPr="006F1887">
        <w:rPr>
          <w:rFonts w:cs="Arial"/>
          <w:b/>
          <w:bCs/>
          <w:noProof/>
          <w:color w:val="153A6D"/>
          <w:sz w:val="24"/>
          <w:szCs w:val="28"/>
          <w14:ligatures w14:val="standardContextual"/>
        </w:rPr>
        <w:lastRenderedPageBreak/>
        <mc:AlternateContent>
          <mc:Choice Requires="wps">
            <w:drawing>
              <wp:anchor distT="0" distB="0" distL="114300" distR="114300" simplePos="0" relativeHeight="251658243" behindDoc="0" locked="0" layoutInCell="1" allowOverlap="1" wp14:anchorId="497C4C5B" wp14:editId="4446ED6C">
                <wp:simplePos x="0" y="0"/>
                <wp:positionH relativeFrom="column">
                  <wp:posOffset>-179070</wp:posOffset>
                </wp:positionH>
                <wp:positionV relativeFrom="paragraph">
                  <wp:posOffset>84454</wp:posOffset>
                </wp:positionV>
                <wp:extent cx="7212965" cy="7191375"/>
                <wp:effectExtent l="19050" t="19050" r="45085" b="47625"/>
                <wp:wrapNone/>
                <wp:docPr id="1947758408" name="Rectangle: Rounded Corners 10"/>
                <wp:cNvGraphicFramePr/>
                <a:graphic xmlns:a="http://schemas.openxmlformats.org/drawingml/2006/main">
                  <a:graphicData uri="http://schemas.microsoft.com/office/word/2010/wordprocessingShape">
                    <wps:wsp>
                      <wps:cNvSpPr/>
                      <wps:spPr>
                        <a:xfrm>
                          <a:off x="0" y="0"/>
                          <a:ext cx="7212965" cy="7191375"/>
                        </a:xfrm>
                        <a:prstGeom prst="roundRect">
                          <a:avLst>
                            <a:gd name="adj" fmla="val 4216"/>
                          </a:avLst>
                        </a:prstGeom>
                        <a:noFill/>
                        <a:ln w="50800" cap="rnd">
                          <a:solidFill>
                            <a:srgbClr val="1D437F">
                              <a:alpha val="50000"/>
                            </a:srgbClr>
                          </a:solidFill>
                          <a:prstDash val="sysDot"/>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v:roundrect id="Rectangle: Rounded Corners 10" style="position:absolute;margin-left:-14.1pt;margin-top:6.65pt;width:567.95pt;height:5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d437f" strokeweight="4pt" arcsize="2764f" w14:anchorId="7AD10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">
                <v:stroke opacity="32896f" endcap="round" dashstyle="1 1"/>
              </v:roundrect>
            </w:pict>
          </mc:Fallback>
        </mc:AlternateContent>
      </w:r>
    </w:p>
    <w:p w14:paraId="65F15519" w14:textId="39C5950F" w:rsidR="00D926BB" w:rsidRPr="00477546" w:rsidRDefault="00D926BB" w:rsidP="00477546">
      <w:pPr>
        <w:tabs>
          <w:tab w:val="left" w:pos="240"/>
          <w:tab w:val="center" w:pos="5386"/>
        </w:tabs>
        <w:spacing w:before="0" w:after="0"/>
        <w:jc w:val="center"/>
        <w:rPr>
          <w:rFonts w:cs="Arial"/>
          <w:b/>
          <w:bCs/>
          <w:color w:val="153A6D"/>
          <w:sz w:val="36"/>
          <w:szCs w:val="36"/>
        </w:rPr>
      </w:pPr>
      <w:r w:rsidRPr="00477546">
        <w:rPr>
          <w:rFonts w:cs="Arial"/>
          <w:b/>
          <w:bCs/>
          <w:noProof/>
          <w:color w:val="153A6D"/>
          <w:sz w:val="36"/>
          <w:szCs w:val="36"/>
          <w14:ligatures w14:val="standardContextual"/>
        </w:rPr>
        <mc:AlternateContent>
          <mc:Choice Requires="wps">
            <w:drawing>
              <wp:anchor distT="0" distB="0" distL="114300" distR="114300" simplePos="0" relativeHeight="251658242" behindDoc="1" locked="0" layoutInCell="1" allowOverlap="1" wp14:anchorId="0C770667" wp14:editId="4D3D5BD5">
                <wp:simplePos x="0" y="0"/>
                <wp:positionH relativeFrom="column">
                  <wp:posOffset>202871</wp:posOffset>
                </wp:positionH>
                <wp:positionV relativeFrom="paragraph">
                  <wp:posOffset>233171</wp:posOffset>
                </wp:positionV>
                <wp:extent cx="718806" cy="718806"/>
                <wp:effectExtent l="0" t="0" r="5715" b="5715"/>
                <wp:wrapNone/>
                <wp:docPr id="1533368893" name="Oval 11"/>
                <wp:cNvGraphicFramePr/>
                <a:graphic xmlns:a="http://schemas.openxmlformats.org/drawingml/2006/main">
                  <a:graphicData uri="http://schemas.microsoft.com/office/word/2010/wordprocessingShape">
                    <wps:wsp>
                      <wps:cNvSpPr/>
                      <wps:spPr>
                        <a:xfrm>
                          <a:off x="0" y="0"/>
                          <a:ext cx="718806" cy="71880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pic="http://schemas.openxmlformats.org/drawingml/2006/picture" xmlns:a="http://schemas.openxmlformats.org/drawingml/2006/main">
            <w:pict>
              <v:oval id="Oval 11" style="position:absolute;margin-left:15.95pt;margin-top:18.35pt;width:56.6pt;height:56.6pt;z-index:-251655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4B5BD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">
                <v:stroke joinstyle="miter"/>
              </v:oval>
            </w:pict>
          </mc:Fallback>
        </mc:AlternateContent>
      </w:r>
      <w:r w:rsidRPr="00477546">
        <w:rPr>
          <w:rFonts w:cs="Arial"/>
          <w:b/>
          <w:bCs/>
          <w:color w:val="153A6D"/>
          <w:sz w:val="36"/>
          <w:szCs w:val="36"/>
        </w:rPr>
        <w:t>Enduring Priorities</w:t>
      </w:r>
    </w:p>
    <w:p w14:paraId="615EF0D4" w14:textId="4BC1DAFF" w:rsidR="005E7F53" w:rsidRPr="00745A29" w:rsidRDefault="00E81DDF" w:rsidP="00A1232D">
      <w:pPr>
        <w:spacing w:line="240" w:lineRule="auto"/>
        <w:jc w:val="center"/>
        <w:rPr>
          <w:rFonts w:cs="Arial"/>
          <w:b/>
          <w:bCs/>
          <w:color w:val="00727D"/>
          <w:sz w:val="32"/>
          <w:szCs w:val="36"/>
        </w:rPr>
      </w:pPr>
      <w:r w:rsidRPr="00182018">
        <w:rPr>
          <w:rFonts w:cs="Arial"/>
          <w:color w:val="000000"/>
          <w:szCs w:val="22"/>
        </w:rPr>
        <w:t>Enduring priorities present a persistent risk to the integrity and sustainability of Australian Government health programs. We’re committing ongoing, dedicated resources to prevent and address these issues</w:t>
      </w:r>
      <w:r w:rsidR="00725EF5" w:rsidRPr="00745A29">
        <w:rPr>
          <w:rFonts w:cs="Arial"/>
          <w:szCs w:val="22"/>
        </w:rPr>
        <w:t>.</w:t>
      </w:r>
    </w:p>
    <w:tbl>
      <w:tblPr>
        <w:tblStyle w:val="TableGrid"/>
        <w:tblW w:w="10773" w:type="dxa"/>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F1F9FA"/>
        <w:tblLook w:val="04A0" w:firstRow="1" w:lastRow="0" w:firstColumn="1" w:lastColumn="0" w:noHBand="0" w:noVBand="1"/>
      </w:tblPr>
      <w:tblGrid>
        <w:gridCol w:w="1418"/>
        <w:gridCol w:w="9355"/>
      </w:tblGrid>
      <w:tr w:rsidR="00D926BB" w14:paraId="65AEBBF4" w14:textId="77777777" w:rsidTr="00F70E11">
        <w:trPr>
          <w:cantSplit/>
          <w:trHeight w:val="1712"/>
        </w:trPr>
        <w:tc>
          <w:tcPr>
            <w:tcW w:w="1418" w:type="dxa"/>
            <w:shd w:val="clear" w:color="auto" w:fill="F2F3F8"/>
            <w:vAlign w:val="center"/>
          </w:tcPr>
          <w:p w14:paraId="765A9711" w14:textId="35CFA373" w:rsidR="00D926BB" w:rsidRDefault="00477018">
            <w:pPr>
              <w:jc w:val="center"/>
              <w:rPr>
                <w:rFonts w:cs="Arial"/>
                <w:b/>
                <w:bCs/>
                <w:sz w:val="36"/>
                <w:szCs w:val="40"/>
              </w:rPr>
            </w:pPr>
            <w:r>
              <w:rPr>
                <w:rFonts w:cs="Arial"/>
                <w:b/>
                <w:bCs/>
                <w:noProof/>
                <w:sz w:val="36"/>
                <w:szCs w:val="40"/>
                <w14:ligatures w14:val="standardContextual"/>
              </w:rPr>
              <w:drawing>
                <wp:inline distT="0" distB="0" distL="0" distR="0" wp14:anchorId="79BE3A7B" wp14:editId="13E737CE">
                  <wp:extent cx="720000" cy="720000"/>
                  <wp:effectExtent l="0" t="0" r="4445" b="4445"/>
                  <wp:docPr id="313773382" name="Graphic 10" descr="Fraud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3382" name="Graphic 10" descr="Fraud infographic"/>
                          <pic:cNvPicPr/>
                        </pic:nvPicPr>
                        <pic:blipFill>
                          <a:blip r:embed="rId21">
                            <a:extLst>
                              <a:ext uri="{96DAC541-7B7A-43D3-8B79-37D633B846F1}">
                                <asvg:svgBlip xmlns:asvg="http://schemas.microsoft.com/office/drawing/2016/SVG/main" r:embed="rId22"/>
                              </a:ext>
                            </a:extLst>
                          </a:blip>
                          <a:stretch>
                            <a:fillRect/>
                          </a:stretch>
                        </pic:blipFill>
                        <pic:spPr>
                          <a:xfrm>
                            <a:off x="0" y="0"/>
                            <a:ext cx="720000" cy="720000"/>
                          </a:xfrm>
                          <a:prstGeom prst="rect">
                            <a:avLst/>
                          </a:prstGeom>
                        </pic:spPr>
                      </pic:pic>
                    </a:graphicData>
                  </a:graphic>
                </wp:inline>
              </w:drawing>
            </w:r>
          </w:p>
        </w:tc>
        <w:tc>
          <w:tcPr>
            <w:tcW w:w="9355" w:type="dxa"/>
            <w:shd w:val="clear" w:color="auto" w:fill="F2F3F8"/>
            <w:vAlign w:val="center"/>
          </w:tcPr>
          <w:p w14:paraId="0C62521A" w14:textId="67540562" w:rsidR="00D926BB" w:rsidRPr="00D926BB" w:rsidRDefault="002254CB" w:rsidP="00156D48">
            <w:pPr>
              <w:spacing w:before="0" w:after="0" w:line="240" w:lineRule="auto"/>
              <w:rPr>
                <w:rFonts w:cs="Arial"/>
                <w:color w:val="1D437F"/>
                <w:sz w:val="26"/>
                <w:szCs w:val="26"/>
              </w:rPr>
            </w:pPr>
            <w:r>
              <w:rPr>
                <w:rFonts w:cs="Arial"/>
                <w:b/>
                <w:bCs/>
                <w:color w:val="1D437F"/>
                <w:sz w:val="26"/>
                <w:szCs w:val="26"/>
              </w:rPr>
              <w:t>Preventing f</w:t>
            </w:r>
            <w:r w:rsidR="00D926BB" w:rsidRPr="00D926BB">
              <w:rPr>
                <w:rFonts w:cs="Arial"/>
                <w:b/>
                <w:bCs/>
                <w:color w:val="1D437F"/>
                <w:sz w:val="26"/>
                <w:szCs w:val="26"/>
              </w:rPr>
              <w:t>raud</w:t>
            </w:r>
          </w:p>
          <w:p w14:paraId="32F46AB7" w14:textId="6EE3756A" w:rsidR="00D926BB" w:rsidRPr="00082AF4" w:rsidRDefault="009829D2">
            <w:pPr>
              <w:spacing w:after="0"/>
              <w:rPr>
                <w:rFonts w:cs="Arial"/>
                <w:szCs w:val="22"/>
              </w:rPr>
            </w:pPr>
            <w:r w:rsidRPr="00182018">
              <w:rPr>
                <w:rFonts w:cs="Arial"/>
                <w:color w:val="000000"/>
                <w:szCs w:val="22"/>
              </w:rPr>
              <w:t>We are strongly committed to tackling illegal activity. In addition to disrupting concerning behaviour as early as possible, our focus is on continuing to strengthen preventative controls to protect the integrity of Medicare and the PBS</w:t>
            </w:r>
            <w:r w:rsidR="00D926BB" w:rsidRPr="00082AF4">
              <w:rPr>
                <w:rFonts w:cs="Arial"/>
                <w:szCs w:val="22"/>
              </w:rPr>
              <w:t>.</w:t>
            </w:r>
          </w:p>
        </w:tc>
      </w:tr>
      <w:tr w:rsidR="00D926BB" w14:paraId="143407C3" w14:textId="77777777" w:rsidTr="00F70E11">
        <w:trPr>
          <w:cantSplit/>
          <w:trHeight w:val="1978"/>
        </w:trPr>
        <w:tc>
          <w:tcPr>
            <w:tcW w:w="1418" w:type="dxa"/>
            <w:shd w:val="clear" w:color="auto" w:fill="F2F3F8"/>
            <w:vAlign w:val="center"/>
          </w:tcPr>
          <w:p w14:paraId="7B6D78CC" w14:textId="5664BA86" w:rsidR="00D926BB" w:rsidRDefault="008E57CE">
            <w:pPr>
              <w:jc w:val="center"/>
              <w:rPr>
                <w:rFonts w:cs="Arial"/>
                <w:b/>
                <w:bCs/>
                <w:sz w:val="36"/>
                <w:szCs w:val="40"/>
              </w:rPr>
            </w:pPr>
            <w:r>
              <w:rPr>
                <w:rFonts w:cs="Arial"/>
                <w:b/>
                <w:bCs/>
                <w:noProof/>
                <w:sz w:val="36"/>
                <w:szCs w:val="40"/>
                <w14:ligatures w14:val="standardContextual"/>
              </w:rPr>
              <w:drawing>
                <wp:inline distT="0" distB="0" distL="0" distR="0" wp14:anchorId="71547F04" wp14:editId="518596A3">
                  <wp:extent cx="720000" cy="720000"/>
                  <wp:effectExtent l="0" t="0" r="4445" b="4445"/>
                  <wp:docPr id="458122223" name="Graphic 11" descr="Access to affordable healthcar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22223" name="Graphic 11" descr="Access to affordable healthcare infographic"/>
                          <pic:cNvPicPr/>
                        </pic:nvPicPr>
                        <pic:blipFill>
                          <a:blip r:embed="rId23">
                            <a:extLst>
                              <a:ext uri="{96DAC541-7B7A-43D3-8B79-37D633B846F1}">
                                <asvg:svgBlip xmlns:asvg="http://schemas.microsoft.com/office/drawing/2016/SVG/main" r:embed="rId24"/>
                              </a:ext>
                            </a:extLst>
                          </a:blip>
                          <a:stretch>
                            <a:fillRect/>
                          </a:stretch>
                        </pic:blipFill>
                        <pic:spPr>
                          <a:xfrm>
                            <a:off x="0" y="0"/>
                            <a:ext cx="720000" cy="720000"/>
                          </a:xfrm>
                          <a:prstGeom prst="rect">
                            <a:avLst/>
                          </a:prstGeom>
                        </pic:spPr>
                      </pic:pic>
                    </a:graphicData>
                  </a:graphic>
                </wp:inline>
              </w:drawing>
            </w:r>
          </w:p>
        </w:tc>
        <w:tc>
          <w:tcPr>
            <w:tcW w:w="9355" w:type="dxa"/>
            <w:shd w:val="clear" w:color="auto" w:fill="F2F3F8"/>
            <w:vAlign w:val="center"/>
          </w:tcPr>
          <w:p w14:paraId="31C01F4C" w14:textId="77777777" w:rsidR="00D926BB" w:rsidRPr="00D926BB" w:rsidRDefault="00D926BB" w:rsidP="00156D48">
            <w:pPr>
              <w:spacing w:before="0" w:after="0" w:line="240" w:lineRule="auto"/>
              <w:rPr>
                <w:rFonts w:cs="Arial"/>
                <w:b/>
                <w:bCs/>
                <w:color w:val="1D437F"/>
                <w:sz w:val="26"/>
                <w:szCs w:val="26"/>
              </w:rPr>
            </w:pPr>
            <w:r w:rsidRPr="00D926BB">
              <w:rPr>
                <w:rFonts w:cs="Arial"/>
                <w:b/>
                <w:bCs/>
                <w:color w:val="1D437F"/>
                <w:sz w:val="26"/>
                <w:szCs w:val="26"/>
              </w:rPr>
              <w:t>Access to affordable healthcare</w:t>
            </w:r>
          </w:p>
          <w:p w14:paraId="327D83BF" w14:textId="689556DA" w:rsidR="00D926BB" w:rsidRPr="00082AF4" w:rsidRDefault="00052226">
            <w:pPr>
              <w:spacing w:after="0"/>
              <w:rPr>
                <w:rFonts w:cs="Arial"/>
                <w:szCs w:val="22"/>
              </w:rPr>
            </w:pPr>
            <w:r w:rsidRPr="00182018">
              <w:rPr>
                <w:rFonts w:cs="Arial"/>
                <w:color w:val="000000"/>
                <w:szCs w:val="22"/>
              </w:rPr>
              <w:t>Given ongoing</w:t>
            </w:r>
            <w:r>
              <w:rPr>
                <w:rFonts w:cs="Arial"/>
                <w:color w:val="000000"/>
                <w:szCs w:val="22"/>
              </w:rPr>
              <w:t xml:space="preserve">, </w:t>
            </w:r>
            <w:r w:rsidRPr="00182018">
              <w:rPr>
                <w:rFonts w:cs="Arial"/>
                <w:color w:val="000000"/>
                <w:szCs w:val="22"/>
              </w:rPr>
              <w:t xml:space="preserve">significant investment in bulk billing, our focus is on ensuring providers meet MBS bulk billing requirements and patients have access to affordable care. When a health professional chooses to bulk bill a service, they accept the relevant Medicare benefit as full payment for the service. Charging a co-payment or membership fee is a breach of the </w:t>
            </w:r>
            <w:r w:rsidR="003E6721">
              <w:rPr>
                <w:rFonts w:cs="Arial"/>
                <w:color w:val="000000"/>
                <w:szCs w:val="22"/>
              </w:rPr>
              <w:br/>
            </w:r>
            <w:r w:rsidRPr="00182018">
              <w:rPr>
                <w:rFonts w:cs="Arial"/>
                <w:i/>
                <w:iCs/>
                <w:color w:val="000000"/>
                <w:szCs w:val="22"/>
              </w:rPr>
              <w:t>Health Insurance Act 1973</w:t>
            </w:r>
            <w:r w:rsidR="00D926BB" w:rsidRPr="00082AF4">
              <w:rPr>
                <w:rFonts w:cs="Arial"/>
                <w:szCs w:val="22"/>
              </w:rPr>
              <w:t xml:space="preserve">. </w:t>
            </w:r>
          </w:p>
        </w:tc>
      </w:tr>
      <w:tr w:rsidR="00D926BB" w14:paraId="4410EC75" w14:textId="77777777" w:rsidTr="00893F14">
        <w:trPr>
          <w:cantSplit/>
          <w:trHeight w:val="2955"/>
        </w:trPr>
        <w:tc>
          <w:tcPr>
            <w:tcW w:w="1418" w:type="dxa"/>
            <w:shd w:val="clear" w:color="auto" w:fill="F2F3F8"/>
            <w:vAlign w:val="center"/>
          </w:tcPr>
          <w:p w14:paraId="2B1A815C" w14:textId="23ECF1B4" w:rsidR="00D926BB" w:rsidRDefault="00E348EB">
            <w:pPr>
              <w:jc w:val="center"/>
              <w:rPr>
                <w:rFonts w:cs="Arial"/>
                <w:b/>
                <w:bCs/>
                <w:sz w:val="36"/>
                <w:szCs w:val="40"/>
              </w:rPr>
            </w:pPr>
            <w:r>
              <w:rPr>
                <w:rFonts w:cs="Arial"/>
                <w:b/>
                <w:bCs/>
                <w:noProof/>
                <w:sz w:val="36"/>
                <w:szCs w:val="40"/>
                <w14:ligatures w14:val="standardContextual"/>
              </w:rPr>
              <w:drawing>
                <wp:inline distT="0" distB="0" distL="0" distR="0" wp14:anchorId="540142DB" wp14:editId="364E6405">
                  <wp:extent cx="720000" cy="720000"/>
                  <wp:effectExtent l="0" t="0" r="4445" b="4445"/>
                  <wp:docPr id="1116160063" name="Graphic 13" descr="Addressing low-value car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0063" name="Graphic 13" descr="Addressing low-value care infographic"/>
                          <pic:cNvPicPr/>
                        </pic:nvPicPr>
                        <pic:blipFill>
                          <a:blip r:embed="rId25">
                            <a:extLst>
                              <a:ext uri="{96DAC541-7B7A-43D3-8B79-37D633B846F1}">
                                <asvg:svgBlip xmlns:asvg="http://schemas.microsoft.com/office/drawing/2016/SVG/main" r:embed="rId26"/>
                              </a:ext>
                            </a:extLst>
                          </a:blip>
                          <a:stretch>
                            <a:fillRect/>
                          </a:stretch>
                        </pic:blipFill>
                        <pic:spPr>
                          <a:xfrm>
                            <a:off x="0" y="0"/>
                            <a:ext cx="720000" cy="720000"/>
                          </a:xfrm>
                          <a:prstGeom prst="rect">
                            <a:avLst/>
                          </a:prstGeom>
                        </pic:spPr>
                      </pic:pic>
                    </a:graphicData>
                  </a:graphic>
                </wp:inline>
              </w:drawing>
            </w:r>
          </w:p>
        </w:tc>
        <w:tc>
          <w:tcPr>
            <w:tcW w:w="9355" w:type="dxa"/>
            <w:shd w:val="clear" w:color="auto" w:fill="F2F3F8"/>
            <w:vAlign w:val="center"/>
          </w:tcPr>
          <w:p w14:paraId="79A5BBC8" w14:textId="6621EC81" w:rsidR="002254CB" w:rsidRDefault="002254CB">
            <w:pPr>
              <w:spacing w:after="0"/>
              <w:rPr>
                <w:rFonts w:cs="Arial"/>
                <w:b/>
                <w:bCs/>
                <w:color w:val="1D437F"/>
                <w:sz w:val="26"/>
                <w:szCs w:val="26"/>
              </w:rPr>
            </w:pPr>
            <w:r w:rsidRPr="002254CB">
              <w:rPr>
                <w:rFonts w:cs="Arial"/>
                <w:b/>
                <w:bCs/>
                <w:color w:val="1D437F"/>
                <w:sz w:val="26"/>
                <w:szCs w:val="26"/>
              </w:rPr>
              <w:t>Safeguarding high-quality and medically necessary services</w:t>
            </w:r>
          </w:p>
          <w:p w14:paraId="6588A912" w14:textId="77777777" w:rsidR="00040280" w:rsidRPr="00040280" w:rsidRDefault="00040280" w:rsidP="00CD65A5">
            <w:pPr>
              <w:rPr>
                <w:rFonts w:cs="Arial"/>
                <w:szCs w:val="22"/>
              </w:rPr>
            </w:pPr>
            <w:r w:rsidRPr="00040280">
              <w:rPr>
                <w:rFonts w:cs="Arial"/>
                <w:szCs w:val="22"/>
              </w:rPr>
              <w:t>Some healthcare services provide little or no clinical benefit to patients, while adding unnecessary costs to Medicare. This type of servicing can lead to patient harm and waste valuable healthcare resources. Our compliance efforts target multiple areas including:</w:t>
            </w:r>
          </w:p>
          <w:p w14:paraId="46CAF7BF" w14:textId="0AD63A68" w:rsidR="00040280" w:rsidRPr="00E70B7D" w:rsidRDefault="00243901" w:rsidP="0068245B">
            <w:pPr>
              <w:pStyle w:val="ListParagraph"/>
              <w:numPr>
                <w:ilvl w:val="0"/>
                <w:numId w:val="2"/>
              </w:numPr>
              <w:spacing w:before="0" w:after="0"/>
              <w:rPr>
                <w:rFonts w:cs="Arial"/>
                <w:szCs w:val="22"/>
              </w:rPr>
            </w:pPr>
            <w:r>
              <w:rPr>
                <w:rFonts w:cs="Arial"/>
                <w:szCs w:val="22"/>
              </w:rPr>
              <w:t>p</w:t>
            </w:r>
            <w:r w:rsidR="00040280" w:rsidRPr="00E70B7D">
              <w:rPr>
                <w:rFonts w:cs="Arial"/>
                <w:szCs w:val="22"/>
              </w:rPr>
              <w:t xml:space="preserve">roviders engaging in inappropriate practice, where some or </w:t>
            </w:r>
            <w:proofErr w:type="gramStart"/>
            <w:r w:rsidR="00040280" w:rsidRPr="00E70B7D">
              <w:rPr>
                <w:rFonts w:cs="Arial"/>
                <w:szCs w:val="22"/>
              </w:rPr>
              <w:t>all of</w:t>
            </w:r>
            <w:proofErr w:type="gramEnd"/>
            <w:r w:rsidR="00040280" w:rsidRPr="00E70B7D">
              <w:rPr>
                <w:rFonts w:cs="Arial"/>
                <w:szCs w:val="22"/>
              </w:rPr>
              <w:t xml:space="preserve"> the services rendered or initiated constitute a prescribed pattern of service</w:t>
            </w:r>
          </w:p>
          <w:p w14:paraId="19C20A46" w14:textId="19A8B419" w:rsidR="00D926BB" w:rsidRPr="00082AF4" w:rsidRDefault="00243901" w:rsidP="00040280">
            <w:pPr>
              <w:pStyle w:val="ListParagraph"/>
              <w:numPr>
                <w:ilvl w:val="0"/>
                <w:numId w:val="2"/>
              </w:numPr>
              <w:spacing w:before="0" w:after="0"/>
              <w:rPr>
                <w:rFonts w:cs="Arial"/>
                <w:szCs w:val="22"/>
              </w:rPr>
            </w:pPr>
            <w:r>
              <w:rPr>
                <w:rFonts w:cs="Arial"/>
                <w:szCs w:val="22"/>
              </w:rPr>
              <w:t>t</w:t>
            </w:r>
            <w:r w:rsidR="00040280" w:rsidRPr="00040280">
              <w:rPr>
                <w:rFonts w:cs="Arial"/>
                <w:szCs w:val="22"/>
              </w:rPr>
              <w:t>hird party delivery or corporatisation of health services where revenue may be prioritised over clinically relevant care</w:t>
            </w:r>
            <w:r w:rsidR="00D31A09">
              <w:rPr>
                <w:rFonts w:cs="Arial"/>
                <w:szCs w:val="22"/>
              </w:rPr>
              <w:t>.</w:t>
            </w:r>
          </w:p>
        </w:tc>
      </w:tr>
      <w:tr w:rsidR="00D926BB" w14:paraId="50467F76" w14:textId="77777777" w:rsidTr="00F70E11">
        <w:trPr>
          <w:cantSplit/>
          <w:trHeight w:val="2581"/>
        </w:trPr>
        <w:tc>
          <w:tcPr>
            <w:tcW w:w="1418" w:type="dxa"/>
            <w:shd w:val="clear" w:color="auto" w:fill="F2F3F8"/>
            <w:vAlign w:val="center"/>
          </w:tcPr>
          <w:p w14:paraId="584C13DA" w14:textId="61DD2388" w:rsidR="00D926BB" w:rsidRDefault="00695172">
            <w:pPr>
              <w:jc w:val="center"/>
              <w:rPr>
                <w:rFonts w:cs="Arial"/>
                <w:b/>
                <w:bCs/>
                <w:sz w:val="36"/>
                <w:szCs w:val="40"/>
              </w:rPr>
            </w:pPr>
            <w:r>
              <w:rPr>
                <w:rFonts w:cs="Arial"/>
                <w:b/>
                <w:bCs/>
                <w:noProof/>
                <w:sz w:val="36"/>
                <w:szCs w:val="40"/>
                <w14:ligatures w14:val="standardContextual"/>
              </w:rPr>
              <w:drawing>
                <wp:inline distT="0" distB="0" distL="0" distR="0" wp14:anchorId="7BA905E0" wp14:editId="680105BB">
                  <wp:extent cx="720000" cy="720000"/>
                  <wp:effectExtent l="0" t="0" r="4445" b="4445"/>
                  <wp:docPr id="1383767772" name="Graphic 16" descr="Medicare, public hospital and health services sustainabilit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67772" name="Graphic 16" descr="Medicare, public hospital and health services sustainability infographic"/>
                          <pic:cNvPicPr/>
                        </pic:nvPicPr>
                        <pic:blipFill>
                          <a:blip r:embed="rId27">
                            <a:extLst>
                              <a:ext uri="{96DAC541-7B7A-43D3-8B79-37D633B846F1}">
                                <asvg:svgBlip xmlns:asvg="http://schemas.microsoft.com/office/drawing/2016/SVG/main" r:embed="rId28"/>
                              </a:ext>
                            </a:extLst>
                          </a:blip>
                          <a:stretch>
                            <a:fillRect/>
                          </a:stretch>
                        </pic:blipFill>
                        <pic:spPr>
                          <a:xfrm>
                            <a:off x="0" y="0"/>
                            <a:ext cx="720000" cy="720000"/>
                          </a:xfrm>
                          <a:prstGeom prst="rect">
                            <a:avLst/>
                          </a:prstGeom>
                        </pic:spPr>
                      </pic:pic>
                    </a:graphicData>
                  </a:graphic>
                </wp:inline>
              </w:drawing>
            </w:r>
          </w:p>
        </w:tc>
        <w:tc>
          <w:tcPr>
            <w:tcW w:w="9355" w:type="dxa"/>
            <w:shd w:val="clear" w:color="auto" w:fill="F2F3F8"/>
            <w:vAlign w:val="center"/>
          </w:tcPr>
          <w:p w14:paraId="79A279BE" w14:textId="77777777" w:rsidR="00D926BB" w:rsidRPr="00D926BB" w:rsidRDefault="00D926BB" w:rsidP="008F6300">
            <w:pPr>
              <w:spacing w:after="0"/>
              <w:rPr>
                <w:rFonts w:cs="Arial"/>
                <w:b/>
                <w:bCs/>
                <w:color w:val="1D437F"/>
                <w:sz w:val="26"/>
                <w:szCs w:val="26"/>
              </w:rPr>
            </w:pPr>
            <w:r w:rsidRPr="00D926BB">
              <w:rPr>
                <w:rFonts w:cs="Arial"/>
                <w:b/>
                <w:bCs/>
                <w:color w:val="1D437F"/>
                <w:sz w:val="26"/>
                <w:szCs w:val="26"/>
              </w:rPr>
              <w:t>Medicare, public hospital and health services sustainability</w:t>
            </w:r>
          </w:p>
          <w:p w14:paraId="3771B209" w14:textId="5BB93AF6" w:rsidR="00203E08" w:rsidRPr="00203E08" w:rsidRDefault="00F00DA5" w:rsidP="00F00DA5">
            <w:pPr>
              <w:rPr>
                <w:rFonts w:cs="Arial"/>
                <w:szCs w:val="22"/>
              </w:rPr>
            </w:pPr>
            <w:r w:rsidRPr="00F00DA5">
              <w:rPr>
                <w:rFonts w:cs="Arial"/>
                <w:szCs w:val="22"/>
              </w:rPr>
              <w:t xml:space="preserve">We are committed to ensuring the sustainability of Medicare, and hospital and health services funded collaboratively between the Commonwealth, states and territories through the </w:t>
            </w:r>
            <w:r>
              <w:rPr>
                <w:rFonts w:cs="Arial"/>
                <w:szCs w:val="22"/>
              </w:rPr>
              <w:br/>
            </w:r>
            <w:r w:rsidRPr="00F00DA5">
              <w:rPr>
                <w:rFonts w:cs="Arial"/>
                <w:szCs w:val="22"/>
              </w:rPr>
              <w:t>National Health Reform Agreement arrangements. We’ll work with stakeholders to:</w:t>
            </w:r>
          </w:p>
          <w:p w14:paraId="7642CC38" w14:textId="366A3CF9" w:rsidR="00F00DA5" w:rsidRPr="00F00DA5" w:rsidRDefault="00F00DA5" w:rsidP="00F00DA5">
            <w:pPr>
              <w:pStyle w:val="ListParagraph"/>
              <w:numPr>
                <w:ilvl w:val="0"/>
                <w:numId w:val="2"/>
              </w:numPr>
              <w:spacing w:before="0" w:after="0"/>
              <w:rPr>
                <w:rFonts w:cs="Arial"/>
                <w:szCs w:val="22"/>
              </w:rPr>
            </w:pPr>
            <w:r>
              <w:rPr>
                <w:rFonts w:cs="Arial"/>
                <w:szCs w:val="22"/>
              </w:rPr>
              <w:t>m</w:t>
            </w:r>
            <w:r w:rsidRPr="00F00DA5">
              <w:rPr>
                <w:rFonts w:cs="Arial"/>
                <w:szCs w:val="22"/>
              </w:rPr>
              <w:t>inimise duplicate payments and other payments which do not meet the requirements of the Health Insurance Act</w:t>
            </w:r>
          </w:p>
          <w:p w14:paraId="6DBB94C0" w14:textId="28D55DE0" w:rsidR="00D926BB" w:rsidRPr="00082AF4" w:rsidRDefault="00F00DA5" w:rsidP="00F00DA5">
            <w:pPr>
              <w:pStyle w:val="ListParagraph"/>
              <w:numPr>
                <w:ilvl w:val="0"/>
                <w:numId w:val="2"/>
              </w:numPr>
              <w:spacing w:before="0" w:after="0"/>
              <w:rPr>
                <w:rFonts w:cs="Arial"/>
                <w:szCs w:val="22"/>
              </w:rPr>
            </w:pPr>
            <w:r>
              <w:rPr>
                <w:rFonts w:cs="Arial"/>
                <w:szCs w:val="22"/>
              </w:rPr>
              <w:t>e</w:t>
            </w:r>
            <w:r w:rsidRPr="00F00DA5">
              <w:rPr>
                <w:rFonts w:cs="Arial"/>
                <w:szCs w:val="22"/>
              </w:rPr>
              <w:t>nsure valid patient financial elections are in place if public hospitals are delivering private health services</w:t>
            </w:r>
            <w:r w:rsidR="00203E08" w:rsidRPr="00203E08">
              <w:rPr>
                <w:rFonts w:cs="Arial"/>
                <w:szCs w:val="22"/>
              </w:rPr>
              <w:t>.</w:t>
            </w:r>
          </w:p>
        </w:tc>
      </w:tr>
    </w:tbl>
    <w:p w14:paraId="7192CB34" w14:textId="77777777" w:rsidR="00F70E11" w:rsidRDefault="00F70E11"/>
    <w:p w14:paraId="435190BF" w14:textId="77777777" w:rsidR="00477546" w:rsidRDefault="00477546"/>
    <w:tbl>
      <w:tblPr>
        <w:tblStyle w:val="TableGrid"/>
        <w:tblW w:w="10799" w:type="dxa"/>
        <w:tblBorders>
          <w:top w:val="none" w:sz="0" w:space="0" w:color="auto"/>
          <w:left w:val="none" w:sz="0" w:space="0" w:color="auto"/>
          <w:bottom w:val="none" w:sz="0" w:space="0" w:color="auto"/>
          <w:right w:val="none" w:sz="0" w:space="0" w:color="auto"/>
          <w:insideH w:val="none" w:sz="0" w:space="0" w:color="auto"/>
          <w:insideV w:val="single" w:sz="48" w:space="0" w:color="F1F1F2"/>
        </w:tblBorders>
        <w:shd w:val="clear" w:color="auto" w:fill="F1F1F2"/>
        <w:tblLook w:val="04A0" w:firstRow="1" w:lastRow="0" w:firstColumn="1" w:lastColumn="0" w:noHBand="0" w:noVBand="1"/>
      </w:tblPr>
      <w:tblGrid>
        <w:gridCol w:w="5954"/>
        <w:gridCol w:w="4845"/>
      </w:tblGrid>
      <w:tr w:rsidR="003F34F9" w14:paraId="05DAAD1F" w14:textId="77777777" w:rsidTr="00C84822">
        <w:trPr>
          <w:trHeight w:val="1939"/>
        </w:trPr>
        <w:tc>
          <w:tcPr>
            <w:tcW w:w="5954" w:type="dxa"/>
            <w:vMerge w:val="restart"/>
            <w:tcBorders>
              <w:right w:val="nil"/>
            </w:tcBorders>
            <w:shd w:val="clear" w:color="auto" w:fill="F1F1F2"/>
          </w:tcPr>
          <w:p w14:paraId="45E58A38" w14:textId="328447FD" w:rsidR="003F34F9" w:rsidRPr="004D2EE9" w:rsidRDefault="003F34F9" w:rsidP="00C84822">
            <w:pPr>
              <w:spacing w:line="240" w:lineRule="auto"/>
              <w:rPr>
                <w:rFonts w:cs="Arial"/>
                <w:b/>
                <w:bCs/>
                <w:color w:val="153A6D"/>
                <w:sz w:val="36"/>
                <w:szCs w:val="36"/>
              </w:rPr>
            </w:pPr>
            <w:r w:rsidRPr="00D926BB">
              <w:rPr>
                <w:rFonts w:cs="Arial"/>
                <w:b/>
                <w:bCs/>
                <w:color w:val="153A6D"/>
                <w:sz w:val="36"/>
                <w:szCs w:val="36"/>
              </w:rPr>
              <w:t xml:space="preserve">Our </w:t>
            </w:r>
            <w:r w:rsidR="00C75066">
              <w:rPr>
                <w:rFonts w:cs="Arial"/>
                <w:b/>
                <w:bCs/>
                <w:color w:val="153A6D"/>
                <w:sz w:val="36"/>
                <w:szCs w:val="36"/>
              </w:rPr>
              <w:t>c</w:t>
            </w:r>
            <w:r w:rsidRPr="00D926BB">
              <w:rPr>
                <w:rFonts w:cs="Arial"/>
                <w:b/>
                <w:bCs/>
                <w:color w:val="153A6D"/>
                <w:sz w:val="36"/>
                <w:szCs w:val="36"/>
              </w:rPr>
              <w:t xml:space="preserve">ompliance </w:t>
            </w:r>
            <w:r w:rsidR="00C75066">
              <w:rPr>
                <w:rFonts w:cs="Arial"/>
                <w:b/>
                <w:bCs/>
                <w:color w:val="153A6D"/>
                <w:sz w:val="36"/>
                <w:szCs w:val="36"/>
              </w:rPr>
              <w:t>a</w:t>
            </w:r>
            <w:r w:rsidRPr="00D926BB">
              <w:rPr>
                <w:rFonts w:cs="Arial"/>
                <w:b/>
                <w:bCs/>
                <w:color w:val="153A6D"/>
                <w:sz w:val="36"/>
                <w:szCs w:val="36"/>
              </w:rPr>
              <w:t>pproach</w:t>
            </w:r>
          </w:p>
          <w:p w14:paraId="0A76E28B" w14:textId="63A82D7A" w:rsidR="003F34F9" w:rsidRPr="00D926BB" w:rsidRDefault="003F34F9" w:rsidP="004E0A42">
            <w:pPr>
              <w:spacing w:after="0"/>
              <w:rPr>
                <w:rFonts w:cs="Arial"/>
                <w:szCs w:val="22"/>
              </w:rPr>
            </w:pPr>
            <w:r w:rsidRPr="00D926BB">
              <w:rPr>
                <w:rFonts w:cs="Arial"/>
                <w:szCs w:val="22"/>
              </w:rPr>
              <w:t xml:space="preserve">The </w:t>
            </w:r>
            <w:hyperlink r:id="rId29" w:history="1">
              <w:r w:rsidRPr="001809AA">
                <w:rPr>
                  <w:rStyle w:val="Hyperlink"/>
                  <w:rFonts w:cs="Arial"/>
                  <w:color w:val="156082" w:themeColor="accent1"/>
                  <w:szCs w:val="22"/>
                </w:rPr>
                <w:t xml:space="preserve">Health Provider Compliance Strategy 2025–30 </w:t>
              </w:r>
            </w:hyperlink>
            <w:r w:rsidRPr="00D926BB">
              <w:rPr>
                <w:rFonts w:cs="Arial"/>
                <w:szCs w:val="22"/>
              </w:rPr>
              <w:t>outlines our risk and proportion-based approach to health provider compliance.</w:t>
            </w:r>
          </w:p>
          <w:p w14:paraId="1486A119" w14:textId="35E78765" w:rsidR="003F34F9" w:rsidRPr="00D926BB" w:rsidRDefault="003F34F9" w:rsidP="00C84822">
            <w:pPr>
              <w:spacing w:after="0"/>
              <w:rPr>
                <w:rFonts w:cs="Arial"/>
                <w:szCs w:val="22"/>
              </w:rPr>
            </w:pPr>
            <w:r w:rsidRPr="00D926BB">
              <w:rPr>
                <w:rFonts w:cs="Arial"/>
                <w:szCs w:val="22"/>
              </w:rPr>
              <w:t xml:space="preserve">Read more about our compliance approach at </w:t>
            </w:r>
            <w:r w:rsidR="00FA0385">
              <w:rPr>
                <w:rFonts w:cs="Arial"/>
                <w:szCs w:val="22"/>
              </w:rPr>
              <w:br/>
            </w:r>
            <w:hyperlink r:id="rId30" w:history="1">
              <w:r w:rsidRPr="001809AA">
                <w:rPr>
                  <w:rStyle w:val="Hyperlink"/>
                  <w:rFonts w:cs="Arial"/>
                  <w:color w:val="156082" w:themeColor="accent1"/>
                  <w:szCs w:val="22"/>
                </w:rPr>
                <w:t>Medicare compliance | Australian Government Department of Health, Disability and Ageing</w:t>
              </w:r>
            </w:hyperlink>
          </w:p>
        </w:tc>
        <w:tc>
          <w:tcPr>
            <w:tcW w:w="4845" w:type="dxa"/>
            <w:tcBorders>
              <w:top w:val="nil"/>
              <w:left w:val="nil"/>
              <w:bottom w:val="nil"/>
              <w:right w:val="nil"/>
            </w:tcBorders>
            <w:shd w:val="clear" w:color="auto" w:fill="F1F1F2"/>
          </w:tcPr>
          <w:p w14:paraId="0BDF054A" w14:textId="5817D50F" w:rsidR="003F34F9" w:rsidRDefault="00C84822" w:rsidP="00042562">
            <w:pPr>
              <w:spacing w:line="240" w:lineRule="auto"/>
              <w:jc w:val="center"/>
            </w:pPr>
            <w:r w:rsidRPr="00C84822">
              <w:rPr>
                <w:noProof/>
              </w:rPr>
              <w:drawing>
                <wp:inline distT="0" distB="0" distL="0" distR="0" wp14:anchorId="25557A84" wp14:editId="448B9093">
                  <wp:extent cx="1066775" cy="1062402"/>
                  <wp:effectExtent l="0" t="0" r="635" b="4445"/>
                  <wp:docPr id="1940809714" name="Picture 1" descr="QR code - Health Provider Compliance Strategy 2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09714" name="Picture 1" descr="QR code - Health Provider Compliance Strategy 2025-30"/>
                          <pic:cNvPicPr/>
                        </pic:nvPicPr>
                        <pic:blipFill>
                          <a:blip r:embed="rId31"/>
                          <a:stretch>
                            <a:fillRect/>
                          </a:stretch>
                        </pic:blipFill>
                        <pic:spPr>
                          <a:xfrm>
                            <a:off x="0" y="0"/>
                            <a:ext cx="1086455" cy="1082002"/>
                          </a:xfrm>
                          <a:prstGeom prst="rect">
                            <a:avLst/>
                          </a:prstGeom>
                        </pic:spPr>
                      </pic:pic>
                    </a:graphicData>
                  </a:graphic>
                </wp:inline>
              </w:drawing>
            </w:r>
          </w:p>
        </w:tc>
      </w:tr>
      <w:tr w:rsidR="003F34F9" w14:paraId="274C6474" w14:textId="77777777" w:rsidTr="00C84822">
        <w:trPr>
          <w:trHeight w:val="497"/>
        </w:trPr>
        <w:tc>
          <w:tcPr>
            <w:tcW w:w="5954" w:type="dxa"/>
            <w:vMerge/>
            <w:tcBorders>
              <w:right w:val="nil"/>
            </w:tcBorders>
            <w:shd w:val="clear" w:color="auto" w:fill="F1F1F2"/>
          </w:tcPr>
          <w:p w14:paraId="31302B72" w14:textId="5629BDD7" w:rsidR="003F34F9" w:rsidRDefault="003F34F9"/>
        </w:tc>
        <w:tc>
          <w:tcPr>
            <w:tcW w:w="4845" w:type="dxa"/>
            <w:tcBorders>
              <w:top w:val="nil"/>
              <w:left w:val="nil"/>
              <w:bottom w:val="nil"/>
              <w:right w:val="nil"/>
            </w:tcBorders>
            <w:shd w:val="clear" w:color="auto" w:fill="F1F1F2"/>
          </w:tcPr>
          <w:p w14:paraId="1FFF7C33" w14:textId="28B04AD6" w:rsidR="003F34F9" w:rsidRPr="00C84822" w:rsidRDefault="00042562" w:rsidP="00C84822">
            <w:pPr>
              <w:spacing w:line="240" w:lineRule="auto"/>
              <w:jc w:val="center"/>
              <w:rPr>
                <w:b/>
                <w:bCs/>
              </w:rPr>
            </w:pPr>
            <w:r w:rsidRPr="00C84822">
              <w:rPr>
                <w:rFonts w:cs="Arial"/>
                <w:b/>
                <w:bCs/>
                <w:i/>
                <w:iCs/>
                <w:sz w:val="20"/>
                <w:szCs w:val="20"/>
              </w:rPr>
              <w:t>Scan the QR code to download the Health Provider Compliance Strategy 2025-30</w:t>
            </w:r>
          </w:p>
        </w:tc>
      </w:tr>
    </w:tbl>
    <w:p w14:paraId="33595758" w14:textId="77777777" w:rsidR="00B505D8" w:rsidRPr="00F746C0" w:rsidRDefault="00B505D8" w:rsidP="004E0A42"/>
    <w:sectPr w:rsidR="00B505D8" w:rsidRPr="00F746C0" w:rsidSect="00F70E11">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567"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52879" w14:textId="77777777" w:rsidR="00B420F1" w:rsidRDefault="00B420F1" w:rsidP="00D926BB">
      <w:pPr>
        <w:spacing w:before="0" w:after="0" w:line="240" w:lineRule="auto"/>
      </w:pPr>
      <w:r>
        <w:separator/>
      </w:r>
    </w:p>
  </w:endnote>
  <w:endnote w:type="continuationSeparator" w:id="0">
    <w:p w14:paraId="1B05A8FE" w14:textId="77777777" w:rsidR="00B420F1" w:rsidRDefault="00B420F1" w:rsidP="00D926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genial">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49D7" w14:textId="2436F2D7" w:rsidR="00F70E11" w:rsidRDefault="00F70E11">
    <w:pPr>
      <w:pStyle w:val="Footer"/>
    </w:pPr>
    <w:r>
      <w:rPr>
        <w:noProof/>
        <w14:ligatures w14:val="standardContextual"/>
      </w:rPr>
      <mc:AlternateContent>
        <mc:Choice Requires="wps">
          <w:drawing>
            <wp:anchor distT="0" distB="0" distL="0" distR="0" simplePos="0" relativeHeight="251658246" behindDoc="0" locked="0" layoutInCell="1" allowOverlap="1" wp14:anchorId="6B0EEC82" wp14:editId="47DD7B0B">
              <wp:simplePos x="635" y="635"/>
              <wp:positionH relativeFrom="page">
                <wp:align>center</wp:align>
              </wp:positionH>
              <wp:positionV relativeFrom="page">
                <wp:align>bottom</wp:align>
              </wp:positionV>
              <wp:extent cx="622300" cy="480695"/>
              <wp:effectExtent l="0" t="0" r="6350" b="0"/>
              <wp:wrapNone/>
              <wp:docPr id="21153968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5AAD8E" w14:textId="60C10F67" w:rsidR="00F70E11" w:rsidRPr="00F70E11" w:rsidRDefault="00F70E11" w:rsidP="00F70E11">
                          <w:pPr>
                            <w:spacing w:after="0"/>
                            <w:rPr>
                              <w:rFonts w:ascii="Aptos" w:eastAsia="Aptos" w:hAnsi="Aptos" w:cs="Aptos"/>
                              <w:noProof/>
                              <w:color w:val="FF0000"/>
                              <w:sz w:val="24"/>
                            </w:rPr>
                          </w:pPr>
                          <w:r w:rsidRPr="00F70E1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EEC82" id="_x0000_t202" coordsize="21600,21600" o:spt="202" path="m,l,21600r21600,l21600,xe">
              <v:stroke joinstyle="miter"/>
              <v:path gradientshapeok="t" o:connecttype="rect"/>
            </v:shapetype>
            <v:shape id="Text Box 6" o:spid="_x0000_s1028"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7B5AAD8E" w14:textId="60C10F67" w:rsidR="00F70E11" w:rsidRPr="00F70E11" w:rsidRDefault="00F70E11" w:rsidP="00F70E11">
                    <w:pPr>
                      <w:spacing w:after="0"/>
                      <w:rPr>
                        <w:rFonts w:ascii="Aptos" w:eastAsia="Aptos" w:hAnsi="Aptos" w:cs="Aptos"/>
                        <w:noProof/>
                        <w:color w:val="FF0000"/>
                        <w:sz w:val="24"/>
                      </w:rPr>
                    </w:pPr>
                    <w:r w:rsidRPr="00F70E11">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627134"/>
      <w:docPartObj>
        <w:docPartGallery w:val="Page Numbers (Bottom of Page)"/>
        <w:docPartUnique/>
      </w:docPartObj>
    </w:sdtPr>
    <w:sdtEndPr/>
    <w:sdtContent>
      <w:p w14:paraId="623FBCD4" w14:textId="54300E3F" w:rsidR="004B665E" w:rsidRDefault="004B665E">
        <w:pPr>
          <w:pStyle w:val="Footer"/>
          <w:jc w:val="right"/>
        </w:pPr>
        <w:r>
          <w:fldChar w:fldCharType="begin"/>
        </w:r>
        <w:r>
          <w:instrText>PAGE   \* MERGEFORMAT</w:instrText>
        </w:r>
        <w:r>
          <w:fldChar w:fldCharType="separate"/>
        </w:r>
        <w:r>
          <w:rPr>
            <w:lang w:val="en-GB"/>
          </w:rPr>
          <w:t>2</w:t>
        </w:r>
        <w:r>
          <w:fldChar w:fldCharType="end"/>
        </w:r>
      </w:p>
    </w:sdtContent>
  </w:sdt>
  <w:p w14:paraId="106F1D5A" w14:textId="77777777" w:rsidR="00D926BB" w:rsidRDefault="00D926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979066"/>
      <w:docPartObj>
        <w:docPartGallery w:val="Page Numbers (Bottom of Page)"/>
        <w:docPartUnique/>
      </w:docPartObj>
    </w:sdtPr>
    <w:sdtEndPr/>
    <w:sdtContent>
      <w:p w14:paraId="1AC538A2" w14:textId="373292EA" w:rsidR="000D5A95" w:rsidRDefault="000D5A95">
        <w:pPr>
          <w:pStyle w:val="Footer"/>
          <w:jc w:val="right"/>
        </w:pPr>
        <w:r>
          <w:fldChar w:fldCharType="begin"/>
        </w:r>
        <w:r>
          <w:instrText>PAGE   \* MERGEFORMAT</w:instrText>
        </w:r>
        <w:r>
          <w:fldChar w:fldCharType="separate"/>
        </w:r>
        <w:r>
          <w:rPr>
            <w:lang w:val="en-GB"/>
          </w:rPr>
          <w:t>2</w:t>
        </w:r>
        <w:r>
          <w:fldChar w:fldCharType="end"/>
        </w:r>
      </w:p>
    </w:sdtContent>
  </w:sdt>
  <w:p w14:paraId="7074CD42" w14:textId="3C5605DA" w:rsidR="00D926BB" w:rsidRDefault="00D926BB" w:rsidP="00D926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40649" w14:textId="77777777" w:rsidR="00B420F1" w:rsidRDefault="00B420F1" w:rsidP="00D926BB">
      <w:pPr>
        <w:spacing w:before="0" w:after="0" w:line="240" w:lineRule="auto"/>
      </w:pPr>
      <w:r>
        <w:separator/>
      </w:r>
    </w:p>
  </w:footnote>
  <w:footnote w:type="continuationSeparator" w:id="0">
    <w:p w14:paraId="4162FCB8" w14:textId="77777777" w:rsidR="00B420F1" w:rsidRDefault="00B420F1" w:rsidP="00D926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8342C" w14:textId="4D70F0BF" w:rsidR="00F70E11" w:rsidRDefault="00F70E11">
    <w:pPr>
      <w:pStyle w:val="Header"/>
    </w:pPr>
    <w:r>
      <w:rPr>
        <w:noProof/>
        <w14:ligatures w14:val="standardContextual"/>
      </w:rPr>
      <mc:AlternateContent>
        <mc:Choice Requires="wps">
          <w:drawing>
            <wp:anchor distT="0" distB="0" distL="0" distR="0" simplePos="0" relativeHeight="251658244" behindDoc="0" locked="0" layoutInCell="1" allowOverlap="1" wp14:anchorId="00D0B4EB" wp14:editId="79942F2F">
              <wp:simplePos x="635" y="635"/>
              <wp:positionH relativeFrom="page">
                <wp:align>center</wp:align>
              </wp:positionH>
              <wp:positionV relativeFrom="page">
                <wp:align>top</wp:align>
              </wp:positionV>
              <wp:extent cx="622300" cy="480695"/>
              <wp:effectExtent l="0" t="0" r="6350" b="14605"/>
              <wp:wrapNone/>
              <wp:docPr id="185691139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3C4C4D5" w14:textId="7EBFD6D3" w:rsidR="00F70E11" w:rsidRPr="00F70E11" w:rsidRDefault="00F70E11" w:rsidP="00F70E11">
                          <w:pPr>
                            <w:spacing w:after="0"/>
                            <w:rPr>
                              <w:rFonts w:ascii="Aptos" w:eastAsia="Aptos" w:hAnsi="Aptos" w:cs="Aptos"/>
                              <w:noProof/>
                              <w:color w:val="FF0000"/>
                              <w:sz w:val="24"/>
                            </w:rPr>
                          </w:pPr>
                          <w:r w:rsidRPr="00F70E1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D0B4EB" id="_x0000_t202" coordsize="21600,21600" o:spt="202" path="m,l,21600r21600,l21600,xe">
              <v:stroke joinstyle="miter"/>
              <v:path gradientshapeok="t" o:connecttype="rect"/>
            </v:shapetype>
            <v:shape id="Text Box 3" o:spid="_x0000_s1026"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3C4C4D5" w14:textId="7EBFD6D3" w:rsidR="00F70E11" w:rsidRPr="00F70E11" w:rsidRDefault="00F70E11" w:rsidP="00F70E11">
                    <w:pPr>
                      <w:spacing w:after="0"/>
                      <w:rPr>
                        <w:rFonts w:ascii="Aptos" w:eastAsia="Aptos" w:hAnsi="Aptos" w:cs="Aptos"/>
                        <w:noProof/>
                        <w:color w:val="FF0000"/>
                        <w:sz w:val="24"/>
                      </w:rPr>
                    </w:pPr>
                    <w:r w:rsidRPr="00F70E11">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7667" w14:textId="76A95D78" w:rsidR="00D926BB" w:rsidRDefault="00781B07">
    <w:pPr>
      <w:pStyle w:val="Header"/>
    </w:pPr>
    <w:r>
      <w:rPr>
        <w:noProof/>
      </w:rPr>
      <w:drawing>
        <wp:anchor distT="0" distB="0" distL="114300" distR="114300" simplePos="0" relativeHeight="251658242" behindDoc="0" locked="0" layoutInCell="1" allowOverlap="1" wp14:anchorId="440DB7CC" wp14:editId="7E2739D9">
          <wp:simplePos x="0" y="0"/>
          <wp:positionH relativeFrom="page">
            <wp:posOffset>-47625</wp:posOffset>
          </wp:positionH>
          <wp:positionV relativeFrom="paragraph">
            <wp:posOffset>-450215</wp:posOffset>
          </wp:positionV>
          <wp:extent cx="8620017" cy="166370"/>
          <wp:effectExtent l="0" t="0" r="0" b="5080"/>
          <wp:wrapNone/>
          <wp:docPr id="2217206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2068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20544" cy="166380"/>
                  </a:xfrm>
                  <a:prstGeom prst="rect">
                    <a:avLst/>
                  </a:prstGeom>
                </pic:spPr>
              </pic:pic>
            </a:graphicData>
          </a:graphic>
          <wp14:sizeRelH relativeFrom="page">
            <wp14:pctWidth>0</wp14:pctWidth>
          </wp14:sizeRelH>
          <wp14:sizeRelV relativeFrom="page">
            <wp14:pctHeight>0</wp14:pctHeight>
          </wp14:sizeRelV>
        </wp:anchor>
      </w:drawing>
    </w:r>
    <w:r w:rsidR="00F70E11">
      <w:rPr>
        <w:noProof/>
        <w14:ligatures w14:val="standardContextual"/>
      </w:rPr>
      <mc:AlternateContent>
        <mc:Choice Requires="wps">
          <w:drawing>
            <wp:anchor distT="0" distB="0" distL="0" distR="0" simplePos="0" relativeHeight="251658245" behindDoc="0" locked="0" layoutInCell="1" allowOverlap="1" wp14:anchorId="275C3AE7" wp14:editId="485DCA92">
              <wp:simplePos x="361848" y="449865"/>
              <wp:positionH relativeFrom="page">
                <wp:align>center</wp:align>
              </wp:positionH>
              <wp:positionV relativeFrom="page">
                <wp:align>top</wp:align>
              </wp:positionV>
              <wp:extent cx="622300" cy="480695"/>
              <wp:effectExtent l="0" t="0" r="6350" b="14605"/>
              <wp:wrapNone/>
              <wp:docPr id="93276682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95864AD" w14:textId="22F2D0CA" w:rsidR="00F70E11" w:rsidRPr="00F70E11" w:rsidRDefault="00F70E11" w:rsidP="00F70E11">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C3AE7" id="_x0000_t202" coordsize="21600,21600" o:spt="202" path="m,l,21600r21600,l21600,xe">
              <v:stroke joinstyle="miter"/>
              <v:path gradientshapeok="t" o:connecttype="rect"/>
            </v:shapetype>
            <v:shape id="Text Box 4" o:spid="_x0000_s1027"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395864AD" w14:textId="22F2D0CA" w:rsidR="00F70E11" w:rsidRPr="00F70E11" w:rsidRDefault="00F70E11" w:rsidP="00F70E11">
                    <w:pPr>
                      <w:spacing w:after="0"/>
                      <w:rPr>
                        <w:rFonts w:ascii="Aptos" w:eastAsia="Aptos" w:hAnsi="Aptos" w:cs="Aptos"/>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B6DD" w14:textId="57EC9718" w:rsidR="00D926BB" w:rsidRDefault="00F70E11">
    <w:pPr>
      <w:pStyle w:val="Header"/>
    </w:pPr>
    <w:r>
      <w:rPr>
        <w:rFonts w:ascii="Congenial" w:hAnsi="Congenial" w:cs="ADLaM Display"/>
        <w:noProof/>
        <w:sz w:val="44"/>
        <w:szCs w:val="48"/>
        <w14:ligatures w14:val="standardContextual"/>
      </w:rPr>
      <mc:AlternateContent>
        <mc:Choice Requires="wps">
          <w:drawing>
            <wp:anchor distT="0" distB="0" distL="0" distR="0" simplePos="0" relativeHeight="251658243" behindDoc="0" locked="0" layoutInCell="1" allowOverlap="1" wp14:anchorId="2A6D49AA" wp14:editId="5393A30A">
              <wp:simplePos x="361848" y="449865"/>
              <wp:positionH relativeFrom="page">
                <wp:align>center</wp:align>
              </wp:positionH>
              <wp:positionV relativeFrom="page">
                <wp:align>top</wp:align>
              </wp:positionV>
              <wp:extent cx="622300" cy="480695"/>
              <wp:effectExtent l="0" t="0" r="6350" b="14605"/>
              <wp:wrapNone/>
              <wp:docPr id="8520407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442CDA" w14:textId="333F6AD9" w:rsidR="00F70E11" w:rsidRPr="00F70E11" w:rsidRDefault="00F70E11" w:rsidP="00F70E11">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D49AA" id="_x0000_t202" coordsize="21600,21600" o:spt="202" path="m,l,21600r21600,l21600,xe">
              <v:stroke joinstyle="miter"/>
              <v:path gradientshapeok="t" o:connecttype="rect"/>
            </v:shapetype>
            <v:shape id="Text Box 2" o:spid="_x0000_s1029"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6cIrEQ0CAAAcBAAA&#10;DgAAAAAAAAAAAAAAAAAuAgAAZHJzL2Uyb0RvYy54bWxQSwECLQAUAAYACAAAACEA/kqdbtkAAAAD&#10;AQAADwAAAAAAAAAAAAAAAABnBAAAZHJzL2Rvd25yZXYueG1sUEsFBgAAAAAEAAQA8wAAAG0FAAAA&#10;AA==&#10;" filled="f" stroked="f">
              <v:textbox style="mso-fit-shape-to-text:t" inset="0,15pt,0,0">
                <w:txbxContent>
                  <w:p w14:paraId="04442CDA" w14:textId="333F6AD9" w:rsidR="00F70E11" w:rsidRPr="00F70E11" w:rsidRDefault="00F70E11" w:rsidP="00F70E11">
                    <w:pPr>
                      <w:spacing w:after="0"/>
                      <w:rPr>
                        <w:rFonts w:ascii="Aptos" w:eastAsia="Aptos" w:hAnsi="Aptos" w:cs="Aptos"/>
                        <w:noProof/>
                        <w:color w:val="FF0000"/>
                        <w:sz w:val="24"/>
                      </w:rPr>
                    </w:pPr>
                  </w:p>
                </w:txbxContent>
              </v:textbox>
              <w10:wrap anchorx="page" anchory="page"/>
            </v:shape>
          </w:pict>
        </mc:Fallback>
      </mc:AlternateContent>
    </w:r>
    <w:r w:rsidR="00D926BB">
      <w:rPr>
        <w:rFonts w:ascii="Congenial" w:hAnsi="Congenial" w:cs="ADLaM Display"/>
        <w:noProof/>
        <w:sz w:val="44"/>
        <w:szCs w:val="48"/>
      </w:rPr>
      <w:drawing>
        <wp:anchor distT="0" distB="0" distL="114300" distR="114300" simplePos="0" relativeHeight="251658240" behindDoc="0" locked="0" layoutInCell="1" allowOverlap="1" wp14:anchorId="3A2FCEE4" wp14:editId="68A4A204">
          <wp:simplePos x="0" y="0"/>
          <wp:positionH relativeFrom="margin">
            <wp:posOffset>-74251</wp:posOffset>
          </wp:positionH>
          <wp:positionV relativeFrom="paragraph">
            <wp:posOffset>-148050</wp:posOffset>
          </wp:positionV>
          <wp:extent cx="3593465" cy="569595"/>
          <wp:effectExtent l="0" t="0" r="6985" b="1905"/>
          <wp:wrapNone/>
          <wp:docPr id="1481209346" name="Picture 11" descr="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09346" name="Picture 11" descr="Department of Health, Disability and Ageing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65" cy="569595"/>
                  </a:xfrm>
                  <a:prstGeom prst="rect">
                    <a:avLst/>
                  </a:prstGeom>
                </pic:spPr>
              </pic:pic>
            </a:graphicData>
          </a:graphic>
          <wp14:sizeRelH relativeFrom="page">
            <wp14:pctWidth>0</wp14:pctWidth>
          </wp14:sizeRelH>
          <wp14:sizeRelV relativeFrom="page">
            <wp14:pctHeight>0</wp14:pctHeight>
          </wp14:sizeRelV>
        </wp:anchor>
      </w:drawing>
    </w:r>
    <w:r w:rsidR="00D926BB">
      <w:rPr>
        <w:noProof/>
      </w:rPr>
      <w:drawing>
        <wp:anchor distT="0" distB="0" distL="114300" distR="114300" simplePos="0" relativeHeight="251658241" behindDoc="0" locked="0" layoutInCell="1" allowOverlap="1" wp14:anchorId="219FE43D" wp14:editId="659D94AE">
          <wp:simplePos x="0" y="0"/>
          <wp:positionH relativeFrom="page">
            <wp:posOffset>-6985</wp:posOffset>
          </wp:positionH>
          <wp:positionV relativeFrom="paragraph">
            <wp:posOffset>-439420</wp:posOffset>
          </wp:positionV>
          <wp:extent cx="8636400" cy="147600"/>
          <wp:effectExtent l="0" t="0" r="0" b="5080"/>
          <wp:wrapNone/>
          <wp:docPr id="13809362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3626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36400" cy="14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D5DBE"/>
    <w:multiLevelType w:val="multilevel"/>
    <w:tmpl w:val="2952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AF1EB3"/>
    <w:multiLevelType w:val="hybridMultilevel"/>
    <w:tmpl w:val="BDEC9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066FDE"/>
    <w:multiLevelType w:val="hybridMultilevel"/>
    <w:tmpl w:val="CB7A8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F41778"/>
    <w:multiLevelType w:val="multilevel"/>
    <w:tmpl w:val="FBFE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EF7FD5"/>
    <w:multiLevelType w:val="hybridMultilevel"/>
    <w:tmpl w:val="EBC44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4638355">
    <w:abstractNumId w:val="3"/>
  </w:num>
  <w:num w:numId="2" w16cid:durableId="1810397354">
    <w:abstractNumId w:val="4"/>
  </w:num>
  <w:num w:numId="3" w16cid:durableId="558323818">
    <w:abstractNumId w:val="1"/>
  </w:num>
  <w:num w:numId="4" w16cid:durableId="872158897">
    <w:abstractNumId w:val="2"/>
  </w:num>
  <w:num w:numId="5" w16cid:durableId="1122656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6BB"/>
    <w:rsid w:val="000052C6"/>
    <w:rsid w:val="00012287"/>
    <w:rsid w:val="00021E5B"/>
    <w:rsid w:val="00031C9A"/>
    <w:rsid w:val="00040280"/>
    <w:rsid w:val="00042562"/>
    <w:rsid w:val="00052226"/>
    <w:rsid w:val="00054DE6"/>
    <w:rsid w:val="0007433A"/>
    <w:rsid w:val="00096088"/>
    <w:rsid w:val="00096E23"/>
    <w:rsid w:val="000B0733"/>
    <w:rsid w:val="000C114D"/>
    <w:rsid w:val="000D5A95"/>
    <w:rsid w:val="000E2731"/>
    <w:rsid w:val="00127735"/>
    <w:rsid w:val="00141D51"/>
    <w:rsid w:val="00152E7E"/>
    <w:rsid w:val="00156D48"/>
    <w:rsid w:val="001809AA"/>
    <w:rsid w:val="00187EEB"/>
    <w:rsid w:val="001A33B2"/>
    <w:rsid w:val="001C5F92"/>
    <w:rsid w:val="001D181A"/>
    <w:rsid w:val="001E5F42"/>
    <w:rsid w:val="001F0D71"/>
    <w:rsid w:val="00203BD0"/>
    <w:rsid w:val="00203E08"/>
    <w:rsid w:val="002254CB"/>
    <w:rsid w:val="00233FED"/>
    <w:rsid w:val="00240FBB"/>
    <w:rsid w:val="00243901"/>
    <w:rsid w:val="002518D6"/>
    <w:rsid w:val="00280050"/>
    <w:rsid w:val="00290ECB"/>
    <w:rsid w:val="002D51BB"/>
    <w:rsid w:val="002D6F58"/>
    <w:rsid w:val="002E7948"/>
    <w:rsid w:val="002F0BD0"/>
    <w:rsid w:val="00331FA9"/>
    <w:rsid w:val="0033674E"/>
    <w:rsid w:val="00346410"/>
    <w:rsid w:val="003B1DE1"/>
    <w:rsid w:val="003E6721"/>
    <w:rsid w:val="003F34F9"/>
    <w:rsid w:val="004463B5"/>
    <w:rsid w:val="00451250"/>
    <w:rsid w:val="004624C4"/>
    <w:rsid w:val="00467B47"/>
    <w:rsid w:val="004754B4"/>
    <w:rsid w:val="00475599"/>
    <w:rsid w:val="00477018"/>
    <w:rsid w:val="00477546"/>
    <w:rsid w:val="00486F0A"/>
    <w:rsid w:val="004B2959"/>
    <w:rsid w:val="004B3B9A"/>
    <w:rsid w:val="004B45DC"/>
    <w:rsid w:val="004B665E"/>
    <w:rsid w:val="004C72C8"/>
    <w:rsid w:val="004D2EE9"/>
    <w:rsid w:val="004D69CE"/>
    <w:rsid w:val="004E0A42"/>
    <w:rsid w:val="004F21F9"/>
    <w:rsid w:val="004F5EAE"/>
    <w:rsid w:val="0050388C"/>
    <w:rsid w:val="00503E07"/>
    <w:rsid w:val="00532062"/>
    <w:rsid w:val="0053561D"/>
    <w:rsid w:val="00536A0B"/>
    <w:rsid w:val="00547C03"/>
    <w:rsid w:val="005561A2"/>
    <w:rsid w:val="005B7686"/>
    <w:rsid w:val="005E7F53"/>
    <w:rsid w:val="005F04C0"/>
    <w:rsid w:val="005F6AFE"/>
    <w:rsid w:val="00621982"/>
    <w:rsid w:val="00625A7E"/>
    <w:rsid w:val="00662B67"/>
    <w:rsid w:val="0068245B"/>
    <w:rsid w:val="00695172"/>
    <w:rsid w:val="006A5867"/>
    <w:rsid w:val="006A7465"/>
    <w:rsid w:val="006F1887"/>
    <w:rsid w:val="006F4697"/>
    <w:rsid w:val="00715321"/>
    <w:rsid w:val="007174DF"/>
    <w:rsid w:val="00725EF5"/>
    <w:rsid w:val="00745A29"/>
    <w:rsid w:val="00747CFC"/>
    <w:rsid w:val="00761A48"/>
    <w:rsid w:val="00781391"/>
    <w:rsid w:val="00781469"/>
    <w:rsid w:val="00781B07"/>
    <w:rsid w:val="00790F60"/>
    <w:rsid w:val="007970FA"/>
    <w:rsid w:val="007A38A2"/>
    <w:rsid w:val="007B4DFA"/>
    <w:rsid w:val="007B5257"/>
    <w:rsid w:val="007B53EB"/>
    <w:rsid w:val="007F034A"/>
    <w:rsid w:val="007F2B13"/>
    <w:rsid w:val="007F3BA8"/>
    <w:rsid w:val="007F6C15"/>
    <w:rsid w:val="0082154D"/>
    <w:rsid w:val="008665C7"/>
    <w:rsid w:val="0088163E"/>
    <w:rsid w:val="00893F14"/>
    <w:rsid w:val="008C4E01"/>
    <w:rsid w:val="008D4BA7"/>
    <w:rsid w:val="008E3E0C"/>
    <w:rsid w:val="008E57CE"/>
    <w:rsid w:val="008F57E3"/>
    <w:rsid w:val="008F6300"/>
    <w:rsid w:val="00900170"/>
    <w:rsid w:val="009432C6"/>
    <w:rsid w:val="00957106"/>
    <w:rsid w:val="009829D2"/>
    <w:rsid w:val="0099638A"/>
    <w:rsid w:val="00996D5C"/>
    <w:rsid w:val="009A07F4"/>
    <w:rsid w:val="009A0B30"/>
    <w:rsid w:val="00A053DB"/>
    <w:rsid w:val="00A1232D"/>
    <w:rsid w:val="00A36D68"/>
    <w:rsid w:val="00A41B23"/>
    <w:rsid w:val="00A6446F"/>
    <w:rsid w:val="00A74308"/>
    <w:rsid w:val="00AC357A"/>
    <w:rsid w:val="00AC7D21"/>
    <w:rsid w:val="00AD400C"/>
    <w:rsid w:val="00AD4E71"/>
    <w:rsid w:val="00AD75F5"/>
    <w:rsid w:val="00AE473A"/>
    <w:rsid w:val="00AE76D9"/>
    <w:rsid w:val="00B06685"/>
    <w:rsid w:val="00B06E60"/>
    <w:rsid w:val="00B40C40"/>
    <w:rsid w:val="00B420F1"/>
    <w:rsid w:val="00B442C9"/>
    <w:rsid w:val="00B45AFF"/>
    <w:rsid w:val="00B505D8"/>
    <w:rsid w:val="00B5752A"/>
    <w:rsid w:val="00B80B82"/>
    <w:rsid w:val="00B859EB"/>
    <w:rsid w:val="00B94F63"/>
    <w:rsid w:val="00B97B7D"/>
    <w:rsid w:val="00BB24FB"/>
    <w:rsid w:val="00BC4F5C"/>
    <w:rsid w:val="00BD36E0"/>
    <w:rsid w:val="00BE5896"/>
    <w:rsid w:val="00C32C4C"/>
    <w:rsid w:val="00C34478"/>
    <w:rsid w:val="00C4388F"/>
    <w:rsid w:val="00C6262C"/>
    <w:rsid w:val="00C730C4"/>
    <w:rsid w:val="00C73F7D"/>
    <w:rsid w:val="00C75066"/>
    <w:rsid w:val="00C75E5C"/>
    <w:rsid w:val="00C84822"/>
    <w:rsid w:val="00CA6E0F"/>
    <w:rsid w:val="00CA7E8F"/>
    <w:rsid w:val="00CC2A0D"/>
    <w:rsid w:val="00CD65A5"/>
    <w:rsid w:val="00D169A0"/>
    <w:rsid w:val="00D31A09"/>
    <w:rsid w:val="00D85067"/>
    <w:rsid w:val="00D87AEB"/>
    <w:rsid w:val="00D926BB"/>
    <w:rsid w:val="00DB2F97"/>
    <w:rsid w:val="00DC53BB"/>
    <w:rsid w:val="00DF7342"/>
    <w:rsid w:val="00E11E3C"/>
    <w:rsid w:val="00E348EB"/>
    <w:rsid w:val="00E70B7D"/>
    <w:rsid w:val="00E76E67"/>
    <w:rsid w:val="00E80556"/>
    <w:rsid w:val="00E81DDF"/>
    <w:rsid w:val="00E86AE3"/>
    <w:rsid w:val="00E9404E"/>
    <w:rsid w:val="00EC52F3"/>
    <w:rsid w:val="00EF235A"/>
    <w:rsid w:val="00EF79F1"/>
    <w:rsid w:val="00F00DA5"/>
    <w:rsid w:val="00F14D6C"/>
    <w:rsid w:val="00F16081"/>
    <w:rsid w:val="00F210B0"/>
    <w:rsid w:val="00F263DA"/>
    <w:rsid w:val="00F5059D"/>
    <w:rsid w:val="00F70E11"/>
    <w:rsid w:val="00F746C0"/>
    <w:rsid w:val="00F7550E"/>
    <w:rsid w:val="00F94A8C"/>
    <w:rsid w:val="00FA0385"/>
    <w:rsid w:val="00FA1A39"/>
    <w:rsid w:val="00FB4EB2"/>
    <w:rsid w:val="00FC4412"/>
    <w:rsid w:val="00FE2445"/>
    <w:rsid w:val="1A663335"/>
    <w:rsid w:val="2D545BEC"/>
    <w:rsid w:val="4C741D24"/>
    <w:rsid w:val="6E06B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ED98A"/>
  <w15:chartTrackingRefBased/>
  <w15:docId w15:val="{66DEC975-5C20-433C-A21A-DE2ADA78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26BB"/>
    <w:pPr>
      <w:spacing w:before="120" w:after="120" w:line="276" w:lineRule="auto"/>
    </w:pPr>
    <w:rPr>
      <w:rFonts w:eastAsia="Times New Roman"/>
      <w:color w:val="000000" w:themeColor="text1"/>
      <w:kern w:val="0"/>
      <w:sz w:val="22"/>
      <w14:ligatures w14:val="none"/>
    </w:rPr>
  </w:style>
  <w:style w:type="paragraph" w:styleId="Heading1">
    <w:name w:val="heading 1"/>
    <w:next w:val="Normal"/>
    <w:link w:val="Heading1Char"/>
    <w:qFormat/>
    <w:rsid w:val="008665C7"/>
    <w:pPr>
      <w:keepNext/>
      <w:spacing w:before="240" w:after="60" w:line="240" w:lineRule="auto"/>
      <w:outlineLvl w:val="0"/>
    </w:pPr>
    <w:rPr>
      <w:rFonts w:eastAsia="Times New Roman" w:cs="Arial"/>
      <w:b/>
      <w:bCs/>
      <w:color w:val="3F4A75"/>
      <w:kern w:val="28"/>
      <w:sz w:val="44"/>
      <w:szCs w:val="36"/>
      <w14:ligatures w14:val="none"/>
    </w:rPr>
  </w:style>
  <w:style w:type="paragraph" w:styleId="Heading2">
    <w:name w:val="heading 2"/>
    <w:basedOn w:val="Normal"/>
    <w:next w:val="Normal"/>
    <w:link w:val="Heading2Char"/>
    <w:uiPriority w:val="9"/>
    <w:semiHidden/>
    <w:unhideWhenUsed/>
    <w:qFormat/>
    <w:rsid w:val="00D926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26B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26B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926B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926B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26B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26B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26B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5C7"/>
    <w:rPr>
      <w:rFonts w:eastAsia="Times New Roman" w:cs="Arial"/>
      <w:b/>
      <w:bCs/>
      <w:color w:val="3F4A75"/>
      <w:kern w:val="28"/>
      <w:sz w:val="44"/>
      <w:szCs w:val="36"/>
      <w14:ligatures w14:val="none"/>
    </w:rPr>
  </w:style>
  <w:style w:type="paragraph" w:customStyle="1" w:styleId="Style1">
    <w:name w:val="Style1"/>
    <w:next w:val="Normal"/>
    <w:rsid w:val="004B2959"/>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eastAsia="Times New Roman" w:cs="Arial"/>
      <w:color w:val="000000" w:themeColor="text1"/>
      <w:kern w:val="0"/>
      <w:sz w:val="21"/>
      <w:lang w:val="en"/>
      <w14:ligatures w14:val="none"/>
    </w:rPr>
  </w:style>
  <w:style w:type="character" w:customStyle="1" w:styleId="Heading2Char">
    <w:name w:val="Heading 2 Char"/>
    <w:basedOn w:val="DefaultParagraphFont"/>
    <w:link w:val="Heading2"/>
    <w:uiPriority w:val="9"/>
    <w:semiHidden/>
    <w:rsid w:val="00D926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26B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26B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926B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926B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926B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926B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926B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D92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926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6B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26B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926BB"/>
    <w:pPr>
      <w:spacing w:before="160"/>
      <w:jc w:val="center"/>
    </w:pPr>
    <w:rPr>
      <w:i/>
      <w:iCs/>
      <w:color w:val="404040" w:themeColor="text1" w:themeTint="BF"/>
    </w:rPr>
  </w:style>
  <w:style w:type="character" w:customStyle="1" w:styleId="QuoteChar">
    <w:name w:val="Quote Char"/>
    <w:basedOn w:val="DefaultParagraphFont"/>
    <w:link w:val="Quote"/>
    <w:uiPriority w:val="29"/>
    <w:rsid w:val="00D926BB"/>
    <w:rPr>
      <w:i/>
      <w:iCs/>
      <w:color w:val="404040" w:themeColor="text1" w:themeTint="BF"/>
    </w:rPr>
  </w:style>
  <w:style w:type="paragraph" w:styleId="ListParagraph">
    <w:name w:val="List Paragraph"/>
    <w:basedOn w:val="Normal"/>
    <w:uiPriority w:val="34"/>
    <w:qFormat/>
    <w:rsid w:val="00D926BB"/>
    <w:pPr>
      <w:ind w:left="720"/>
      <w:contextualSpacing/>
    </w:pPr>
  </w:style>
  <w:style w:type="character" w:styleId="IntenseEmphasis">
    <w:name w:val="Intense Emphasis"/>
    <w:basedOn w:val="DefaultParagraphFont"/>
    <w:uiPriority w:val="21"/>
    <w:qFormat/>
    <w:rsid w:val="00D926BB"/>
    <w:rPr>
      <w:i/>
      <w:iCs/>
      <w:color w:val="0F4761" w:themeColor="accent1" w:themeShade="BF"/>
    </w:rPr>
  </w:style>
  <w:style w:type="paragraph" w:styleId="IntenseQuote">
    <w:name w:val="Intense Quote"/>
    <w:basedOn w:val="Normal"/>
    <w:next w:val="Normal"/>
    <w:link w:val="IntenseQuoteChar"/>
    <w:uiPriority w:val="30"/>
    <w:qFormat/>
    <w:rsid w:val="00D92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6BB"/>
    <w:rPr>
      <w:i/>
      <w:iCs/>
      <w:color w:val="0F4761" w:themeColor="accent1" w:themeShade="BF"/>
    </w:rPr>
  </w:style>
  <w:style w:type="character" w:styleId="IntenseReference">
    <w:name w:val="Intense Reference"/>
    <w:basedOn w:val="DefaultParagraphFont"/>
    <w:uiPriority w:val="32"/>
    <w:qFormat/>
    <w:rsid w:val="00D926BB"/>
    <w:rPr>
      <w:b/>
      <w:bCs/>
      <w:smallCaps/>
      <w:color w:val="0F4761" w:themeColor="accent1" w:themeShade="BF"/>
      <w:spacing w:val="5"/>
    </w:rPr>
  </w:style>
  <w:style w:type="table" w:styleId="TableGrid">
    <w:name w:val="Table Grid"/>
    <w:basedOn w:val="TableNormal"/>
    <w:uiPriority w:val="39"/>
    <w:rsid w:val="00D9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26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926BB"/>
    <w:rPr>
      <w:rFonts w:eastAsia="Times New Roman"/>
      <w:color w:val="000000" w:themeColor="text1"/>
      <w:kern w:val="0"/>
      <w:sz w:val="22"/>
      <w14:ligatures w14:val="none"/>
    </w:rPr>
  </w:style>
  <w:style w:type="paragraph" w:styleId="Footer">
    <w:name w:val="footer"/>
    <w:basedOn w:val="Normal"/>
    <w:link w:val="FooterChar"/>
    <w:uiPriority w:val="99"/>
    <w:unhideWhenUsed/>
    <w:rsid w:val="00D926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926BB"/>
    <w:rPr>
      <w:rFonts w:eastAsia="Times New Roman"/>
      <w:color w:val="000000" w:themeColor="text1"/>
      <w:kern w:val="0"/>
      <w:sz w:val="22"/>
      <w14:ligatures w14:val="none"/>
    </w:rPr>
  </w:style>
  <w:style w:type="character" w:styleId="Hyperlink">
    <w:name w:val="Hyperlink"/>
    <w:basedOn w:val="DefaultParagraphFont"/>
    <w:uiPriority w:val="99"/>
    <w:qFormat/>
    <w:rsid w:val="00D926BB"/>
    <w:rPr>
      <w:color w:val="467886" w:themeColor="hyperlink"/>
      <w:u w:val="single"/>
    </w:rPr>
  </w:style>
  <w:style w:type="character" w:styleId="FollowedHyperlink">
    <w:name w:val="FollowedHyperlink"/>
    <w:basedOn w:val="DefaultParagraphFont"/>
    <w:uiPriority w:val="99"/>
    <w:semiHidden/>
    <w:unhideWhenUsed/>
    <w:rsid w:val="00625A7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yperlink" Target="https://www.health.gov.au/resources/publications/health-provider-compliance-strategy-2025-30?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yperlink" Target="https://www.health.gov.au/topics/medicare/compliance"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9DB01FF5C4A428871A80906F6FDEB" ma:contentTypeVersion="13" ma:contentTypeDescription="Create a new document." ma:contentTypeScope="" ma:versionID="98a4923bfb9628c47042bc1c8d881df4">
  <xsd:schema xmlns:xsd="http://www.w3.org/2001/XMLSchema" xmlns:xs="http://www.w3.org/2001/XMLSchema" xmlns:p="http://schemas.microsoft.com/office/2006/metadata/properties" xmlns:ns2="14169302-df0f-49ab-a6c8-52eb44d0b249" xmlns:ns3="cbc71049-cc93-4773-8029-bf7d3f962f9c" targetNamespace="http://schemas.microsoft.com/office/2006/metadata/properties" ma:root="true" ma:fieldsID="b8dfa12749e0af85c29e6c5a36af3669" ns2:_="" ns3:_="">
    <xsd:import namespace="14169302-df0f-49ab-a6c8-52eb44d0b249"/>
    <xsd:import namespace="cbc71049-cc93-4773-8029-bf7d3f962f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69302-df0f-49ab-a6c8-52eb44d0b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71049-cc93-4773-8029-bf7d3f962f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ab01b1-4804-4adc-9f70-6bbac345ca2f}" ma:internalName="TaxCatchAll" ma:showField="CatchAllData" ma:web="cbc71049-cc93-4773-8029-bf7d3f962f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169302-df0f-49ab-a6c8-52eb44d0b249">
      <Terms xmlns="http://schemas.microsoft.com/office/infopath/2007/PartnerControls"/>
    </lcf76f155ced4ddcb4097134ff3c332f>
    <TaxCatchAll xmlns="cbc71049-cc93-4773-8029-bf7d3f962f9c" xsi:nil="true"/>
  </documentManagement>
</p:properties>
</file>

<file path=customXml/itemProps1.xml><?xml version="1.0" encoding="utf-8"?>
<ds:datastoreItem xmlns:ds="http://schemas.openxmlformats.org/officeDocument/2006/customXml" ds:itemID="{4A102603-4169-4BF3-A5A2-50EBF396B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69302-df0f-49ab-a6c8-52eb44d0b249"/>
    <ds:schemaRef ds:uri="cbc71049-cc93-4773-8029-bf7d3f962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052025-EC3D-4D6E-A39C-27CFF0407107}">
  <ds:schemaRefs>
    <ds:schemaRef ds:uri="http://schemas.microsoft.com/sharepoint/v3/contenttype/forms"/>
  </ds:schemaRefs>
</ds:datastoreItem>
</file>

<file path=customXml/itemProps3.xml><?xml version="1.0" encoding="utf-8"?>
<ds:datastoreItem xmlns:ds="http://schemas.openxmlformats.org/officeDocument/2006/customXml" ds:itemID="{6598C164-8E14-4F64-88D2-EB37DA476FC6}">
  <ds:schemaRefs>
    <ds:schemaRef ds:uri="http://schemas.openxmlformats.org/officeDocument/2006/bibliography"/>
  </ds:schemaRefs>
</ds:datastoreItem>
</file>

<file path=customXml/itemProps4.xml><?xml version="1.0" encoding="utf-8"?>
<ds:datastoreItem xmlns:ds="http://schemas.openxmlformats.org/officeDocument/2006/customXml" ds:itemID="{FAB05AC8-A836-4167-89F2-B2DB55203B3D}">
  <ds:schemaRefs>
    <ds:schemaRef ds:uri="14169302-df0f-49ab-a6c8-52eb44d0b249"/>
    <ds:schemaRef ds:uri="http://purl.org/dc/dcmitype/"/>
    <ds:schemaRef ds:uri="http://purl.org/dc/elements/1.1/"/>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cbc71049-cc93-4773-8029-bf7d3f962f9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659</Words>
  <Characters>4031</Characters>
  <Application>Microsoft Office Word</Application>
  <DocSecurity>0</DocSecurity>
  <Lines>89</Lines>
  <Paragraphs>34</Paragraphs>
  <ScaleCrop>false</ScaleCrop>
  <HeadingPairs>
    <vt:vector size="2" baseType="variant">
      <vt:variant>
        <vt:lpstr>Title</vt:lpstr>
      </vt:variant>
      <vt:variant>
        <vt:i4>1</vt:i4>
      </vt:variant>
    </vt:vector>
  </HeadingPairs>
  <TitlesOfParts>
    <vt:vector size="1" baseType="lpstr">
      <vt:lpstr>Health Provider Compliance Priorities 2026</vt:lpstr>
    </vt:vector>
  </TitlesOfParts>
  <Company/>
  <LinksUpToDate>false</LinksUpToDate>
  <CharactersWithSpaces>4672</CharactersWithSpaces>
  <SharedDoc>false</SharedDoc>
  <HLinks>
    <vt:vector size="12" baseType="variant">
      <vt:variant>
        <vt:i4>4784135</vt:i4>
      </vt:variant>
      <vt:variant>
        <vt:i4>3</vt:i4>
      </vt:variant>
      <vt:variant>
        <vt:i4>0</vt:i4>
      </vt:variant>
      <vt:variant>
        <vt:i4>5</vt:i4>
      </vt:variant>
      <vt:variant>
        <vt:lpwstr>https://www.health.gov.au/topics/medicare/compliance</vt:lpwstr>
      </vt:variant>
      <vt:variant>
        <vt:lpwstr/>
      </vt:variant>
      <vt:variant>
        <vt:i4>917506</vt:i4>
      </vt:variant>
      <vt:variant>
        <vt:i4>0</vt:i4>
      </vt:variant>
      <vt:variant>
        <vt:i4>0</vt:i4>
      </vt:variant>
      <vt:variant>
        <vt:i4>5</vt:i4>
      </vt:variant>
      <vt:variant>
        <vt:lpwstr>https://www.health.gov.au/resources/publications/health-provider-compliance-strategy-2025-30?language=en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Provider Compliance Priorities 2026</dc:title>
  <dc:subject>Medicare</dc:subject>
  <dc:creator>Australian Government, Department of Health, Disability and Ageing</dc:creator>
  <cp:keywords>Medicare</cp:keywords>
  <dc:description/>
  <cp:revision>4</cp:revision>
  <dcterms:created xsi:type="dcterms:W3CDTF">2026-02-17T05:56:00Z</dcterms:created>
  <dcterms:modified xsi:type="dcterms:W3CDTF">2026-03-25T04:39:00Z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32c91c27,6eae3820,3798e464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e897d4,c9bd6e5,13c202c9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2026-02-13T04:57:23Z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83fa7b39-10b4-4b25-9d8e-48f1fdeb8390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0x0101004F39DB01FF5C4A428871A80906F6FDEB</vt:lpwstr>
  </property>
  <property fmtid="{D5CDD505-2E9C-101B-9397-08002B2CF9AE}" pid="17" name="MediaServiceImageTags">
    <vt:lpwstr/>
  </property>
</Properties>
</file>