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7CD9" w14:textId="668D3CD3" w:rsidR="00BA2732" w:rsidRDefault="00BE73BC" w:rsidP="003D033A">
      <w:pPr>
        <w:pStyle w:val="Title"/>
      </w:pPr>
      <w:r>
        <w:t>Client Relocations – Quick Guide</w:t>
      </w:r>
    </w:p>
    <w:p w14:paraId="32957204" w14:textId="7AA622A8" w:rsidR="00B53987" w:rsidRPr="00B23D4C" w:rsidRDefault="00134534" w:rsidP="00B23D4C">
      <w:r w:rsidRPr="00B23D4C">
        <w:t>March 2026</w:t>
      </w:r>
    </w:p>
    <w:p w14:paraId="2A43CD7C" w14:textId="19A85F9B" w:rsidR="00FA02BB" w:rsidRPr="00B23D4C" w:rsidRDefault="00134534" w:rsidP="00D60EF6">
      <w:pPr>
        <w:pStyle w:val="Heading1"/>
      </w:pPr>
      <w:r w:rsidRPr="00B23D4C">
        <w:t>Purpose</w:t>
      </w:r>
    </w:p>
    <w:p w14:paraId="2ADC92B2" w14:textId="1055E14C" w:rsidR="005F11C9" w:rsidRPr="00B23D4C" w:rsidRDefault="005F11C9" w:rsidP="00B23D4C">
      <w:r w:rsidRPr="00B23D4C">
        <w:t xml:space="preserve">This guide provides information for contracted hearing service providers regarding their obligations when managing relocations of clients under the Australian Government Hearing Services Program. It references legislative requirements, provider responsibilities, timelines and correct processes for transferring program client records </w:t>
      </w:r>
    </w:p>
    <w:p w14:paraId="1C63C22F" w14:textId="6573691D" w:rsidR="00DF0C60" w:rsidRPr="00B23D4C" w:rsidRDefault="005F11C9" w:rsidP="00D60EF6">
      <w:pPr>
        <w:pStyle w:val="Heading1"/>
      </w:pPr>
      <w:r w:rsidRPr="00B23D4C">
        <w:t>Client Records</w:t>
      </w:r>
    </w:p>
    <w:p w14:paraId="1E8E301F" w14:textId="77777777" w:rsidR="00FB27AA" w:rsidRPr="00B23D4C" w:rsidRDefault="00FB27AA" w:rsidP="00B23D4C">
      <w:r w:rsidRPr="00B23D4C">
        <w:t>A client record is the complete collection of information a service provider keeps about a program client.  It contains all documentation needed to:</w:t>
      </w:r>
    </w:p>
    <w:p w14:paraId="4FD8D6C0" w14:textId="264D329A" w:rsidR="00FB27AA" w:rsidRPr="009716AC" w:rsidRDefault="00FB27AA" w:rsidP="00B23D4C">
      <w:pPr>
        <w:pStyle w:val="ListBullet"/>
      </w:pPr>
      <w:r>
        <w:t xml:space="preserve">Support program clients ongoing hearing </w:t>
      </w:r>
      <w:r w:rsidR="009F2BFE">
        <w:t>care.</w:t>
      </w:r>
    </w:p>
    <w:p w14:paraId="4CB35426" w14:textId="604F90F4" w:rsidR="00FB27AA" w:rsidRDefault="00FB27AA" w:rsidP="00B23D4C">
      <w:pPr>
        <w:pStyle w:val="ListBullet"/>
      </w:pPr>
      <w:r>
        <w:t xml:space="preserve">A complete client record must substantiate all claims and services delivered under the </w:t>
      </w:r>
      <w:r w:rsidR="009F2BFE">
        <w:t>program.</w:t>
      </w:r>
    </w:p>
    <w:p w14:paraId="16B00BD3" w14:textId="41FDABAF" w:rsidR="00FB27AA" w:rsidRDefault="00FB27AA" w:rsidP="00B23D4C">
      <w:pPr>
        <w:pStyle w:val="ListBullet"/>
      </w:pPr>
      <w:r>
        <w:t xml:space="preserve">A complete record can include clinical notes, test results, forms, device details, NOAH data, consents, correspondence and evidence supporting </w:t>
      </w:r>
      <w:r w:rsidR="009F2BFE">
        <w:t>claims.</w:t>
      </w:r>
    </w:p>
    <w:p w14:paraId="7AC26535" w14:textId="4678C139" w:rsidR="00FB27AA" w:rsidRDefault="00FB27AA" w:rsidP="00B23D4C">
      <w:pPr>
        <w:pStyle w:val="ListBullet"/>
      </w:pPr>
      <w:r>
        <w:t xml:space="preserve">A client record must be complete, legible, accurate, and </w:t>
      </w:r>
      <w:r w:rsidR="009F2BFE">
        <w:t>current.</w:t>
      </w:r>
    </w:p>
    <w:p w14:paraId="0EB18E01" w14:textId="30E38642" w:rsidR="00FB27AA" w:rsidRPr="0053138F" w:rsidRDefault="00FB27AA" w:rsidP="00B23D4C">
      <w:pPr>
        <w:pStyle w:val="ListBullet"/>
        <w:rPr>
          <w:lang w:eastAsia="en-AU"/>
        </w:rPr>
      </w:pPr>
      <w:r w:rsidRPr="0CF1EFCB">
        <w:rPr>
          <w:lang w:eastAsia="en-AU"/>
        </w:rPr>
        <w:t xml:space="preserve">All client records are </w:t>
      </w:r>
      <w:r w:rsidRPr="00B23D4C">
        <w:rPr>
          <w:rStyle w:val="Strong"/>
        </w:rPr>
        <w:t>Commonwealth property</w:t>
      </w:r>
      <w:r w:rsidRPr="0CF1EFCB">
        <w:rPr>
          <w:lang w:eastAsia="en-AU"/>
        </w:rPr>
        <w:t xml:space="preserve">. Providers are temporary custodians of client </w:t>
      </w:r>
      <w:r w:rsidR="009F2BFE" w:rsidRPr="0CF1EFCB">
        <w:rPr>
          <w:lang w:eastAsia="en-AU"/>
        </w:rPr>
        <w:t>records.</w:t>
      </w:r>
      <w:r w:rsidRPr="0CF1EFCB">
        <w:rPr>
          <w:lang w:eastAsia="en-AU"/>
        </w:rPr>
        <w:t xml:space="preserve"> </w:t>
      </w:r>
    </w:p>
    <w:p w14:paraId="4CA177A2" w14:textId="77777777" w:rsidR="00FB27AA" w:rsidRPr="00B23D4C" w:rsidRDefault="00FB27AA" w:rsidP="00B23D4C">
      <w:pPr>
        <w:pStyle w:val="ListBullet"/>
      </w:pPr>
      <w:r w:rsidRPr="00B23D4C">
        <w:t>The provider currently linked to the client is responsible for managing, securing, updating, and transferring the record.</w:t>
      </w:r>
    </w:p>
    <w:p w14:paraId="40F4080F" w14:textId="6434D06D" w:rsidR="001A67F6" w:rsidRPr="00B23D4C" w:rsidRDefault="001A67F6" w:rsidP="00D60EF6">
      <w:pPr>
        <w:pStyle w:val="Heading1"/>
      </w:pPr>
      <w:r w:rsidRPr="00B23D4C">
        <w:t>Relocation Process</w:t>
      </w:r>
    </w:p>
    <w:p w14:paraId="2A5728A9" w14:textId="5C187441" w:rsidR="00C10331" w:rsidRPr="00B23D4C" w:rsidRDefault="00C10331" w:rsidP="00B23D4C">
      <w:pPr>
        <w:pStyle w:val="ListBullet"/>
      </w:pPr>
      <w:r w:rsidRPr="00B23D4C">
        <w:t xml:space="preserve">Clients can relocate at any time with </w:t>
      </w:r>
      <w:r w:rsidRPr="00C778BE">
        <w:rPr>
          <w:rStyle w:val="Strong"/>
        </w:rPr>
        <w:t>informed consent</w:t>
      </w:r>
      <w:r w:rsidRPr="00B23D4C">
        <w:t xml:space="preserve"> (from client or legal guardian/Power of Attorney (POA</w:t>
      </w:r>
      <w:r w:rsidR="009F2BFE" w:rsidRPr="00B23D4C">
        <w:t>).</w:t>
      </w:r>
    </w:p>
    <w:p w14:paraId="6CBFB202" w14:textId="0ABE2266" w:rsidR="00C10331" w:rsidRPr="00B23D4C" w:rsidRDefault="00C10331" w:rsidP="00B23D4C">
      <w:pPr>
        <w:pStyle w:val="ListBullet"/>
      </w:pPr>
      <w:r w:rsidRPr="00B23D4C">
        <w:t xml:space="preserve">A copy of this consent must be included on the client </w:t>
      </w:r>
      <w:r w:rsidR="009F2BFE" w:rsidRPr="00B23D4C">
        <w:t>file.</w:t>
      </w:r>
    </w:p>
    <w:p w14:paraId="111CF608" w14:textId="77777777" w:rsidR="00C10331" w:rsidRPr="00B23D4C" w:rsidRDefault="00C10331" w:rsidP="00B23D4C">
      <w:pPr>
        <w:pStyle w:val="ListBullet"/>
      </w:pPr>
      <w:r w:rsidRPr="00B23D4C">
        <w:t xml:space="preserve">Once a relocation request is lodged in the online portal, the </w:t>
      </w:r>
      <w:r w:rsidRPr="00C778BE">
        <w:rPr>
          <w:rStyle w:val="Strong"/>
        </w:rPr>
        <w:t>old provider has 7 business days</w:t>
      </w:r>
      <w:r w:rsidRPr="00B23D4C">
        <w:t xml:space="preserve"> to send the complete record to the new provider.</w:t>
      </w:r>
    </w:p>
    <w:p w14:paraId="2668BC41" w14:textId="77777777" w:rsidR="00633D73" w:rsidRPr="00B23D4C" w:rsidRDefault="00633D73" w:rsidP="00D60EF6">
      <w:pPr>
        <w:pStyle w:val="Heading2"/>
      </w:pPr>
      <w:r w:rsidRPr="00B23D4C">
        <w:t>Requesting (New) Provider Responsibilities</w:t>
      </w:r>
    </w:p>
    <w:p w14:paraId="6BB8EE77" w14:textId="3913D1CF" w:rsidR="00692F86" w:rsidRPr="009A6C9F" w:rsidRDefault="00692F86" w:rsidP="00B23D4C">
      <w:pPr>
        <w:pStyle w:val="ListBullet"/>
        <w:rPr>
          <w:lang w:eastAsia="en-AU"/>
        </w:rPr>
      </w:pPr>
      <w:r w:rsidRPr="0CF1EFCB">
        <w:rPr>
          <w:lang w:eastAsia="en-AU"/>
        </w:rPr>
        <w:t xml:space="preserve">Must ensure site details including address and contact information listed on the portal are </w:t>
      </w:r>
      <w:r w:rsidR="009F2BFE" w:rsidRPr="0CF1EFCB">
        <w:rPr>
          <w:lang w:eastAsia="en-AU"/>
        </w:rPr>
        <w:t>correct.</w:t>
      </w:r>
    </w:p>
    <w:p w14:paraId="30A148F6" w14:textId="17674A5F" w:rsidR="00692F86" w:rsidRPr="009A6C9F" w:rsidRDefault="00692F86" w:rsidP="00B23D4C">
      <w:pPr>
        <w:pStyle w:val="ListBullet"/>
        <w:rPr>
          <w:lang w:eastAsia="en-AU"/>
        </w:rPr>
      </w:pPr>
      <w:r w:rsidRPr="0CF1EFCB">
        <w:rPr>
          <w:lang w:eastAsia="en-AU"/>
        </w:rPr>
        <w:t xml:space="preserve">Must check the received record for completeness and </w:t>
      </w:r>
      <w:r w:rsidR="009F2BFE" w:rsidRPr="0CF1EFCB">
        <w:rPr>
          <w:lang w:eastAsia="en-AU"/>
        </w:rPr>
        <w:t>timeliness.</w:t>
      </w:r>
    </w:p>
    <w:p w14:paraId="3678D76A" w14:textId="77777777" w:rsidR="00692F86" w:rsidRPr="009A6C9F" w:rsidRDefault="00692F86" w:rsidP="00B23D4C">
      <w:pPr>
        <w:pStyle w:val="ListBullet"/>
        <w:rPr>
          <w:lang w:eastAsia="en-AU"/>
        </w:rPr>
      </w:pPr>
      <w:r w:rsidRPr="0CF1EFCB">
        <w:rPr>
          <w:lang w:eastAsia="en-AU"/>
        </w:rPr>
        <w:t xml:space="preserve">If not received within 7 business days, the new provider must: </w:t>
      </w:r>
    </w:p>
    <w:p w14:paraId="54ECD360" w14:textId="6F16FED6" w:rsidR="00692F86" w:rsidRPr="00B23D4C" w:rsidRDefault="00692F86" w:rsidP="00B23D4C">
      <w:pPr>
        <w:pStyle w:val="ListBullet"/>
      </w:pPr>
      <w:r w:rsidRPr="00B23D4C">
        <w:lastRenderedPageBreak/>
        <w:t xml:space="preserve">Follow up with the previous provider in the first </w:t>
      </w:r>
      <w:r w:rsidR="009F2BFE" w:rsidRPr="00B23D4C">
        <w:t>instance.</w:t>
      </w:r>
    </w:p>
    <w:p w14:paraId="1C75E9DC" w14:textId="77777777" w:rsidR="00692F86" w:rsidRPr="00B23D4C" w:rsidRDefault="00692F86" w:rsidP="00B23D4C">
      <w:pPr>
        <w:pStyle w:val="ListBullet"/>
      </w:pPr>
      <w:r w:rsidRPr="00B23D4C">
        <w:t>If still not resolved after another 7 business days, contact the Program - You are responsible for the record from the day of relocation unless you inform the Program of any issues.</w:t>
      </w:r>
    </w:p>
    <w:p w14:paraId="2277BDB3" w14:textId="5128FD6D" w:rsidR="00F549FD" w:rsidRPr="00B23D4C" w:rsidRDefault="00F549FD" w:rsidP="00D60EF6">
      <w:pPr>
        <w:pStyle w:val="Heading2"/>
      </w:pPr>
      <w:r w:rsidRPr="00B23D4C">
        <w:t>Sending (Old) Provider Responsibilities</w:t>
      </w:r>
    </w:p>
    <w:p w14:paraId="30219BBE" w14:textId="241134D3" w:rsidR="00494224" w:rsidRPr="009A6C9F" w:rsidRDefault="00494224" w:rsidP="00B23D4C">
      <w:pPr>
        <w:pStyle w:val="ListBullet"/>
        <w:rPr>
          <w:lang w:eastAsia="en-AU"/>
        </w:rPr>
      </w:pPr>
      <w:r w:rsidRPr="0CF1EFCB">
        <w:rPr>
          <w:lang w:eastAsia="en-AU"/>
        </w:rPr>
        <w:t xml:space="preserve">Must review the record for completeness before </w:t>
      </w:r>
      <w:r w:rsidR="009F2BFE" w:rsidRPr="0CF1EFCB">
        <w:rPr>
          <w:lang w:eastAsia="en-AU"/>
        </w:rPr>
        <w:t>sending.</w:t>
      </w:r>
    </w:p>
    <w:p w14:paraId="14608757" w14:textId="38522186" w:rsidR="00494224" w:rsidRDefault="00494224" w:rsidP="00B23D4C">
      <w:pPr>
        <w:pStyle w:val="ListBullet"/>
        <w:rPr>
          <w:lang w:eastAsia="en-AU"/>
        </w:rPr>
      </w:pPr>
      <w:r w:rsidRPr="0CF1EFCB">
        <w:rPr>
          <w:lang w:eastAsia="en-AU"/>
        </w:rPr>
        <w:t xml:space="preserve">Must send within 7 business </w:t>
      </w:r>
      <w:r w:rsidR="009F2BFE" w:rsidRPr="0CF1EFCB">
        <w:rPr>
          <w:lang w:eastAsia="en-AU"/>
        </w:rPr>
        <w:t>days.</w:t>
      </w:r>
    </w:p>
    <w:p w14:paraId="145D3E7C" w14:textId="61C1F61D" w:rsidR="004F7B13" w:rsidRPr="00B23D4C" w:rsidRDefault="004F7B13" w:rsidP="00B23D4C">
      <w:pPr>
        <w:pStyle w:val="ListBullet"/>
      </w:pPr>
      <w:r w:rsidRPr="00B23D4C">
        <w:t>Submit all outstanding claims within 20 business days</w:t>
      </w:r>
      <w:r w:rsidR="007B0D7B" w:rsidRPr="00B23D4C">
        <w:t xml:space="preserve"> of the relocation date</w:t>
      </w:r>
    </w:p>
    <w:p w14:paraId="5634DABD" w14:textId="77777777" w:rsidR="00494224" w:rsidRPr="009A6C9F" w:rsidRDefault="00494224" w:rsidP="00B23D4C">
      <w:pPr>
        <w:pStyle w:val="ListBullet"/>
        <w:rPr>
          <w:lang w:eastAsia="en-AU"/>
        </w:rPr>
      </w:pPr>
      <w:r w:rsidRPr="0CF1EFCB">
        <w:rPr>
          <w:lang w:eastAsia="en-AU"/>
        </w:rPr>
        <w:t xml:space="preserve">Cannot withhold the record for reasons such as: </w:t>
      </w:r>
    </w:p>
    <w:p w14:paraId="44B85F19" w14:textId="78013AD5" w:rsidR="00494224" w:rsidRPr="009A6C9F" w:rsidRDefault="00494224" w:rsidP="00B23D4C">
      <w:pPr>
        <w:pStyle w:val="ListBullet2"/>
        <w:rPr>
          <w:lang w:eastAsia="en-AU"/>
        </w:rPr>
      </w:pPr>
      <w:r w:rsidRPr="0CF1EFCB">
        <w:rPr>
          <w:lang w:eastAsia="en-AU"/>
        </w:rPr>
        <w:t xml:space="preserve">Not having seen the </w:t>
      </w:r>
      <w:r w:rsidR="009F2BFE" w:rsidRPr="0CF1EFCB">
        <w:rPr>
          <w:lang w:eastAsia="en-AU"/>
        </w:rPr>
        <w:t>client.</w:t>
      </w:r>
    </w:p>
    <w:p w14:paraId="70252522" w14:textId="036D9A6A" w:rsidR="00494224" w:rsidRPr="009A6C9F" w:rsidRDefault="00494224" w:rsidP="00B23D4C">
      <w:pPr>
        <w:pStyle w:val="ListBullet2"/>
        <w:rPr>
          <w:lang w:eastAsia="en-AU"/>
        </w:rPr>
      </w:pPr>
      <w:r w:rsidRPr="0CF1EFCB">
        <w:rPr>
          <w:lang w:eastAsia="en-AU"/>
        </w:rPr>
        <w:t xml:space="preserve">Record stored at head </w:t>
      </w:r>
      <w:r w:rsidR="009F2BFE" w:rsidRPr="0CF1EFCB">
        <w:rPr>
          <w:lang w:eastAsia="en-AU"/>
        </w:rPr>
        <w:t>office.</w:t>
      </w:r>
    </w:p>
    <w:p w14:paraId="5C0E8E7F" w14:textId="55A13624" w:rsidR="00494224" w:rsidRPr="009A6C9F" w:rsidRDefault="00494224" w:rsidP="00B23D4C">
      <w:pPr>
        <w:pStyle w:val="ListBullet2"/>
        <w:rPr>
          <w:lang w:eastAsia="en-AU"/>
        </w:rPr>
      </w:pPr>
      <w:r w:rsidRPr="0CF1EFCB">
        <w:rPr>
          <w:lang w:eastAsia="en-AU"/>
        </w:rPr>
        <w:t xml:space="preserve">The client having outstanding </w:t>
      </w:r>
      <w:r w:rsidR="009F2BFE" w:rsidRPr="0CF1EFCB">
        <w:rPr>
          <w:lang w:eastAsia="en-AU"/>
        </w:rPr>
        <w:t>debts.</w:t>
      </w:r>
    </w:p>
    <w:p w14:paraId="357D95CC" w14:textId="416B9D62" w:rsidR="00494224" w:rsidRPr="009A6C9F" w:rsidRDefault="00494224" w:rsidP="00B23D4C">
      <w:pPr>
        <w:pStyle w:val="ListBullet2"/>
        <w:rPr>
          <w:lang w:eastAsia="en-AU"/>
        </w:rPr>
      </w:pPr>
      <w:r w:rsidRPr="0CF1EFCB">
        <w:rPr>
          <w:lang w:eastAsia="en-AU"/>
        </w:rPr>
        <w:t xml:space="preserve">The record being </w:t>
      </w:r>
      <w:r w:rsidR="009F2BFE" w:rsidRPr="0CF1EFCB">
        <w:rPr>
          <w:lang w:eastAsia="en-AU"/>
        </w:rPr>
        <w:t>archived.</w:t>
      </w:r>
    </w:p>
    <w:p w14:paraId="2DE89006" w14:textId="77777777" w:rsidR="00494224" w:rsidRDefault="00494224" w:rsidP="00B23D4C">
      <w:pPr>
        <w:pStyle w:val="ListBullet2"/>
        <w:rPr>
          <w:lang w:eastAsia="en-AU"/>
        </w:rPr>
      </w:pPr>
      <w:r w:rsidRPr="0CF1EFCB">
        <w:rPr>
          <w:lang w:eastAsia="en-AU"/>
        </w:rPr>
        <w:t>Must notify the program if there are delays in sending the file.</w:t>
      </w:r>
    </w:p>
    <w:p w14:paraId="58B7D954" w14:textId="77777777" w:rsidR="00DB7A69" w:rsidRPr="00B23D4C" w:rsidRDefault="00DB7A69" w:rsidP="00D60EF6">
      <w:pPr>
        <w:pStyle w:val="Heading1"/>
      </w:pPr>
      <w:r w:rsidRPr="00B23D4C">
        <w:t>Service Provider Queries &amp; Common Issues</w:t>
      </w:r>
    </w:p>
    <w:p w14:paraId="4DFACFEA" w14:textId="77777777" w:rsidR="00E82899" w:rsidRPr="00552C89" w:rsidRDefault="00E82899" w:rsidP="00B23D4C">
      <w:pPr>
        <w:pStyle w:val="ListBullet"/>
        <w:rPr>
          <w:lang w:eastAsia="en-AU"/>
        </w:rPr>
      </w:pPr>
      <w:r w:rsidRPr="0CF1EFCB">
        <w:rPr>
          <w:lang w:eastAsia="en-AU"/>
        </w:rPr>
        <w:t>Missing information in the client record – follow up old provider → notify program if unresolved.</w:t>
      </w:r>
    </w:p>
    <w:p w14:paraId="2A071FF2" w14:textId="77777777" w:rsidR="00E82899" w:rsidRPr="00552C89" w:rsidRDefault="00E82899" w:rsidP="00B23D4C">
      <w:pPr>
        <w:pStyle w:val="ListBullet"/>
        <w:rPr>
          <w:lang w:eastAsia="en-AU"/>
        </w:rPr>
      </w:pPr>
      <w:r w:rsidRPr="0CF1EFCB">
        <w:rPr>
          <w:lang w:eastAsia="en-AU"/>
        </w:rPr>
        <w:t>Incomplete record – identify missing components → follow up old provider → notify program if unresolved.</w:t>
      </w:r>
    </w:p>
    <w:p w14:paraId="6E615BE1" w14:textId="77777777" w:rsidR="00E82899" w:rsidRPr="00B23D4C" w:rsidRDefault="00E82899" w:rsidP="00B23D4C">
      <w:pPr>
        <w:pStyle w:val="ListBullet"/>
      </w:pPr>
      <w:r w:rsidRPr="00B23D4C">
        <w:t xml:space="preserve">Old provider says they don’t have the file – treated as possible data breach please refer to </w:t>
      </w:r>
      <w:hyperlink r:id="rId11">
        <w:r w:rsidRPr="00B23D4C">
          <w:rPr>
            <w:rStyle w:val="Hyperlink"/>
          </w:rPr>
          <w:t>Section 33 of the Schedule of Service Items and Fees (2025-26)</w:t>
        </w:r>
      </w:hyperlink>
      <w:r w:rsidRPr="00B23D4C">
        <w:t xml:space="preserve"> for next steps </w:t>
      </w:r>
    </w:p>
    <w:p w14:paraId="280EC631" w14:textId="77777777" w:rsidR="00E82899" w:rsidRPr="00B23D4C" w:rsidRDefault="00E82899" w:rsidP="00B23D4C">
      <w:pPr>
        <w:pStyle w:val="ListBullet"/>
      </w:pPr>
      <w:r w:rsidRPr="00B23D4C">
        <w:t>A provider emails an unencrypted file to another provider. This is a potential data breach and must be reported per program requirements (refer above).</w:t>
      </w:r>
    </w:p>
    <w:p w14:paraId="59D61E97" w14:textId="77777777" w:rsidR="00E82899" w:rsidRPr="00B23D4C" w:rsidRDefault="00E82899" w:rsidP="00B23D4C">
      <w:pPr>
        <w:pStyle w:val="ListBullet"/>
      </w:pPr>
      <w:r w:rsidRPr="00B23D4C">
        <w:t>What if a client record is stored offsite at our head office. Providers must still provide the record within 7 business days and estimate delivery time if archived or held offsite.</w:t>
      </w:r>
    </w:p>
    <w:p w14:paraId="06606A10" w14:textId="77777777" w:rsidR="00E82899" w:rsidRPr="00B23D4C" w:rsidRDefault="00E82899" w:rsidP="00B23D4C">
      <w:pPr>
        <w:pStyle w:val="ListBullet"/>
      </w:pPr>
      <w:r w:rsidRPr="00B23D4C">
        <w:t xml:space="preserve">If you send files by mail, ensure they are sent via registered </w:t>
      </w:r>
      <w:proofErr w:type="gramStart"/>
      <w:r w:rsidRPr="00B23D4C">
        <w:t>post</w:t>
      </w:r>
      <w:proofErr w:type="gramEnd"/>
      <w:r w:rsidRPr="00B23D4C">
        <w:t xml:space="preserve"> and you keep a copy of the tracking number until confirmation is received that the file has been received</w:t>
      </w:r>
    </w:p>
    <w:p w14:paraId="3BD1AE2C" w14:textId="77777777" w:rsidR="00E82899" w:rsidRPr="00B23D4C" w:rsidRDefault="00E82899" w:rsidP="00D60EF6">
      <w:pPr>
        <w:pStyle w:val="Heading1"/>
      </w:pPr>
      <w:r w:rsidRPr="00B23D4C">
        <w:t>Legislation &amp; Compliance</w:t>
      </w:r>
    </w:p>
    <w:p w14:paraId="761396F6" w14:textId="77777777" w:rsidR="00E82899" w:rsidRDefault="00E82899" w:rsidP="00B23D4C">
      <w:pPr>
        <w:pStyle w:val="ListBullet"/>
        <w:rPr>
          <w:lang w:eastAsia="en-AU"/>
        </w:rPr>
      </w:pPr>
      <w:hyperlink r:id="rId12">
        <w:r w:rsidRPr="0CF1EFCB">
          <w:rPr>
            <w:rStyle w:val="Hyperlink"/>
            <w:lang w:eastAsia="en-AU"/>
          </w:rPr>
          <w:t>Hearing Services (Voucher) Instrument 2019</w:t>
        </w:r>
      </w:hyperlink>
    </w:p>
    <w:p w14:paraId="6893586C" w14:textId="77777777" w:rsidR="00E82899" w:rsidRDefault="00E82899" w:rsidP="00B23D4C">
      <w:pPr>
        <w:pStyle w:val="ListBullet2"/>
        <w:rPr>
          <w:lang w:eastAsia="en-AU"/>
        </w:rPr>
      </w:pPr>
      <w:r w:rsidRPr="0CF1EFCB">
        <w:rPr>
          <w:lang w:eastAsia="en-AU"/>
        </w:rPr>
        <w:t>Section 26 – Records - addresses client record creation and management</w:t>
      </w:r>
    </w:p>
    <w:p w14:paraId="77B40737" w14:textId="77777777" w:rsidR="00E82899" w:rsidRPr="00C96354" w:rsidRDefault="00E82899" w:rsidP="00B23D4C">
      <w:pPr>
        <w:pStyle w:val="ListBullet2"/>
        <w:rPr>
          <w:lang w:eastAsia="en-AU"/>
        </w:rPr>
      </w:pPr>
      <w:r w:rsidRPr="0CF1EFCB">
        <w:rPr>
          <w:lang w:eastAsia="en-AU"/>
        </w:rPr>
        <w:t xml:space="preserve">Section 35 – Voucher holders relocating between contracted service providers </w:t>
      </w:r>
    </w:p>
    <w:p w14:paraId="5085BCF8" w14:textId="77777777" w:rsidR="00E82899" w:rsidRDefault="00E82899" w:rsidP="00B23D4C">
      <w:pPr>
        <w:pStyle w:val="ListBullet"/>
        <w:rPr>
          <w:lang w:eastAsia="en-AU"/>
        </w:rPr>
      </w:pPr>
      <w:hyperlink r:id="rId13">
        <w:r w:rsidRPr="0CF1EFCB">
          <w:rPr>
            <w:rStyle w:val="Hyperlink"/>
            <w:lang w:eastAsia="en-AU"/>
          </w:rPr>
          <w:t>Service Provider Contract</w:t>
        </w:r>
      </w:hyperlink>
    </w:p>
    <w:p w14:paraId="35AF56D4" w14:textId="77777777" w:rsidR="00E82899" w:rsidRDefault="00E82899" w:rsidP="00B23D4C">
      <w:pPr>
        <w:pStyle w:val="ListBullet2"/>
        <w:rPr>
          <w:lang w:eastAsia="en-AU"/>
        </w:rPr>
      </w:pPr>
      <w:r w:rsidRPr="0CF1EFCB">
        <w:rPr>
          <w:lang w:eastAsia="en-AU"/>
        </w:rPr>
        <w:t>Clause 11 – records and documentation</w:t>
      </w:r>
    </w:p>
    <w:p w14:paraId="22A2C99A" w14:textId="77777777" w:rsidR="00E82899" w:rsidRDefault="00E82899" w:rsidP="00B23D4C">
      <w:pPr>
        <w:pStyle w:val="ListBullet2"/>
        <w:rPr>
          <w:lang w:eastAsia="en-AU"/>
        </w:rPr>
      </w:pPr>
      <w:r w:rsidRPr="0CF1EFCB">
        <w:rPr>
          <w:lang w:eastAsia="en-AU"/>
        </w:rPr>
        <w:t>Clause 17 – custody and access</w:t>
      </w:r>
    </w:p>
    <w:p w14:paraId="5A1CD077" w14:textId="77777777" w:rsidR="00E82899" w:rsidRPr="00C96354" w:rsidRDefault="00E82899" w:rsidP="00B23D4C">
      <w:pPr>
        <w:pStyle w:val="ListBullet2"/>
        <w:rPr>
          <w:lang w:eastAsia="en-AU"/>
        </w:rPr>
      </w:pPr>
      <w:r w:rsidRPr="0CF1EFCB">
        <w:rPr>
          <w:lang w:eastAsia="en-AU"/>
        </w:rPr>
        <w:t>Schedule A, Item C – a relocations policy must be in place</w:t>
      </w:r>
    </w:p>
    <w:p w14:paraId="1E7655ED" w14:textId="77777777" w:rsidR="00E82899" w:rsidRDefault="00E82899" w:rsidP="00B23D4C">
      <w:pPr>
        <w:pStyle w:val="ListBullet"/>
        <w:rPr>
          <w:lang w:eastAsia="en-AU"/>
        </w:rPr>
      </w:pPr>
      <w:hyperlink r:id="rId14">
        <w:r w:rsidRPr="0CF1EFCB">
          <w:rPr>
            <w:rStyle w:val="Hyperlink"/>
            <w:lang w:eastAsia="en-AU"/>
          </w:rPr>
          <w:t>Schedule of Service Items and Fees 2025-26</w:t>
        </w:r>
      </w:hyperlink>
    </w:p>
    <w:p w14:paraId="3CCB1FC4" w14:textId="77777777" w:rsidR="00E82899" w:rsidRPr="00C96354" w:rsidRDefault="00E82899" w:rsidP="00B23D4C">
      <w:pPr>
        <w:pStyle w:val="ListBullet2"/>
        <w:rPr>
          <w:lang w:eastAsia="en-AU"/>
        </w:rPr>
      </w:pPr>
      <w:r w:rsidRPr="0CF1EFCB">
        <w:rPr>
          <w:lang w:eastAsia="en-AU"/>
        </w:rPr>
        <w:t>Section 17 – client consent and agreement</w:t>
      </w:r>
    </w:p>
    <w:p w14:paraId="578E84A8" w14:textId="77777777" w:rsidR="00E82899" w:rsidRDefault="00E82899" w:rsidP="00B23D4C">
      <w:pPr>
        <w:pStyle w:val="ListBullet2"/>
      </w:pPr>
      <w:r w:rsidRPr="0CF1EFCB">
        <w:t>Section 18 – ownership and custody of client records</w:t>
      </w:r>
    </w:p>
    <w:p w14:paraId="6B066D95" w14:textId="6CA7C665" w:rsidR="009040E9" w:rsidRPr="009040E9" w:rsidRDefault="00E82899" w:rsidP="00B23D4C">
      <w:pPr>
        <w:pStyle w:val="ListBullet2"/>
      </w:pPr>
      <w:r w:rsidRPr="0CF1EFCB">
        <w:t>Section 30 – transferring a client record to a new provider</w:t>
      </w:r>
    </w:p>
    <w:sectPr w:rsidR="009040E9" w:rsidRPr="009040E9" w:rsidSect="00C92E13">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247"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65CA" w14:textId="77777777" w:rsidR="000B3198" w:rsidRDefault="000B3198" w:rsidP="006B56BB">
      <w:r>
        <w:separator/>
      </w:r>
    </w:p>
    <w:p w14:paraId="0FDCCC8E" w14:textId="77777777" w:rsidR="000B3198" w:rsidRDefault="000B3198"/>
  </w:endnote>
  <w:endnote w:type="continuationSeparator" w:id="0">
    <w:p w14:paraId="2BFAD9FD" w14:textId="77777777" w:rsidR="000B3198" w:rsidRDefault="000B3198" w:rsidP="006B56BB">
      <w:r>
        <w:continuationSeparator/>
      </w:r>
    </w:p>
    <w:p w14:paraId="51897AC7" w14:textId="77777777" w:rsidR="000B3198" w:rsidRDefault="000B3198"/>
  </w:endnote>
  <w:endnote w:type="continuationNotice" w:id="1">
    <w:p w14:paraId="59DDC75B" w14:textId="77777777" w:rsidR="000B3198" w:rsidRDefault="000B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143" w14:textId="58F137D0" w:rsidR="00507D3B" w:rsidRDefault="00507D3B">
    <w:pPr>
      <w:pStyle w:val="Footer"/>
    </w:pPr>
    <w:r>
      <w:rPr>
        <w:noProof/>
      </w:rPr>
      <mc:AlternateContent>
        <mc:Choice Requires="wps">
          <w:drawing>
            <wp:anchor distT="0" distB="0" distL="0" distR="0" simplePos="0" relativeHeight="251666432" behindDoc="0" locked="0" layoutInCell="1" allowOverlap="1" wp14:anchorId="38F6FFCE" wp14:editId="1EF11EF5">
              <wp:simplePos x="635" y="635"/>
              <wp:positionH relativeFrom="page">
                <wp:align>center</wp:align>
              </wp:positionH>
              <wp:positionV relativeFrom="page">
                <wp:align>bottom</wp:align>
              </wp:positionV>
              <wp:extent cx="622300" cy="480695"/>
              <wp:effectExtent l="0" t="0" r="6350" b="0"/>
              <wp:wrapNone/>
              <wp:docPr id="10751225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9D33410" w14:textId="368138B5" w:rsidR="00507D3B" w:rsidRPr="00507D3B" w:rsidRDefault="00507D3B" w:rsidP="00507D3B">
                          <w:pPr>
                            <w:spacing w:after="0"/>
                            <w:rPr>
                              <w:rFonts w:ascii="Aptos" w:eastAsia="Aptos" w:hAnsi="Aptos" w:cs="Aptos"/>
                              <w:noProof/>
                              <w:color w:val="FF0000"/>
                              <w:sz w:val="24"/>
                            </w:rPr>
                          </w:pPr>
                          <w:r w:rsidRPr="00507D3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6FFCE"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79D33410" w14:textId="368138B5" w:rsidR="00507D3B" w:rsidRPr="00507D3B" w:rsidRDefault="00507D3B" w:rsidP="00507D3B">
                    <w:pPr>
                      <w:spacing w:after="0"/>
                      <w:rPr>
                        <w:rFonts w:ascii="Aptos" w:eastAsia="Aptos" w:hAnsi="Aptos" w:cs="Aptos"/>
                        <w:noProof/>
                        <w:color w:val="FF0000"/>
                        <w:sz w:val="24"/>
                      </w:rPr>
                    </w:pPr>
                    <w:r w:rsidRPr="00507D3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2A39A000" w:rsidR="00B53987" w:rsidRDefault="00AA262B" w:rsidP="00B53987">
    <w:pPr>
      <w:pStyle w:val="Footer"/>
    </w:pPr>
    <w:r>
      <w:t>Department of Health</w:t>
    </w:r>
    <w:r w:rsidR="001E1AC3">
      <w:t>, Disability and Ageing</w:t>
    </w:r>
    <w:r>
      <w:t xml:space="preserve"> </w:t>
    </w:r>
    <w:r w:rsidR="00B53987">
      <w:t xml:space="preserve">– </w:t>
    </w:r>
    <w:r w:rsidR="004F34DD">
      <w:t>Client Relocations – Quick guide</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00601959" w:rsidR="00B53987" w:rsidRDefault="00AA262B" w:rsidP="00B53987">
    <w:pPr>
      <w:pStyle w:val="Footer"/>
    </w:pPr>
    <w:r>
      <w:t>Department of Health</w:t>
    </w:r>
    <w:r w:rsidR="001E1AC3">
      <w:t xml:space="preserve">, Disability and Ageing </w:t>
    </w:r>
    <w:r w:rsidR="00B53987">
      <w:t xml:space="preserve">– </w:t>
    </w:r>
    <w:r w:rsidR="00B738A2">
      <w:t xml:space="preserve">Client Relocations – Quick </w:t>
    </w:r>
    <w:r w:rsidR="004B3F49">
      <w:t>Guide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04A9" w14:textId="77777777" w:rsidR="000B3198" w:rsidRDefault="000B3198" w:rsidP="006B56BB">
      <w:r>
        <w:separator/>
      </w:r>
    </w:p>
    <w:p w14:paraId="22C6B0EF" w14:textId="77777777" w:rsidR="000B3198" w:rsidRDefault="000B3198"/>
  </w:footnote>
  <w:footnote w:type="continuationSeparator" w:id="0">
    <w:p w14:paraId="7F378902" w14:textId="77777777" w:rsidR="000B3198" w:rsidRDefault="000B3198" w:rsidP="006B56BB">
      <w:r>
        <w:continuationSeparator/>
      </w:r>
    </w:p>
    <w:p w14:paraId="10901933" w14:textId="77777777" w:rsidR="000B3198" w:rsidRDefault="000B3198"/>
  </w:footnote>
  <w:footnote w:type="continuationNotice" w:id="1">
    <w:p w14:paraId="036F7624" w14:textId="77777777" w:rsidR="000B3198" w:rsidRDefault="000B3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F94E" w14:textId="534732CC" w:rsidR="00507D3B" w:rsidRDefault="00507D3B">
    <w:pPr>
      <w:pStyle w:val="Header"/>
    </w:pPr>
    <w:r>
      <w:rPr>
        <w:noProof/>
      </w:rPr>
      <mc:AlternateContent>
        <mc:Choice Requires="wps">
          <w:drawing>
            <wp:anchor distT="0" distB="0" distL="0" distR="0" simplePos="0" relativeHeight="251663360" behindDoc="0" locked="0" layoutInCell="1" allowOverlap="1" wp14:anchorId="6D749C64" wp14:editId="30DF2ED1">
              <wp:simplePos x="635" y="635"/>
              <wp:positionH relativeFrom="page">
                <wp:align>center</wp:align>
              </wp:positionH>
              <wp:positionV relativeFrom="page">
                <wp:align>top</wp:align>
              </wp:positionV>
              <wp:extent cx="622300" cy="480695"/>
              <wp:effectExtent l="0" t="0" r="6350" b="14605"/>
              <wp:wrapNone/>
              <wp:docPr id="569448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585F2C9" w14:textId="1EBFD8D2" w:rsidR="00507D3B" w:rsidRPr="00507D3B" w:rsidRDefault="00507D3B" w:rsidP="00507D3B">
                          <w:pPr>
                            <w:spacing w:after="0"/>
                            <w:rPr>
                              <w:rFonts w:ascii="Aptos" w:eastAsia="Aptos" w:hAnsi="Aptos" w:cs="Aptos"/>
                              <w:noProof/>
                              <w:color w:val="FF0000"/>
                              <w:sz w:val="24"/>
                            </w:rPr>
                          </w:pPr>
                          <w:r w:rsidRPr="00507D3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49C6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585F2C9" w14:textId="1EBFD8D2" w:rsidR="00507D3B" w:rsidRPr="00507D3B" w:rsidRDefault="00507D3B" w:rsidP="00507D3B">
                    <w:pPr>
                      <w:spacing w:after="0"/>
                      <w:rPr>
                        <w:rFonts w:ascii="Aptos" w:eastAsia="Aptos" w:hAnsi="Aptos" w:cs="Aptos"/>
                        <w:noProof/>
                        <w:color w:val="FF0000"/>
                        <w:sz w:val="24"/>
                      </w:rPr>
                    </w:pPr>
                    <w:r w:rsidRPr="00507D3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4A63F90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76C35FA2" w:rsidR="00B53987" w:rsidRPr="00B23D4C" w:rsidRDefault="00990128" w:rsidP="00B23D4C">
    <w:pPr>
      <w:pStyle w:val="Header"/>
    </w:pPr>
    <w:r>
      <w:rPr>
        <w:noProof/>
        <w:lang w:eastAsia="en-AU"/>
      </w:rPr>
      <w:drawing>
        <wp:anchor distT="0" distB="0" distL="114300" distR="114300" simplePos="0" relativeHeight="251660288" behindDoc="1" locked="0" layoutInCell="1" allowOverlap="1" wp14:anchorId="5ECBEC99" wp14:editId="2CF965CE">
          <wp:simplePos x="0" y="0"/>
          <wp:positionH relativeFrom="margin">
            <wp:align>right</wp:align>
          </wp:positionH>
          <wp:positionV relativeFrom="paragraph">
            <wp:posOffset>247794</wp:posOffset>
          </wp:positionV>
          <wp:extent cx="5759450" cy="914400"/>
          <wp:effectExtent l="0" t="0" r="6350" b="0"/>
          <wp:wrapTight wrapText="bothSides">
            <wp:wrapPolygon edited="0">
              <wp:start x="0" y="0"/>
              <wp:lineTo x="0" y="21300"/>
              <wp:lineTo x="21576" y="21300"/>
              <wp:lineTo x="215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t="4719" b="-2039"/>
                  <a:stretch/>
                </pic:blipFill>
                <pic:spPr bwMode="auto">
                  <a:xfrm>
                    <a:off x="0" y="0"/>
                    <a:ext cx="5759450"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E7C21" w:rsidRPr="008F0244">
      <w:rPr>
        <w:noProof/>
        <w:lang w:eastAsia="en-AU"/>
      </w:rPr>
      <w:drawing>
        <wp:anchor distT="0" distB="0" distL="114300" distR="114300" simplePos="0" relativeHeight="251661312" behindDoc="0" locked="0" layoutInCell="1" allowOverlap="1" wp14:anchorId="1E4890D4" wp14:editId="086DA3BC">
          <wp:simplePos x="0" y="0"/>
          <wp:positionH relativeFrom="column">
            <wp:posOffset>4511040</wp:posOffset>
          </wp:positionH>
          <wp:positionV relativeFrom="paragraph">
            <wp:posOffset>14605</wp:posOffset>
          </wp:positionV>
          <wp:extent cx="1325880" cy="788937"/>
          <wp:effectExtent l="0" t="0" r="0" b="0"/>
          <wp:wrapNone/>
          <wp:docPr id="253564476" name="Picture 1" descr="A logo for a hearing service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64476" name="Picture 1" descr="A logo for a hearing service program&#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85B296AC"/>
    <w:lvl w:ilvl="0" w:tplc="E36EB180">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A2D8B6FE"/>
    <w:lvl w:ilvl="0" w:tplc="CEE81A14">
      <w:start w:val="1"/>
      <w:numFmt w:val="bullet"/>
      <w:pStyle w:val="ListBullet2"/>
      <w:lvlText w:val=""/>
      <w:lvlJc w:val="left"/>
      <w:pPr>
        <w:ind w:left="1004" w:hanging="360"/>
      </w:pPr>
      <w:rPr>
        <w:rFonts w:ascii="Symbol" w:hAnsi="Symbol" w:cs="Symbol" w:hint="default"/>
        <w:color w:val="auto"/>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42423522">
    <w:abstractNumId w:val="7"/>
  </w:num>
  <w:num w:numId="2" w16cid:durableId="1409352113">
    <w:abstractNumId w:val="15"/>
  </w:num>
  <w:num w:numId="3" w16cid:durableId="1384669804">
    <w:abstractNumId w:val="17"/>
  </w:num>
  <w:num w:numId="4" w16cid:durableId="753085760">
    <w:abstractNumId w:val="8"/>
  </w:num>
  <w:num w:numId="5" w16cid:durableId="540437867">
    <w:abstractNumId w:val="8"/>
    <w:lvlOverride w:ilvl="0">
      <w:startOverride w:val="1"/>
    </w:lvlOverride>
  </w:num>
  <w:num w:numId="6" w16cid:durableId="560099517">
    <w:abstractNumId w:val="9"/>
  </w:num>
  <w:num w:numId="7" w16cid:durableId="53166810">
    <w:abstractNumId w:val="13"/>
  </w:num>
  <w:num w:numId="8" w16cid:durableId="342824729">
    <w:abstractNumId w:val="16"/>
  </w:num>
  <w:num w:numId="9" w16cid:durableId="1216312510">
    <w:abstractNumId w:val="5"/>
  </w:num>
  <w:num w:numId="10" w16cid:durableId="860633813">
    <w:abstractNumId w:val="4"/>
  </w:num>
  <w:num w:numId="11" w16cid:durableId="1863057627">
    <w:abstractNumId w:val="3"/>
  </w:num>
  <w:num w:numId="12" w16cid:durableId="1280380686">
    <w:abstractNumId w:val="2"/>
  </w:num>
  <w:num w:numId="13" w16cid:durableId="918556897">
    <w:abstractNumId w:val="6"/>
  </w:num>
  <w:num w:numId="14" w16cid:durableId="136535048">
    <w:abstractNumId w:val="1"/>
  </w:num>
  <w:num w:numId="15" w16cid:durableId="1781684571">
    <w:abstractNumId w:val="0"/>
  </w:num>
  <w:num w:numId="16" w16cid:durableId="768696675">
    <w:abstractNumId w:val="18"/>
  </w:num>
  <w:num w:numId="17" w16cid:durableId="90051558">
    <w:abstractNumId w:val="10"/>
  </w:num>
  <w:num w:numId="18" w16cid:durableId="782457708">
    <w:abstractNumId w:val="11"/>
  </w:num>
  <w:num w:numId="19" w16cid:durableId="895287626">
    <w:abstractNumId w:val="12"/>
  </w:num>
  <w:num w:numId="20" w16cid:durableId="1435511352">
    <w:abstractNumId w:val="10"/>
  </w:num>
  <w:num w:numId="21" w16cid:durableId="2134135025">
    <w:abstractNumId w:val="12"/>
  </w:num>
  <w:num w:numId="22" w16cid:durableId="1762532074">
    <w:abstractNumId w:val="18"/>
  </w:num>
  <w:num w:numId="23" w16cid:durableId="1785079256">
    <w:abstractNumId w:val="15"/>
  </w:num>
  <w:num w:numId="24" w16cid:durableId="598678552">
    <w:abstractNumId w:val="17"/>
  </w:num>
  <w:num w:numId="25" w16cid:durableId="2119829019">
    <w:abstractNumId w:val="8"/>
  </w:num>
  <w:num w:numId="26" w16cid:durableId="1335957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07A9"/>
    <w:rsid w:val="000117F8"/>
    <w:rsid w:val="0001460F"/>
    <w:rsid w:val="00022479"/>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198"/>
    <w:rsid w:val="000B33FD"/>
    <w:rsid w:val="000B4ABA"/>
    <w:rsid w:val="000C4B16"/>
    <w:rsid w:val="000C50C3"/>
    <w:rsid w:val="000C5E14"/>
    <w:rsid w:val="000D21F6"/>
    <w:rsid w:val="000D4500"/>
    <w:rsid w:val="000D7AEA"/>
    <w:rsid w:val="000D7F39"/>
    <w:rsid w:val="000E2C66"/>
    <w:rsid w:val="000E7C21"/>
    <w:rsid w:val="000F123C"/>
    <w:rsid w:val="000F2FED"/>
    <w:rsid w:val="0010616D"/>
    <w:rsid w:val="00107EA9"/>
    <w:rsid w:val="00110478"/>
    <w:rsid w:val="0011711B"/>
    <w:rsid w:val="00117F8A"/>
    <w:rsid w:val="001200B2"/>
    <w:rsid w:val="00121B9B"/>
    <w:rsid w:val="00122ADC"/>
    <w:rsid w:val="00130F59"/>
    <w:rsid w:val="00133185"/>
    <w:rsid w:val="00133EC0"/>
    <w:rsid w:val="00134534"/>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A67F6"/>
    <w:rsid w:val="001B15D3"/>
    <w:rsid w:val="001B3443"/>
    <w:rsid w:val="001C0326"/>
    <w:rsid w:val="001C192F"/>
    <w:rsid w:val="001C3C42"/>
    <w:rsid w:val="001D7869"/>
    <w:rsid w:val="001E1AC3"/>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12D"/>
    <w:rsid w:val="0032466B"/>
    <w:rsid w:val="003330EB"/>
    <w:rsid w:val="003415FD"/>
    <w:rsid w:val="003429F0"/>
    <w:rsid w:val="00345A82"/>
    <w:rsid w:val="0035097A"/>
    <w:rsid w:val="003540A4"/>
    <w:rsid w:val="00357BCC"/>
    <w:rsid w:val="00360E4E"/>
    <w:rsid w:val="00370AAA"/>
    <w:rsid w:val="00373EFC"/>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94224"/>
    <w:rsid w:val="004A78D9"/>
    <w:rsid w:val="004B3F49"/>
    <w:rsid w:val="004C6BCF"/>
    <w:rsid w:val="004D58BF"/>
    <w:rsid w:val="004E4335"/>
    <w:rsid w:val="004F13EE"/>
    <w:rsid w:val="004F2022"/>
    <w:rsid w:val="004F34DD"/>
    <w:rsid w:val="004F7B13"/>
    <w:rsid w:val="004F7C05"/>
    <w:rsid w:val="00501C94"/>
    <w:rsid w:val="00506432"/>
    <w:rsid w:val="00506E82"/>
    <w:rsid w:val="00507D3B"/>
    <w:rsid w:val="0052051D"/>
    <w:rsid w:val="00545EE6"/>
    <w:rsid w:val="00552709"/>
    <w:rsid w:val="005550E7"/>
    <w:rsid w:val="005564FB"/>
    <w:rsid w:val="005572C7"/>
    <w:rsid w:val="005650ED"/>
    <w:rsid w:val="00575754"/>
    <w:rsid w:val="00581FBA"/>
    <w:rsid w:val="00582478"/>
    <w:rsid w:val="00584DA0"/>
    <w:rsid w:val="00591E20"/>
    <w:rsid w:val="00595408"/>
    <w:rsid w:val="00595E84"/>
    <w:rsid w:val="005A0C59"/>
    <w:rsid w:val="005A48EB"/>
    <w:rsid w:val="005A6CFB"/>
    <w:rsid w:val="005C5AEB"/>
    <w:rsid w:val="005E0A3F"/>
    <w:rsid w:val="005E6883"/>
    <w:rsid w:val="005E772F"/>
    <w:rsid w:val="005F11C9"/>
    <w:rsid w:val="005F4ECA"/>
    <w:rsid w:val="006041BE"/>
    <w:rsid w:val="006043C7"/>
    <w:rsid w:val="0061326B"/>
    <w:rsid w:val="006219EB"/>
    <w:rsid w:val="00624B52"/>
    <w:rsid w:val="00630794"/>
    <w:rsid w:val="00631DF4"/>
    <w:rsid w:val="00633D73"/>
    <w:rsid w:val="00634175"/>
    <w:rsid w:val="006408AC"/>
    <w:rsid w:val="006466E6"/>
    <w:rsid w:val="006511B6"/>
    <w:rsid w:val="00657FF8"/>
    <w:rsid w:val="00670D99"/>
    <w:rsid w:val="00670E2B"/>
    <w:rsid w:val="006734BB"/>
    <w:rsid w:val="0067697A"/>
    <w:rsid w:val="006821EB"/>
    <w:rsid w:val="00692F86"/>
    <w:rsid w:val="006B2286"/>
    <w:rsid w:val="006B56BB"/>
    <w:rsid w:val="006C77A8"/>
    <w:rsid w:val="006D4098"/>
    <w:rsid w:val="006D7681"/>
    <w:rsid w:val="006D7B2E"/>
    <w:rsid w:val="006E02EA"/>
    <w:rsid w:val="006E0968"/>
    <w:rsid w:val="006E2AF6"/>
    <w:rsid w:val="006E65EB"/>
    <w:rsid w:val="00701275"/>
    <w:rsid w:val="0070712C"/>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1914"/>
    <w:rsid w:val="007A4A10"/>
    <w:rsid w:val="007B0D7B"/>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3CA4"/>
    <w:rsid w:val="008A7438"/>
    <w:rsid w:val="008B1334"/>
    <w:rsid w:val="008B25C7"/>
    <w:rsid w:val="008B4E6D"/>
    <w:rsid w:val="008C0278"/>
    <w:rsid w:val="008C24E9"/>
    <w:rsid w:val="008C40D7"/>
    <w:rsid w:val="008D0533"/>
    <w:rsid w:val="008D42CB"/>
    <w:rsid w:val="008D48C9"/>
    <w:rsid w:val="008D5C35"/>
    <w:rsid w:val="008D6381"/>
    <w:rsid w:val="008E0C77"/>
    <w:rsid w:val="008E625F"/>
    <w:rsid w:val="008F0244"/>
    <w:rsid w:val="008F264D"/>
    <w:rsid w:val="009040E9"/>
    <w:rsid w:val="009053FF"/>
    <w:rsid w:val="009074E1"/>
    <w:rsid w:val="009112F7"/>
    <w:rsid w:val="009122AF"/>
    <w:rsid w:val="00912D54"/>
    <w:rsid w:val="0091389F"/>
    <w:rsid w:val="0092001D"/>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0128"/>
    <w:rsid w:val="009924C3"/>
    <w:rsid w:val="00993102"/>
    <w:rsid w:val="009B1570"/>
    <w:rsid w:val="009C6F10"/>
    <w:rsid w:val="009D148F"/>
    <w:rsid w:val="009D3D70"/>
    <w:rsid w:val="009D6E31"/>
    <w:rsid w:val="009E6F7E"/>
    <w:rsid w:val="009E7A57"/>
    <w:rsid w:val="009F2BFE"/>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C2679"/>
    <w:rsid w:val="00AC4BE4"/>
    <w:rsid w:val="00AD05E6"/>
    <w:rsid w:val="00AD0D3F"/>
    <w:rsid w:val="00AE18C1"/>
    <w:rsid w:val="00AE1D7D"/>
    <w:rsid w:val="00AE2A8B"/>
    <w:rsid w:val="00AE3F64"/>
    <w:rsid w:val="00AF7386"/>
    <w:rsid w:val="00AF7934"/>
    <w:rsid w:val="00B00B81"/>
    <w:rsid w:val="00B04580"/>
    <w:rsid w:val="00B04B09"/>
    <w:rsid w:val="00B16A51"/>
    <w:rsid w:val="00B23D4C"/>
    <w:rsid w:val="00B30022"/>
    <w:rsid w:val="00B32222"/>
    <w:rsid w:val="00B3618D"/>
    <w:rsid w:val="00B36233"/>
    <w:rsid w:val="00B42851"/>
    <w:rsid w:val="00B45AC7"/>
    <w:rsid w:val="00B5372F"/>
    <w:rsid w:val="00B53987"/>
    <w:rsid w:val="00B61129"/>
    <w:rsid w:val="00B67E7F"/>
    <w:rsid w:val="00B738A2"/>
    <w:rsid w:val="00B839B2"/>
    <w:rsid w:val="00B94252"/>
    <w:rsid w:val="00B9715A"/>
    <w:rsid w:val="00BA14BE"/>
    <w:rsid w:val="00BA2732"/>
    <w:rsid w:val="00BA293D"/>
    <w:rsid w:val="00BA49BC"/>
    <w:rsid w:val="00BA56B7"/>
    <w:rsid w:val="00BA7A1E"/>
    <w:rsid w:val="00BB2F6C"/>
    <w:rsid w:val="00BB3847"/>
    <w:rsid w:val="00BB3875"/>
    <w:rsid w:val="00BB5860"/>
    <w:rsid w:val="00BB5C63"/>
    <w:rsid w:val="00BB6AAD"/>
    <w:rsid w:val="00BC4A19"/>
    <w:rsid w:val="00BC4E6D"/>
    <w:rsid w:val="00BD0617"/>
    <w:rsid w:val="00BD2E9B"/>
    <w:rsid w:val="00BD7FB2"/>
    <w:rsid w:val="00BE3612"/>
    <w:rsid w:val="00BE73BC"/>
    <w:rsid w:val="00C00930"/>
    <w:rsid w:val="00C060AD"/>
    <w:rsid w:val="00C10331"/>
    <w:rsid w:val="00C113BF"/>
    <w:rsid w:val="00C2176E"/>
    <w:rsid w:val="00C23430"/>
    <w:rsid w:val="00C27D67"/>
    <w:rsid w:val="00C4631F"/>
    <w:rsid w:val="00C47CDE"/>
    <w:rsid w:val="00C50E16"/>
    <w:rsid w:val="00C55258"/>
    <w:rsid w:val="00C778BE"/>
    <w:rsid w:val="00C82EEB"/>
    <w:rsid w:val="00C85AD9"/>
    <w:rsid w:val="00C90730"/>
    <w:rsid w:val="00C92E13"/>
    <w:rsid w:val="00C971DC"/>
    <w:rsid w:val="00CA0C81"/>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53597"/>
    <w:rsid w:val="00D562E1"/>
    <w:rsid w:val="00D60EF6"/>
    <w:rsid w:val="00D65099"/>
    <w:rsid w:val="00D70E24"/>
    <w:rsid w:val="00D70E62"/>
    <w:rsid w:val="00D72B61"/>
    <w:rsid w:val="00D760DA"/>
    <w:rsid w:val="00DA3D1D"/>
    <w:rsid w:val="00DB2195"/>
    <w:rsid w:val="00DB6286"/>
    <w:rsid w:val="00DB645F"/>
    <w:rsid w:val="00DB76E9"/>
    <w:rsid w:val="00DB7A6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1AB"/>
    <w:rsid w:val="00E25B1F"/>
    <w:rsid w:val="00E27FEA"/>
    <w:rsid w:val="00E3212B"/>
    <w:rsid w:val="00E4086F"/>
    <w:rsid w:val="00E42BCE"/>
    <w:rsid w:val="00E43B3C"/>
    <w:rsid w:val="00E50188"/>
    <w:rsid w:val="00E50BB3"/>
    <w:rsid w:val="00E515CB"/>
    <w:rsid w:val="00E52260"/>
    <w:rsid w:val="00E639B6"/>
    <w:rsid w:val="00E6434B"/>
    <w:rsid w:val="00E6463D"/>
    <w:rsid w:val="00E72E9B"/>
    <w:rsid w:val="00E82899"/>
    <w:rsid w:val="00E850C3"/>
    <w:rsid w:val="00E87DF2"/>
    <w:rsid w:val="00E9462E"/>
    <w:rsid w:val="00E95DB5"/>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42BF"/>
    <w:rsid w:val="00F40648"/>
    <w:rsid w:val="00F47DA2"/>
    <w:rsid w:val="00F519FC"/>
    <w:rsid w:val="00F549FD"/>
    <w:rsid w:val="00F6239D"/>
    <w:rsid w:val="00F715D2"/>
    <w:rsid w:val="00F7274F"/>
    <w:rsid w:val="00F74E84"/>
    <w:rsid w:val="00F76FA8"/>
    <w:rsid w:val="00F87CCD"/>
    <w:rsid w:val="00F93F08"/>
    <w:rsid w:val="00F94CED"/>
    <w:rsid w:val="00FA02BB"/>
    <w:rsid w:val="00FA2CEE"/>
    <w:rsid w:val="00FA318C"/>
    <w:rsid w:val="00FB27AA"/>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778B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D60EF6"/>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D60EF6"/>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F342BF"/>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B23D4C"/>
    <w:pPr>
      <w:numPr>
        <w:numId w:val="20"/>
      </w:numPr>
      <w:spacing w:before="60" w:after="60"/>
      <w:ind w:left="357" w:hanging="357"/>
    </w:pPr>
    <w:rPr>
      <w:rFonts w:eastAsiaTheme="minorEastAsia"/>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878646">
      <w:bodyDiv w:val="1"/>
      <w:marLeft w:val="0"/>
      <w:marRight w:val="0"/>
      <w:marTop w:val="0"/>
      <w:marBottom w:val="0"/>
      <w:divBdr>
        <w:top w:val="none" w:sz="0" w:space="0" w:color="auto"/>
        <w:left w:val="none" w:sz="0" w:space="0" w:color="auto"/>
        <w:bottom w:val="none" w:sz="0" w:space="0" w:color="auto"/>
        <w:right w:val="none" w:sz="0" w:space="0" w:color="auto"/>
      </w:divBdr>
    </w:div>
    <w:div w:id="19522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hearing-services-program-service-provider-contra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F2019L00969/latest/tex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N00495/latest/tex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5N00495/latest/download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customXml/itemProps2.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641</Words>
  <Characters>3618</Characters>
  <Application>Microsoft Office Word</Application>
  <DocSecurity>0</DocSecurity>
  <Lines>73</Lines>
  <Paragraphs>64</Paragraphs>
  <ScaleCrop>false</ScaleCrop>
  <HeadingPairs>
    <vt:vector size="2" baseType="variant">
      <vt:variant>
        <vt:lpstr>Title</vt:lpstr>
      </vt:variant>
      <vt:variant>
        <vt:i4>1</vt:i4>
      </vt:variant>
    </vt:vector>
  </HeadingPairs>
  <TitlesOfParts>
    <vt:vector size="1" baseType="lpstr">
      <vt:lpstr/>
    </vt:vector>
  </TitlesOfParts>
  <Manager/>
  <Company>Department of Health, Disability and Ageing</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Relocations – Quick Guide</dc:title>
  <dc:subject>Ear health and hearing</dc:subject>
  <dc:creator>Australian Government Department of Health, Disability and Ageing</dc:creator>
  <cp:keywords>HSP; Ear health and hearing</cp:keywords>
  <dc:description/>
  <cp:lastModifiedBy>MASCHKE, Elvia</cp:lastModifiedBy>
  <cp:revision>50</cp:revision>
  <dcterms:created xsi:type="dcterms:W3CDTF">2025-07-21T02:06:00Z</dcterms:created>
  <dcterms:modified xsi:type="dcterms:W3CDTF">2026-03-18T06:31:00Z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6d8c440b,364e8f6,5ca39ea7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241613e,40151187,1b69ab80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2026-03-16T21:55:49Z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691b01fc-33b5-43ea-9fd5-421bdd7a468b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