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121DB" w14:textId="358D3F25" w:rsidR="001A6DD1" w:rsidRPr="0081683B" w:rsidRDefault="001A6DD1" w:rsidP="000967AE">
      <w:pPr>
        <w:pStyle w:val="Heading1"/>
      </w:pPr>
      <w:r w:rsidRPr="005C0FEE">
        <w:t>Pharmaceutical Benefits Scheme</w:t>
      </w:r>
      <w:r w:rsidR="007954F8" w:rsidRPr="007954F8">
        <w:t xml:space="preserve"> –</w:t>
      </w:r>
      <w:r w:rsidR="007954F8">
        <w:t xml:space="preserve"> </w:t>
      </w:r>
      <w:r>
        <w:t xml:space="preserve">Biosimilar </w:t>
      </w:r>
      <w:r w:rsidR="005535C9">
        <w:t>Adalimu</w:t>
      </w:r>
      <w:r w:rsidR="007B1FEE">
        <w:t>mab</w:t>
      </w:r>
    </w:p>
    <w:p w14:paraId="1C873C79" w14:textId="77777777" w:rsidR="005535C9" w:rsidRDefault="005535C9" w:rsidP="005535C9">
      <w:pPr>
        <w:rPr>
          <w:lang w:eastAsia="ko-KR"/>
        </w:rPr>
      </w:pPr>
      <w:r>
        <w:rPr>
          <w:lang w:eastAsia="ko-KR"/>
        </w:rPr>
        <w:t>The following biosimilars brands of adalimumab are</w:t>
      </w:r>
      <w:r w:rsidRPr="00FC47CD">
        <w:rPr>
          <w:lang w:eastAsia="ko-KR"/>
        </w:rPr>
        <w:t xml:space="preserve"> listed on the Pharmaceutical Ben</w:t>
      </w:r>
      <w:r>
        <w:rPr>
          <w:lang w:eastAsia="ko-KR"/>
        </w:rPr>
        <w:t>efits Scheme (PBS):</w:t>
      </w:r>
    </w:p>
    <w:tbl>
      <w:tblPr>
        <w:tblStyle w:val="DepartmentofHealthtable"/>
        <w:tblW w:w="0" w:type="auto"/>
        <w:tblLook w:val="04A0" w:firstRow="1" w:lastRow="0" w:firstColumn="1" w:lastColumn="0" w:noHBand="0" w:noVBand="1"/>
        <w:tblCaption w:val="PBS brands of adalimumab"/>
        <w:tblDescription w:val="The table shows the brands of adalimumab that are available on the PBS, together with the dates on which these brands were listed."/>
      </w:tblPr>
      <w:tblGrid>
        <w:gridCol w:w="1701"/>
        <w:gridCol w:w="2268"/>
      </w:tblGrid>
      <w:tr w:rsidR="005535C9" w:rsidRPr="001369DC" w14:paraId="39A7A08A" w14:textId="77777777" w:rsidTr="00523E6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14:paraId="0F28DA4B" w14:textId="77777777" w:rsidR="005535C9" w:rsidRPr="005E46AD" w:rsidRDefault="005535C9" w:rsidP="005E46AD">
            <w:r w:rsidRPr="005E46AD">
              <w:t>Brand name</w:t>
            </w:r>
          </w:p>
        </w:tc>
        <w:tc>
          <w:tcPr>
            <w:tcW w:w="2268" w:type="dxa"/>
          </w:tcPr>
          <w:p w14:paraId="2D4B37C7" w14:textId="77777777" w:rsidR="005535C9" w:rsidRPr="005535C9" w:rsidRDefault="005535C9" w:rsidP="007954F8">
            <w:pPr>
              <w:cnfStyle w:val="100000000000" w:firstRow="1" w:lastRow="0" w:firstColumn="0" w:lastColumn="0" w:oddVBand="0" w:evenVBand="0" w:oddHBand="0" w:evenHBand="0" w:firstRowFirstColumn="0" w:firstRowLastColumn="0" w:lastRowFirstColumn="0" w:lastRowLastColumn="0"/>
            </w:pPr>
            <w:r w:rsidRPr="005535C9">
              <w:t>Date listed on PBS</w:t>
            </w:r>
          </w:p>
        </w:tc>
      </w:tr>
      <w:tr w:rsidR="005535C9" w:rsidRPr="001369DC" w14:paraId="27D07D7F" w14:textId="77777777" w:rsidTr="005B0D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EC6A067" w14:textId="77777777" w:rsidR="005535C9" w:rsidRPr="001369DC" w:rsidRDefault="005535C9" w:rsidP="007954F8">
            <w:proofErr w:type="spellStart"/>
            <w:r>
              <w:t>Amgevita</w:t>
            </w:r>
            <w:proofErr w:type="spellEnd"/>
            <w:r w:rsidRPr="00C25910">
              <w:rPr>
                <w:vertAlign w:val="superscript"/>
              </w:rPr>
              <w:t>®</w:t>
            </w:r>
          </w:p>
        </w:tc>
        <w:tc>
          <w:tcPr>
            <w:tcW w:w="2268" w:type="dxa"/>
            <w:vMerge w:val="restart"/>
            <w:vAlign w:val="center"/>
          </w:tcPr>
          <w:p w14:paraId="55047A31" w14:textId="77777777" w:rsidR="005535C9" w:rsidRPr="001369DC" w:rsidRDefault="005535C9" w:rsidP="005B0D23">
            <w:pPr>
              <w:cnfStyle w:val="000000100000" w:firstRow="0" w:lastRow="0" w:firstColumn="0" w:lastColumn="0" w:oddVBand="0" w:evenVBand="0" w:oddHBand="1" w:evenHBand="0" w:firstRowFirstColumn="0" w:firstRowLastColumn="0" w:lastRowFirstColumn="0" w:lastRowLastColumn="0"/>
            </w:pPr>
            <w:r w:rsidRPr="001369DC">
              <w:t>1 </w:t>
            </w:r>
            <w:r>
              <w:t>April</w:t>
            </w:r>
            <w:r w:rsidRPr="001369DC">
              <w:t> 20</w:t>
            </w:r>
            <w:r>
              <w:t>21</w:t>
            </w:r>
          </w:p>
        </w:tc>
      </w:tr>
      <w:tr w:rsidR="005535C9" w:rsidRPr="001369DC" w14:paraId="25D23D2E" w14:textId="77777777" w:rsidTr="00523E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46B46DC" w14:textId="77777777" w:rsidR="005535C9" w:rsidRPr="001369DC" w:rsidRDefault="005535C9" w:rsidP="007954F8">
            <w:proofErr w:type="spellStart"/>
            <w:r>
              <w:t>Hadlim</w:t>
            </w:r>
            <w:r w:rsidRPr="001369DC">
              <w:t>a</w:t>
            </w:r>
            <w:proofErr w:type="spellEnd"/>
            <w:r w:rsidRPr="00C25910">
              <w:rPr>
                <w:vertAlign w:val="superscript"/>
              </w:rPr>
              <w:t>®</w:t>
            </w:r>
          </w:p>
        </w:tc>
        <w:tc>
          <w:tcPr>
            <w:tcW w:w="2268" w:type="dxa"/>
            <w:vMerge/>
          </w:tcPr>
          <w:p w14:paraId="228A119B" w14:textId="77777777" w:rsidR="005535C9" w:rsidRPr="001369DC" w:rsidRDefault="005535C9" w:rsidP="005535C9">
            <w:pPr>
              <w:pStyle w:val="Normal2"/>
              <w:cnfStyle w:val="000000010000" w:firstRow="0" w:lastRow="0" w:firstColumn="0" w:lastColumn="0" w:oddVBand="0" w:evenVBand="0" w:oddHBand="0" w:evenHBand="1" w:firstRowFirstColumn="0" w:firstRowLastColumn="0" w:lastRowFirstColumn="0" w:lastRowLastColumn="0"/>
            </w:pPr>
          </w:p>
        </w:tc>
      </w:tr>
      <w:tr w:rsidR="005535C9" w:rsidRPr="001369DC" w14:paraId="21B39699" w14:textId="77777777" w:rsidTr="00523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D81C756" w14:textId="77777777" w:rsidR="005535C9" w:rsidRPr="001369DC" w:rsidRDefault="005535C9" w:rsidP="007954F8">
            <w:proofErr w:type="spellStart"/>
            <w:r>
              <w:t>Hyrimoz</w:t>
            </w:r>
            <w:proofErr w:type="spellEnd"/>
            <w:r w:rsidRPr="009564FB">
              <w:rPr>
                <w:vertAlign w:val="superscript"/>
              </w:rPr>
              <w:t>®</w:t>
            </w:r>
          </w:p>
        </w:tc>
        <w:tc>
          <w:tcPr>
            <w:tcW w:w="2268" w:type="dxa"/>
            <w:vMerge/>
          </w:tcPr>
          <w:p w14:paraId="46C8D581" w14:textId="77777777" w:rsidR="005535C9" w:rsidRPr="001369DC" w:rsidRDefault="005535C9" w:rsidP="005535C9">
            <w:pPr>
              <w:pStyle w:val="Normal2"/>
              <w:cnfStyle w:val="000000100000" w:firstRow="0" w:lastRow="0" w:firstColumn="0" w:lastColumn="0" w:oddVBand="0" w:evenVBand="0" w:oddHBand="1" w:evenHBand="0" w:firstRowFirstColumn="0" w:firstRowLastColumn="0" w:lastRowFirstColumn="0" w:lastRowLastColumn="0"/>
            </w:pPr>
          </w:p>
        </w:tc>
      </w:tr>
      <w:tr w:rsidR="0081540D" w:rsidRPr="001369DC" w14:paraId="0D796457" w14:textId="77777777" w:rsidTr="00523E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8E8F171" w14:textId="284C2D1F" w:rsidR="0081540D" w:rsidRDefault="00A05324" w:rsidP="007954F8">
            <w:proofErr w:type="spellStart"/>
            <w:r>
              <w:t>Yuflyma</w:t>
            </w:r>
            <w:proofErr w:type="spellEnd"/>
            <w:r w:rsidRPr="009564FB">
              <w:rPr>
                <w:vertAlign w:val="superscript"/>
              </w:rPr>
              <w:t>®</w:t>
            </w:r>
          </w:p>
        </w:tc>
        <w:tc>
          <w:tcPr>
            <w:tcW w:w="2268" w:type="dxa"/>
          </w:tcPr>
          <w:p w14:paraId="4B837702" w14:textId="6EFFC5ED" w:rsidR="0081540D" w:rsidRPr="00BA2163" w:rsidRDefault="00A05324" w:rsidP="00BA2163">
            <w:pPr>
              <w:cnfStyle w:val="000000010000" w:firstRow="0" w:lastRow="0" w:firstColumn="0" w:lastColumn="0" w:oddVBand="0" w:evenVBand="0" w:oddHBand="0" w:evenHBand="1" w:firstRowFirstColumn="0" w:firstRowLastColumn="0" w:lastRowFirstColumn="0" w:lastRowLastColumn="0"/>
            </w:pPr>
            <w:r w:rsidRPr="00BA2163">
              <w:t>1 March 2023</w:t>
            </w:r>
          </w:p>
        </w:tc>
      </w:tr>
      <w:tr w:rsidR="00C95F4E" w:rsidRPr="001369DC" w14:paraId="1317A0FB" w14:textId="77777777" w:rsidTr="00523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7A6E14B" w14:textId="0B4BF704" w:rsidR="00DC3FC2" w:rsidRPr="00601BB8" w:rsidRDefault="00AF5AC6" w:rsidP="006B30AC">
            <w:pPr>
              <w:rPr>
                <w:i/>
                <w:iCs/>
              </w:rPr>
            </w:pPr>
            <w:proofErr w:type="spellStart"/>
            <w:r w:rsidRPr="00BD7146">
              <w:rPr>
                <w:strike/>
              </w:rPr>
              <w:t>Adalicip</w:t>
            </w:r>
            <w:proofErr w:type="spellEnd"/>
            <w:r w:rsidRPr="000967AE">
              <w:rPr>
                <w:vertAlign w:val="superscript"/>
              </w:rPr>
              <w:t>®</w:t>
            </w:r>
            <w:r w:rsidRPr="000967AE">
              <w:t xml:space="preserve"> </w:t>
            </w:r>
            <w:r w:rsidRPr="006B30AC">
              <w:rPr>
                <w:rStyle w:val="FootnoteReference"/>
              </w:rPr>
              <w:footnoteReference w:id="2"/>
            </w:r>
          </w:p>
        </w:tc>
        <w:tc>
          <w:tcPr>
            <w:tcW w:w="2268" w:type="dxa"/>
          </w:tcPr>
          <w:p w14:paraId="281D9CDD" w14:textId="09E7E342" w:rsidR="00C95F4E" w:rsidRPr="00BA2163" w:rsidRDefault="002B5F82" w:rsidP="00BA2163">
            <w:pPr>
              <w:cnfStyle w:val="000000100000" w:firstRow="0" w:lastRow="0" w:firstColumn="0" w:lastColumn="0" w:oddVBand="0" w:evenVBand="0" w:oddHBand="1" w:evenHBand="0" w:firstRowFirstColumn="0" w:firstRowLastColumn="0" w:lastRowFirstColumn="0" w:lastRowLastColumn="0"/>
            </w:pPr>
            <w:r>
              <w:t xml:space="preserve"> </w:t>
            </w:r>
          </w:p>
        </w:tc>
      </w:tr>
      <w:tr w:rsidR="0084085B" w:rsidRPr="001369DC" w14:paraId="5B230A58" w14:textId="77777777" w:rsidTr="00523E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D49207B" w14:textId="5084B64C" w:rsidR="0084085B" w:rsidRDefault="0084085B" w:rsidP="007954F8">
            <w:r>
              <w:t>Abrilada</w:t>
            </w:r>
            <w:r w:rsidR="009564FB" w:rsidRPr="000967AE">
              <w:rPr>
                <w:vertAlign w:val="superscript"/>
              </w:rPr>
              <w:t>®</w:t>
            </w:r>
          </w:p>
        </w:tc>
        <w:tc>
          <w:tcPr>
            <w:tcW w:w="2268" w:type="dxa"/>
          </w:tcPr>
          <w:p w14:paraId="79701002" w14:textId="795EEBC6" w:rsidR="0084085B" w:rsidRPr="00BA2163" w:rsidRDefault="00462ED9" w:rsidP="00BA2163">
            <w:pPr>
              <w:cnfStyle w:val="000000010000" w:firstRow="0" w:lastRow="0" w:firstColumn="0" w:lastColumn="0" w:oddVBand="0" w:evenVBand="0" w:oddHBand="0" w:evenHBand="1" w:firstRowFirstColumn="0" w:firstRowLastColumn="0" w:lastRowFirstColumn="0" w:lastRowLastColumn="0"/>
            </w:pPr>
            <w:r w:rsidRPr="00BA2163">
              <w:t>1 August 2024</w:t>
            </w:r>
          </w:p>
        </w:tc>
      </w:tr>
    </w:tbl>
    <w:p w14:paraId="54F00640" w14:textId="77777777" w:rsidR="005535C9" w:rsidRDefault="005535C9" w:rsidP="007954F8">
      <w:pPr>
        <w:rPr>
          <w:lang w:eastAsia="ko-KR"/>
        </w:rPr>
      </w:pPr>
      <w:r>
        <w:rPr>
          <w:lang w:eastAsia="ko-KR"/>
        </w:rPr>
        <w:t xml:space="preserve">These brands are listed under the PBS General Schedule and the </w:t>
      </w:r>
      <w:hyperlink r:id="rId7" w:history="1">
        <w:r w:rsidRPr="00786E3B">
          <w:rPr>
            <w:rStyle w:val="Hyperlink"/>
            <w:lang w:eastAsia="ko-KR"/>
          </w:rPr>
          <w:t>Section 100 Highly Specialised Drugs Program</w:t>
        </w:r>
      </w:hyperlink>
      <w:r>
        <w:rPr>
          <w:lang w:eastAsia="ko-KR"/>
        </w:rPr>
        <w:t xml:space="preserve"> (HSD Program).</w:t>
      </w:r>
    </w:p>
    <w:p w14:paraId="172CA862" w14:textId="1CBA95BD" w:rsidR="005535C9" w:rsidRPr="000967AE" w:rsidRDefault="005535C9" w:rsidP="000967AE">
      <w:pPr>
        <w:pStyle w:val="Heading2"/>
      </w:pPr>
      <w:r w:rsidRPr="000967AE">
        <w:t>What are biological and biosimilar medicines?</w:t>
      </w:r>
    </w:p>
    <w:p w14:paraId="145BD7F9" w14:textId="77777777" w:rsidR="000B65FC" w:rsidRPr="00151334" w:rsidRDefault="000B65FC" w:rsidP="000B65FC">
      <w:pPr>
        <w:rPr>
          <w:lang w:eastAsia="en-US"/>
        </w:rPr>
      </w:pPr>
      <w:r w:rsidRPr="00151334">
        <w:rPr>
          <w:lang w:eastAsia="en-US"/>
        </w:rPr>
        <w:t>Biological medicines, including biosimilars, contain substances made by living cells or organisms. They are more complex to make than synthetic chemical medicines.</w:t>
      </w:r>
    </w:p>
    <w:p w14:paraId="22793809" w14:textId="058904B7" w:rsidR="000B65FC" w:rsidRPr="00151334" w:rsidRDefault="000B65FC" w:rsidP="000B65FC">
      <w:pPr>
        <w:rPr>
          <w:lang w:eastAsia="en-US"/>
        </w:rPr>
      </w:pPr>
      <w:r w:rsidRPr="00151334">
        <w:rPr>
          <w:lang w:eastAsia="en-US"/>
        </w:rPr>
        <w:t>A biosimilar medicine is a highly similar version of a reference biological medicine, which is invariably the first brand to market. Biosimilar medicines are used to treat the same diseases, in the same way as the reference biological medicines.</w:t>
      </w:r>
    </w:p>
    <w:p w14:paraId="3D0F409D" w14:textId="1F677D2D" w:rsidR="000B65FC" w:rsidRPr="00151334" w:rsidRDefault="000B65FC" w:rsidP="000B65FC">
      <w:pPr>
        <w:rPr>
          <w:lang w:eastAsia="en-US"/>
        </w:rPr>
      </w:pPr>
      <w:r w:rsidRPr="00151334">
        <w:rPr>
          <w:lang w:eastAsia="en-US"/>
        </w:rPr>
        <w:t>Biosimilar medicines have been tested and shown to be as safe and effective as the reference biological medicines.</w:t>
      </w:r>
    </w:p>
    <w:p w14:paraId="4C0CC33B" w14:textId="108CA4E8" w:rsidR="005535C9" w:rsidRPr="000967AE" w:rsidRDefault="005535C9" w:rsidP="000967AE">
      <w:pPr>
        <w:pStyle w:val="Heading2"/>
      </w:pPr>
      <w:r w:rsidRPr="000967AE">
        <w:t xml:space="preserve">How is </w:t>
      </w:r>
      <w:proofErr w:type="spellStart"/>
      <w:r w:rsidRPr="000967AE">
        <w:t>biosimilarity</w:t>
      </w:r>
      <w:proofErr w:type="spellEnd"/>
      <w:r w:rsidRPr="000967AE">
        <w:t xml:space="preserve"> determined?</w:t>
      </w:r>
    </w:p>
    <w:p w14:paraId="20AA89C6" w14:textId="77777777" w:rsidR="005535C9" w:rsidRPr="00151334" w:rsidRDefault="005535C9" w:rsidP="007954F8">
      <w:r w:rsidRPr="00151334">
        <w:t>Biosimilar medicines are designed and engineered to be as similar as possible to the reference biological medicine. There may be minor differences (known as molecular microheterogeneity) due to natural variability and the more complex manufacturing processes required for biological medicines. Importantly, these minor differences do not affect the safety, quality or effectiveness of the biosimilar medicine.</w:t>
      </w:r>
    </w:p>
    <w:p w14:paraId="49743484" w14:textId="77777777" w:rsidR="005535C9" w:rsidRPr="00151334" w:rsidRDefault="005535C9" w:rsidP="007954F8">
      <w:pPr>
        <w:rPr>
          <w:lang w:eastAsia="ko-KR"/>
        </w:rPr>
      </w:pPr>
      <w:r w:rsidRPr="00151334">
        <w:t xml:space="preserve">For a biosimilar medicine to be approved by the Therapeutic Goods Administration (TGA), the structural variability of the biosimilar medicine and the reference biological medicine, and all critical quality attributes (i.e. those important for the function of the molecule) must be </w:t>
      </w:r>
      <w:r w:rsidRPr="00151334">
        <w:lastRenderedPageBreak/>
        <w:t>highly similar. There must also be no clinically meaningful differences identified in clinical studies comparing the biosimilar and reference products.</w:t>
      </w:r>
    </w:p>
    <w:p w14:paraId="0A0F7FA7" w14:textId="216B6093" w:rsidR="005535C9" w:rsidRPr="00151334" w:rsidRDefault="00462ED9" w:rsidP="007954F8">
      <w:pPr>
        <w:rPr>
          <w:lang w:eastAsia="ko-KR"/>
        </w:rPr>
      </w:pPr>
      <w:r w:rsidRPr="00151334">
        <w:t>Abrilada</w:t>
      </w:r>
      <w:r w:rsidR="00CD1826" w:rsidRPr="000967AE">
        <w:rPr>
          <w:color w:val="000000" w:themeColor="text1"/>
          <w:vertAlign w:val="superscript"/>
        </w:rPr>
        <w:t>®</w:t>
      </w:r>
      <w:r w:rsidRPr="00151334">
        <w:t xml:space="preserve">, </w:t>
      </w:r>
      <w:proofErr w:type="spellStart"/>
      <w:r w:rsidR="005535C9" w:rsidRPr="00151334">
        <w:t>Amgevita</w:t>
      </w:r>
      <w:proofErr w:type="spellEnd"/>
      <w:r w:rsidR="00CD1826" w:rsidRPr="000967AE">
        <w:rPr>
          <w:color w:val="000000" w:themeColor="text1"/>
          <w:vertAlign w:val="superscript"/>
        </w:rPr>
        <w:t>®</w:t>
      </w:r>
      <w:r w:rsidR="005535C9" w:rsidRPr="00151334">
        <w:t xml:space="preserve">, </w:t>
      </w:r>
      <w:proofErr w:type="spellStart"/>
      <w:r w:rsidR="005535C9" w:rsidRPr="00151334">
        <w:t>Hadlima</w:t>
      </w:r>
      <w:proofErr w:type="spellEnd"/>
      <w:r w:rsidR="00AB472B" w:rsidRPr="000967AE">
        <w:rPr>
          <w:color w:val="000000" w:themeColor="text1"/>
          <w:vertAlign w:val="superscript"/>
        </w:rPr>
        <w:t>®</w:t>
      </w:r>
      <w:r w:rsidR="005535C9" w:rsidRPr="00151334">
        <w:t xml:space="preserve">, </w:t>
      </w:r>
      <w:proofErr w:type="spellStart"/>
      <w:r w:rsidR="005535C9" w:rsidRPr="00151334">
        <w:t>Hyrimoz</w:t>
      </w:r>
      <w:proofErr w:type="spellEnd"/>
      <w:r w:rsidR="00AB472B" w:rsidRPr="000967AE">
        <w:rPr>
          <w:color w:val="000000" w:themeColor="text1"/>
          <w:vertAlign w:val="superscript"/>
        </w:rPr>
        <w:t>®</w:t>
      </w:r>
      <w:r w:rsidR="00D05DB2" w:rsidRPr="00151334">
        <w:t xml:space="preserve"> and </w:t>
      </w:r>
      <w:proofErr w:type="spellStart"/>
      <w:r w:rsidR="00D05DB2" w:rsidRPr="00151334">
        <w:t>Yuflyma</w:t>
      </w:r>
      <w:proofErr w:type="spellEnd"/>
      <w:r w:rsidR="00AB472B" w:rsidRPr="000967AE">
        <w:rPr>
          <w:color w:val="000000" w:themeColor="text1"/>
          <w:vertAlign w:val="superscript"/>
        </w:rPr>
        <w:t>®</w:t>
      </w:r>
      <w:r w:rsidR="005535C9" w:rsidRPr="00151334">
        <w:t xml:space="preserve"> </w:t>
      </w:r>
      <w:r w:rsidR="005535C9" w:rsidRPr="00151334">
        <w:rPr>
          <w:lang w:eastAsia="ko-KR"/>
        </w:rPr>
        <w:t xml:space="preserve">have been assessed by the TGA </w:t>
      </w:r>
      <w:proofErr w:type="gramStart"/>
      <w:r w:rsidR="005535C9" w:rsidRPr="00151334">
        <w:rPr>
          <w:lang w:eastAsia="ko-KR"/>
        </w:rPr>
        <w:t>on the basis of</w:t>
      </w:r>
      <w:proofErr w:type="gramEnd"/>
      <w:r w:rsidR="005535C9" w:rsidRPr="00151334">
        <w:rPr>
          <w:rFonts w:hint="eastAsia"/>
          <w:lang w:eastAsia="ko-KR"/>
        </w:rPr>
        <w:t xml:space="preserve"> comparability and clinical studies </w:t>
      </w:r>
      <w:r w:rsidR="005535C9" w:rsidRPr="00151334">
        <w:rPr>
          <w:lang w:eastAsia="ko-KR"/>
        </w:rPr>
        <w:t>to be highly similar</w:t>
      </w:r>
      <w:r w:rsidR="005535C9" w:rsidRPr="00151334">
        <w:rPr>
          <w:rFonts w:hint="eastAsia"/>
          <w:lang w:eastAsia="ko-KR"/>
        </w:rPr>
        <w:t xml:space="preserve"> to</w:t>
      </w:r>
      <w:r w:rsidR="005535C9" w:rsidRPr="00151334">
        <w:rPr>
          <w:lang w:eastAsia="ko-KR"/>
        </w:rPr>
        <w:t xml:space="preserve"> the reference brand,</w:t>
      </w:r>
      <w:r w:rsidR="005535C9" w:rsidRPr="00151334">
        <w:rPr>
          <w:rFonts w:hint="eastAsia"/>
          <w:lang w:eastAsia="ko-KR"/>
        </w:rPr>
        <w:t xml:space="preserve"> </w:t>
      </w:r>
      <w:r w:rsidR="005535C9" w:rsidRPr="00151334">
        <w:t>Humira</w:t>
      </w:r>
      <w:r w:rsidR="005535C9" w:rsidRPr="00151334">
        <w:rPr>
          <w:lang w:eastAsia="ko-KR"/>
        </w:rPr>
        <w:t xml:space="preserve">. </w:t>
      </w:r>
      <w:r w:rsidR="005535C9" w:rsidRPr="00151334">
        <w:rPr>
          <w:rFonts w:hint="eastAsia"/>
          <w:lang w:eastAsia="ko-KR"/>
        </w:rPr>
        <w:t xml:space="preserve">This means </w:t>
      </w:r>
      <w:r w:rsidR="005535C9" w:rsidRPr="00151334">
        <w:rPr>
          <w:lang w:eastAsia="ko-KR"/>
        </w:rPr>
        <w:t xml:space="preserve">that </w:t>
      </w:r>
      <w:r w:rsidRPr="00151334">
        <w:rPr>
          <w:lang w:eastAsia="ko-KR"/>
        </w:rPr>
        <w:t>these brands</w:t>
      </w:r>
      <w:r w:rsidR="005535C9" w:rsidRPr="00151334">
        <w:t xml:space="preserve"> </w:t>
      </w:r>
      <w:r w:rsidR="005535C9" w:rsidRPr="00151334">
        <w:rPr>
          <w:lang w:eastAsia="ko-KR"/>
        </w:rPr>
        <w:t>provide the same health outcomes and are</w:t>
      </w:r>
      <w:r w:rsidR="005535C9" w:rsidRPr="00151334">
        <w:rPr>
          <w:rFonts w:hint="eastAsia"/>
          <w:lang w:eastAsia="ko-KR"/>
        </w:rPr>
        <w:t xml:space="preserve"> </w:t>
      </w:r>
      <w:r w:rsidR="005535C9" w:rsidRPr="00151334">
        <w:rPr>
          <w:lang w:eastAsia="ko-KR"/>
        </w:rPr>
        <w:t>as safe and effective as Humira.</w:t>
      </w:r>
    </w:p>
    <w:p w14:paraId="0FA0D907" w14:textId="7E9F09A8" w:rsidR="005535C9" w:rsidRPr="000967AE" w:rsidRDefault="005535C9" w:rsidP="000967AE">
      <w:pPr>
        <w:pStyle w:val="Heading2"/>
      </w:pPr>
      <w:r w:rsidRPr="000967AE">
        <w:t>What is adalimumab?</w:t>
      </w:r>
    </w:p>
    <w:p w14:paraId="28B28D3A" w14:textId="0DFFA13E" w:rsidR="005535C9" w:rsidRPr="00151334" w:rsidRDefault="005535C9" w:rsidP="007954F8">
      <w:r w:rsidRPr="00151334">
        <w:t>Adalimumab is a biological medicine that is used to treat a range of conditions such as rheumatoid arthritis, juvenile idiopathic arthritis, chronic plaque psoriasis, psoriatic arthritis, ankylosing spondylitis, Crohn disease, ulcerative colitis</w:t>
      </w:r>
      <w:r w:rsidR="003415EE" w:rsidRPr="00151334">
        <w:t>,</w:t>
      </w:r>
      <w:r w:rsidRPr="00151334">
        <w:t xml:space="preserve"> hidradenitis suppurativa</w:t>
      </w:r>
      <w:r w:rsidR="003415EE" w:rsidRPr="00151334">
        <w:t xml:space="preserve"> and </w:t>
      </w:r>
      <w:r w:rsidR="007226F4" w:rsidRPr="00151334">
        <w:t>vision threatening non</w:t>
      </w:r>
      <w:r w:rsidR="007226F4" w:rsidRPr="00151334">
        <w:noBreakHyphen/>
        <w:t>infectious uveitis</w:t>
      </w:r>
      <w:r w:rsidRPr="00151334">
        <w:t>.</w:t>
      </w:r>
    </w:p>
    <w:p w14:paraId="64E0BFF0" w14:textId="2FA5FB51" w:rsidR="005535C9" w:rsidRPr="00151334" w:rsidRDefault="005535C9" w:rsidP="007954F8">
      <w:r w:rsidRPr="00151334">
        <w:t xml:space="preserve">More information about this medicine is available by entering ‘adalimumab’ at </w:t>
      </w:r>
      <w:r w:rsidRPr="00151334">
        <w:rPr>
          <w:rFonts w:hint="eastAsia"/>
          <w:lang w:eastAsia="ko-KR"/>
        </w:rPr>
        <w:t xml:space="preserve">the </w:t>
      </w:r>
      <w:hyperlink r:id="rId8" w:history="1">
        <w:r w:rsidRPr="00151334">
          <w:rPr>
            <w:rStyle w:val="Hyperlink"/>
            <w:rFonts w:hint="eastAsia"/>
            <w:lang w:eastAsia="ko-KR"/>
          </w:rPr>
          <w:t>NPS </w:t>
        </w:r>
        <w:r w:rsidRPr="00151334">
          <w:rPr>
            <w:rStyle w:val="Hyperlink"/>
            <w:lang w:eastAsia="ko-KR"/>
          </w:rPr>
          <w:t xml:space="preserve">MedicineWise </w:t>
        </w:r>
        <w:r w:rsidRPr="00151334">
          <w:rPr>
            <w:rStyle w:val="Hyperlink"/>
            <w:rFonts w:hint="eastAsia"/>
            <w:lang w:eastAsia="ko-KR"/>
          </w:rPr>
          <w:t>Medicine Finder</w:t>
        </w:r>
      </w:hyperlink>
      <w:r w:rsidRPr="00151334">
        <w:rPr>
          <w:rFonts w:hint="eastAsia"/>
          <w:lang w:eastAsia="ko-KR"/>
        </w:rPr>
        <w:t>.</w:t>
      </w:r>
    </w:p>
    <w:p w14:paraId="1D303A2C" w14:textId="364266C5" w:rsidR="005535C9" w:rsidRPr="000967AE" w:rsidRDefault="005535C9" w:rsidP="000967AE">
      <w:pPr>
        <w:pStyle w:val="Heading2"/>
      </w:pPr>
      <w:r w:rsidRPr="000967AE">
        <w:t>Can PBS brands of adalimumab be substituted?</w:t>
      </w:r>
    </w:p>
    <w:p w14:paraId="27364302" w14:textId="2F64BD32" w:rsidR="005321B0" w:rsidRPr="00151334" w:rsidRDefault="005535C9" w:rsidP="007954F8">
      <w:r w:rsidRPr="00151334">
        <w:t xml:space="preserve">The Pharmaceutical Benefits Advisory Committee (PBAC) recommended that </w:t>
      </w:r>
      <w:r w:rsidR="003A5C21" w:rsidRPr="00151334">
        <w:t>Abrilada</w:t>
      </w:r>
      <w:r w:rsidR="00CA7881" w:rsidRPr="000967AE">
        <w:rPr>
          <w:color w:val="000000" w:themeColor="text1"/>
          <w:vertAlign w:val="superscript"/>
        </w:rPr>
        <w:t>®</w:t>
      </w:r>
      <w:r w:rsidR="003A5C21" w:rsidRPr="00151334">
        <w:t xml:space="preserve">, </w:t>
      </w:r>
      <w:proofErr w:type="spellStart"/>
      <w:r w:rsidR="00CA7881" w:rsidRPr="00151334">
        <w:t>Amgevita</w:t>
      </w:r>
      <w:proofErr w:type="spellEnd"/>
      <w:r w:rsidR="00CA7881" w:rsidRPr="000967AE">
        <w:rPr>
          <w:color w:val="000000" w:themeColor="text1"/>
          <w:vertAlign w:val="superscript"/>
        </w:rPr>
        <w:t>®</w:t>
      </w:r>
      <w:r w:rsidR="00CA7881" w:rsidRPr="00151334">
        <w:t xml:space="preserve">, </w:t>
      </w:r>
      <w:proofErr w:type="spellStart"/>
      <w:r w:rsidR="00CA7881" w:rsidRPr="00151334">
        <w:t>Hadlima</w:t>
      </w:r>
      <w:proofErr w:type="spellEnd"/>
      <w:r w:rsidR="00CA7881" w:rsidRPr="000967AE">
        <w:rPr>
          <w:color w:val="000000" w:themeColor="text1"/>
          <w:vertAlign w:val="superscript"/>
        </w:rPr>
        <w:t>®</w:t>
      </w:r>
      <w:r w:rsidR="00CA7881" w:rsidRPr="00151334">
        <w:t xml:space="preserve">, </w:t>
      </w:r>
      <w:proofErr w:type="spellStart"/>
      <w:r w:rsidR="00CA7881" w:rsidRPr="00151334">
        <w:t>Hyrimoz</w:t>
      </w:r>
      <w:proofErr w:type="spellEnd"/>
      <w:r w:rsidR="00CA7881" w:rsidRPr="000967AE">
        <w:rPr>
          <w:color w:val="000000" w:themeColor="text1"/>
          <w:vertAlign w:val="superscript"/>
        </w:rPr>
        <w:t>®</w:t>
      </w:r>
      <w:r w:rsidR="00CA7881" w:rsidRPr="00151334">
        <w:t xml:space="preserve"> and </w:t>
      </w:r>
      <w:proofErr w:type="spellStart"/>
      <w:r w:rsidR="00CA7881" w:rsidRPr="00151334">
        <w:t>Yuflyma</w:t>
      </w:r>
      <w:proofErr w:type="spellEnd"/>
      <w:r w:rsidR="00CA7881" w:rsidRPr="000967AE">
        <w:rPr>
          <w:color w:val="000000" w:themeColor="text1"/>
          <w:vertAlign w:val="superscript"/>
        </w:rPr>
        <w:t>®</w:t>
      </w:r>
      <w:r w:rsidR="00CA7881" w:rsidRPr="00151334">
        <w:t xml:space="preserve"> </w:t>
      </w:r>
      <w:r w:rsidRPr="00151334">
        <w:t xml:space="preserve">be listed on the PBS as substitutable biosimilars of </w:t>
      </w:r>
      <w:r w:rsidRPr="00151334">
        <w:rPr>
          <w:rFonts w:hint="eastAsia"/>
        </w:rPr>
        <w:t>Hu</w:t>
      </w:r>
      <w:r w:rsidRPr="00151334">
        <w:t>mira</w:t>
      </w:r>
      <w:r w:rsidR="009408F0" w:rsidRPr="000967AE">
        <w:rPr>
          <w:color w:val="000000" w:themeColor="text1"/>
          <w:vertAlign w:val="superscript"/>
        </w:rPr>
        <w:t>®</w:t>
      </w:r>
      <w:r w:rsidRPr="00151334">
        <w:t xml:space="preserve">, the reference brand of </w:t>
      </w:r>
      <w:r w:rsidRPr="00151334">
        <w:rPr>
          <w:rFonts w:hint="eastAsia"/>
        </w:rPr>
        <w:t>adalimumab</w:t>
      </w:r>
      <w:r w:rsidRPr="00151334">
        <w:t>. Substitutable brands are marked in the Schedule with an ‘a’</w:t>
      </w:r>
      <w:r w:rsidRPr="00151334">
        <w:noBreakHyphen/>
        <w:t>flag.</w:t>
      </w:r>
      <w:r w:rsidR="0062156F" w:rsidRPr="00151334">
        <w:t xml:space="preserve"> </w:t>
      </w:r>
      <w:r w:rsidR="005321B0" w:rsidRPr="00151334">
        <w:t>When PBS brands are ’a’-flagged with each other, the pharmacist may dispense any of these brands</w:t>
      </w:r>
      <w:r w:rsidR="00C0396C" w:rsidRPr="00151334">
        <w:t>, in consultation with the patient and</w:t>
      </w:r>
      <w:r w:rsidR="005321B0" w:rsidRPr="00151334">
        <w:t xml:space="preserve"> provided the prescriber has not indicated ‘brand substitution not permitted’ on the prescription</w:t>
      </w:r>
      <w:r w:rsidR="00C0396C" w:rsidRPr="00151334">
        <w:t>.</w:t>
      </w:r>
    </w:p>
    <w:p w14:paraId="5E34779C" w14:textId="71DC304F" w:rsidR="005535C9" w:rsidRPr="00151334" w:rsidRDefault="0062156F" w:rsidP="007954F8">
      <w:r w:rsidRPr="00151334">
        <w:t>Substitution is also permitted between standard and concentrated formulations when the total amount of drug is the same, and a note has been placed in the Schedule of Pharmaceutical Benefits listing to indicate that substitution is permissible.</w:t>
      </w:r>
    </w:p>
    <w:p w14:paraId="2B92E9A1" w14:textId="748694A1" w:rsidR="00703987" w:rsidRPr="00151334" w:rsidRDefault="0012514F" w:rsidP="007954F8">
      <w:r w:rsidRPr="00151334">
        <w:t>Pharmacists can substitute a reference brand with a biosimilar brand, h</w:t>
      </w:r>
      <w:r w:rsidR="00703987" w:rsidRPr="00151334">
        <w:t xml:space="preserve">owever, depending on the PBS item code prescribed, </w:t>
      </w:r>
      <w:r w:rsidR="005321B0" w:rsidRPr="00151334">
        <w:t xml:space="preserve">substituting a biosimilar brand with a </w:t>
      </w:r>
      <w:r w:rsidR="00703987" w:rsidRPr="00151334">
        <w:t xml:space="preserve">reference brand may not be permitted. </w:t>
      </w:r>
    </w:p>
    <w:p w14:paraId="54FA685D" w14:textId="5488107E" w:rsidR="005535C9" w:rsidRPr="000967AE" w:rsidRDefault="00F530FF" w:rsidP="000967AE">
      <w:pPr>
        <w:pStyle w:val="Heading2"/>
      </w:pPr>
      <w:r w:rsidRPr="000967AE">
        <w:t>Authority requirements for</w:t>
      </w:r>
      <w:r w:rsidR="005535C9" w:rsidRPr="000967AE">
        <w:t xml:space="preserve"> adalimumab</w:t>
      </w:r>
    </w:p>
    <w:p w14:paraId="36824AF7" w14:textId="74BB2C8E" w:rsidR="00FE2F36" w:rsidRPr="00151334" w:rsidRDefault="00FE2F36" w:rsidP="00FE2F36">
      <w:r w:rsidRPr="00151334">
        <w:t xml:space="preserve">Authority Requirements for prescribing adalimumab vary between PBS items and need to be confirmed in the </w:t>
      </w:r>
      <w:hyperlink r:id="rId9" w:history="1">
        <w:r w:rsidRPr="00151334">
          <w:rPr>
            <w:rStyle w:val="Hyperlink"/>
          </w:rPr>
          <w:t>Schedule of Pharmaceutical Benefits</w:t>
        </w:r>
      </w:hyperlink>
      <w:r w:rsidRPr="00151334">
        <w:t xml:space="preserve">. Depending on the item, authority approval may be obtained either in writing or via the Health Professionals Online Service </w:t>
      </w:r>
      <w:r w:rsidR="005321B0" w:rsidRPr="00151334">
        <w:t xml:space="preserve">(HPOS) </w:t>
      </w:r>
      <w:r w:rsidRPr="00151334">
        <w:t>form upload facility, or alternatively approval may be obtained in real time via telephone or online application</w:t>
      </w:r>
      <w:r w:rsidR="00F530FF" w:rsidRPr="00151334">
        <w:t xml:space="preserve"> via Services Australia’s Online PBS Authorities (OPA) system.</w:t>
      </w:r>
    </w:p>
    <w:p w14:paraId="151DF672" w14:textId="46BB002E" w:rsidR="00F530FF" w:rsidRPr="00151334" w:rsidRDefault="00F530FF" w:rsidP="00F530FF">
      <w:r w:rsidRPr="00151334">
        <w:t>For a number of PBS indications</w:t>
      </w:r>
      <w:r w:rsidR="00E81F8E" w:rsidRPr="00151334">
        <w:t xml:space="preserve"> prescribers may use the relevant </w:t>
      </w:r>
      <w:hyperlink r:id="rId10" w:history="1">
        <w:r w:rsidR="00E81F8E" w:rsidRPr="00151334">
          <w:rPr>
            <w:rStyle w:val="Hyperlink"/>
          </w:rPr>
          <w:t>Authority Required (STREAMLINED)</w:t>
        </w:r>
      </w:hyperlink>
      <w:r w:rsidR="00E81F8E" w:rsidRPr="00151334">
        <w:t xml:space="preserve"> code for the </w:t>
      </w:r>
      <w:r w:rsidR="00E81F8E" w:rsidRPr="00151334">
        <w:rPr>
          <w:rStyle w:val="Emphasis"/>
        </w:rPr>
        <w:t>subsequent continuing</w:t>
      </w:r>
      <w:r w:rsidR="00E81F8E" w:rsidRPr="00151334">
        <w:t xml:space="preserve"> treatment phase when prescribing</w:t>
      </w:r>
      <w:r w:rsidRPr="00151334">
        <w:t xml:space="preserve"> the biosimilar brands </w:t>
      </w:r>
      <w:r w:rsidR="00CA4356" w:rsidRPr="00151334">
        <w:t>Abrilada</w:t>
      </w:r>
      <w:r w:rsidR="00EB0882" w:rsidRPr="000967AE">
        <w:rPr>
          <w:color w:val="000000" w:themeColor="text1"/>
          <w:vertAlign w:val="superscript"/>
        </w:rPr>
        <w:t>®</w:t>
      </w:r>
      <w:r w:rsidR="00CA4356" w:rsidRPr="00151334">
        <w:t xml:space="preserve">, </w:t>
      </w:r>
      <w:proofErr w:type="spellStart"/>
      <w:r w:rsidR="00EB0882" w:rsidRPr="00151334">
        <w:t>Amgevita</w:t>
      </w:r>
      <w:proofErr w:type="spellEnd"/>
      <w:r w:rsidR="00EB0882" w:rsidRPr="000967AE">
        <w:rPr>
          <w:color w:val="000000" w:themeColor="text1"/>
          <w:vertAlign w:val="superscript"/>
        </w:rPr>
        <w:t>®</w:t>
      </w:r>
      <w:r w:rsidR="00EB0882" w:rsidRPr="00151334">
        <w:t xml:space="preserve">, </w:t>
      </w:r>
      <w:proofErr w:type="spellStart"/>
      <w:r w:rsidR="00EB0882" w:rsidRPr="00151334">
        <w:t>Hadlima</w:t>
      </w:r>
      <w:proofErr w:type="spellEnd"/>
      <w:r w:rsidR="00EB0882" w:rsidRPr="000967AE">
        <w:rPr>
          <w:color w:val="000000" w:themeColor="text1"/>
          <w:vertAlign w:val="superscript"/>
        </w:rPr>
        <w:t>®</w:t>
      </w:r>
      <w:r w:rsidR="00EB0882" w:rsidRPr="00151334">
        <w:t xml:space="preserve">, </w:t>
      </w:r>
      <w:proofErr w:type="spellStart"/>
      <w:r w:rsidR="00EB0882" w:rsidRPr="00151334">
        <w:t>Hyrimoz</w:t>
      </w:r>
      <w:proofErr w:type="spellEnd"/>
      <w:r w:rsidR="00EB0882" w:rsidRPr="000967AE">
        <w:rPr>
          <w:color w:val="000000" w:themeColor="text1"/>
          <w:vertAlign w:val="superscript"/>
        </w:rPr>
        <w:t>®</w:t>
      </w:r>
      <w:r w:rsidR="00EB0882" w:rsidRPr="00151334">
        <w:t xml:space="preserve"> and </w:t>
      </w:r>
      <w:proofErr w:type="spellStart"/>
      <w:r w:rsidR="00EB0882" w:rsidRPr="00151334">
        <w:t>Yuflyma</w:t>
      </w:r>
      <w:proofErr w:type="spellEnd"/>
      <w:r w:rsidR="00EB0882" w:rsidRPr="000967AE">
        <w:rPr>
          <w:color w:val="000000" w:themeColor="text1"/>
          <w:vertAlign w:val="superscript"/>
        </w:rPr>
        <w:t>®</w:t>
      </w:r>
      <w:r w:rsidR="00E81F8E" w:rsidRPr="00151334">
        <w:t>.</w:t>
      </w:r>
      <w:r w:rsidRPr="00151334">
        <w:t xml:space="preserve"> </w:t>
      </w:r>
      <w:r w:rsidR="00E81F8E" w:rsidRPr="00151334">
        <w:t>B</w:t>
      </w:r>
      <w:r w:rsidRPr="00151334">
        <w:t xml:space="preserve">iosimilars are also </w:t>
      </w:r>
      <w:hyperlink r:id="rId11" w:history="1">
        <w:r w:rsidRPr="00151334">
          <w:rPr>
            <w:rStyle w:val="Hyperlink"/>
          </w:rPr>
          <w:t>Authority Required (STREAMLINED)</w:t>
        </w:r>
      </w:hyperlink>
      <w:r w:rsidRPr="00151334">
        <w:t xml:space="preserve"> for </w:t>
      </w:r>
      <w:r w:rsidR="00E81F8E" w:rsidRPr="00151334">
        <w:t xml:space="preserve">some indications for the </w:t>
      </w:r>
      <w:r w:rsidRPr="00151334">
        <w:rPr>
          <w:rStyle w:val="Emphasis"/>
        </w:rPr>
        <w:t>first continuing</w:t>
      </w:r>
      <w:r w:rsidRPr="00151334">
        <w:t xml:space="preserve"> treatment</w:t>
      </w:r>
      <w:r w:rsidR="00E81F8E" w:rsidRPr="00151334">
        <w:t xml:space="preserve"> phase.</w:t>
      </w:r>
    </w:p>
    <w:p w14:paraId="3F82C99C" w14:textId="29EDC93C" w:rsidR="00FE2F36" w:rsidRPr="00151334" w:rsidRDefault="00FE2F36" w:rsidP="00FE2F36">
      <w:r w:rsidRPr="00151334">
        <w:t>Read the Schedule of Pharmaceutical Benefits for the</w:t>
      </w:r>
      <w:r w:rsidR="00E81F8E" w:rsidRPr="00151334">
        <w:t xml:space="preserve"> complete</w:t>
      </w:r>
      <w:r w:rsidRPr="00151334">
        <w:t xml:space="preserve"> restrictions for </w:t>
      </w:r>
      <w:hyperlink r:id="rId12" w:history="1">
        <w:r w:rsidRPr="002905E7">
          <w:rPr>
            <w:rStyle w:val="Hyperlink"/>
          </w:rPr>
          <w:t>adalimumab</w:t>
        </w:r>
      </w:hyperlink>
      <w:r w:rsidRPr="00151334">
        <w:t xml:space="preserve">. The Schedule is also available via the </w:t>
      </w:r>
      <w:hyperlink r:id="rId13" w:history="1">
        <w:r w:rsidRPr="002905E7">
          <w:rPr>
            <w:rStyle w:val="Hyperlink"/>
          </w:rPr>
          <w:t>PBS publications page</w:t>
        </w:r>
      </w:hyperlink>
      <w:r w:rsidRPr="00151334">
        <w:t xml:space="preserve">. </w:t>
      </w:r>
      <w:r w:rsidR="00B312C6" w:rsidRPr="00151334">
        <w:t>P</w:t>
      </w:r>
      <w:r w:rsidRPr="00151334">
        <w:t xml:space="preserve">rescribing software </w:t>
      </w:r>
      <w:r w:rsidR="00E81B0A" w:rsidRPr="00151334">
        <w:t xml:space="preserve">also </w:t>
      </w:r>
      <w:r w:rsidRPr="00151334">
        <w:t xml:space="preserve">contains details of initial, </w:t>
      </w:r>
      <w:r w:rsidR="00BA3E81" w:rsidRPr="00151334">
        <w:t xml:space="preserve">continuing, </w:t>
      </w:r>
      <w:r w:rsidRPr="00151334">
        <w:t>first continuing</w:t>
      </w:r>
      <w:r w:rsidR="004D3192" w:rsidRPr="00151334">
        <w:t>,</w:t>
      </w:r>
      <w:r w:rsidRPr="00151334">
        <w:t xml:space="preserve"> and subsequent continuing treatment phase</w:t>
      </w:r>
      <w:r w:rsidR="004D3192" w:rsidRPr="00151334">
        <w:t>s</w:t>
      </w:r>
      <w:r w:rsidRPr="00151334">
        <w:t xml:space="preserve"> criteria and eligibility details. </w:t>
      </w:r>
      <w:r w:rsidR="00E81F8E" w:rsidRPr="00151334">
        <w:t xml:space="preserve">Please select item codes carefully. </w:t>
      </w:r>
      <w:r w:rsidRPr="00151334">
        <w:t>Over time PBS listing details may change – please consult the Schedule for current information.</w:t>
      </w:r>
    </w:p>
    <w:p w14:paraId="38165998" w14:textId="53544CD7" w:rsidR="005535C9" w:rsidRPr="000967AE" w:rsidRDefault="005535C9" w:rsidP="000967AE">
      <w:pPr>
        <w:pStyle w:val="Heading2"/>
      </w:pPr>
      <w:r w:rsidRPr="000967AE">
        <w:t>Do biosimilar uptake drivers apply to adalimumab?</w:t>
      </w:r>
    </w:p>
    <w:p w14:paraId="4C77FEAD" w14:textId="77777777" w:rsidR="005535C9" w:rsidRPr="00151334" w:rsidRDefault="005535C9" w:rsidP="007954F8">
      <w:r w:rsidRPr="00151334">
        <w:t xml:space="preserve">The Government has implemented policies to encourage greater use of biosimilar brands. </w:t>
      </w:r>
    </w:p>
    <w:p w14:paraId="673995D7" w14:textId="21AF330E" w:rsidR="00255234" w:rsidRPr="00151334" w:rsidRDefault="00255234" w:rsidP="00255234">
      <w:r w:rsidRPr="00151334">
        <w:t>For some items, prescribing the biosimilar brand is administratively easier than</w:t>
      </w:r>
      <w:r w:rsidR="00E81F8E" w:rsidRPr="00151334">
        <w:t xml:space="preserve"> prescribing</w:t>
      </w:r>
      <w:r w:rsidRPr="00151334">
        <w:t xml:space="preserve"> the reference brand as authority requirements </w:t>
      </w:r>
      <w:r w:rsidR="00E81F8E" w:rsidRPr="00151334">
        <w:t xml:space="preserve">may </w:t>
      </w:r>
      <w:r w:rsidRPr="00151334">
        <w:t>differ.</w:t>
      </w:r>
    </w:p>
    <w:p w14:paraId="38EF7936" w14:textId="43DEDFBA" w:rsidR="00583447" w:rsidRPr="00151334" w:rsidRDefault="00583447" w:rsidP="00255234">
      <w:r w:rsidRPr="00151334">
        <w:t>In line with the Government’s commitment to the uptake of biosimilars, prescribers are encouraged to prescribe a biosimilar brand for treatment-naïve patients where appropriate. The following administrative note is included in the Schedule:</w:t>
      </w:r>
    </w:p>
    <w:p w14:paraId="06D1CEDC" w14:textId="2AF609EB" w:rsidR="002E1D08" w:rsidRPr="000967AE" w:rsidRDefault="002E1D08" w:rsidP="005E46AD">
      <w:pPr>
        <w:pStyle w:val="Style1"/>
        <w:rPr>
          <w:rStyle w:val="Strong"/>
        </w:rPr>
      </w:pPr>
      <w:r w:rsidRPr="000967AE">
        <w:rPr>
          <w:rStyle w:val="Strong"/>
        </w:rPr>
        <w:t>Biosimilar prescribing policy</w:t>
      </w:r>
    </w:p>
    <w:p w14:paraId="5504ECAD" w14:textId="1AD1F1F9" w:rsidR="00E81F8E" w:rsidRPr="00151334" w:rsidRDefault="005535C9" w:rsidP="000967AE">
      <w:pPr>
        <w:pStyle w:val="Boxtype"/>
      </w:pPr>
      <w:proofErr w:type="gramStart"/>
      <w:r w:rsidRPr="00151334">
        <w:t>Prescribing of the</w:t>
      </w:r>
      <w:proofErr w:type="gramEnd"/>
      <w:r w:rsidRPr="00151334">
        <w:t xml:space="preserve"> biosimilar brand is encouraged for treatment naïve patients. </w:t>
      </w:r>
    </w:p>
    <w:p w14:paraId="2F93918D" w14:textId="6845B385" w:rsidR="005535C9" w:rsidRPr="00151334" w:rsidRDefault="005535C9" w:rsidP="005E46AD">
      <w:pPr>
        <w:pStyle w:val="Style1"/>
      </w:pPr>
      <w:r w:rsidRPr="00151334">
        <w:t xml:space="preserve">Encouraging biosimilar prescribing for treatment naïve patients is Government policy. A viable biosimilar market is expected to result in reduced costs for biological medicines, allowing the Government to reinvest in new treatments. </w:t>
      </w:r>
    </w:p>
    <w:p w14:paraId="4B438BAA" w14:textId="77777777" w:rsidR="005535C9" w:rsidRPr="00151334" w:rsidRDefault="005535C9" w:rsidP="007954F8">
      <w:r w:rsidRPr="00151334">
        <w:t xml:space="preserve">Further information about the biosimilar uptake drivers is available on the </w:t>
      </w:r>
      <w:hyperlink r:id="rId14" w:history="1">
        <w:r w:rsidRPr="002905E7">
          <w:rPr>
            <w:rStyle w:val="Hyperlink"/>
          </w:rPr>
          <w:t>PBS website</w:t>
        </w:r>
      </w:hyperlink>
      <w:r w:rsidRPr="00151334">
        <w:t>.</w:t>
      </w:r>
    </w:p>
    <w:p w14:paraId="7951D07F" w14:textId="77777777" w:rsidR="005535C9" w:rsidRPr="000967AE" w:rsidRDefault="005535C9" w:rsidP="000967AE">
      <w:pPr>
        <w:pStyle w:val="Heading2"/>
      </w:pPr>
      <w:r w:rsidRPr="000967AE">
        <w:t>Why are biosimilar medicines important?</w:t>
      </w:r>
    </w:p>
    <w:p w14:paraId="52B88CE0" w14:textId="0C289665" w:rsidR="005535C9" w:rsidRPr="00151334" w:rsidRDefault="00540A92" w:rsidP="007954F8">
      <w:r w:rsidRPr="00151334">
        <w:t xml:space="preserve">The PBS subsidises a range of biological medicines to treat cancers, immunological and degenerative disorders, which significantly affect the quality of life for affected individuals. These are generally innovative treatments and their increasing cost and utilisation across a range of disease indications continue to put pressure on the PBS. </w:t>
      </w:r>
      <w:r w:rsidR="00124AF3" w:rsidRPr="00151334">
        <w:t xml:space="preserve">In </w:t>
      </w:r>
      <w:r w:rsidR="00193D08" w:rsidRPr="00151334">
        <w:t>2024-25</w:t>
      </w:r>
      <w:r w:rsidR="00124AF3" w:rsidRPr="00151334">
        <w:t xml:space="preserve">, biological medicines represented </w:t>
      </w:r>
      <w:r w:rsidR="00193D08" w:rsidRPr="00151334">
        <w:t xml:space="preserve">seven </w:t>
      </w:r>
      <w:r w:rsidR="00124AF3" w:rsidRPr="00151334">
        <w:t xml:space="preserve">of the ten PBS medicines which attracted the most Government subsidy, with a combined cost of </w:t>
      </w:r>
      <w:r w:rsidR="00193D08" w:rsidRPr="00151334">
        <w:t>over $3.</w:t>
      </w:r>
      <w:proofErr w:type="gramStart"/>
      <w:r w:rsidR="00193D08" w:rsidRPr="00151334">
        <w:t xml:space="preserve">18 </w:t>
      </w:r>
      <w:r w:rsidR="00124AF3" w:rsidRPr="00151334">
        <w:t> billion</w:t>
      </w:r>
      <w:proofErr w:type="gramEnd"/>
      <w:r w:rsidR="00823F69" w:rsidRPr="00151334">
        <w:t xml:space="preserve">. </w:t>
      </w:r>
      <w:r w:rsidR="002E1D08" w:rsidRPr="00151334">
        <w:t>Biosimilar prescribing</w:t>
      </w:r>
      <w:r w:rsidR="005535C9" w:rsidRPr="00151334">
        <w:t xml:space="preserve"> can help relieve this pressure.</w:t>
      </w:r>
    </w:p>
    <w:p w14:paraId="0D014738" w14:textId="77777777" w:rsidR="005535C9" w:rsidRPr="000967AE" w:rsidRDefault="005535C9" w:rsidP="000967AE">
      <w:pPr>
        <w:pStyle w:val="Heading2"/>
      </w:pPr>
      <w:r w:rsidRPr="000967AE">
        <w:t>How can greater use of biosimilars benefit the PBS?</w:t>
      </w:r>
    </w:p>
    <w:p w14:paraId="0515DAA8" w14:textId="3BF46AD4" w:rsidR="005535C9" w:rsidRPr="00151334" w:rsidRDefault="002E1D08" w:rsidP="007954F8">
      <w:r w:rsidRPr="00151334">
        <w:t>Brand competition can lead</w:t>
      </w:r>
      <w:r w:rsidR="005535C9" w:rsidRPr="00151334">
        <w:t xml:space="preserve"> to lower PBS prices, due to Price Disclosure and other statutory price reductions to PBS medicines. Under Price Disclosure arrangements the PBS subsidy is adjusted twice a year to reflect average market prices. As these become lower through competition, the prices of medicines that have at least one other brand on the PBS can be reduced. A price reduction only occurs if the weighted average discounting across all brands of a drug is greater than set percentages.</w:t>
      </w:r>
    </w:p>
    <w:p w14:paraId="3272120F" w14:textId="47202EAB" w:rsidR="005535C9" w:rsidRPr="00151334" w:rsidRDefault="005535C9" w:rsidP="005E46AD">
      <w:r w:rsidRPr="00151334">
        <w:t xml:space="preserve">Savings from statutory price reductions to PBS medicines are being </w:t>
      </w:r>
      <w:r w:rsidR="005E46AD" w:rsidRPr="00151334">
        <w:t>reinvested i</w:t>
      </w:r>
      <w:r w:rsidRPr="00151334">
        <w:t xml:space="preserve">n the PBS, ensuring all Australians continue to have the earliest possible access to new medicines. All Australian patients benefit from </w:t>
      </w:r>
      <w:r w:rsidR="001316C1" w:rsidRPr="00151334">
        <w:t>timely</w:t>
      </w:r>
      <w:r w:rsidRPr="00151334">
        <w:t>, equitable and sustainable access to the most effective medicines through the PBS.</w:t>
      </w:r>
    </w:p>
    <w:p w14:paraId="5D2B97AC" w14:textId="0B786B06" w:rsidR="005535C9" w:rsidRPr="00151334" w:rsidRDefault="005535C9" w:rsidP="007954F8">
      <w:r w:rsidRPr="00151334">
        <w:t xml:space="preserve">Detailed information about PBS pricing, including Price Disclosure, is available on the </w:t>
      </w:r>
      <w:hyperlink r:id="rId15" w:history="1">
        <w:r w:rsidRPr="002905E7">
          <w:rPr>
            <w:rStyle w:val="Hyperlink"/>
          </w:rPr>
          <w:t>PBS</w:t>
        </w:r>
        <w:r w:rsidR="00C562BC" w:rsidRPr="002905E7">
          <w:rPr>
            <w:rStyle w:val="Hyperlink"/>
          </w:rPr>
          <w:t> </w:t>
        </w:r>
        <w:r w:rsidRPr="002905E7">
          <w:rPr>
            <w:rStyle w:val="Hyperlink"/>
          </w:rPr>
          <w:t>website</w:t>
        </w:r>
      </w:hyperlink>
      <w:r w:rsidRPr="00151334">
        <w:t>.</w:t>
      </w:r>
    </w:p>
    <w:p w14:paraId="6C669399" w14:textId="77777777" w:rsidR="005535C9" w:rsidRPr="000967AE" w:rsidRDefault="005535C9" w:rsidP="000967AE">
      <w:pPr>
        <w:pStyle w:val="Heading2"/>
      </w:pPr>
      <w:r w:rsidRPr="000967AE">
        <w:rPr>
          <w:rFonts w:hint="eastAsia"/>
        </w:rPr>
        <w:t>M</w:t>
      </w:r>
      <w:r w:rsidRPr="000967AE">
        <w:t>ore Information</w:t>
      </w:r>
    </w:p>
    <w:p w14:paraId="005ECF1E" w14:textId="77777777" w:rsidR="00C562BC" w:rsidRPr="00151334" w:rsidRDefault="00C562BC" w:rsidP="00C562BC">
      <w:bookmarkStart w:id="0" w:name="_Hlk114478776"/>
      <w:r w:rsidRPr="00151334">
        <w:t>For more information, read:</w:t>
      </w:r>
    </w:p>
    <w:p w14:paraId="503C6B85" w14:textId="77777777" w:rsidR="00C562BC" w:rsidRPr="00151334" w:rsidRDefault="00C562BC" w:rsidP="00BA2163">
      <w:pPr>
        <w:pStyle w:val="ListBullet"/>
      </w:pPr>
      <w:r w:rsidRPr="00151334">
        <w:rPr>
          <w:lang w:eastAsia="ko-KR"/>
        </w:rPr>
        <w:t xml:space="preserve">Department of Health and Aged Care website </w:t>
      </w:r>
      <w:hyperlink r:id="rId16" w:history="1">
        <w:r w:rsidRPr="00151334">
          <w:rPr>
            <w:rStyle w:val="Hyperlink"/>
            <w:lang w:eastAsia="ko-KR"/>
          </w:rPr>
          <w:t>About medicines</w:t>
        </w:r>
      </w:hyperlink>
      <w:r w:rsidRPr="00151334">
        <w:rPr>
          <w:lang w:eastAsia="ko-KR"/>
        </w:rPr>
        <w:t xml:space="preserve"> page.</w:t>
      </w:r>
    </w:p>
    <w:p w14:paraId="38F59AF2" w14:textId="77777777" w:rsidR="00C562BC" w:rsidRPr="00151334" w:rsidRDefault="00C562BC" w:rsidP="00BA2163">
      <w:pPr>
        <w:pStyle w:val="ListBullet"/>
      </w:pPr>
      <w:r w:rsidRPr="00151334">
        <w:t xml:space="preserve">Therapeutic Goods Administration website </w:t>
      </w:r>
      <w:hyperlink r:id="rId17" w:history="1">
        <w:r w:rsidRPr="002905E7">
          <w:rPr>
            <w:rStyle w:val="Hyperlink"/>
            <w:rFonts w:hint="eastAsia"/>
          </w:rPr>
          <w:t xml:space="preserve">biosimilars </w:t>
        </w:r>
        <w:r w:rsidRPr="002905E7">
          <w:rPr>
            <w:rStyle w:val="Hyperlink"/>
          </w:rPr>
          <w:t xml:space="preserve">medicines </w:t>
        </w:r>
        <w:r w:rsidRPr="002905E7">
          <w:rPr>
            <w:rStyle w:val="Hyperlink"/>
            <w:rFonts w:hint="eastAsia"/>
          </w:rPr>
          <w:t>regulation</w:t>
        </w:r>
      </w:hyperlink>
      <w:r w:rsidRPr="00151334">
        <w:rPr>
          <w:lang w:eastAsia="ko-KR"/>
        </w:rPr>
        <w:t>.</w:t>
      </w:r>
    </w:p>
    <w:p w14:paraId="3C374564" w14:textId="3AF6E6C9" w:rsidR="00AA01DE" w:rsidRPr="00151334" w:rsidRDefault="00AA01DE" w:rsidP="00BA2163">
      <w:pPr>
        <w:pStyle w:val="ListBullet"/>
        <w:rPr>
          <w:rStyle w:val="Hyperlink"/>
        </w:rPr>
      </w:pPr>
      <w:r w:rsidRPr="00151334">
        <w:t xml:space="preserve">PBS website – </w:t>
      </w:r>
      <w:hyperlink r:id="rId18" w:history="1">
        <w:r w:rsidRPr="002905E7">
          <w:rPr>
            <w:rStyle w:val="Hyperlink"/>
          </w:rPr>
          <w:t>PBAC Public Summary Document for A</w:t>
        </w:r>
        <w:r w:rsidR="00175B89" w:rsidRPr="002905E7">
          <w:rPr>
            <w:rStyle w:val="Hyperlink"/>
          </w:rPr>
          <w:t>brilada</w:t>
        </w:r>
      </w:hyperlink>
    </w:p>
    <w:p w14:paraId="2D86342F" w14:textId="1B7FCB91" w:rsidR="00F71A5B" w:rsidRPr="00151334" w:rsidRDefault="00F71A5B" w:rsidP="005E46AD">
      <w:pPr>
        <w:pStyle w:val="ListBullet"/>
      </w:pPr>
      <w:r w:rsidRPr="00151334">
        <w:t xml:space="preserve">PBS website – </w:t>
      </w:r>
      <w:hyperlink r:id="rId19" w:history="1">
        <w:r w:rsidRPr="002905E7">
          <w:rPr>
            <w:rStyle w:val="Hyperlink"/>
          </w:rPr>
          <w:t xml:space="preserve">PBAC Public Summary Document for </w:t>
        </w:r>
        <w:proofErr w:type="spellStart"/>
        <w:r w:rsidRPr="002905E7">
          <w:rPr>
            <w:rStyle w:val="Hyperlink"/>
          </w:rPr>
          <w:t>Adalicip</w:t>
        </w:r>
        <w:proofErr w:type="spellEnd"/>
      </w:hyperlink>
      <w:r w:rsidR="000D490F" w:rsidRPr="00151334">
        <w:t xml:space="preserve"> (previously PBS-listed)</w:t>
      </w:r>
    </w:p>
    <w:p w14:paraId="4145FEAB" w14:textId="1F0F6532" w:rsidR="00C562BC" w:rsidRPr="00151334" w:rsidRDefault="00C562BC" w:rsidP="005E46AD">
      <w:pPr>
        <w:pStyle w:val="ListBullet"/>
      </w:pPr>
      <w:r w:rsidRPr="00151334">
        <w:t xml:space="preserve">PBS website – </w:t>
      </w:r>
      <w:hyperlink r:id="rId20" w:history="1">
        <w:r w:rsidRPr="002905E7">
          <w:rPr>
            <w:rStyle w:val="Hyperlink"/>
          </w:rPr>
          <w:t xml:space="preserve">PBAC Public </w:t>
        </w:r>
        <w:r w:rsidR="000C512E" w:rsidRPr="002905E7">
          <w:rPr>
            <w:rStyle w:val="Hyperlink"/>
          </w:rPr>
          <w:t>S</w:t>
        </w:r>
        <w:r w:rsidRPr="002905E7">
          <w:rPr>
            <w:rStyle w:val="Hyperlink"/>
          </w:rPr>
          <w:t xml:space="preserve">ummary </w:t>
        </w:r>
        <w:r w:rsidR="000C512E" w:rsidRPr="002905E7">
          <w:rPr>
            <w:rStyle w:val="Hyperlink"/>
          </w:rPr>
          <w:t>D</w:t>
        </w:r>
        <w:r w:rsidRPr="002905E7">
          <w:rPr>
            <w:rStyle w:val="Hyperlink"/>
          </w:rPr>
          <w:t xml:space="preserve">ocument for </w:t>
        </w:r>
        <w:proofErr w:type="spellStart"/>
        <w:r w:rsidRPr="00151334">
          <w:rPr>
            <w:rStyle w:val="Hyperlink"/>
            <w:lang w:eastAsia="ko-KR"/>
          </w:rPr>
          <w:t>Amgevita</w:t>
        </w:r>
        <w:proofErr w:type="spellEnd"/>
      </w:hyperlink>
      <w:r w:rsidRPr="00151334">
        <w:rPr>
          <w:lang w:eastAsia="ko-KR"/>
        </w:rPr>
        <w:t>.</w:t>
      </w:r>
    </w:p>
    <w:p w14:paraId="75F04F0A" w14:textId="6135A049" w:rsidR="00C562BC" w:rsidRPr="00151334" w:rsidRDefault="00C562BC" w:rsidP="00BA2163">
      <w:pPr>
        <w:pStyle w:val="ListBullet"/>
      </w:pPr>
      <w:r w:rsidRPr="00151334">
        <w:t xml:space="preserve">PBS website – </w:t>
      </w:r>
      <w:hyperlink r:id="rId21" w:history="1">
        <w:r w:rsidRPr="002905E7">
          <w:rPr>
            <w:rStyle w:val="Hyperlink"/>
          </w:rPr>
          <w:t xml:space="preserve">PBAC Public </w:t>
        </w:r>
        <w:r w:rsidR="000C512E" w:rsidRPr="002905E7">
          <w:rPr>
            <w:rStyle w:val="Hyperlink"/>
          </w:rPr>
          <w:t>S</w:t>
        </w:r>
        <w:r w:rsidRPr="002905E7">
          <w:rPr>
            <w:rStyle w:val="Hyperlink"/>
          </w:rPr>
          <w:t xml:space="preserve">ummary </w:t>
        </w:r>
        <w:r w:rsidR="000C512E" w:rsidRPr="002905E7">
          <w:rPr>
            <w:rStyle w:val="Hyperlink"/>
          </w:rPr>
          <w:t>D</w:t>
        </w:r>
        <w:r w:rsidRPr="002905E7">
          <w:rPr>
            <w:rStyle w:val="Hyperlink"/>
          </w:rPr>
          <w:t xml:space="preserve">ocument for </w:t>
        </w:r>
        <w:proofErr w:type="spellStart"/>
        <w:r w:rsidRPr="00151334">
          <w:rPr>
            <w:rStyle w:val="Hyperlink"/>
            <w:lang w:eastAsia="ko-KR"/>
          </w:rPr>
          <w:t>Hadlima</w:t>
        </w:r>
        <w:proofErr w:type="spellEnd"/>
      </w:hyperlink>
      <w:r w:rsidRPr="00151334">
        <w:rPr>
          <w:lang w:eastAsia="ko-KR"/>
        </w:rPr>
        <w:t>.</w:t>
      </w:r>
    </w:p>
    <w:p w14:paraId="1F152966" w14:textId="363E0217" w:rsidR="00C562BC" w:rsidRPr="00151334" w:rsidRDefault="00C562BC" w:rsidP="005E46AD">
      <w:pPr>
        <w:pStyle w:val="ListBullet"/>
      </w:pPr>
      <w:r w:rsidRPr="00151334">
        <w:t xml:space="preserve">PBS website – </w:t>
      </w:r>
      <w:hyperlink r:id="rId22" w:history="1">
        <w:r w:rsidRPr="002905E7">
          <w:rPr>
            <w:rStyle w:val="Hyperlink"/>
          </w:rPr>
          <w:t xml:space="preserve">PBAC Public </w:t>
        </w:r>
        <w:r w:rsidR="000C512E" w:rsidRPr="002905E7">
          <w:rPr>
            <w:rStyle w:val="Hyperlink"/>
          </w:rPr>
          <w:t>S</w:t>
        </w:r>
        <w:r w:rsidRPr="002905E7">
          <w:rPr>
            <w:rStyle w:val="Hyperlink"/>
          </w:rPr>
          <w:t xml:space="preserve">ummary </w:t>
        </w:r>
        <w:r w:rsidR="000C512E" w:rsidRPr="002905E7">
          <w:rPr>
            <w:rStyle w:val="Hyperlink"/>
          </w:rPr>
          <w:t>D</w:t>
        </w:r>
        <w:r w:rsidRPr="002905E7">
          <w:rPr>
            <w:rStyle w:val="Hyperlink"/>
          </w:rPr>
          <w:t xml:space="preserve">ocument for </w:t>
        </w:r>
        <w:proofErr w:type="spellStart"/>
        <w:r w:rsidRPr="00151334">
          <w:rPr>
            <w:rStyle w:val="Hyperlink"/>
            <w:lang w:eastAsia="ko-KR"/>
          </w:rPr>
          <w:t>Hyrimoz</w:t>
        </w:r>
        <w:proofErr w:type="spellEnd"/>
      </w:hyperlink>
      <w:r w:rsidRPr="00151334">
        <w:rPr>
          <w:lang w:eastAsia="ko-KR"/>
        </w:rPr>
        <w:t>.</w:t>
      </w:r>
    </w:p>
    <w:p w14:paraId="327B3528" w14:textId="558DBB6D" w:rsidR="00D05DB2" w:rsidRPr="00151334" w:rsidRDefault="00D05DB2" w:rsidP="005E46AD">
      <w:pPr>
        <w:pStyle w:val="ListBullet"/>
      </w:pPr>
      <w:r w:rsidRPr="00151334">
        <w:t xml:space="preserve">PBS website – </w:t>
      </w:r>
      <w:hyperlink r:id="rId23" w:history="1">
        <w:r w:rsidRPr="002905E7">
          <w:rPr>
            <w:rStyle w:val="Hyperlink"/>
          </w:rPr>
          <w:t xml:space="preserve">PBAC Public </w:t>
        </w:r>
        <w:r w:rsidR="000C512E" w:rsidRPr="002905E7">
          <w:rPr>
            <w:rStyle w:val="Hyperlink"/>
          </w:rPr>
          <w:t>S</w:t>
        </w:r>
        <w:r w:rsidRPr="002905E7">
          <w:rPr>
            <w:rStyle w:val="Hyperlink"/>
          </w:rPr>
          <w:t xml:space="preserve">ummary </w:t>
        </w:r>
        <w:r w:rsidR="000C512E" w:rsidRPr="002905E7">
          <w:rPr>
            <w:rStyle w:val="Hyperlink"/>
          </w:rPr>
          <w:t>D</w:t>
        </w:r>
        <w:r w:rsidRPr="002905E7">
          <w:rPr>
            <w:rStyle w:val="Hyperlink"/>
          </w:rPr>
          <w:t xml:space="preserve">ocument for </w:t>
        </w:r>
        <w:proofErr w:type="spellStart"/>
        <w:r w:rsidRPr="00151334">
          <w:rPr>
            <w:rStyle w:val="Hyperlink"/>
            <w:lang w:eastAsia="ko-KR"/>
          </w:rPr>
          <w:t>Yuflyma</w:t>
        </w:r>
        <w:proofErr w:type="spellEnd"/>
      </w:hyperlink>
      <w:r w:rsidRPr="00151334">
        <w:rPr>
          <w:lang w:eastAsia="ko-KR"/>
        </w:rPr>
        <w:t>.</w:t>
      </w:r>
    </w:p>
    <w:p w14:paraId="4494AF8F" w14:textId="14F96E92" w:rsidR="009040E9" w:rsidRPr="00BA2163" w:rsidRDefault="00C562BC" w:rsidP="00BA2163">
      <w:r w:rsidRPr="00151334">
        <w:t xml:space="preserve">Further information for healthcare professionals regarding the use of </w:t>
      </w:r>
      <w:hyperlink r:id="rId24" w:history="1">
        <w:r w:rsidRPr="00151334">
          <w:rPr>
            <w:rStyle w:val="Hyperlink"/>
          </w:rPr>
          <w:t>PBS Authorities</w:t>
        </w:r>
      </w:hyperlink>
      <w:r w:rsidRPr="00151334">
        <w:t xml:space="preserve"> and </w:t>
      </w:r>
      <w:hyperlink r:id="rId25" w:history="1">
        <w:r w:rsidRPr="00151334">
          <w:rPr>
            <w:rStyle w:val="Hyperlink"/>
          </w:rPr>
          <w:t>claiming of PBS benefits</w:t>
        </w:r>
      </w:hyperlink>
      <w:r w:rsidRPr="00151334">
        <w:t xml:space="preserve"> is available at the </w:t>
      </w:r>
      <w:hyperlink r:id="rId26" w:history="1">
        <w:r w:rsidRPr="00151334">
          <w:rPr>
            <w:rStyle w:val="Hyperlink"/>
          </w:rPr>
          <w:t>Services Australia</w:t>
        </w:r>
      </w:hyperlink>
      <w:r w:rsidRPr="00151334">
        <w:t xml:space="preserve"> website.</w:t>
      </w:r>
      <w:bookmarkEnd w:id="0"/>
    </w:p>
    <w:sectPr w:rsidR="009040E9" w:rsidRPr="00BA2163" w:rsidSect="00B53987">
      <w:headerReference w:type="even" r:id="rId27"/>
      <w:headerReference w:type="default" r:id="rId28"/>
      <w:footerReference w:type="even" r:id="rId29"/>
      <w:footerReference w:type="default" r:id="rId30"/>
      <w:headerReference w:type="first" r:id="rId31"/>
      <w:footerReference w:type="first" r:id="rId3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56D4D" w14:textId="77777777" w:rsidR="000A7752" w:rsidRDefault="000A7752" w:rsidP="006B56BB">
      <w:r>
        <w:separator/>
      </w:r>
    </w:p>
    <w:p w14:paraId="5D2EEDC0" w14:textId="77777777" w:rsidR="000A7752" w:rsidRDefault="000A7752"/>
  </w:endnote>
  <w:endnote w:type="continuationSeparator" w:id="0">
    <w:p w14:paraId="4A45782A" w14:textId="77777777" w:rsidR="000A7752" w:rsidRDefault="000A7752" w:rsidP="006B56BB">
      <w:r>
        <w:continuationSeparator/>
      </w:r>
    </w:p>
    <w:p w14:paraId="661FB2E8" w14:textId="77777777" w:rsidR="000A7752" w:rsidRDefault="000A7752"/>
  </w:endnote>
  <w:endnote w:type="continuationNotice" w:id="1">
    <w:p w14:paraId="709A395F" w14:textId="77777777" w:rsidR="000A7752" w:rsidRDefault="000A77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A2D2" w14:textId="79F5CCC9" w:rsidR="000D490F" w:rsidRDefault="006466EC">
    <w:pPr>
      <w:pStyle w:val="Footer"/>
    </w:pPr>
    <w:r>
      <w:rPr>
        <w:noProof/>
      </w:rPr>
      <mc:AlternateContent>
        <mc:Choice Requires="wps">
          <w:drawing>
            <wp:anchor distT="0" distB="0" distL="0" distR="0" simplePos="0" relativeHeight="251680768" behindDoc="0" locked="0" layoutInCell="1" allowOverlap="1" wp14:anchorId="65BE439D" wp14:editId="42368292">
              <wp:simplePos x="635" y="635"/>
              <wp:positionH relativeFrom="page">
                <wp:align>center</wp:align>
              </wp:positionH>
              <wp:positionV relativeFrom="page">
                <wp:align>bottom</wp:align>
              </wp:positionV>
              <wp:extent cx="622300" cy="452755"/>
              <wp:effectExtent l="0" t="0" r="6350" b="0"/>
              <wp:wrapNone/>
              <wp:docPr id="187309036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5425541" w14:textId="4CCD6C50" w:rsidR="006466EC" w:rsidRPr="006466EC" w:rsidRDefault="006466EC" w:rsidP="006466EC">
                          <w:pPr>
                            <w:spacing w:after="0"/>
                            <w:rPr>
                              <w:rFonts w:ascii="Aptos" w:eastAsia="Aptos" w:hAnsi="Aptos" w:cs="Aptos"/>
                              <w:noProof/>
                              <w:color w:val="FF0000"/>
                              <w:sz w:val="24"/>
                            </w:rPr>
                          </w:pPr>
                          <w:r w:rsidRPr="006466E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BE439D"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5.6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75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dWr7rdQHWkohGHf3sl1Q6XvhQ9PAmnB1C2JNjzS&#10;oVvoSg4ni7Ma8Off/DGfeKcoZx0JpuSWFM1Z+93SPqK2RgNHY5uM6Zd8Humxe3MLJMMpvQgnk0le&#10;DO1oagTzQnJexUIUElZSuZJvR/M2DMql5yDVapWSSEZOhHu7cTJCR7oil8/9i0B3IjzQph5gVJMo&#10;3vA+5Mab3q32gdhPS4nUDkSeGCcJprWenkvU+Ov/lHV51MtfA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ugMe+QwCAAAcBAAA&#10;DgAAAAAAAAAAAAAAAAAuAgAAZHJzL2Uyb0RvYy54bWxQSwECLQAUAAYACAAAACEApl/EdtoAAAAD&#10;AQAADwAAAAAAAAAAAAAAAABmBAAAZHJzL2Rvd25yZXYueG1sUEsFBgAAAAAEAAQA8wAAAG0FAAAA&#10;AA==&#10;" filled="f" stroked="f">
              <v:textbox style="mso-fit-shape-to-text:t" inset="0,0,0,15pt">
                <w:txbxContent>
                  <w:p w14:paraId="35425541" w14:textId="4CCD6C50" w:rsidR="006466EC" w:rsidRPr="006466EC" w:rsidRDefault="006466EC" w:rsidP="006466EC">
                    <w:pPr>
                      <w:spacing w:after="0"/>
                      <w:rPr>
                        <w:rFonts w:ascii="Aptos" w:eastAsia="Aptos" w:hAnsi="Aptos" w:cs="Aptos"/>
                        <w:noProof/>
                        <w:color w:val="FF0000"/>
                        <w:sz w:val="24"/>
                      </w:rPr>
                    </w:pPr>
                    <w:r w:rsidRPr="006466EC">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AEF1" w14:textId="29202146" w:rsidR="00B53987" w:rsidRDefault="00AA262B" w:rsidP="00B53987">
    <w:pPr>
      <w:pStyle w:val="Footer"/>
    </w:pPr>
    <w:r>
      <w:t xml:space="preserve">Department of Health and Aged Care </w:t>
    </w:r>
    <w:r w:rsidR="00B53987">
      <w:t xml:space="preserve">– </w:t>
    </w:r>
    <w:r w:rsidR="007B1FEE">
      <w:t xml:space="preserve">Pharmaceutical Benefits Scheme Biosimilar </w:t>
    </w:r>
    <w:r w:rsidR="00544863">
      <w:t>Adalimu</w:t>
    </w:r>
    <w:r w:rsidR="007B1FEE">
      <w:t xml:space="preserve">mab </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B727" w14:textId="50A94DE6" w:rsidR="00B53987" w:rsidRDefault="00AA262B" w:rsidP="00B53987">
    <w:pPr>
      <w:pStyle w:val="Footer"/>
    </w:pPr>
    <w:r>
      <w:t xml:space="preserve">Department of Health and Aged Care </w:t>
    </w:r>
    <w:r w:rsidR="00B53987">
      <w:t xml:space="preserve">– </w:t>
    </w:r>
    <w:r w:rsidR="007B1FEE">
      <w:t xml:space="preserve">Pharmaceutical Benefits Scheme Biosimilar </w:t>
    </w:r>
    <w:r w:rsidR="00544863">
      <w:t>Adalimum</w:t>
    </w:r>
    <w:r w:rsidR="007B1FEE">
      <w:t>ab</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BC7A8" w14:textId="77777777" w:rsidR="000A7752" w:rsidRDefault="000A7752" w:rsidP="006B56BB">
      <w:r>
        <w:separator/>
      </w:r>
    </w:p>
    <w:p w14:paraId="0A2740F1" w14:textId="77777777" w:rsidR="000A7752" w:rsidRDefault="000A7752"/>
  </w:footnote>
  <w:footnote w:type="continuationSeparator" w:id="0">
    <w:p w14:paraId="6C5CFCAC" w14:textId="77777777" w:rsidR="000A7752" w:rsidRDefault="000A7752" w:rsidP="006B56BB">
      <w:r>
        <w:continuationSeparator/>
      </w:r>
    </w:p>
    <w:p w14:paraId="46563F21" w14:textId="77777777" w:rsidR="000A7752" w:rsidRDefault="000A7752"/>
  </w:footnote>
  <w:footnote w:type="continuationNotice" w:id="1">
    <w:p w14:paraId="7E333356" w14:textId="77777777" w:rsidR="000A7752" w:rsidRDefault="000A7752"/>
  </w:footnote>
  <w:footnote w:id="2">
    <w:p w14:paraId="537DEFC9" w14:textId="65571B40" w:rsidR="00AF5AC6" w:rsidRDefault="00AF5AC6">
      <w:pPr>
        <w:pStyle w:val="FootnoteText"/>
      </w:pPr>
      <w:r>
        <w:rPr>
          <w:rStyle w:val="FootnoteReference"/>
        </w:rPr>
        <w:footnoteRef/>
      </w:r>
      <w:r>
        <w:t xml:space="preserve"> </w:t>
      </w:r>
      <w:r w:rsidRPr="00601BB8">
        <w:rPr>
          <w:i/>
          <w:iCs/>
        </w:rPr>
        <w:t xml:space="preserve">All </w:t>
      </w:r>
      <w:r w:rsidR="002A67AD" w:rsidRPr="00601BB8">
        <w:rPr>
          <w:i/>
          <w:iCs/>
        </w:rPr>
        <w:t>forms have been delisted from the PBS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7AEA" w14:textId="291E7BFF" w:rsidR="000D490F" w:rsidRDefault="006466EC">
    <w:pPr>
      <w:pStyle w:val="Header"/>
    </w:pPr>
    <w:r>
      <w:rPr>
        <w:noProof/>
      </w:rPr>
      <mc:AlternateContent>
        <mc:Choice Requires="wps">
          <w:drawing>
            <wp:anchor distT="0" distB="0" distL="0" distR="0" simplePos="0" relativeHeight="251677696" behindDoc="0" locked="0" layoutInCell="1" allowOverlap="1" wp14:anchorId="1187B524" wp14:editId="08F9E129">
              <wp:simplePos x="635" y="635"/>
              <wp:positionH relativeFrom="page">
                <wp:align>center</wp:align>
              </wp:positionH>
              <wp:positionV relativeFrom="page">
                <wp:align>top</wp:align>
              </wp:positionV>
              <wp:extent cx="622300" cy="452755"/>
              <wp:effectExtent l="0" t="0" r="6350" b="4445"/>
              <wp:wrapNone/>
              <wp:docPr id="17970871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DD7E0C1" w14:textId="7DD60CFF" w:rsidR="006466EC" w:rsidRPr="006466EC" w:rsidRDefault="006466EC" w:rsidP="006466EC">
                          <w:pPr>
                            <w:spacing w:after="0"/>
                            <w:rPr>
                              <w:rFonts w:ascii="Aptos" w:eastAsia="Aptos" w:hAnsi="Aptos" w:cs="Aptos"/>
                              <w:noProof/>
                              <w:color w:val="FF0000"/>
                              <w:sz w:val="24"/>
                            </w:rPr>
                          </w:pPr>
                          <w:r w:rsidRPr="006466E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87B524"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1DD7E0C1" w14:textId="7DD60CFF" w:rsidR="006466EC" w:rsidRPr="006466EC" w:rsidRDefault="006466EC" w:rsidP="006466EC">
                    <w:pPr>
                      <w:spacing w:after="0"/>
                      <w:rPr>
                        <w:rFonts w:ascii="Aptos" w:eastAsia="Aptos" w:hAnsi="Aptos" w:cs="Aptos"/>
                        <w:noProof/>
                        <w:color w:val="FF0000"/>
                        <w:sz w:val="24"/>
                      </w:rPr>
                    </w:pPr>
                    <w:r w:rsidRPr="006466EC">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22CD" w14:textId="2E9BC6A3"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A076" w14:textId="1D5828EA" w:rsidR="00B53987" w:rsidRDefault="00FA66EE">
    <w:pPr>
      <w:pStyle w:val="Header"/>
    </w:pPr>
    <w:r>
      <w:rPr>
        <w:noProof/>
        <w:lang w:eastAsia="en-AU"/>
      </w:rPr>
      <w:drawing>
        <wp:inline distT="0" distB="0" distL="0" distR="0" wp14:anchorId="4E3A8AF1" wp14:editId="5A2659E5">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B438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8E0FB8"/>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BC024AD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CAE0406"/>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55CAF5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758989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45462414">
    <w:abstractNumId w:val="7"/>
  </w:num>
  <w:num w:numId="2" w16cid:durableId="1604266534">
    <w:abstractNumId w:val="15"/>
  </w:num>
  <w:num w:numId="3" w16cid:durableId="831415486">
    <w:abstractNumId w:val="17"/>
  </w:num>
  <w:num w:numId="4" w16cid:durableId="1426656656">
    <w:abstractNumId w:val="8"/>
  </w:num>
  <w:num w:numId="5" w16cid:durableId="1987928172">
    <w:abstractNumId w:val="8"/>
    <w:lvlOverride w:ilvl="0">
      <w:startOverride w:val="1"/>
    </w:lvlOverride>
  </w:num>
  <w:num w:numId="6" w16cid:durableId="113838708">
    <w:abstractNumId w:val="9"/>
  </w:num>
  <w:num w:numId="7" w16cid:durableId="1946451648">
    <w:abstractNumId w:val="13"/>
  </w:num>
  <w:num w:numId="8" w16cid:durableId="1352147940">
    <w:abstractNumId w:val="16"/>
  </w:num>
  <w:num w:numId="9" w16cid:durableId="1338341951">
    <w:abstractNumId w:val="5"/>
  </w:num>
  <w:num w:numId="10" w16cid:durableId="830563199">
    <w:abstractNumId w:val="4"/>
  </w:num>
  <w:num w:numId="11" w16cid:durableId="1820612649">
    <w:abstractNumId w:val="3"/>
  </w:num>
  <w:num w:numId="12" w16cid:durableId="712120594">
    <w:abstractNumId w:val="2"/>
  </w:num>
  <w:num w:numId="13" w16cid:durableId="1570842199">
    <w:abstractNumId w:val="6"/>
  </w:num>
  <w:num w:numId="14" w16cid:durableId="1295332186">
    <w:abstractNumId w:val="1"/>
  </w:num>
  <w:num w:numId="15" w16cid:durableId="982392784">
    <w:abstractNumId w:val="0"/>
  </w:num>
  <w:num w:numId="16" w16cid:durableId="173496762">
    <w:abstractNumId w:val="18"/>
  </w:num>
  <w:num w:numId="17" w16cid:durableId="1272590934">
    <w:abstractNumId w:val="10"/>
  </w:num>
  <w:num w:numId="18" w16cid:durableId="1189100358">
    <w:abstractNumId w:val="11"/>
  </w:num>
  <w:num w:numId="19" w16cid:durableId="361833045">
    <w:abstractNumId w:val="12"/>
  </w:num>
  <w:num w:numId="20" w16cid:durableId="60906748">
    <w:abstractNumId w:val="10"/>
  </w:num>
  <w:num w:numId="21" w16cid:durableId="757748944">
    <w:abstractNumId w:val="12"/>
  </w:num>
  <w:num w:numId="22" w16cid:durableId="756051228">
    <w:abstractNumId w:val="18"/>
  </w:num>
  <w:num w:numId="23" w16cid:durableId="1999917134">
    <w:abstractNumId w:val="15"/>
  </w:num>
  <w:num w:numId="24" w16cid:durableId="2068989368">
    <w:abstractNumId w:val="17"/>
  </w:num>
  <w:num w:numId="25" w16cid:durableId="1147667899">
    <w:abstractNumId w:val="8"/>
  </w:num>
  <w:num w:numId="26" w16cid:durableId="5401669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10"/>
    <w:rsid w:val="00003743"/>
    <w:rsid w:val="000047B4"/>
    <w:rsid w:val="00004C7D"/>
    <w:rsid w:val="00005712"/>
    <w:rsid w:val="00007FD8"/>
    <w:rsid w:val="000117F8"/>
    <w:rsid w:val="0001460F"/>
    <w:rsid w:val="00022629"/>
    <w:rsid w:val="00026139"/>
    <w:rsid w:val="00027601"/>
    <w:rsid w:val="00033321"/>
    <w:rsid w:val="000338E5"/>
    <w:rsid w:val="00033ECC"/>
    <w:rsid w:val="0003422F"/>
    <w:rsid w:val="00036C82"/>
    <w:rsid w:val="00043DC0"/>
    <w:rsid w:val="00046FF0"/>
    <w:rsid w:val="00050176"/>
    <w:rsid w:val="00050342"/>
    <w:rsid w:val="00067456"/>
    <w:rsid w:val="00071506"/>
    <w:rsid w:val="00071511"/>
    <w:rsid w:val="0007154F"/>
    <w:rsid w:val="0007334C"/>
    <w:rsid w:val="00074C3E"/>
    <w:rsid w:val="00081AB1"/>
    <w:rsid w:val="00090316"/>
    <w:rsid w:val="00092E37"/>
    <w:rsid w:val="00093981"/>
    <w:rsid w:val="000967AE"/>
    <w:rsid w:val="000A2C9D"/>
    <w:rsid w:val="000A7752"/>
    <w:rsid w:val="000B067A"/>
    <w:rsid w:val="000B1540"/>
    <w:rsid w:val="000B1E53"/>
    <w:rsid w:val="000B33FD"/>
    <w:rsid w:val="000B4ABA"/>
    <w:rsid w:val="000B61D7"/>
    <w:rsid w:val="000B65FC"/>
    <w:rsid w:val="000C48CD"/>
    <w:rsid w:val="000C4B16"/>
    <w:rsid w:val="000C50C3"/>
    <w:rsid w:val="000C512E"/>
    <w:rsid w:val="000C5E14"/>
    <w:rsid w:val="000D21F6"/>
    <w:rsid w:val="000D4500"/>
    <w:rsid w:val="000D490F"/>
    <w:rsid w:val="000D7AEA"/>
    <w:rsid w:val="000E2C66"/>
    <w:rsid w:val="000E3605"/>
    <w:rsid w:val="000F123C"/>
    <w:rsid w:val="000F2FED"/>
    <w:rsid w:val="0010616D"/>
    <w:rsid w:val="00106B5F"/>
    <w:rsid w:val="001079A8"/>
    <w:rsid w:val="00110478"/>
    <w:rsid w:val="0011711B"/>
    <w:rsid w:val="00117F8A"/>
    <w:rsid w:val="00121B9B"/>
    <w:rsid w:val="00122ADC"/>
    <w:rsid w:val="00124AF3"/>
    <w:rsid w:val="0012514F"/>
    <w:rsid w:val="00130F59"/>
    <w:rsid w:val="001316C1"/>
    <w:rsid w:val="00133EC0"/>
    <w:rsid w:val="001345B5"/>
    <w:rsid w:val="00141CE5"/>
    <w:rsid w:val="00144908"/>
    <w:rsid w:val="00151334"/>
    <w:rsid w:val="00156D96"/>
    <w:rsid w:val="001571C7"/>
    <w:rsid w:val="00161094"/>
    <w:rsid w:val="00173F62"/>
    <w:rsid w:val="00175B89"/>
    <w:rsid w:val="0017665C"/>
    <w:rsid w:val="00177AD2"/>
    <w:rsid w:val="001815A8"/>
    <w:rsid w:val="001840FA"/>
    <w:rsid w:val="00187764"/>
    <w:rsid w:val="00190079"/>
    <w:rsid w:val="00193D08"/>
    <w:rsid w:val="0019622E"/>
    <w:rsid w:val="001966A7"/>
    <w:rsid w:val="001971F4"/>
    <w:rsid w:val="001A041D"/>
    <w:rsid w:val="001A3E33"/>
    <w:rsid w:val="001A4627"/>
    <w:rsid w:val="001A4979"/>
    <w:rsid w:val="001A5BB2"/>
    <w:rsid w:val="001A6DD1"/>
    <w:rsid w:val="001B15D3"/>
    <w:rsid w:val="001B1FEB"/>
    <w:rsid w:val="001B3443"/>
    <w:rsid w:val="001B77C3"/>
    <w:rsid w:val="001C0326"/>
    <w:rsid w:val="001C192F"/>
    <w:rsid w:val="001C3C42"/>
    <w:rsid w:val="001C4941"/>
    <w:rsid w:val="001D6687"/>
    <w:rsid w:val="001D7869"/>
    <w:rsid w:val="002026CD"/>
    <w:rsid w:val="002033FC"/>
    <w:rsid w:val="002044BB"/>
    <w:rsid w:val="00210B09"/>
    <w:rsid w:val="00210C9E"/>
    <w:rsid w:val="00211840"/>
    <w:rsid w:val="00220E5F"/>
    <w:rsid w:val="002212B5"/>
    <w:rsid w:val="0022190F"/>
    <w:rsid w:val="00226668"/>
    <w:rsid w:val="00233809"/>
    <w:rsid w:val="00240046"/>
    <w:rsid w:val="0024797F"/>
    <w:rsid w:val="0025119E"/>
    <w:rsid w:val="00251269"/>
    <w:rsid w:val="002535C0"/>
    <w:rsid w:val="00253D76"/>
    <w:rsid w:val="00255234"/>
    <w:rsid w:val="002579FE"/>
    <w:rsid w:val="0026311C"/>
    <w:rsid w:val="0026668C"/>
    <w:rsid w:val="00266AC1"/>
    <w:rsid w:val="00267283"/>
    <w:rsid w:val="0027178C"/>
    <w:rsid w:val="002719FA"/>
    <w:rsid w:val="00272668"/>
    <w:rsid w:val="0027330B"/>
    <w:rsid w:val="00276550"/>
    <w:rsid w:val="002803AD"/>
    <w:rsid w:val="00282052"/>
    <w:rsid w:val="002831A3"/>
    <w:rsid w:val="0028519E"/>
    <w:rsid w:val="002856A5"/>
    <w:rsid w:val="002872ED"/>
    <w:rsid w:val="002905C2"/>
    <w:rsid w:val="002905E7"/>
    <w:rsid w:val="00295AF2"/>
    <w:rsid w:val="00295C91"/>
    <w:rsid w:val="00297151"/>
    <w:rsid w:val="002A60E2"/>
    <w:rsid w:val="002A67AD"/>
    <w:rsid w:val="002B20E6"/>
    <w:rsid w:val="002B42A3"/>
    <w:rsid w:val="002B5F82"/>
    <w:rsid w:val="002C0CDD"/>
    <w:rsid w:val="002C38C4"/>
    <w:rsid w:val="002E1A1D"/>
    <w:rsid w:val="002E1D08"/>
    <w:rsid w:val="002E4081"/>
    <w:rsid w:val="002E5B78"/>
    <w:rsid w:val="002F10D0"/>
    <w:rsid w:val="002F3AE3"/>
    <w:rsid w:val="0030464B"/>
    <w:rsid w:val="0030786C"/>
    <w:rsid w:val="003126CB"/>
    <w:rsid w:val="003233DE"/>
    <w:rsid w:val="0032466B"/>
    <w:rsid w:val="003323F5"/>
    <w:rsid w:val="003330EB"/>
    <w:rsid w:val="00337A23"/>
    <w:rsid w:val="003415EE"/>
    <w:rsid w:val="003415FD"/>
    <w:rsid w:val="0034253B"/>
    <w:rsid w:val="003429F0"/>
    <w:rsid w:val="00345A82"/>
    <w:rsid w:val="0035097A"/>
    <w:rsid w:val="003540A4"/>
    <w:rsid w:val="00357BCC"/>
    <w:rsid w:val="00360E4E"/>
    <w:rsid w:val="00367B67"/>
    <w:rsid w:val="00370AAA"/>
    <w:rsid w:val="00375067"/>
    <w:rsid w:val="00375F77"/>
    <w:rsid w:val="00381BBE"/>
    <w:rsid w:val="00382903"/>
    <w:rsid w:val="003846FF"/>
    <w:rsid w:val="003857D4"/>
    <w:rsid w:val="00385AD4"/>
    <w:rsid w:val="00387924"/>
    <w:rsid w:val="0039384D"/>
    <w:rsid w:val="00395C23"/>
    <w:rsid w:val="003A2E4F"/>
    <w:rsid w:val="003A4438"/>
    <w:rsid w:val="003A5013"/>
    <w:rsid w:val="003A5078"/>
    <w:rsid w:val="003A5C21"/>
    <w:rsid w:val="003A62DD"/>
    <w:rsid w:val="003A775A"/>
    <w:rsid w:val="003B213A"/>
    <w:rsid w:val="003B35AE"/>
    <w:rsid w:val="003B43AD"/>
    <w:rsid w:val="003C0FEC"/>
    <w:rsid w:val="003C2AC8"/>
    <w:rsid w:val="003D033A"/>
    <w:rsid w:val="003D17F9"/>
    <w:rsid w:val="003D2D88"/>
    <w:rsid w:val="003D41EA"/>
    <w:rsid w:val="003D4850"/>
    <w:rsid w:val="003D535A"/>
    <w:rsid w:val="003E3ED3"/>
    <w:rsid w:val="003E5265"/>
    <w:rsid w:val="003F0955"/>
    <w:rsid w:val="003F2506"/>
    <w:rsid w:val="003F334B"/>
    <w:rsid w:val="003F36DF"/>
    <w:rsid w:val="003F5F4D"/>
    <w:rsid w:val="003F646F"/>
    <w:rsid w:val="00400F00"/>
    <w:rsid w:val="00404F8B"/>
    <w:rsid w:val="00405256"/>
    <w:rsid w:val="00410031"/>
    <w:rsid w:val="00415C81"/>
    <w:rsid w:val="00432378"/>
    <w:rsid w:val="00440D65"/>
    <w:rsid w:val="004435E6"/>
    <w:rsid w:val="004478CE"/>
    <w:rsid w:val="00447E31"/>
    <w:rsid w:val="00453923"/>
    <w:rsid w:val="00454B9B"/>
    <w:rsid w:val="00457858"/>
    <w:rsid w:val="00460B0B"/>
    <w:rsid w:val="00460C47"/>
    <w:rsid w:val="00461023"/>
    <w:rsid w:val="00462ED9"/>
    <w:rsid w:val="00462FAC"/>
    <w:rsid w:val="00464631"/>
    <w:rsid w:val="00464B79"/>
    <w:rsid w:val="00467BBF"/>
    <w:rsid w:val="0048593C"/>
    <w:rsid w:val="004867E2"/>
    <w:rsid w:val="004873EC"/>
    <w:rsid w:val="004929A9"/>
    <w:rsid w:val="0049589C"/>
    <w:rsid w:val="004A78D9"/>
    <w:rsid w:val="004B3C6A"/>
    <w:rsid w:val="004B40E1"/>
    <w:rsid w:val="004C6BCF"/>
    <w:rsid w:val="004D3192"/>
    <w:rsid w:val="004D58BF"/>
    <w:rsid w:val="004E4335"/>
    <w:rsid w:val="004E56EF"/>
    <w:rsid w:val="004F13EE"/>
    <w:rsid w:val="004F2022"/>
    <w:rsid w:val="004F57B3"/>
    <w:rsid w:val="004F7C05"/>
    <w:rsid w:val="00501C94"/>
    <w:rsid w:val="00506432"/>
    <w:rsid w:val="00506E82"/>
    <w:rsid w:val="0052051D"/>
    <w:rsid w:val="00523E6E"/>
    <w:rsid w:val="005321B0"/>
    <w:rsid w:val="00540A92"/>
    <w:rsid w:val="00544863"/>
    <w:rsid w:val="00545EE6"/>
    <w:rsid w:val="005535C9"/>
    <w:rsid w:val="005550E7"/>
    <w:rsid w:val="005564FB"/>
    <w:rsid w:val="005572C7"/>
    <w:rsid w:val="005650ED"/>
    <w:rsid w:val="005662F5"/>
    <w:rsid w:val="00566EB0"/>
    <w:rsid w:val="00575754"/>
    <w:rsid w:val="00581FBA"/>
    <w:rsid w:val="00583447"/>
    <w:rsid w:val="00591E20"/>
    <w:rsid w:val="00595408"/>
    <w:rsid w:val="00595E84"/>
    <w:rsid w:val="005A0C59"/>
    <w:rsid w:val="005A47BE"/>
    <w:rsid w:val="005A48EB"/>
    <w:rsid w:val="005A6CFB"/>
    <w:rsid w:val="005B0D23"/>
    <w:rsid w:val="005C5AEB"/>
    <w:rsid w:val="005D3862"/>
    <w:rsid w:val="005D6EE3"/>
    <w:rsid w:val="005E0A3F"/>
    <w:rsid w:val="005E46AD"/>
    <w:rsid w:val="005E6883"/>
    <w:rsid w:val="005E772F"/>
    <w:rsid w:val="005F3E6B"/>
    <w:rsid w:val="005F4ECA"/>
    <w:rsid w:val="00601BB8"/>
    <w:rsid w:val="006041BE"/>
    <w:rsid w:val="006043C7"/>
    <w:rsid w:val="00606DEB"/>
    <w:rsid w:val="006136D9"/>
    <w:rsid w:val="0061471E"/>
    <w:rsid w:val="0062156F"/>
    <w:rsid w:val="00621A59"/>
    <w:rsid w:val="00624B52"/>
    <w:rsid w:val="00630794"/>
    <w:rsid w:val="00631DF4"/>
    <w:rsid w:val="00634175"/>
    <w:rsid w:val="006408AC"/>
    <w:rsid w:val="00644AFF"/>
    <w:rsid w:val="006466EC"/>
    <w:rsid w:val="006511B6"/>
    <w:rsid w:val="00657FF8"/>
    <w:rsid w:val="00670D99"/>
    <w:rsid w:val="00670E2B"/>
    <w:rsid w:val="006734BB"/>
    <w:rsid w:val="0067697A"/>
    <w:rsid w:val="006821EB"/>
    <w:rsid w:val="00691583"/>
    <w:rsid w:val="006A16F9"/>
    <w:rsid w:val="006B2286"/>
    <w:rsid w:val="006B30AC"/>
    <w:rsid w:val="006B56BB"/>
    <w:rsid w:val="006C77A8"/>
    <w:rsid w:val="006D4098"/>
    <w:rsid w:val="006D7681"/>
    <w:rsid w:val="006D7B2E"/>
    <w:rsid w:val="006E02EA"/>
    <w:rsid w:val="006E0968"/>
    <w:rsid w:val="006E2AF6"/>
    <w:rsid w:val="00701275"/>
    <w:rsid w:val="00703987"/>
    <w:rsid w:val="00705D08"/>
    <w:rsid w:val="00707F56"/>
    <w:rsid w:val="0071248C"/>
    <w:rsid w:val="00713558"/>
    <w:rsid w:val="00720D08"/>
    <w:rsid w:val="00721E65"/>
    <w:rsid w:val="007226F4"/>
    <w:rsid w:val="007263B9"/>
    <w:rsid w:val="0072667F"/>
    <w:rsid w:val="007332EA"/>
    <w:rsid w:val="007334F8"/>
    <w:rsid w:val="007339CD"/>
    <w:rsid w:val="007359D8"/>
    <w:rsid w:val="007362D4"/>
    <w:rsid w:val="00744202"/>
    <w:rsid w:val="007654D6"/>
    <w:rsid w:val="0076672A"/>
    <w:rsid w:val="00773AC1"/>
    <w:rsid w:val="00775E45"/>
    <w:rsid w:val="00776E74"/>
    <w:rsid w:val="00784DD3"/>
    <w:rsid w:val="00785169"/>
    <w:rsid w:val="007954AB"/>
    <w:rsid w:val="007954F8"/>
    <w:rsid w:val="007A14C5"/>
    <w:rsid w:val="007A4A10"/>
    <w:rsid w:val="007B1760"/>
    <w:rsid w:val="007B1FEE"/>
    <w:rsid w:val="007B3BA4"/>
    <w:rsid w:val="007C1FDC"/>
    <w:rsid w:val="007C6D9C"/>
    <w:rsid w:val="007C7DDB"/>
    <w:rsid w:val="007D2CC7"/>
    <w:rsid w:val="007D3E12"/>
    <w:rsid w:val="007D673D"/>
    <w:rsid w:val="007E0FB8"/>
    <w:rsid w:val="007E4D09"/>
    <w:rsid w:val="007F2220"/>
    <w:rsid w:val="007F4B3E"/>
    <w:rsid w:val="007F6BD0"/>
    <w:rsid w:val="008127AF"/>
    <w:rsid w:val="00812B46"/>
    <w:rsid w:val="0081540D"/>
    <w:rsid w:val="00815700"/>
    <w:rsid w:val="00823F69"/>
    <w:rsid w:val="008264EB"/>
    <w:rsid w:val="00826B8F"/>
    <w:rsid w:val="00831E8A"/>
    <w:rsid w:val="00835C76"/>
    <w:rsid w:val="0083668E"/>
    <w:rsid w:val="008376E2"/>
    <w:rsid w:val="0084085B"/>
    <w:rsid w:val="00843049"/>
    <w:rsid w:val="008504E5"/>
    <w:rsid w:val="0085209B"/>
    <w:rsid w:val="008533B0"/>
    <w:rsid w:val="00856B66"/>
    <w:rsid w:val="008601AC"/>
    <w:rsid w:val="00861A5F"/>
    <w:rsid w:val="008644AD"/>
    <w:rsid w:val="00865735"/>
    <w:rsid w:val="00865DDB"/>
    <w:rsid w:val="008674CE"/>
    <w:rsid w:val="00867538"/>
    <w:rsid w:val="00873623"/>
    <w:rsid w:val="00873D90"/>
    <w:rsid w:val="00873FC8"/>
    <w:rsid w:val="00884C63"/>
    <w:rsid w:val="00885908"/>
    <w:rsid w:val="008864B7"/>
    <w:rsid w:val="00886DE7"/>
    <w:rsid w:val="0089441B"/>
    <w:rsid w:val="0089677E"/>
    <w:rsid w:val="008A7438"/>
    <w:rsid w:val="008B1334"/>
    <w:rsid w:val="008B25C7"/>
    <w:rsid w:val="008C0278"/>
    <w:rsid w:val="008C24E9"/>
    <w:rsid w:val="008D0533"/>
    <w:rsid w:val="008D42CB"/>
    <w:rsid w:val="008D48C9"/>
    <w:rsid w:val="008D6381"/>
    <w:rsid w:val="008E0C77"/>
    <w:rsid w:val="008E625F"/>
    <w:rsid w:val="008F1E12"/>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0310"/>
    <w:rsid w:val="009344AE"/>
    <w:rsid w:val="009344DE"/>
    <w:rsid w:val="009408F0"/>
    <w:rsid w:val="00942124"/>
    <w:rsid w:val="00945E7F"/>
    <w:rsid w:val="009557C1"/>
    <w:rsid w:val="009564FB"/>
    <w:rsid w:val="00960D6E"/>
    <w:rsid w:val="009658AE"/>
    <w:rsid w:val="00974B59"/>
    <w:rsid w:val="009778F1"/>
    <w:rsid w:val="0098340B"/>
    <w:rsid w:val="00986830"/>
    <w:rsid w:val="009924C3"/>
    <w:rsid w:val="00993102"/>
    <w:rsid w:val="00993A49"/>
    <w:rsid w:val="009B1570"/>
    <w:rsid w:val="009B7860"/>
    <w:rsid w:val="009C6F10"/>
    <w:rsid w:val="009D148F"/>
    <w:rsid w:val="009D3D70"/>
    <w:rsid w:val="009D69B5"/>
    <w:rsid w:val="009D6E31"/>
    <w:rsid w:val="009E6F7E"/>
    <w:rsid w:val="009E7A57"/>
    <w:rsid w:val="009F4803"/>
    <w:rsid w:val="009F4F6A"/>
    <w:rsid w:val="00A00FC9"/>
    <w:rsid w:val="00A051B3"/>
    <w:rsid w:val="00A05324"/>
    <w:rsid w:val="00A13EB5"/>
    <w:rsid w:val="00A16E36"/>
    <w:rsid w:val="00A24961"/>
    <w:rsid w:val="00A24B10"/>
    <w:rsid w:val="00A277EF"/>
    <w:rsid w:val="00A30E9B"/>
    <w:rsid w:val="00A31880"/>
    <w:rsid w:val="00A33965"/>
    <w:rsid w:val="00A416F2"/>
    <w:rsid w:val="00A4512D"/>
    <w:rsid w:val="00A50244"/>
    <w:rsid w:val="00A562CF"/>
    <w:rsid w:val="00A61F65"/>
    <w:rsid w:val="00A627D7"/>
    <w:rsid w:val="00A656C7"/>
    <w:rsid w:val="00A705AF"/>
    <w:rsid w:val="00A719F6"/>
    <w:rsid w:val="00A72454"/>
    <w:rsid w:val="00A77696"/>
    <w:rsid w:val="00A80557"/>
    <w:rsid w:val="00A81D33"/>
    <w:rsid w:val="00A8341C"/>
    <w:rsid w:val="00A930AE"/>
    <w:rsid w:val="00AA01DE"/>
    <w:rsid w:val="00AA1A95"/>
    <w:rsid w:val="00AA260F"/>
    <w:rsid w:val="00AA262B"/>
    <w:rsid w:val="00AB1EE7"/>
    <w:rsid w:val="00AB472B"/>
    <w:rsid w:val="00AB4B37"/>
    <w:rsid w:val="00AB5762"/>
    <w:rsid w:val="00AC2467"/>
    <w:rsid w:val="00AC2679"/>
    <w:rsid w:val="00AC4BE4"/>
    <w:rsid w:val="00AD05E6"/>
    <w:rsid w:val="00AD0D3F"/>
    <w:rsid w:val="00AE1D7D"/>
    <w:rsid w:val="00AE2A8B"/>
    <w:rsid w:val="00AE3F64"/>
    <w:rsid w:val="00AF35E6"/>
    <w:rsid w:val="00AF5AC6"/>
    <w:rsid w:val="00AF7386"/>
    <w:rsid w:val="00AF78DE"/>
    <w:rsid w:val="00AF7934"/>
    <w:rsid w:val="00B00B81"/>
    <w:rsid w:val="00B04580"/>
    <w:rsid w:val="00B04B09"/>
    <w:rsid w:val="00B06DF4"/>
    <w:rsid w:val="00B16A51"/>
    <w:rsid w:val="00B238DD"/>
    <w:rsid w:val="00B312C6"/>
    <w:rsid w:val="00B32222"/>
    <w:rsid w:val="00B3618D"/>
    <w:rsid w:val="00B36233"/>
    <w:rsid w:val="00B42851"/>
    <w:rsid w:val="00B45AC7"/>
    <w:rsid w:val="00B5372F"/>
    <w:rsid w:val="00B53987"/>
    <w:rsid w:val="00B558E9"/>
    <w:rsid w:val="00B61129"/>
    <w:rsid w:val="00B67E7F"/>
    <w:rsid w:val="00B70024"/>
    <w:rsid w:val="00B8128F"/>
    <w:rsid w:val="00B839B2"/>
    <w:rsid w:val="00B94252"/>
    <w:rsid w:val="00B9715A"/>
    <w:rsid w:val="00BA14BE"/>
    <w:rsid w:val="00BA2163"/>
    <w:rsid w:val="00BA2732"/>
    <w:rsid w:val="00BA293D"/>
    <w:rsid w:val="00BA3E81"/>
    <w:rsid w:val="00BA49BC"/>
    <w:rsid w:val="00BA56B7"/>
    <w:rsid w:val="00BA7A1E"/>
    <w:rsid w:val="00BB2F6C"/>
    <w:rsid w:val="00BB3875"/>
    <w:rsid w:val="00BB5860"/>
    <w:rsid w:val="00BB6AAD"/>
    <w:rsid w:val="00BC4A19"/>
    <w:rsid w:val="00BC4E6D"/>
    <w:rsid w:val="00BD0617"/>
    <w:rsid w:val="00BD2E9B"/>
    <w:rsid w:val="00BD7FB2"/>
    <w:rsid w:val="00BF242E"/>
    <w:rsid w:val="00C00930"/>
    <w:rsid w:val="00C033BD"/>
    <w:rsid w:val="00C0396C"/>
    <w:rsid w:val="00C060AD"/>
    <w:rsid w:val="00C113BF"/>
    <w:rsid w:val="00C20686"/>
    <w:rsid w:val="00C2176E"/>
    <w:rsid w:val="00C23430"/>
    <w:rsid w:val="00C25910"/>
    <w:rsid w:val="00C27D67"/>
    <w:rsid w:val="00C32DBB"/>
    <w:rsid w:val="00C4631F"/>
    <w:rsid w:val="00C47CDE"/>
    <w:rsid w:val="00C50E16"/>
    <w:rsid w:val="00C55258"/>
    <w:rsid w:val="00C562BC"/>
    <w:rsid w:val="00C82C12"/>
    <w:rsid w:val="00C82EEB"/>
    <w:rsid w:val="00C907BE"/>
    <w:rsid w:val="00C95F4E"/>
    <w:rsid w:val="00C966E1"/>
    <w:rsid w:val="00C971DC"/>
    <w:rsid w:val="00CA0D26"/>
    <w:rsid w:val="00CA16B7"/>
    <w:rsid w:val="00CA4356"/>
    <w:rsid w:val="00CA62AE"/>
    <w:rsid w:val="00CA7881"/>
    <w:rsid w:val="00CB5B1A"/>
    <w:rsid w:val="00CC15E0"/>
    <w:rsid w:val="00CC220B"/>
    <w:rsid w:val="00CC5C43"/>
    <w:rsid w:val="00CD02AE"/>
    <w:rsid w:val="00CD1826"/>
    <w:rsid w:val="00CD2A4F"/>
    <w:rsid w:val="00CE03CA"/>
    <w:rsid w:val="00CE22F1"/>
    <w:rsid w:val="00CE50F2"/>
    <w:rsid w:val="00CE6220"/>
    <w:rsid w:val="00CE6502"/>
    <w:rsid w:val="00CF7D3C"/>
    <w:rsid w:val="00D01F09"/>
    <w:rsid w:val="00D05DB2"/>
    <w:rsid w:val="00D147EB"/>
    <w:rsid w:val="00D2736C"/>
    <w:rsid w:val="00D34667"/>
    <w:rsid w:val="00D401E1"/>
    <w:rsid w:val="00D408B4"/>
    <w:rsid w:val="00D524C8"/>
    <w:rsid w:val="00D65099"/>
    <w:rsid w:val="00D70E24"/>
    <w:rsid w:val="00D72B61"/>
    <w:rsid w:val="00D93DBC"/>
    <w:rsid w:val="00DA3D1D"/>
    <w:rsid w:val="00DA661A"/>
    <w:rsid w:val="00DB6286"/>
    <w:rsid w:val="00DB645F"/>
    <w:rsid w:val="00DB76E9"/>
    <w:rsid w:val="00DC0A67"/>
    <w:rsid w:val="00DC1D5E"/>
    <w:rsid w:val="00DC3FC2"/>
    <w:rsid w:val="00DC5220"/>
    <w:rsid w:val="00DD2061"/>
    <w:rsid w:val="00DD7DAB"/>
    <w:rsid w:val="00DE2D1F"/>
    <w:rsid w:val="00DE3355"/>
    <w:rsid w:val="00DE5182"/>
    <w:rsid w:val="00DF021B"/>
    <w:rsid w:val="00DF0C60"/>
    <w:rsid w:val="00DF1BAB"/>
    <w:rsid w:val="00DF486F"/>
    <w:rsid w:val="00DF5B5B"/>
    <w:rsid w:val="00DF7619"/>
    <w:rsid w:val="00E042D8"/>
    <w:rsid w:val="00E06994"/>
    <w:rsid w:val="00E07EE7"/>
    <w:rsid w:val="00E1103B"/>
    <w:rsid w:val="00E149B0"/>
    <w:rsid w:val="00E15970"/>
    <w:rsid w:val="00E16428"/>
    <w:rsid w:val="00E17B44"/>
    <w:rsid w:val="00E20F27"/>
    <w:rsid w:val="00E22443"/>
    <w:rsid w:val="00E25B1F"/>
    <w:rsid w:val="00E27FEA"/>
    <w:rsid w:val="00E4086F"/>
    <w:rsid w:val="00E42BCE"/>
    <w:rsid w:val="00E43B3C"/>
    <w:rsid w:val="00E50188"/>
    <w:rsid w:val="00E50BB3"/>
    <w:rsid w:val="00E515CB"/>
    <w:rsid w:val="00E52260"/>
    <w:rsid w:val="00E639B6"/>
    <w:rsid w:val="00E6434B"/>
    <w:rsid w:val="00E6463D"/>
    <w:rsid w:val="00E67146"/>
    <w:rsid w:val="00E72E9B"/>
    <w:rsid w:val="00E81B0A"/>
    <w:rsid w:val="00E81F8E"/>
    <w:rsid w:val="00E850C3"/>
    <w:rsid w:val="00E87DF2"/>
    <w:rsid w:val="00E9462E"/>
    <w:rsid w:val="00E97B7B"/>
    <w:rsid w:val="00EA03C8"/>
    <w:rsid w:val="00EA470E"/>
    <w:rsid w:val="00EA47A7"/>
    <w:rsid w:val="00EA57EB"/>
    <w:rsid w:val="00EB0882"/>
    <w:rsid w:val="00EB3226"/>
    <w:rsid w:val="00EB7006"/>
    <w:rsid w:val="00EC213A"/>
    <w:rsid w:val="00EC7744"/>
    <w:rsid w:val="00ED0DAD"/>
    <w:rsid w:val="00ED0F46"/>
    <w:rsid w:val="00ED2373"/>
    <w:rsid w:val="00EE1C76"/>
    <w:rsid w:val="00EE3E8A"/>
    <w:rsid w:val="00EF58B8"/>
    <w:rsid w:val="00EF6ECA"/>
    <w:rsid w:val="00F024E1"/>
    <w:rsid w:val="00F03668"/>
    <w:rsid w:val="00F04390"/>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530FF"/>
    <w:rsid w:val="00F6239D"/>
    <w:rsid w:val="00F62B2D"/>
    <w:rsid w:val="00F715D2"/>
    <w:rsid w:val="00F71A5B"/>
    <w:rsid w:val="00F7274F"/>
    <w:rsid w:val="00F74E84"/>
    <w:rsid w:val="00F76FA8"/>
    <w:rsid w:val="00F869AF"/>
    <w:rsid w:val="00F93091"/>
    <w:rsid w:val="00F93F08"/>
    <w:rsid w:val="00F94CED"/>
    <w:rsid w:val="00FA02BB"/>
    <w:rsid w:val="00FA2CEE"/>
    <w:rsid w:val="00FA318C"/>
    <w:rsid w:val="00FA66EE"/>
    <w:rsid w:val="00FB6F92"/>
    <w:rsid w:val="00FC026E"/>
    <w:rsid w:val="00FC5124"/>
    <w:rsid w:val="00FC53AC"/>
    <w:rsid w:val="00FC7229"/>
    <w:rsid w:val="00FD2259"/>
    <w:rsid w:val="00FD4731"/>
    <w:rsid w:val="00FD6768"/>
    <w:rsid w:val="00FE2F36"/>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A273E"/>
  <w15:docId w15:val="{DC295A35-E6C8-4B8A-AEB3-A044D828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5E7"/>
    <w:pPr>
      <w:spacing w:before="120" w:after="120"/>
    </w:pPr>
    <w:rPr>
      <w:rFonts w:ascii="Arial" w:eastAsiaTheme="minorEastAsia" w:hAnsi="Arial"/>
      <w:sz w:val="22"/>
      <w:szCs w:val="24"/>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5E46AD"/>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pPr>
        <w:jc w:val="center"/>
      </w:pPr>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91583"/>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FollowedHyperlink">
    <w:name w:val="FollowedHyperlink"/>
    <w:basedOn w:val="DefaultParagraphFont"/>
    <w:semiHidden/>
    <w:unhideWhenUsed/>
    <w:rsid w:val="005535C9"/>
    <w:rPr>
      <w:color w:val="800080" w:themeColor="followedHyperlink"/>
      <w:u w:val="single"/>
    </w:rPr>
  </w:style>
  <w:style w:type="paragraph" w:customStyle="1" w:styleId="Normal2">
    <w:name w:val="Normal2"/>
    <w:basedOn w:val="Normal"/>
    <w:link w:val="Normal2Char"/>
    <w:qFormat/>
    <w:rsid w:val="005535C9"/>
    <w:pPr>
      <w:spacing w:line="276" w:lineRule="auto"/>
    </w:pPr>
    <w:rPr>
      <w:rFonts w:eastAsia="Times New Roman"/>
      <w:lang w:eastAsia="en-US"/>
    </w:rPr>
  </w:style>
  <w:style w:type="character" w:customStyle="1" w:styleId="Normal2Char">
    <w:name w:val="Normal2 Char"/>
    <w:basedOn w:val="DefaultParagraphFont"/>
    <w:link w:val="Normal2"/>
    <w:rsid w:val="005535C9"/>
    <w:rPr>
      <w:rFonts w:ascii="Arial" w:hAnsi="Arial"/>
      <w:sz w:val="22"/>
      <w:szCs w:val="24"/>
      <w:lang w:eastAsia="en-US"/>
    </w:rPr>
  </w:style>
  <w:style w:type="character" w:styleId="CommentReference">
    <w:name w:val="annotation reference"/>
    <w:basedOn w:val="DefaultParagraphFont"/>
    <w:semiHidden/>
    <w:unhideWhenUsed/>
    <w:rsid w:val="007954F8"/>
    <w:rPr>
      <w:sz w:val="16"/>
      <w:szCs w:val="16"/>
    </w:rPr>
  </w:style>
  <w:style w:type="paragraph" w:styleId="CommentText">
    <w:name w:val="annotation text"/>
    <w:basedOn w:val="Normal"/>
    <w:link w:val="CommentTextChar"/>
    <w:unhideWhenUsed/>
    <w:rsid w:val="007954F8"/>
    <w:rPr>
      <w:sz w:val="20"/>
      <w:szCs w:val="20"/>
    </w:rPr>
  </w:style>
  <w:style w:type="character" w:customStyle="1" w:styleId="CommentTextChar">
    <w:name w:val="Comment Text Char"/>
    <w:basedOn w:val="DefaultParagraphFont"/>
    <w:link w:val="CommentText"/>
    <w:rsid w:val="007954F8"/>
    <w:rPr>
      <w:rFonts w:ascii="Arial" w:eastAsiaTheme="minorEastAsia" w:hAnsi="Arial"/>
    </w:rPr>
  </w:style>
  <w:style w:type="paragraph" w:styleId="CommentSubject">
    <w:name w:val="annotation subject"/>
    <w:basedOn w:val="CommentText"/>
    <w:next w:val="CommentText"/>
    <w:link w:val="CommentSubjectChar"/>
    <w:semiHidden/>
    <w:unhideWhenUsed/>
    <w:rsid w:val="007954F8"/>
    <w:rPr>
      <w:b/>
      <w:bCs/>
    </w:rPr>
  </w:style>
  <w:style w:type="character" w:customStyle="1" w:styleId="CommentSubjectChar">
    <w:name w:val="Comment Subject Char"/>
    <w:basedOn w:val="CommentTextChar"/>
    <w:link w:val="CommentSubject"/>
    <w:semiHidden/>
    <w:rsid w:val="007954F8"/>
    <w:rPr>
      <w:rFonts w:ascii="Arial" w:eastAsiaTheme="minorEastAsia" w:hAnsi="Arial"/>
      <w:b/>
      <w:bCs/>
    </w:rPr>
  </w:style>
  <w:style w:type="paragraph" w:customStyle="1" w:styleId="Centeredtext">
    <w:name w:val="Centered text"/>
    <w:basedOn w:val="Normal"/>
    <w:link w:val="CenteredtextChar"/>
    <w:qFormat/>
    <w:rsid w:val="000B65FC"/>
    <w:pPr>
      <w:jc w:val="center"/>
    </w:pPr>
  </w:style>
  <w:style w:type="character" w:customStyle="1" w:styleId="CenteredtextChar">
    <w:name w:val="Centered text Char"/>
    <w:basedOn w:val="DefaultParagraphFont"/>
    <w:link w:val="Centeredtext"/>
    <w:rsid w:val="000B65FC"/>
    <w:rPr>
      <w:rFonts w:ascii="Arial" w:eastAsiaTheme="minorEastAsia" w:hAnsi="Arial"/>
      <w:sz w:val="22"/>
      <w:szCs w:val="24"/>
    </w:rPr>
  </w:style>
  <w:style w:type="character" w:styleId="UnresolvedMention">
    <w:name w:val="Unresolved Mention"/>
    <w:basedOn w:val="DefaultParagraphFont"/>
    <w:uiPriority w:val="99"/>
    <w:semiHidden/>
    <w:unhideWhenUsed/>
    <w:rsid w:val="00C562BC"/>
    <w:rPr>
      <w:color w:val="605E5C"/>
      <w:shd w:val="clear" w:color="auto" w:fill="E1DFDD"/>
    </w:rPr>
  </w:style>
  <w:style w:type="paragraph" w:styleId="Revision">
    <w:name w:val="Revision"/>
    <w:hidden/>
    <w:uiPriority w:val="99"/>
    <w:semiHidden/>
    <w:rsid w:val="00C82C12"/>
    <w:rPr>
      <w:rFonts w:ascii="Arial" w:eastAsiaTheme="minorEastAsia" w:hAnsi="Arial"/>
      <w:sz w:val="22"/>
      <w:szCs w:val="24"/>
    </w:rPr>
  </w:style>
  <w:style w:type="character" w:styleId="FootnoteReference">
    <w:name w:val="footnote reference"/>
    <w:basedOn w:val="DefaultParagraphFont"/>
    <w:semiHidden/>
    <w:unhideWhenUsed/>
    <w:rsid w:val="00AF5A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8350418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8760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bs.gov.au/browse/publications" TargetMode="External"/><Relationship Id="rId18" Type="http://schemas.openxmlformats.org/officeDocument/2006/relationships/hyperlink" Target="https://www.pbs.gov.au/info/industry/listing/elements/pbac-meetings/psd/2021-07/adalimumab-injection-20-mg-in-0-4-ml-pre-filled-syringe" TargetMode="External"/><Relationship Id="rId26" Type="http://schemas.openxmlformats.org/officeDocument/2006/relationships/hyperlink" Target="https://www.servicesaustralia.gov.au/" TargetMode="External"/><Relationship Id="rId3" Type="http://schemas.openxmlformats.org/officeDocument/2006/relationships/settings" Target="settings.xml"/><Relationship Id="rId21" Type="http://schemas.openxmlformats.org/officeDocument/2006/relationships/hyperlink" Target="https://www.pbs.gov.au/info/industry/listing/elements/pbac-meetings/psd/2018-07/Adalimumab-Hadlima-psd-july-2018" TargetMode="External"/><Relationship Id="rId34" Type="http://schemas.openxmlformats.org/officeDocument/2006/relationships/theme" Target="theme/theme1.xml"/><Relationship Id="rId7" Type="http://schemas.openxmlformats.org/officeDocument/2006/relationships/hyperlink" Target="https://www.pbs.gov.au/info/browse/section-100/s100-highly-specialised-drugs" TargetMode="External"/><Relationship Id="rId12" Type="http://schemas.openxmlformats.org/officeDocument/2006/relationships/hyperlink" Target="https://www.pbs.gov.au/pbs/search?term=adalimumab" TargetMode="External"/><Relationship Id="rId17" Type="http://schemas.openxmlformats.org/officeDocument/2006/relationships/hyperlink" Target="https://www.tga.gov.au/resources/resource/guidance/biosimilar-medicines-regulation" TargetMode="External"/><Relationship Id="rId25" Type="http://schemas.openxmlformats.org/officeDocument/2006/relationships/hyperlink" Target="https://www.servicesaustralia.gov.au/claim-benefit-medicare-benefits-for-health-professionals?context=3407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health.gov.au/biosimilars" TargetMode="External"/><Relationship Id="rId20" Type="http://schemas.openxmlformats.org/officeDocument/2006/relationships/hyperlink" Target="https://www.pbs.gov.au/info/industry/listing/elements/pbac-meetings/psd/2018-07/Adalimumab-Amgevita-psd-july-2018"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bs.gov.au/info/publication/factsheets/shared/fact-sheet-streamlined-authorities" TargetMode="External"/><Relationship Id="rId24" Type="http://schemas.openxmlformats.org/officeDocument/2006/relationships/hyperlink" Target="https://www.servicesaustralia.gov.au/pharmaceutical-benefits-scheme"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pbs.gov.au/info/industry/pricing" TargetMode="External"/><Relationship Id="rId23" Type="http://schemas.openxmlformats.org/officeDocument/2006/relationships/hyperlink" Target="https://www.pbs.gov.au/info/industry/listing/elements/pbac-meetings/psd/2022-07/adalimumab-injection-40-mg-in-0-4-ml-pre-filled-pen-Injection-and-pre-filled-syringe" TargetMode="External"/><Relationship Id="rId28" Type="http://schemas.openxmlformats.org/officeDocument/2006/relationships/header" Target="header2.xml"/><Relationship Id="rId10" Type="http://schemas.openxmlformats.org/officeDocument/2006/relationships/hyperlink" Target="https://www.pbs.gov.au/info/publication/factsheets/shared/fact-sheet-streamlined-authorities" TargetMode="External"/><Relationship Id="rId19" Type="http://schemas.openxmlformats.org/officeDocument/2006/relationships/hyperlink" Target="https://www.pbs.gov.au/info/industry/listing/elements/pbac-meetings/psd/2023-07/adalimumab-Ardalicip-PSD-July-2023"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pbs.gov.au/pbs/search?term=adalimumab" TargetMode="External"/><Relationship Id="rId14" Type="http://schemas.openxmlformats.org/officeDocument/2006/relationships/hyperlink" Target="https://www.pbs.gov.au/general/biosimilars/biosimilar-uptake-drivers-q-and-a.pdf" TargetMode="External"/><Relationship Id="rId22" Type="http://schemas.openxmlformats.org/officeDocument/2006/relationships/hyperlink" Target="https://www.pbs.gov.au/info/industry/listing/elements/pbac-meetings/psd/2020-03/adalimumab-injection-40-mg-in-0-8-ml-pre-filled-syringe"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www.nps.org.au/medical-info/medicine-finde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1442</Words>
  <Characters>8701</Characters>
  <Application>Microsoft Office Word</Application>
  <DocSecurity>0</DocSecurity>
  <Lines>158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Biosimilar medicine fact sheet – adalimumab</dc:title>
  <dc:subject>Medicines</dc:subject>
  <dc:creator>Australian Government Department of Health, Disability and Ageing</dc:creator>
  <cp:keywords/>
  <dc:description/>
  <cp:lastModifiedBy>MASCHKE, Elvia</cp:lastModifiedBy>
  <cp:revision>5</cp:revision>
  <dcterms:created xsi:type="dcterms:W3CDTF">2026-03-12T00:14:00Z</dcterms:created>
  <dcterms:modified xsi:type="dcterms:W3CDTF">2026-03-19T22:16:00Z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b108c73,6b1d5fce,7bd45cda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4c1877b3,6fa5173c,6bf52441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2026-03-12T00:14:14Z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d27838b2-7da3-4459-b6e8-34d6396296f4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